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04F4B">
      <w:pPr>
        <w:divId w:val="452211926"/>
        <w:rPr>
          <w:rFonts w:eastAsia="Times New Roman"/>
          <w:vanish/>
        </w:rPr>
      </w:pPr>
      <w:r>
        <w:rPr>
          <w:rFonts w:eastAsia="Times New Roman"/>
          <w:vanish/>
        </w:rPr>
        <w:t>FALSE2021FY000139331100013933112021-01-012021-12-310001393311us-gaap:CommonStockMember2021-01-012021-12-310001393311us-gaap:SeriesFPreferredStockMember2021-01-012021-12-310001393311us-gaap:SeriesGPreferredStockMember2021-01-012021-12-31</w:t>
      </w:r>
      <w:r>
        <w:rPr>
          <w:rFonts w:eastAsia="Times New Roman"/>
          <w:vanish/>
        </w:rPr>
        <w:t>0001393311us-gaap:SeriesHPreferredStockMember2021-01-012021-12-310001393311psa:SeriesIPreferredStockMember2021-01-012021-12-310001393311psa:SeriesJPreferredStockMember2021-01-012021-12-310001393311psa:SeriesKPreferredStockMember2021-01-012021-12-3100013933</w:t>
      </w:r>
      <w:r>
        <w:rPr>
          <w:rFonts w:eastAsia="Times New Roman"/>
          <w:vanish/>
        </w:rPr>
        <w:t>11psa:SeriesLPreferredStockMember2021-01-012021-12-310001393311psa:SeriesMPreferredStockMember2021-01-012021-12-310001393311psa:SeriesNPreferredStockMember2021-01-012021-12-310001393311psa:SeriesOPreferredStockMember2021-01-012021-12-310001393311psa:Series</w:t>
      </w:r>
      <w:r>
        <w:rPr>
          <w:rFonts w:eastAsia="Times New Roman"/>
          <w:vanish/>
        </w:rPr>
        <w:t>PPreferredStockMember2021-01-012021-12-310001393311psa:SeriesQPreferredStockMember2021-01-012021-12-310001393311psa:SeriesRPreferredStockMember2021-01-012021-12-310001393311psa:SeriesSPreferredStockMember2021-01-012021-12-310001393311psa:NotesDue2032Member</w:t>
      </w:r>
      <w:r>
        <w:rPr>
          <w:rFonts w:eastAsia="Times New Roman"/>
          <w:vanish/>
        </w:rPr>
        <w:t>2021-01-012021-12-310001393311psa:NotesDue2030Member2021-01-012021-12-3100013933112021-06-30iso4217:USD00013933112022-02-18xbrli:shares00013933112021-12-3100013933112020-12-31iso4217:USDxbrli:shares0001393311psa:SelfStorageOperationsMember2021-01-012021-12</w:t>
      </w:r>
      <w:r>
        <w:rPr>
          <w:rFonts w:eastAsia="Times New Roman"/>
          <w:vanish/>
        </w:rPr>
        <w:t>-310001393311psa:SelfStorageOperationsMember2020-01-012020-12-310001393311psa:SelfStorageOperationsMember2019-01-012019-12-310001393311psa:AncillaryOperationsMember2021-01-012021-12-310001393311psa:AncillaryOperationsMember2020-01-012020-12-310001393311psa</w:t>
      </w:r>
      <w:r>
        <w:rPr>
          <w:rFonts w:eastAsia="Times New Roman"/>
          <w:vanish/>
        </w:rPr>
        <w:t>:AncillaryOperationsMember2019-01-012019-12-3100013933112020-01-012020-12-3100013933112019-01-012019-12-310001393311us-gaap:PreferredStockMember2018-12-310001393311us-gaap:CommonStockMember2018-12-310001393311us-gaap:AdditionalPaidInCapitalMember2018-12-31</w:t>
      </w:r>
      <w:r>
        <w:rPr>
          <w:rFonts w:eastAsia="Times New Roman"/>
          <w:vanish/>
        </w:rPr>
        <w:t>0001393311us-gaap:RetainedEarningsMember2018-12-310001393311us-gaap:AccumulatedOtherComprehensiveIncomeMember2018-12-310001393311us-gaap:ParentMember2018-12-310001393311us-gaap:NoncontrollingInterestMember2018-12-3100013933112018-12-310001393311us-gaap:Pre</w:t>
      </w:r>
      <w:r>
        <w:rPr>
          <w:rFonts w:eastAsia="Times New Roman"/>
          <w:vanish/>
        </w:rPr>
        <w:t>ferredStockMember2019-01-012019-12-310001393311us-gaap:AdditionalPaidInCapitalMember2019-01-012019-12-310001393311us-gaap:ParentMember2019-01-012019-12-310001393311us-gaap:CommonStockMember2019-01-012019-12-310001393311us-gaap:NoncontrollingInterestMember2</w:t>
      </w:r>
      <w:r>
        <w:rPr>
          <w:rFonts w:eastAsia="Times New Roman"/>
          <w:vanish/>
        </w:rPr>
        <w:t>019-01-012019-12-310001393311us-gaap:RetainedEarningsMember2019-01-012019-12-310001393311us-gaap:AccumulatedOtherComprehensiveIncomeMember2019-01-012019-12-310001393311us-gaap:PreferredStockMember2019-12-310001393311us-gaap:CommonStockMember2019-12-3100013</w:t>
      </w:r>
      <w:r>
        <w:rPr>
          <w:rFonts w:eastAsia="Times New Roman"/>
          <w:vanish/>
        </w:rPr>
        <w:t>93311us-gaap:AdditionalPaidInCapitalMember2019-12-310001393311us-gaap:RetainedEarningsMember2019-12-310001393311us-gaap:AccumulatedOtherComprehensiveIncomeMember2019-12-310001393311us-gaap:ParentMember2019-12-310001393311us-gaap:NoncontrollingInterestMembe</w:t>
      </w:r>
      <w:r>
        <w:rPr>
          <w:rFonts w:eastAsia="Times New Roman"/>
          <w:vanish/>
        </w:rPr>
        <w:t>r2019-12-3100013933112019-12-310001393311us-gaap:PreferredStockMember2020-01-012020-12-310001393311us-gaap:AdditionalPaidInCapitalMember2020-01-012020-12-310001393311us-gaap:ParentMember2020-01-012020-12-310001393311us-gaap:CommonStockMember2020-01-012020-</w:t>
      </w:r>
      <w:r>
        <w:rPr>
          <w:rFonts w:eastAsia="Times New Roman"/>
          <w:vanish/>
        </w:rPr>
        <w:t>12-310001393311us-gaap:NoncontrollingInterestMember2020-01-012020-12-310001393311us-gaap:RetainedEarningsMember2020-01-012020-12-310001393311us-gaap:AccumulatedOtherComprehensiveIncomeMember2020-01-012020-12-310001393311us-gaap:PreferredStockMember2020-12-</w:t>
      </w:r>
      <w:r>
        <w:rPr>
          <w:rFonts w:eastAsia="Times New Roman"/>
          <w:vanish/>
        </w:rPr>
        <w:t>310001393311us-gaap:CommonStockMember2020-12-310001393311us-gaap:AdditionalPaidInCapitalMember2020-12-310001393311us-gaap:RetainedEarningsMember2020-12-310001393311us-gaap:AccumulatedOtherComprehensiveIncomeMember2020-12-310001393311us-gaap:ParentMember202</w:t>
      </w:r>
      <w:r>
        <w:rPr>
          <w:rFonts w:eastAsia="Times New Roman"/>
          <w:vanish/>
        </w:rPr>
        <w:t>0-12-310001393311us-gaap:NoncontrollingInterestMember2020-12-310001393311us-gaap:PreferredStockMember2021-01-012021-12-310001393311us-gaap:AdditionalPaidInCapitalMember2021-01-012021-12-310001393311us-gaap:ParentMember2021-01-012021-12-310001393311us-gaap:</w:t>
      </w:r>
      <w:r>
        <w:rPr>
          <w:rFonts w:eastAsia="Times New Roman"/>
          <w:vanish/>
        </w:rPr>
        <w:t>CommonStockMember2021-01-012021-12-310001393311us-gaap:NoncontrollingInterestMember2021-01-012021-12-310001393311us-gaap:RetainedEarningsMember2021-01-012021-12-310001393311us-gaap:AccumulatedOtherComprehensiveIncomeMember2021-01-012021-12-310001393311us-g</w:t>
      </w:r>
      <w:r>
        <w:rPr>
          <w:rFonts w:eastAsia="Times New Roman"/>
          <w:vanish/>
        </w:rPr>
        <w:t>aap:PreferredStockMember2021-12-310001393311us-gaap:CommonStockMember2021-12-310001393311us-gaap:AdditionalPaidInCapitalMember2021-12-310001393311us-gaap:RetainedEarningsMember2021-12-310001393311us-gaap:AccumulatedOtherComprehensiveIncomeMember2021-12-310</w:t>
      </w:r>
      <w:r>
        <w:rPr>
          <w:rFonts w:eastAsia="Times New Roman"/>
          <w:vanish/>
        </w:rPr>
        <w:t>001393311us-gaap:ParentMember2021-12-310001393311us-gaap:NoncontrollingInterestMember2021-12-310001393311psa:PublicStorageMember2021-12-31psa:storageFacilityutr:sqftpsa:state0001393311psa:CommercialAndRetailSpaceMemberpsa:PublicStorageMember2021-12-3100013</w:t>
      </w:r>
      <w:r>
        <w:rPr>
          <w:rFonts w:eastAsia="Times New Roman"/>
          <w:vanish/>
        </w:rPr>
        <w:t>93311psa:ShurgardSelfStorageSaMember2021-12-31xbrli:pure0001393311psa:ShurgardSelfStorageSaMember2020-12-31psa:country0001393311psa:PSBusinessParksMember2021-12-310001393311srt:MinimumMember2021-01-012021-12-310001393311srt:MaximumMember2021-01-012021-12-3</w:t>
      </w:r>
      <w:r>
        <w:rPr>
          <w:rFonts w:eastAsia="Times New Roman"/>
          <w:vanish/>
        </w:rPr>
        <w:t>10001393311srt:WeightedAverageMember2021-01-012021-12-310001393311srt:WeightedAverageMember2020-01-012020-12-310001393311srt:WeightedAverageMember2019-01-012019-12-310001393311psa:AcquisitionOfSelfStorageFacilitiesMember2021-01-012021-12-310001393311psa:Ex</w:t>
      </w:r>
      <w:r>
        <w:rPr>
          <w:rFonts w:eastAsia="Times New Roman"/>
          <w:vanish/>
        </w:rPr>
        <w:t>pansionProjectsMemberpsa:CompletedDevelopmentAndExpansionProjectMember2021-01-012021-12-310001393311psa:DisposalOfRealEstateFacilitiesMember2021-01-012021-12-310001393311psa:AcquisitionOfSelfStorageFacilitiesMember2020-01-012020-12-310001393311psa:Expansio</w:t>
      </w:r>
      <w:r>
        <w:rPr>
          <w:rFonts w:eastAsia="Times New Roman"/>
          <w:vanish/>
        </w:rPr>
        <w:t>nProjectsMemberpsa:CompletedDevelopmentAndExpansionProjectMember2020-01-012020-12-310001393311psa:AcquisitionOfSelfStorageFacilitiesMember2019-01-012019-12-310001393311psa:AcquisitionOfCommercialFacilityMember2019-01-012019-12-31psa:commercialFacility00013</w:t>
      </w:r>
      <w:r>
        <w:rPr>
          <w:rFonts w:eastAsia="Times New Roman"/>
          <w:vanish/>
        </w:rPr>
        <w:t>93311psa:AcquisitionOfSelfStorageFacilitiesMember2019-12-310001393311psa:ExpansionProjectsMemberpsa:CompletedDevelopmentAndExpansionProjectMember2019-01-012019-12-310001393311psa:PSBusinessParksMember2020-12-310001393311psa:PSBusinessParksMember2021-01-012</w:t>
      </w:r>
      <w:r>
        <w:rPr>
          <w:rFonts w:eastAsia="Times New Roman"/>
          <w:vanish/>
        </w:rPr>
        <w:t>021-12-310001393311psa:PSBusinessParksMember2020-01-012020-12-310001393311psa:PSBusinessParksMember2019-01-012019-12-310001393311psa:ShurgardSelfStorageSaMember2021-01-012021-12-310001393311psa:ShurgardSelfStorageSaMember2020-01-012020-12-310001393311psa:S</w:t>
      </w:r>
      <w:r>
        <w:rPr>
          <w:rFonts w:eastAsia="Times New Roman"/>
          <w:vanish/>
        </w:rPr>
        <w:t>hurgardSelfStorageSaMember2019-01-012019-12-310001393311psa:PSBAndShurgardMember2021-01-012021-12-310001393311psa:PSBAndShurgardMember2020-01-012020-12-310001393311psa:PSBAndShurgardMember2019-01-012019-12-310001393311psa:PSBAndShurgardMember2021-12-310001</w:t>
      </w:r>
      <w:r>
        <w:rPr>
          <w:rFonts w:eastAsia="Times New Roman"/>
          <w:vanish/>
        </w:rPr>
        <w:t>393311psa:PSBAndShurgardMember2020-12-31iso4217:EURxbrli:shares0001393311us-gaap:LicenseMemberpsa:ShurgardSelfStorageSaMember2021-01-012021-12-310001393311us-gaap:LicenseMemberpsa:ShurgardSelfStorageSaMember2020-01-012020-12-310001393311us-gaap:LicenseMemb</w:t>
      </w:r>
      <w:r>
        <w:rPr>
          <w:rFonts w:eastAsia="Times New Roman"/>
          <w:vanish/>
        </w:rPr>
        <w:t>erpsa:ShurgardSelfStorageSaMember2019-01-012019-12-310001393311us-gaap:TradeNamesMember2021-12-310001393311us-gaap:TradeNamesMember2020-12-310001393311us-gaap:RevolvingCreditFacilityMember2021-12-310001393311us-gaap:RevolvingCreditFacilityMembersrt:Minimum</w:t>
      </w:r>
      <w:r>
        <w:rPr>
          <w:rFonts w:eastAsia="Times New Roman"/>
          <w:vanish/>
        </w:rPr>
        <w:t>Member2021-01-012021-12-310001393311us-gaap:RevolvingCreditFacilityMembersrt:MaximumMember2021-01-012021-12-310001393311us-gaap:RevolvingCreditFacilityMember2021-12-312021-12-310001393311us-gaap:RevolvingCreditFacilityMemberus-gaap:SubsequentEventMember202</w:t>
      </w:r>
      <w:r>
        <w:rPr>
          <w:rFonts w:eastAsia="Times New Roman"/>
          <w:vanish/>
        </w:rPr>
        <w:t>2-02-220001393311us-gaap:StandbyLettersOfCreditMember2021-12-310001393311us-gaap:StandbyLettersOfCreditMember2020-12-310001393311psa:USDollarDenominatedUnsecuredDebtMemberpsa:NotesDueSeptember152022Member2021-12-310001393311psa:USDollarDenominatedUnsecured</w:t>
      </w:r>
      <w:r>
        <w:rPr>
          <w:rFonts w:eastAsia="Times New Roman"/>
          <w:vanish/>
        </w:rPr>
        <w:t>DebtMemberpsa:NotesDueApril232024Memberus-gaap:SecuredOvernightFinancingRateSofrOvernightIndexSwapRateMember2021-12-312021-12-310001393311psa:USDollarDenominatedUnsecuredDebtMemberpsa:NotesDueApril232024Member2021-12-310001393311psa:USDollarDenominatedUnse</w:t>
      </w:r>
      <w:r>
        <w:rPr>
          <w:rFonts w:eastAsia="Times New Roman"/>
          <w:vanish/>
        </w:rPr>
        <w:t>curedDebtMemberpsa:NotesDueFebruary152026Member2021-12-310001393311psa:USDollarDenominatedUnsecuredDebtMemberpsa:NotesDueNovember92026Member2021-12-310001393311psa:USDollarDenominatedUnsecuredDebtMemberpsa:NotesDueSeptember152027Member2021-12-310001393311p</w:t>
      </w:r>
      <w:r>
        <w:rPr>
          <w:rFonts w:eastAsia="Times New Roman"/>
          <w:vanish/>
        </w:rPr>
        <w:t>sa:USDollarDenominatedUnsecuredDebtMemberpsa:NotesDueMay12028Member2021-12-310001393311psa:USDollarDenominatedUnsecuredDebtMemberpsa:NotesDueNovember92028Member2021-12-310001393311psa:USDollarDenominatedUnsecuredDebtMemberpsa:NotesDueMay12029Member2021-12-</w:t>
      </w:r>
      <w:r>
        <w:rPr>
          <w:rFonts w:eastAsia="Times New Roman"/>
          <w:vanish/>
        </w:rPr>
        <w:t>310001393311psa:USDollarDenominatedUnsecuredDebtMemberpsa:NotesDueMay12031Member2021-12-310001393311psa:USDollarDenominatedUnsecuredDebtMemberpsa:NotesDueNovember92031Member2021-12-310001393311psa:USDollarDenominatedUnsecuredDebtMember2021-12-310001393311p</w:t>
      </w:r>
      <w:r>
        <w:rPr>
          <w:rFonts w:eastAsia="Times New Roman"/>
          <w:vanish/>
        </w:rPr>
        <w:t>sa:EuroDenominatedUnsecuredDebtMemberpsa:NotesDueApril122024Member2021-12-310001393311psa:EuroDenominatedUnsecuredDebtMemberpsa:NotesDueNovember32025Member2021-12-310001393311psa:EuroDenominatedUnsecuredDebtMemberpsa:NotesDueSeptember92030Member2021-12-310</w:t>
      </w:r>
      <w:r>
        <w:rPr>
          <w:rFonts w:eastAsia="Times New Roman"/>
          <w:vanish/>
        </w:rPr>
        <w:t>001393311psa:EuroDenominatedUnsecuredDebtMemberpsa:NotesDueJanuary242032Member2021-12-310001393311psa:EuroDenominatedUnsecuredDebtMember2021-12-310001393311us-gaap:MortgagesMember2021-12-31psa:company0001393311psa:USDollarDenominatedUnsecuredDebtMemberpsa:</w:t>
      </w:r>
      <w:r>
        <w:rPr>
          <w:rFonts w:eastAsia="Times New Roman"/>
          <w:vanish/>
        </w:rPr>
        <w:t>NotesDueSeptember152022Member2020-12-310001393311psa:USDollarDenominatedUnsecuredDebtMemberpsa:NotesDueSeptember152027Member2020-12-310001393311psa:USDollarDenominatedUnsecuredDebtMemberpsa:NotesDueMay12029Member2020-12-310001393311psa:USDollarDenominatedU</w:t>
      </w:r>
      <w:r>
        <w:rPr>
          <w:rFonts w:eastAsia="Times New Roman"/>
          <w:vanish/>
        </w:rPr>
        <w:t>nsecuredDebtMember2020-12-310001393311psa:EuroDenominatedUnsecuredDebtMemberpsa:NotesDueApril122024Member2020-12-310001393311psa:EuroDenominatedUnsecuredDebtMemberpsa:NotesDueNovember32025Member2020-12-310001393311psa:EuroDenominatedUnsecuredDebtMemberpsa:</w:t>
      </w:r>
      <w:r>
        <w:rPr>
          <w:rFonts w:eastAsia="Times New Roman"/>
          <w:vanish/>
        </w:rPr>
        <w:t>NotesDueJanuary242032Member2020-12-310001393311psa:EuroDenominatedUnsecuredDebtMember2020-12-310001393311us-gaap:MortgagesMember2020-12-310001393311psa:USDollarDenominatedUnsecuredDebtMemberpsa:NotesDueFebruary152026Member2021-01-190001393311psa:USDollarDe</w:t>
      </w:r>
      <w:r>
        <w:rPr>
          <w:rFonts w:eastAsia="Times New Roman"/>
          <w:vanish/>
        </w:rPr>
        <w:t>nominatedUnsecuredDebtMemberpsa:NotesDueApril232024Member2021-04-230001393311psa:USDollarDenominatedUnsecuredDebtMemberpsa:NotesDueMay12028Member2021-04-230001393311psa:USDollarDenominatedUnsecuredDebtMemberpsa:NotesDueMay12031Member2021-04-230001393311psa</w:t>
      </w:r>
      <w:r>
        <w:rPr>
          <w:rFonts w:eastAsia="Times New Roman"/>
          <w:vanish/>
        </w:rPr>
        <w:t>:USDollarDenominatedUnsecuredDebtMemberpsa:NotesDueApril232024Memberus-gaap:SecuredOvernightFinancingRateSofrOvernightIndexSwapRateMember2021-04-232021-04-230001393311psa:USDollarDenominatedUnsecuredDebtMemberpsa:NotesDueApril232024May12028AndMay12031Membe</w:t>
      </w:r>
      <w:r>
        <w:rPr>
          <w:rFonts w:eastAsia="Times New Roman"/>
          <w:vanish/>
        </w:rPr>
        <w:t>r2021-04-230001393311psa:USDollarDenominatedUnsecuredDebtMemberpsa:NotesDueNovember92026Member2021-11-090001393311psa:USDollarDenominatedUnsecuredDebtMemberpsa:NotesDueNovember92028Member2021-11-090001393311psa:USDollarDenominatedUnsecuredDebtMemberpsa:Not</w:t>
      </w:r>
      <w:r>
        <w:rPr>
          <w:rFonts w:eastAsia="Times New Roman"/>
          <w:vanish/>
        </w:rPr>
        <w:t>esDueNovember92031Member2021-11-090001393311psa:USDollarDenominatedUnsecuredDebtMemberpsa:NotesDueNovember92026November92028AndNovember92031Member2021-11-090001393311psa:USDollarDenominatedUnsecuredDebtMemberpsa:NotesDueMay12029Member2019-04-120001393311ps</w:t>
      </w:r>
      <w:r>
        <w:rPr>
          <w:rFonts w:eastAsia="Times New Roman"/>
          <w:vanish/>
        </w:rPr>
        <w:t>a:USDollarDenominatedUnsecuredDebtMemberpsa:MaximumCovenantMember2021-12-310001393311psa:USDollarDenominatedUnsecuredDebtMembersrt:MinimumMember2021-01-012021-12-310001393311psa:USDollarDenominatedUnsecuredDebtMember2021-01-012021-12-31psa:tranche000139331</w:t>
      </w:r>
      <w:r>
        <w:rPr>
          <w:rFonts w:eastAsia="Times New Roman"/>
          <w:vanish/>
        </w:rPr>
        <w:t>1psa:EuroDenominatedUnsecuredDebtMemberpsa:NotesDueNovember32025Member2015-11-03iso4217:EUR0001393311psa:EuroDenominatedUnsecuredDebtMemberpsa:NotesDueNovember32025Member2015-11-032015-11-030001393311psa:EuroDenominatedUnsecuredDebtMemberpsa:NotesDueApril1</w:t>
      </w:r>
      <w:r>
        <w:rPr>
          <w:rFonts w:eastAsia="Times New Roman"/>
          <w:vanish/>
        </w:rPr>
        <w:t>22024Member2016-04-120001393311psa:EuroDenominatedUnsecuredDebtMemberpsa:NotesDueApril122024Member2016-04-122016-04-120001393311psa:EuroDenominatedUnsecuredDebtMemberpsa:NotesDueJanuary242032Member2020-01-240001393311psa:EuroDenominatedUnsecuredDebtMemberp</w:t>
      </w:r>
      <w:r>
        <w:rPr>
          <w:rFonts w:eastAsia="Times New Roman"/>
          <w:vanish/>
        </w:rPr>
        <w:t>sa:NotesDueJanuary242032Member2020-01-242020-01-240001393311psa:EuroDenominatedUnsecuredDebtMemberpsa:NotesDueSeptember92030Member2021-09-090001393311psa:EuroDenominatedUnsecuredDebtMemberpsa:NotesDueSeptember92030Member2021-09-092021-09-090001393311us-gaa</w:t>
      </w:r>
      <w:r>
        <w:rPr>
          <w:rFonts w:eastAsia="Times New Roman"/>
          <w:vanish/>
        </w:rPr>
        <w:t>p:MortgagesMember2019-12-310001393311us-gaap:MortgagesMembersrt:MinimumMember2021-12-310001393311srt:MaximumMemberus-gaap:MortgagesMember2021-12-310001393311us-gaap:UnsecuredDebtMember2021-12-310001393311us-gaap:NotesPayableToBanksMember2021-12-31000139331</w:t>
      </w:r>
      <w:r>
        <w:rPr>
          <w:rFonts w:eastAsia="Times New Roman"/>
          <w:vanish/>
        </w:rPr>
        <w:t>1psa:AcquisitionOfSelfStorageFacilitiesMemberus-gaap:NoncontrollingInterestMember2021-12-310001393311us-gaap:SeriesCPreferredStockMember2021-01-012021-12-310001393311us-gaap:SeriesCPreferredStockMember2021-12-310001393311us-gaap:SeriesCPreferredStockMember</w:t>
      </w:r>
      <w:r>
        <w:rPr>
          <w:rFonts w:eastAsia="Times New Roman"/>
          <w:vanish/>
        </w:rPr>
        <w:t>2020-12-310001393311us-gaap:SeriesDPreferredStockMember2021-01-012021-12-310001393311us-gaap:SeriesDPreferredStockMember2021-12-310001393311us-gaap:SeriesDPreferredStockMember2020-12-310001393311us-gaap:SeriesEPreferredStockMember2021-01-012021-12-31000139</w:t>
      </w:r>
      <w:r>
        <w:rPr>
          <w:rFonts w:eastAsia="Times New Roman"/>
          <w:vanish/>
        </w:rPr>
        <w:t>3311us-gaap:SeriesEPreferredStockMember2021-12-310001393311us-gaap:SeriesEPreferredStockMember2020-12-310001393311us-gaap:SeriesFPreferredStockMember2021-12-310001393311us-gaap:SeriesFPreferredStockMember2020-12-310001393311us-gaap:SeriesGPreferredStockMem</w:t>
      </w:r>
      <w:r>
        <w:rPr>
          <w:rFonts w:eastAsia="Times New Roman"/>
          <w:vanish/>
        </w:rPr>
        <w:t>ber2021-12-310001393311us-gaap:SeriesGPreferredStockMember2020-12-310001393311us-gaap:SeriesHPreferredStockMember2021-12-310001393311us-gaap:SeriesHPreferredStockMember2020-12-310001393311psa:SeriesIPreferredStockMember2021-12-310001393311psa:SeriesIPrefer</w:t>
      </w:r>
      <w:r>
        <w:rPr>
          <w:rFonts w:eastAsia="Times New Roman"/>
          <w:vanish/>
        </w:rPr>
        <w:t>redStockMember2020-12-310001393311psa:SeriesJPreferredStockMember2021-12-310001393311psa:SeriesJPreferredStockMember2020-12-310001393311psa:SeriesKPreferredStockMember2021-12-310001393311psa:SeriesKPreferredStockMember2020-12-310001393311psa:SeriesLPreferr</w:t>
      </w:r>
      <w:r>
        <w:rPr>
          <w:rFonts w:eastAsia="Times New Roman"/>
          <w:vanish/>
        </w:rPr>
        <w:t>edStockMember2021-12-310001393311psa:SeriesLPreferredStockMember2020-12-310001393311psa:SeriesMPreferredStockMember2021-12-310001393311psa:SeriesMPreferredStockMember2020-12-310001393311psa:SeriesNPreferredStockMember2021-12-310001393311psa:SeriesNPreferre</w:t>
      </w:r>
      <w:r>
        <w:rPr>
          <w:rFonts w:eastAsia="Times New Roman"/>
          <w:vanish/>
        </w:rPr>
        <w:t>dStockMember2020-12-310001393311psa:SeriesOPreferredStockMember2021-12-310001393311psa:SeriesOPreferredStockMember2020-12-310001393311psa:SeriesPPreferredStockMember2021-12-310001393311psa:SeriesQPreferredStockMember2021-12-310001393311psa:SeriesRPreferred</w:t>
      </w:r>
      <w:r>
        <w:rPr>
          <w:rFonts w:eastAsia="Times New Roman"/>
          <w:vanish/>
        </w:rPr>
        <w:t>StockMember2021-12-31psa:dividendpsa:boardMember0001393311psa:SeriesPQAndRPreferredStockMember2021-12-310001393311psa:SeriesPQAndRPreferredStockMember2021-01-012021-12-310001393311psa:SeriesLMNAndOPreferredStockMember2020-12-310001393311psa:SeriesLMNAndOPr</w:t>
      </w:r>
      <w:r>
        <w:rPr>
          <w:rFonts w:eastAsia="Times New Roman"/>
          <w:vanish/>
        </w:rPr>
        <w:t>eferredStockMember2020-01-012020-12-310001393311psa:SeriesHIJAndKPreferredStockMember2019-12-310001393311psa:SeriesHIJAndKPreferredStockMember2019-01-012019-12-310001393311psa:SeriesCDAndEPreferredStockMember2021-12-310001393311psa:SeriesCDAndEPreferredSto</w:t>
      </w:r>
      <w:r>
        <w:rPr>
          <w:rFonts w:eastAsia="Times New Roman"/>
          <w:vanish/>
        </w:rPr>
        <w:t>ckMember2021-01-012021-12-310001393311psa:SeriesVWXAndBPreferredStockMember2020-12-310001393311psa:SeriesVWXAndBPreferredStockMember2020-01-012020-12-310001393311psa:SeriesYZUAndAPreferredStockMember2019-12-310001393311psa:SeriesYZUAndAPreferredStockMember</w:t>
      </w:r>
      <w:r>
        <w:rPr>
          <w:rFonts w:eastAsia="Times New Roman"/>
          <w:vanish/>
        </w:rPr>
        <w:t>2019-01-012019-12-3100013933112021-01-012021-03-3100013933112021-04-012021-06-3000013933112021-07-012021-09-3000013933112021-10-012021-12-310001393311psa:HughesOwnedCanadianFacilitiesMembercountry:CA2021-12-310001393311psa:EquityAndPerformanceBasedIncentiv</w:t>
      </w:r>
      <w:r>
        <w:rPr>
          <w:rFonts w:eastAsia="Times New Roman"/>
          <w:vanish/>
        </w:rPr>
        <w:t>eCompensationPlan2021Member2021-04-260001393311psa:EquityAndPerformanceBasedIncentiveCompensationPlan2021Member2021-12-310001393311psa:DirectCostsOfLeasedAndRentedPropertyOrEquipmentMember2021-01-012021-12-310001393311psa:DirectCostsOfLeasedAndRentedProper</w:t>
      </w:r>
      <w:r>
        <w:rPr>
          <w:rFonts w:eastAsia="Times New Roman"/>
          <w:vanish/>
        </w:rPr>
        <w:t>tyOrEquipmentMember2020-01-012020-12-310001393311psa:DirectCostsOfLeasedAndRentedPropertyOrEquipmentMember2019-01-012019-12-310001393311psa:OtherCostOfOperatingRevenueMember2021-01-012021-12-310001393311psa:OtherCostOfOperatingRevenueMember2020-01-012020-1</w:t>
      </w:r>
      <w:r>
        <w:rPr>
          <w:rFonts w:eastAsia="Times New Roman"/>
          <w:vanish/>
        </w:rPr>
        <w:t>2-310001393311psa:OtherCostOfOperatingRevenueMember2019-01-012019-12-310001393311us-gaap:GeneralAndAdministrativeExpenseMember2021-01-012021-12-310001393311us-gaap:GeneralAndAdministrativeExpenseMember2020-01-012020-12-310001393311us-gaap:GeneralAndAdminis</w:t>
      </w:r>
      <w:r>
        <w:rPr>
          <w:rFonts w:eastAsia="Times New Roman"/>
          <w:vanish/>
        </w:rPr>
        <w:t>trativeExpenseMember2019-01-012019-12-310001393311us-gaap:EmployeeStockOptionMembersrt:MinimumMember2021-01-012021-12-310001393311srt:MaximumMemberus-gaap:EmployeeStockOptionMember2021-01-012021-12-310001393311us-gaap:EmployeeStockOptionMember2021-01-01202</w:t>
      </w:r>
      <w:r>
        <w:rPr>
          <w:rFonts w:eastAsia="Times New Roman"/>
          <w:vanish/>
        </w:rPr>
        <w:t>1-12-310001393311us-gaap:EmployeeStockOptionMember2020-01-012020-12-310001393311us-gaap:EmployeeStockOptionMember2019-01-012019-12-310001393311us-gaap:EmployeeStockOptionMemberpsa:BoardMembersMember2021-01-012021-12-310001393311us-gaap:EmployeeStockOptionM</w:t>
      </w:r>
      <w:r>
        <w:rPr>
          <w:rFonts w:eastAsia="Times New Roman"/>
          <w:vanish/>
        </w:rPr>
        <w:t>emberpsa:BoardMember5Member2021-01-012021-12-310001393311us-gaap:EmployeeStockOptionMemberpsa:BoardMember1Member2021-01-012021-12-310001393311us-gaap:EmployeeStockOptionMemberpsa:BoardMember4Member2021-01-012021-12-310001393311us-gaap:EmployeeStockOptionMe</w:t>
      </w:r>
      <w:r>
        <w:rPr>
          <w:rFonts w:eastAsia="Times New Roman"/>
          <w:vanish/>
        </w:rPr>
        <w:t>mberpsa:BoardMember2Member2021-01-012021-12-310001393311psa:BoardMember3Memberus-gaap:EmployeeStockOptionMember2021-01-012021-12-310001393311us-gaap:ShareBasedCompensationAwardTrancheOneMemberpsa:PerformanceTargetStockOptionsMember2021-01-012021-12-3100013</w:t>
      </w:r>
      <w:r>
        <w:rPr>
          <w:rFonts w:eastAsia="Times New Roman"/>
          <w:vanish/>
        </w:rPr>
        <w:t>93311us-gaap:ShareBasedCompensationAwardTrancheOneMemberpsa:PerformanceTargetStockOptionsMember2021-12-310001393311us-gaap:ShareBasedCompensationAwardTrancheTwoMemberpsa:PerformanceTargetStockOptionsMember2020-01-012020-12-310001393311us-gaap:ShareBasedCom</w:t>
      </w:r>
      <w:r>
        <w:rPr>
          <w:rFonts w:eastAsia="Times New Roman"/>
          <w:vanish/>
        </w:rPr>
        <w:t>pensationAwardTrancheTwoMemberpsa:PerformanceTargetStockOptionsMember2021-12-310001393311us-gaap:ShareBasedCompensationAwardTrancheTwoMemberpsa:PerformanceTargetStockOptionsMember2020-12-310001393311us-gaap:ShareBasedCompensationAwardTrancheTwoMemberpsa:Pe</w:t>
      </w:r>
      <w:r>
        <w:rPr>
          <w:rFonts w:eastAsia="Times New Roman"/>
          <w:vanish/>
        </w:rPr>
        <w:t>rformanceTargetStockOptionsMember2021-01-012021-12-310001393311us-gaap:EmployeeStockOptionMember2021-12-310001393311psa:ServiceBasedStockOptionsMember2018-12-310001393311psa:PerformanceBasedStockOptionsMember2018-12-310001393311psa:ServiceBasedStockOptions</w:t>
      </w:r>
      <w:r>
        <w:rPr>
          <w:rFonts w:eastAsia="Times New Roman"/>
          <w:vanish/>
        </w:rPr>
        <w:t>Member2019-01-012019-12-310001393311psa:PerformanceBasedStockOptionsMember2019-01-012019-12-310001393311psa:ServiceBasedStockOptionsMember2019-12-310001393311psa:PerformanceBasedStockOptionsMember2019-12-310001393311psa:ServiceBasedStockOptionsMember2020-0</w:t>
      </w:r>
      <w:r>
        <w:rPr>
          <w:rFonts w:eastAsia="Times New Roman"/>
          <w:vanish/>
        </w:rPr>
        <w:t>1-012020-12-310001393311psa:PerformanceBasedStockOptionsMember2020-01-012020-12-310001393311psa:ServiceBasedStockOptionsMember2020-12-310001393311psa:PerformanceBasedStockOptionsMember2020-12-310001393311psa:ServiceBasedStockOptionsMember2021-01-012021-12-</w:t>
      </w:r>
      <w:r>
        <w:rPr>
          <w:rFonts w:eastAsia="Times New Roman"/>
          <w:vanish/>
        </w:rPr>
        <w:t>310001393311psa:PerformanceBasedStockOptionsMember2021-01-012021-12-310001393311psa:ServiceBasedStockOptionsMember2021-12-310001393311psa:PerformanceBasedStockOptionsMember2021-12-310001393311psa:ShareBasedPaymentArrangementOptionValuedWithBlackScholesMeth</w:t>
      </w:r>
      <w:r>
        <w:rPr>
          <w:rFonts w:eastAsia="Times New Roman"/>
          <w:vanish/>
        </w:rPr>
        <w:t>odMember2021-01-012021-12-310001393311psa:ShareBasedPaymentArrangementOptionValuedWithBlackScholesMethodMember2020-01-012020-12-310001393311psa:ShareBasedPaymentArrangementOptionValuedWithBlackScholesMethodMember2019-01-012019-12-310001393311psa:ShareBased</w:t>
      </w:r>
      <w:r>
        <w:rPr>
          <w:rFonts w:eastAsia="Times New Roman"/>
          <w:vanish/>
        </w:rPr>
        <w:t>PaymentArrangementOptionValuedWithMonteCarloSimulationMethodMember2021-01-012021-12-310001393311srt:MinimumMemberus-gaap:RestrictedStockUnitsRSUMember2021-01-012021-12-310001393311srt:MaximumMemberus-gaap:RestrictedStockUnitsRSUMember2021-01-012021-12-3100</w:t>
      </w:r>
      <w:r>
        <w:rPr>
          <w:rFonts w:eastAsia="Times New Roman"/>
          <w:vanish/>
        </w:rPr>
        <w:t>01393311us-gaap:RestrictedStockUnitsRSUMember2021-01-012021-12-310001393311us-gaap:RestrictedStockUnitsRSUMember2020-01-012020-12-310001393311us-gaap:RestrictedStockUnitsRSUMember2019-01-012019-12-310001393311psa:PerformanceTargetRestrictedShareUnitsMember</w:t>
      </w:r>
      <w:r>
        <w:rPr>
          <w:rFonts w:eastAsia="Times New Roman"/>
          <w:vanish/>
        </w:rPr>
        <w:t>2021-01-012021-12-310001393311psa:PerformanceTargetRestrictedShareUnitsMember2021-12-310001393311us-gaap:RestrictedStockUnitsRSUMember2021-12-310001393311us-gaap:RestrictedStockUnitsRSUMember2020-12-310001393311us-gaap:RestrictedStockUnitsRSUMember2019-12-</w:t>
      </w:r>
      <w:r>
        <w:rPr>
          <w:rFonts w:eastAsia="Times New Roman"/>
          <w:vanish/>
        </w:rPr>
        <w:t>310001393311us-gaap:RestrictedStockUnitsRSUMember2018-12-310001393311us-gaap:OperatingSegmentsMemberpsa:SelfStorageOperationsMember2021-01-012021-12-310001393311us-gaap:OperatingSegmentsMemberpsa:SelfStorageOperationsMember2020-01-012020-12-310001393311us-</w:t>
      </w:r>
      <w:r>
        <w:rPr>
          <w:rFonts w:eastAsia="Times New Roman"/>
          <w:vanish/>
        </w:rPr>
        <w:t>gaap:OperatingSegmentsMemberpsa:SelfStorageOperationsMember2019-01-012019-12-310001393311psa:AncillaryOperationsMemberus-gaap:OperatingSegmentsMember2021-01-012021-12-310001393311psa:AncillaryOperationsMemberus-gaap:OperatingSegmentsMember2020-01-012020-12</w:t>
      </w:r>
      <w:r>
        <w:rPr>
          <w:rFonts w:eastAsia="Times New Roman"/>
          <w:vanish/>
        </w:rPr>
        <w:t>-310001393311psa:AncillaryOperationsMemberus-gaap:OperatingSegmentsMember2019-01-012019-12-310001393311us-gaap:OperatingSegmentsMember2021-01-012021-12-310001393311us-gaap:OperatingSegmentsMember2020-01-012020-12-310001393311us-gaap:OperatingSegmentsMember</w:t>
      </w:r>
      <w:r>
        <w:rPr>
          <w:rFonts w:eastAsia="Times New Roman"/>
          <w:vanish/>
        </w:rPr>
        <w:t>2019-01-012019-12-310001393311us-gaap:MaterialReconcilingItemsMember2021-01-012021-12-310001393311us-gaap:MaterialReconcilingItemsMember2020-01-012020-12-310001393311us-gaap:MaterialReconcilingItemsMember2019-01-012019-12-31psa:certificate0001393311psa:Acq</w:t>
      </w:r>
      <w:r>
        <w:rPr>
          <w:rFonts w:eastAsia="Times New Roman"/>
          <w:vanish/>
        </w:rPr>
        <w:t>uisitionOfSelfStorageFacilitiesMemberus-gaap:SubsequentEventMember2022-02-220001393311psa:AcquisitionOfSelfStorageFacilitiesMemberus-gaap:SubsequentEventMember2022-01-012022-02-220001393311psa:SeriesSPreferredStockMemberus-gaap:SubsequentEventMember2022-01</w:t>
      </w:r>
      <w:r>
        <w:rPr>
          <w:rFonts w:eastAsia="Times New Roman"/>
          <w:vanish/>
        </w:rPr>
        <w:t>-130001393311psa:SeriesSPreferredStockMemberus-gaap:SubsequentEventMember2022-01-132022-01-130001393311psa:SelfStorageFacilitiesMemberpsa:LosAngelesMember2021-12-310001393311psa:SelfStorageFacilitiesMemberpsa:DallasFtWorthMember2021-12-310001393311psa:Self</w:t>
      </w:r>
      <w:r>
        <w:rPr>
          <w:rFonts w:eastAsia="Times New Roman"/>
          <w:vanish/>
        </w:rPr>
        <w:t>StorageFacilitiesMemberpsa:HoustonMember2021-12-310001393311psa:SelfStorageFacilitiesMemberpsa:SanFranciscoMember2021-12-310001393311psa:SelfStorageFacilitiesMemberpsa:ChicagoMember2021-12-310001393311psa:WashingtonDCMemberpsa:SelfStorageFacilitiesMember20</w:t>
      </w:r>
      <w:r>
        <w:rPr>
          <w:rFonts w:eastAsia="Times New Roman"/>
          <w:vanish/>
        </w:rPr>
        <w:t>21-12-310001393311psa:SelfStorageFacilitiesMemberpsa:AtlantaMember2021-12-310001393311psa:SelfStorageFacilitiesMemberpsa:SeattleTacomaMember2021-12-310001393311psa:SelfStorageFacilitiesMemberpsa:MiamiMember2021-12-310001393311psa:SelfStorageFacilitiesMembe</w:t>
      </w:r>
      <w:r>
        <w:rPr>
          <w:rFonts w:eastAsia="Times New Roman"/>
          <w:vanish/>
        </w:rPr>
        <w:t>rpsa:NewYorkCityMember2021-12-310001393311psa:SelfStorageFacilitiesMemberpsa:OrlandoDaytonaMember2021-12-310001393311psa:SelfStorageFacilitiesMemberpsa:DenverMember2021-12-310001393311psa:SelfStorageFacilitiesMemberpsa:MinneapolisStPaulMember2021-12-310001</w:t>
      </w:r>
      <w:r>
        <w:rPr>
          <w:rFonts w:eastAsia="Times New Roman"/>
          <w:vanish/>
        </w:rPr>
        <w:t>393311psa:SelfStorageFacilitiesMemberpsa:PhiladelphiaMember2021-12-310001393311psa:SelfStorageFacilitiesMemberpsa:CharlotteMember2021-12-310001393311psa:SelfStorageFacilitiesMemberpsa:TampaMember2021-12-310001393311psa:SelfStorageFacilitiesMemberpsa:Detroi</w:t>
      </w:r>
      <w:r>
        <w:rPr>
          <w:rFonts w:eastAsia="Times New Roman"/>
          <w:vanish/>
        </w:rPr>
        <w:t>tMember2021-12-310001393311psa:SelfStorageFacilitiesMemberpsa:PortlandMember2021-12-310001393311psa:SelfStorageFacilitiesMemberpsa:BaltimoreMember2021-12-310001393311psa:SelfStorageFacilitiesMemberpsa:PhoenixMember2021-12-310001393311psa:SelfStorageFacilit</w:t>
      </w:r>
      <w:r>
        <w:rPr>
          <w:rFonts w:eastAsia="Times New Roman"/>
          <w:vanish/>
        </w:rPr>
        <w:t>iesMemberpsa:WestPalmBeachMember2021-12-310001393311psa:SelfStorageFacilitiesMemberpsa:SanAntonioMember2021-12-310001393311psa:SelfStorageFacilitiesMemberpsa:AustinMember2021-12-310001393311psa:SelfStorageFacilitiesMemberpsa:RaleighMember2021-12-3100013933</w:t>
      </w:r>
      <w:r>
        <w:rPr>
          <w:rFonts w:eastAsia="Times New Roman"/>
          <w:vanish/>
        </w:rPr>
        <w:t>11psa:SelfStorageFacilitiesMemberpsa:NorfolkMember2021-12-310001393311psa:SelfStorageFacilitiesMemberpsa:SacramentoMember2021-12-310001393311psa:SelfStorageFacilitiesMemberpsa:IndianapolisMember2021-12-310001393311psa:SelfStorageFacilitiesMemberpsa:KansasC</w:t>
      </w:r>
      <w:r>
        <w:rPr>
          <w:rFonts w:eastAsia="Times New Roman"/>
          <w:vanish/>
        </w:rPr>
        <w:t>ityMember2021-12-310001393311psa:SelfStorageFacilitiesMemberpsa:BostonMember2021-12-310001393311psa:SelfStorageFacilitiesMemberpsa:StLouisMember2021-12-310001393311psa:SelfStorageFacilitiesMemberpsa:ColumbusMember2021-12-310001393311psa:SelfStorageFaciliti</w:t>
      </w:r>
      <w:r>
        <w:rPr>
          <w:rFonts w:eastAsia="Times New Roman"/>
          <w:vanish/>
        </w:rPr>
        <w:t>esMemberpsa:ColumbiaMember2021-12-310001393311psa:SelfStorageFacilitiesMemberpsa:OklahomaCityMember2021-12-310001393311psa:SelfStorageFacilitiesMemberpsa:SanDiegoMember2021-12-310001393311psa:SelfStorageFacilitiesMemberpsa:LasVegasMember2021-12-31000139331</w:t>
      </w:r>
      <w:r>
        <w:rPr>
          <w:rFonts w:eastAsia="Times New Roman"/>
          <w:vanish/>
        </w:rPr>
        <w:t>1psa:SelfStorageFacilitiesMemberpsa:CincinnatiMember2021-12-310001393311psa:SelfStorageFacilitiesMemberpsa:NashvilleBowlingGreenMember2021-12-310001393311psa:SelfStorageFacilitiesMemberpsa:ColoradoSpringsMember2021-12-310001393311psa:SelfStorageFacilitiesM</w:t>
      </w:r>
      <w:r>
        <w:rPr>
          <w:rFonts w:eastAsia="Times New Roman"/>
          <w:vanish/>
        </w:rPr>
        <w:t>emberpsa:MilwaukeeMember2021-12-310001393311psa:SelfStorageFacilitiesMemberpsa:LouisvilleMember2021-12-310001393311psa:SelfStorageFacilitiesMemberpsa:JacksonvilleMember2021-12-310001393311psa:SelfStorageFacilitiesMemberpsa:BirminghamMember2021-12-310001393</w:t>
      </w:r>
      <w:r>
        <w:rPr>
          <w:rFonts w:eastAsia="Times New Roman"/>
          <w:vanish/>
        </w:rPr>
        <w:t>311psa:SelfStorageFacilitiesMemberpsa:RichmondMember2021-12-310001393311psa:SelfStorageFacilitiesMemberpsa:GreensboroMember2021-12-310001393311psa:SelfStorageFacilitiesMemberpsa:CharlestonMember2021-12-310001393311psa:SelfStorageFacilitiesMemberpsa:FortMye</w:t>
      </w:r>
      <w:r>
        <w:rPr>
          <w:rFonts w:eastAsia="Times New Roman"/>
          <w:vanish/>
        </w:rPr>
        <w:t>rsNaplesMember2021-12-310001393311psa:SelfStorageFacilitiesMemberpsa:ChattanoogaMember2021-12-310001393311psa:SelfStorageFacilitiesMemberpsa:SavannahMember2021-12-310001393311psa:SelfStorageFacilitiesMemberpsa:GreensvilleSpartanburgAshevilleMember2021-12-3</w:t>
      </w:r>
      <w:r>
        <w:rPr>
          <w:rFonts w:eastAsia="Times New Roman"/>
          <w:vanish/>
        </w:rPr>
        <w:t>10001393311psa:SelfStorageFacilitiesMemberpsa:HonoluluMember2021-12-310001393311psa:SelfStorageFacilitiesMemberpsa:HartfordNewHavenMember2021-12-310001393311psa:SelfStorageFacilitiesMemberpsa:NewOrleansMember2021-12-310001393311psa:SelfStorageFacilitiesMem</w:t>
      </w:r>
      <w:r>
        <w:rPr>
          <w:rFonts w:eastAsia="Times New Roman"/>
          <w:vanish/>
        </w:rPr>
        <w:t>berpsa:SaltLakeCityMember2021-12-310001393311psa:SelfStorageFacilitiesMemberpsa:MemphisMember2021-12-310001393311psa:SelfStorageFacilitiesMemberpsa:MobileMember2021-12-310001393311psa:OmahaMemberpsa:SelfStorageFacilitiesMember2021-12-310001393311psa:SelfSt</w:t>
      </w:r>
      <w:r>
        <w:rPr>
          <w:rFonts w:eastAsia="Times New Roman"/>
          <w:vanish/>
        </w:rPr>
        <w:t>orageFacilitiesMemberpsa:BuffaloRochesterMember2021-12-310001393311psa:SelfStorageFacilitiesMemberpsa:ClevelandAkronMember2021-12-310001393311psa:SelfStorageFacilitiesMemberpsa:AugustaMember2021-12-310001393311psa:SelfStorageFacilitiesMemberpsa:RenoMember2</w:t>
      </w:r>
      <w:r>
        <w:rPr>
          <w:rFonts w:eastAsia="Times New Roman"/>
          <w:vanish/>
        </w:rPr>
        <w:t>021-12-310001393311psa:SelfStorageFacilitiesMemberpsa:TucsonMember2021-12-310001393311psa:SelfStorageFacilitiesMemberpsa:WichitaMember2021-12-310001393311psa:SelfStorageFacilitiesMemberpsa:MontereySalinasMember2021-12-310001393311psa:SelfStorageFacilitiesM</w:t>
      </w:r>
      <w:r>
        <w:rPr>
          <w:rFonts w:eastAsia="Times New Roman"/>
          <w:vanish/>
        </w:rPr>
        <w:t>emberpsa:BoiseMember2021-12-310001393311psa:SelfStorageFacilitiesMemberpsa:EvansvilleMember2021-12-310001393311psa:SelfStorageFacilitiesMemberpsa:DaytonMember2021-12-310001393311psa:SelfStorageFacilitiesMemberpsa:HuntsvilleDecaturMember2021-12-310001393311</w:t>
      </w:r>
      <w:r>
        <w:rPr>
          <w:rFonts w:eastAsia="Times New Roman"/>
          <w:vanish/>
        </w:rPr>
        <w:t>psa:SelfStorageFacilitiesMemberpsa:FortWayneMember2021-12-310001393311psa:SelfStorageFacilitiesMemberpsa:RoanokeMember2021-12-310001393311psa:SelfStorageFacilitiesMemberpsa:PalmSpringsMember2021-12-310001393311psa:SelfStorageFacilitiesMemberpsa:ProvidenceM</w:t>
      </w:r>
      <w:r>
        <w:rPr>
          <w:rFonts w:eastAsia="Times New Roman"/>
          <w:vanish/>
        </w:rPr>
        <w:t>ember2021-12-310001393311psa:ShreveportMemberpsa:SelfStorageFacilitiesMember2021-12-310001393311psa:SelfStorageFacilitiesMemberpsa:SpringfieldHolyokeMember2021-12-310001393311psa:SelfStorageFacilitiesMemberpsa:RochesterMember2021-12-310001393311psa:SelfSto</w:t>
      </w:r>
      <w:r>
        <w:rPr>
          <w:rFonts w:eastAsia="Times New Roman"/>
          <w:vanish/>
        </w:rPr>
        <w:t>rageFacilitiesMemberpsa:SantaBarbaraMember2021-12-310001393311psa:SelfStorageFacilitiesMemberpsa:TopekaMember2021-12-310001393311psa:SelfStorageFacilitiesMemberpsa:LansingMember2021-12-310001393311psa:SelfStorageFacilitiesMemberpsa:FlintMember2021-12-31000</w:t>
      </w:r>
      <w:r>
        <w:rPr>
          <w:rFonts w:eastAsia="Times New Roman"/>
          <w:vanish/>
        </w:rPr>
        <w:t>1393311psa:SelfStorageFacilitiesMemberpsa:JoplinMember2021-12-310001393311psa:SelfStorageFacilitiesMemberpsa:SyracuseMember2021-12-310001393311psa:SelfStorageFacilitiesMemberpsa:ModestoFresnoStocktonMember2021-12-310001393311psa:CommercialAndNonOperatingRe</w:t>
      </w:r>
      <w:r>
        <w:rPr>
          <w:rFonts w:eastAsia="Times New Roman"/>
          <w:vanish/>
        </w:rPr>
        <w:t>alEstateMember2021-12-31</w:t>
      </w:r>
    </w:p>
    <w:p w:rsidR="00000000" w:rsidRDefault="00D04F4B">
      <w:pPr>
        <w:divId w:val="2142309299"/>
        <w:rPr>
          <w:rFonts w:eastAsia="Times New Roman"/>
        </w:rPr>
      </w:pPr>
    </w:p>
    <w:p w:rsidR="00000000" w:rsidRDefault="00D04F4B">
      <w:pPr>
        <w:jc w:val="center"/>
        <w:rPr>
          <w:rFonts w:eastAsia="Times New Roman"/>
        </w:rPr>
      </w:pPr>
      <w:r>
        <w:rPr>
          <w:rFonts w:eastAsia="Times New Roman"/>
          <w:b/>
          <w:bCs/>
          <w:color w:val="000000"/>
          <w:sz w:val="20"/>
          <w:szCs w:val="20"/>
        </w:rPr>
        <w:t>UNITED STATES SECURITIES AND EXCHANGE COMMISSION</w:t>
      </w:r>
    </w:p>
    <w:p w:rsidR="00000000" w:rsidRDefault="00D04F4B">
      <w:pPr>
        <w:jc w:val="center"/>
        <w:rPr>
          <w:rFonts w:eastAsia="Times New Roman"/>
        </w:rPr>
      </w:pPr>
      <w:r>
        <w:rPr>
          <w:rFonts w:eastAsia="Times New Roman"/>
          <w:b/>
          <w:bCs/>
          <w:color w:val="000000"/>
          <w:sz w:val="20"/>
          <w:szCs w:val="20"/>
        </w:rPr>
        <w:t>WASHINGTON, D.C. 20549</w:t>
      </w:r>
    </w:p>
    <w:p w:rsidR="00000000" w:rsidRDefault="00D04F4B">
      <w:pPr>
        <w:jc w:val="center"/>
        <w:divId w:val="1711951785"/>
        <w:rPr>
          <w:rFonts w:eastAsia="Times New Roman"/>
        </w:rPr>
      </w:pPr>
      <w:r>
        <w:rPr>
          <w:rFonts w:eastAsia="Times New Roman"/>
          <w:b/>
          <w:bCs/>
          <w:color w:val="000000"/>
          <w:sz w:val="28"/>
          <w:szCs w:val="28"/>
        </w:rPr>
        <w:t>FORM</w:t>
      </w:r>
      <w:r>
        <w:rPr>
          <w:rFonts w:eastAsia="Times New Roman"/>
          <w:color w:val="000000"/>
          <w:sz w:val="28"/>
          <w:szCs w:val="28"/>
        </w:rPr>
        <w:t xml:space="preserve"> </w:t>
      </w:r>
      <w:r>
        <w:rPr>
          <w:rFonts w:eastAsia="Times New Roman"/>
          <w:b/>
          <w:bCs/>
          <w:color w:val="000000"/>
          <w:sz w:val="28"/>
          <w:szCs w:val="28"/>
        </w:rPr>
        <w:t>10-K</w:t>
      </w:r>
    </w:p>
    <w:p w:rsidR="00000000" w:rsidRDefault="00D04F4B">
      <w:pPr>
        <w:jc w:val="center"/>
        <w:divId w:val="872956437"/>
        <w:rPr>
          <w:rFonts w:eastAsia="Times New Roman"/>
        </w:rPr>
      </w:pPr>
      <w:r>
        <w:rPr>
          <w:rFonts w:ascii="Segoe UI Symbol" w:eastAsia="Times New Roman" w:hAnsi="Segoe UI Symbol" w:cs="Segoe UI Symbol"/>
          <w:b/>
          <w:bCs/>
          <w:color w:val="000000"/>
          <w:sz w:val="20"/>
          <w:szCs w:val="20"/>
        </w:rPr>
        <w:t>☒</w:t>
      </w:r>
      <w:r>
        <w:rPr>
          <w:rFonts w:eastAsia="Times New Roman"/>
          <w:color w:val="000000"/>
          <w:sz w:val="20"/>
          <w:szCs w:val="20"/>
        </w:rPr>
        <w:t xml:space="preserve"> </w:t>
      </w:r>
      <w:r>
        <w:rPr>
          <w:rFonts w:eastAsia="Times New Roman"/>
          <w:b/>
          <w:bCs/>
          <w:color w:val="000000"/>
          <w:sz w:val="20"/>
          <w:szCs w:val="20"/>
        </w:rPr>
        <w:t>Annual Report Pursuant to Section 13 or 15(d) of the Securities Exchange Act of 1934</w:t>
      </w:r>
    </w:p>
    <w:p w:rsidR="00000000" w:rsidRDefault="00D04F4B">
      <w:pPr>
        <w:ind w:firstLine="360"/>
        <w:jc w:val="center"/>
        <w:divId w:val="1210730186"/>
        <w:rPr>
          <w:rFonts w:eastAsia="Times New Roman"/>
        </w:rPr>
      </w:pPr>
      <w:r>
        <w:rPr>
          <w:rFonts w:eastAsia="Times New Roman"/>
          <w:b/>
          <w:bCs/>
          <w:color w:val="000000"/>
          <w:sz w:val="20"/>
          <w:szCs w:val="20"/>
        </w:rPr>
        <w:t>For the fiscal year ended December 31, 2021.</w:t>
      </w:r>
    </w:p>
    <w:p w:rsidR="00000000" w:rsidRDefault="00D04F4B">
      <w:pPr>
        <w:jc w:val="center"/>
        <w:divId w:val="1596396967"/>
        <w:rPr>
          <w:rFonts w:eastAsia="Times New Roman"/>
        </w:rPr>
      </w:pPr>
      <w:r>
        <w:rPr>
          <w:rFonts w:eastAsia="Times New Roman"/>
          <w:color w:val="000000"/>
          <w:sz w:val="20"/>
          <w:szCs w:val="20"/>
        </w:rPr>
        <w:t>or</w:t>
      </w:r>
    </w:p>
    <w:p w:rsidR="00000000" w:rsidRDefault="00D04F4B">
      <w:pPr>
        <w:jc w:val="center"/>
        <w:divId w:val="597253750"/>
        <w:rPr>
          <w:rFonts w:eastAsia="Times New Roman"/>
        </w:rPr>
      </w:pPr>
      <w:r>
        <w:rPr>
          <w:rFonts w:ascii="Segoe UI Symbol" w:eastAsia="Times New Roman" w:hAnsi="Segoe UI Symbol" w:cs="Segoe UI Symbol"/>
          <w:b/>
          <w:bCs/>
          <w:color w:val="000000"/>
          <w:sz w:val="20"/>
          <w:szCs w:val="20"/>
        </w:rPr>
        <w:t>☐</w:t>
      </w:r>
      <w:r>
        <w:rPr>
          <w:rFonts w:eastAsia="Times New Roman"/>
          <w:color w:val="000000"/>
          <w:sz w:val="20"/>
          <w:szCs w:val="20"/>
        </w:rPr>
        <w:t xml:space="preserve"> </w:t>
      </w:r>
      <w:r>
        <w:rPr>
          <w:rFonts w:eastAsia="Times New Roman"/>
          <w:b/>
          <w:bCs/>
          <w:color w:val="000000"/>
          <w:sz w:val="20"/>
          <w:szCs w:val="20"/>
        </w:rPr>
        <w:t>Transition</w:t>
      </w:r>
      <w:r>
        <w:rPr>
          <w:rFonts w:eastAsia="Times New Roman"/>
          <w:b/>
          <w:bCs/>
          <w:color w:val="000000"/>
          <w:sz w:val="20"/>
          <w:szCs w:val="20"/>
        </w:rPr>
        <w:t xml:space="preserve"> Report Pursuant to Section 13 or 15(d) of the Securities Exchange Act of 1934</w:t>
      </w:r>
    </w:p>
    <w:p w:rsidR="00000000" w:rsidRDefault="00D04F4B">
      <w:pPr>
        <w:ind w:firstLine="360"/>
        <w:jc w:val="center"/>
        <w:divId w:val="2026010322"/>
        <w:rPr>
          <w:rFonts w:eastAsia="Times New Roman"/>
        </w:rPr>
      </w:pPr>
      <w:r>
        <w:rPr>
          <w:rFonts w:eastAsia="Times New Roman"/>
          <w:b/>
          <w:bCs/>
          <w:color w:val="000000"/>
          <w:sz w:val="20"/>
          <w:szCs w:val="20"/>
        </w:rPr>
        <w:t>For the transition period from </w:t>
      </w:r>
      <w:r>
        <w:rPr>
          <w:rFonts w:eastAsia="Times New Roman"/>
          <w:b/>
          <w:bCs/>
          <w:color w:val="000000"/>
          <w:sz w:val="20"/>
          <w:szCs w:val="20"/>
          <w:u w:val="single"/>
        </w:rPr>
        <w:t>                      </w:t>
      </w:r>
      <w:r>
        <w:rPr>
          <w:rFonts w:eastAsia="Times New Roman"/>
          <w:b/>
          <w:bCs/>
          <w:color w:val="000000"/>
          <w:sz w:val="20"/>
          <w:szCs w:val="20"/>
        </w:rPr>
        <w:t> to</w:t>
      </w:r>
      <w:r>
        <w:rPr>
          <w:rFonts w:eastAsia="Times New Roman"/>
          <w:color w:val="000000"/>
          <w:sz w:val="20"/>
          <w:szCs w:val="20"/>
        </w:rPr>
        <w:t>  </w:t>
      </w:r>
      <w:r>
        <w:rPr>
          <w:rFonts w:eastAsia="Times New Roman"/>
          <w:color w:val="000000"/>
          <w:sz w:val="20"/>
          <w:szCs w:val="20"/>
          <w:u w:val="single"/>
        </w:rPr>
        <w:t>                      </w:t>
      </w:r>
      <w:r>
        <w:rPr>
          <w:rFonts w:eastAsia="Times New Roman"/>
          <w:b/>
          <w:bCs/>
          <w:color w:val="000000"/>
          <w:sz w:val="20"/>
          <w:szCs w:val="20"/>
        </w:rPr>
        <w:t>.</w:t>
      </w:r>
    </w:p>
    <w:p w:rsidR="00000000" w:rsidRDefault="00D04F4B">
      <w:pPr>
        <w:jc w:val="center"/>
        <w:divId w:val="2041585917"/>
        <w:rPr>
          <w:rFonts w:eastAsia="Times New Roman"/>
        </w:rPr>
      </w:pPr>
      <w:r>
        <w:rPr>
          <w:rFonts w:eastAsia="Times New Roman"/>
          <w:b/>
          <w:bCs/>
          <w:color w:val="000000"/>
          <w:sz w:val="20"/>
          <w:szCs w:val="20"/>
        </w:rPr>
        <w:t>Commission File Number:</w:t>
      </w:r>
      <w:r>
        <w:rPr>
          <w:rFonts w:eastAsia="Times New Roman"/>
          <w:color w:val="000000"/>
          <w:sz w:val="20"/>
          <w:szCs w:val="20"/>
        </w:rPr>
        <w:t xml:space="preserve"> </w:t>
      </w:r>
      <w:r>
        <w:rPr>
          <w:rFonts w:eastAsia="Times New Roman"/>
          <w:b/>
          <w:bCs/>
          <w:color w:val="000000"/>
          <w:sz w:val="20"/>
          <w:szCs w:val="20"/>
        </w:rPr>
        <w:t>001-33519</w:t>
      </w:r>
    </w:p>
    <w:p w:rsidR="00000000" w:rsidRDefault="00D04F4B">
      <w:pPr>
        <w:jc w:val="center"/>
        <w:divId w:val="270402428"/>
        <w:rPr>
          <w:rFonts w:eastAsia="Times New Roman"/>
        </w:rPr>
      </w:pPr>
      <w:r>
        <w:rPr>
          <w:rFonts w:eastAsia="Times New Roman"/>
          <w:b/>
          <w:bCs/>
          <w:color w:val="000000"/>
          <w:sz w:val="28"/>
          <w:szCs w:val="28"/>
        </w:rPr>
        <w:t>PUBLIC STORAGE</w:t>
      </w:r>
    </w:p>
    <w:p w:rsidR="00000000" w:rsidRDefault="00D04F4B">
      <w:pPr>
        <w:jc w:val="center"/>
        <w:rPr>
          <w:rFonts w:eastAsia="Times New Roman"/>
        </w:rPr>
      </w:pPr>
      <w:r>
        <w:rPr>
          <w:rFonts w:eastAsia="Times New Roman"/>
          <w:color w:val="000000"/>
          <w:sz w:val="20"/>
          <w:szCs w:val="20"/>
        </w:rPr>
        <w:t>(</w:t>
      </w:r>
      <w:r>
        <w:rPr>
          <w:rFonts w:eastAsia="Times New Roman"/>
          <w:i/>
          <w:iCs/>
          <w:color w:val="000000"/>
          <w:sz w:val="20"/>
          <w:szCs w:val="20"/>
        </w:rPr>
        <w:t xml:space="preserve">Exact name of Registrant as specified in its </w:t>
      </w:r>
      <w:r>
        <w:rPr>
          <w:rFonts w:eastAsia="Times New Roman"/>
          <w:i/>
          <w:iCs/>
          <w:color w:val="000000"/>
          <w:sz w:val="20"/>
          <w:szCs w:val="20"/>
        </w:rPr>
        <w:t>charter)</w:t>
      </w:r>
    </w:p>
    <w:tbl>
      <w:tblPr>
        <w:tblW w:w="5000" w:type="pct"/>
        <w:tblCellMar>
          <w:top w:w="15" w:type="dxa"/>
          <w:left w:w="15" w:type="dxa"/>
          <w:bottom w:w="15" w:type="dxa"/>
          <w:right w:w="15" w:type="dxa"/>
        </w:tblCellMar>
        <w:tblLook w:val="04A0" w:firstRow="1" w:lastRow="0" w:firstColumn="1" w:lastColumn="0" w:noHBand="0" w:noVBand="1"/>
      </w:tblPr>
      <w:tblGrid>
        <w:gridCol w:w="60"/>
        <w:gridCol w:w="4015"/>
        <w:gridCol w:w="36"/>
        <w:gridCol w:w="36"/>
        <w:gridCol w:w="36"/>
        <w:gridCol w:w="36"/>
        <w:gridCol w:w="48"/>
        <w:gridCol w:w="4003"/>
        <w:gridCol w:w="36"/>
      </w:tblGrid>
      <w:tr w:rsidR="00000000">
        <w:trPr>
          <w:divId w:val="1402629953"/>
        </w:trPr>
        <w:tc>
          <w:tcPr>
            <w:tcW w:w="50" w:type="pct"/>
            <w:vAlign w:val="center"/>
            <w:hideMark/>
          </w:tcPr>
          <w:p w:rsidR="00000000" w:rsidRDefault="00D04F4B">
            <w:pPr>
              <w:jc w:val="center"/>
              <w:rPr>
                <w:rFonts w:eastAsia="Times New Roman"/>
              </w:rPr>
            </w:pPr>
          </w:p>
        </w:tc>
        <w:tc>
          <w:tcPr>
            <w:tcW w:w="24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242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402629953"/>
        </w:trPr>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eastAsia="Times New Roman"/>
                <w:b/>
                <w:bCs/>
                <w:color w:val="000000"/>
                <w:sz w:val="18"/>
                <w:szCs w:val="18"/>
              </w:rPr>
              <w:t>Maryland</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eastAsia="Times New Roman"/>
                <w:b/>
                <w:bCs/>
                <w:color w:val="000000"/>
                <w:sz w:val="18"/>
                <w:szCs w:val="18"/>
              </w:rPr>
              <w:t>95-3551121</w:t>
            </w:r>
          </w:p>
        </w:tc>
      </w:tr>
      <w:tr w:rsidR="00000000">
        <w:trPr>
          <w:divId w:val="140262995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w:t>
            </w:r>
            <w:r>
              <w:rPr>
                <w:rFonts w:eastAsia="Times New Roman"/>
                <w:i/>
                <w:iCs/>
                <w:color w:val="000000"/>
                <w:sz w:val="18"/>
                <w:szCs w:val="18"/>
              </w:rPr>
              <w:t>State or other jurisdiction of incorporation or organization</w:t>
            </w: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w:t>
            </w:r>
            <w:r>
              <w:rPr>
                <w:rFonts w:eastAsia="Times New Roman"/>
                <w:i/>
                <w:iCs/>
                <w:color w:val="000000"/>
                <w:sz w:val="18"/>
                <w:szCs w:val="18"/>
              </w:rPr>
              <w:t>I.R.S. Employer Identification Number</w:t>
            </w:r>
            <w:r>
              <w:rPr>
                <w:rFonts w:eastAsia="Times New Roman"/>
                <w:color w:val="000000"/>
                <w:sz w:val="18"/>
                <w:szCs w:val="18"/>
              </w:rPr>
              <w:t>)</w:t>
            </w:r>
          </w:p>
        </w:tc>
      </w:tr>
    </w:tbl>
    <w:p w:rsidR="00000000" w:rsidRDefault="00D04F4B">
      <w:pPr>
        <w:jc w:val="center"/>
        <w:divId w:val="1193104717"/>
        <w:rPr>
          <w:rFonts w:eastAsia="Times New Roman"/>
        </w:rPr>
      </w:pPr>
      <w:r>
        <w:rPr>
          <w:rFonts w:eastAsia="Times New Roman"/>
          <w:b/>
          <w:bCs/>
          <w:color w:val="000000"/>
          <w:sz w:val="18"/>
          <w:szCs w:val="18"/>
        </w:rPr>
        <w:t>701 Western Avenue,</w:t>
      </w:r>
      <w:r>
        <w:rPr>
          <w:rFonts w:eastAsia="Times New Roman"/>
          <w:color w:val="000000"/>
          <w:sz w:val="18"/>
          <w:szCs w:val="18"/>
        </w:rPr>
        <w:t xml:space="preserve"> </w:t>
      </w:r>
      <w:r>
        <w:rPr>
          <w:rFonts w:eastAsia="Times New Roman"/>
          <w:b/>
          <w:bCs/>
          <w:color w:val="000000"/>
          <w:sz w:val="18"/>
          <w:szCs w:val="18"/>
        </w:rPr>
        <w:t>Glendale,</w:t>
      </w:r>
      <w:r>
        <w:rPr>
          <w:rFonts w:eastAsia="Times New Roman"/>
          <w:color w:val="000000"/>
          <w:sz w:val="18"/>
          <w:szCs w:val="18"/>
        </w:rPr>
        <w:t xml:space="preserve"> </w:t>
      </w:r>
      <w:r>
        <w:rPr>
          <w:rFonts w:eastAsia="Times New Roman"/>
          <w:b/>
          <w:bCs/>
          <w:color w:val="000000"/>
          <w:sz w:val="18"/>
          <w:szCs w:val="18"/>
        </w:rPr>
        <w:t>California</w:t>
      </w:r>
      <w:r>
        <w:rPr>
          <w:rFonts w:eastAsia="Times New Roman"/>
          <w:color w:val="000000"/>
          <w:sz w:val="18"/>
          <w:szCs w:val="18"/>
        </w:rPr>
        <w:t xml:space="preserve"> </w:t>
      </w:r>
      <w:r>
        <w:rPr>
          <w:rFonts w:eastAsia="Times New Roman"/>
          <w:b/>
          <w:bCs/>
          <w:color w:val="000000"/>
          <w:sz w:val="18"/>
          <w:szCs w:val="18"/>
        </w:rPr>
        <w:t>91201-2349</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jc w:val="center"/>
        </w:trPr>
        <w:tc>
          <w:tcPr>
            <w:tcW w:w="50" w:type="pct"/>
            <w:vAlign w:val="center"/>
            <w:hideMark/>
          </w:tcPr>
          <w:p w:rsidR="00000000" w:rsidRDefault="00D04F4B">
            <w:pPr>
              <w:jc w:val="center"/>
              <w:rPr>
                <w:rFonts w:eastAsia="Times New Roman"/>
              </w:rPr>
            </w:pPr>
          </w:p>
        </w:tc>
        <w:tc>
          <w:tcPr>
            <w:tcW w:w="494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bl>
    <w:p w:rsidR="00000000" w:rsidRDefault="00D04F4B">
      <w:pPr>
        <w:jc w:val="center"/>
        <w:rPr>
          <w:rFonts w:eastAsia="Times New Roman"/>
        </w:rPr>
      </w:pPr>
      <w:r>
        <w:rPr>
          <w:rFonts w:eastAsia="Times New Roman"/>
          <w:i/>
          <w:iCs/>
          <w:color w:val="000000"/>
          <w:sz w:val="18"/>
          <w:szCs w:val="18"/>
        </w:rPr>
        <w:t>(Address of principal executive offices) (Zip Code)</w:t>
      </w:r>
    </w:p>
    <w:p w:rsidR="00000000" w:rsidRDefault="00D04F4B">
      <w:pPr>
        <w:jc w:val="center"/>
        <w:divId w:val="253170232"/>
        <w:rPr>
          <w:rFonts w:eastAsia="Times New Roman"/>
        </w:rPr>
      </w:pPr>
      <w:r>
        <w:rPr>
          <w:rFonts w:eastAsia="Times New Roman"/>
          <w:color w:val="000000"/>
          <w:sz w:val="20"/>
          <w:szCs w:val="20"/>
        </w:rPr>
        <w:t>(818) 244-8080</w:t>
      </w:r>
    </w:p>
    <w:p w:rsidR="00000000" w:rsidRDefault="00D04F4B">
      <w:pPr>
        <w:jc w:val="center"/>
        <w:divId w:val="2140760713"/>
        <w:rPr>
          <w:rFonts w:eastAsia="Times New Roman"/>
        </w:rPr>
      </w:pPr>
      <w:r>
        <w:rPr>
          <w:rFonts w:eastAsia="Times New Roman"/>
          <w:color w:val="000000"/>
          <w:sz w:val="20"/>
          <w:szCs w:val="20"/>
        </w:rPr>
        <w:t>(</w:t>
      </w:r>
      <w:r>
        <w:rPr>
          <w:rFonts w:eastAsia="Times New Roman"/>
          <w:i/>
          <w:iCs/>
          <w:color w:val="000000"/>
          <w:sz w:val="20"/>
          <w:szCs w:val="20"/>
        </w:rPr>
        <w:t>Registrant's telephone number, including area code)</w:t>
      </w:r>
    </w:p>
    <w:p w:rsidR="00000000" w:rsidRDefault="00D04F4B">
      <w:pPr>
        <w:jc w:val="center"/>
        <w:divId w:val="1151217770"/>
        <w:rPr>
          <w:rFonts w:eastAsia="Times New Roman"/>
        </w:rPr>
      </w:pPr>
      <w:r>
        <w:rPr>
          <w:rFonts w:eastAsia="Times New Roman"/>
          <w:b/>
          <w:bCs/>
          <w:color w:val="000000"/>
          <w:sz w:val="20"/>
          <w:szCs w:val="20"/>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5181"/>
        <w:gridCol w:w="38"/>
        <w:gridCol w:w="69"/>
        <w:gridCol w:w="888"/>
        <w:gridCol w:w="36"/>
        <w:gridCol w:w="69"/>
        <w:gridCol w:w="1920"/>
        <w:gridCol w:w="36"/>
      </w:tblGrid>
      <w:tr w:rsidR="00000000">
        <w:trPr>
          <w:divId w:val="1820265597"/>
        </w:trPr>
        <w:tc>
          <w:tcPr>
            <w:tcW w:w="50" w:type="pct"/>
            <w:vAlign w:val="center"/>
            <w:hideMark/>
          </w:tcPr>
          <w:p w:rsidR="00000000" w:rsidRDefault="00D04F4B">
            <w:pPr>
              <w:jc w:val="center"/>
              <w:rPr>
                <w:rFonts w:eastAsia="Times New Roman"/>
              </w:rPr>
            </w:pPr>
          </w:p>
        </w:tc>
        <w:tc>
          <w:tcPr>
            <w:tcW w:w="312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4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16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820265597"/>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b/>
                <w:bCs/>
                <w:color w:val="000000"/>
                <w:sz w:val="20"/>
                <w:szCs w:val="20"/>
              </w:rPr>
              <w:t>Title of Class</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b/>
                <w:bCs/>
                <w:color w:val="000000"/>
                <w:sz w:val="20"/>
                <w:szCs w:val="20"/>
              </w:rPr>
              <w:t>Trading Symbol</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b/>
                <w:bCs/>
                <w:color w:val="000000"/>
                <w:sz w:val="20"/>
                <w:szCs w:val="20"/>
              </w:rPr>
              <w:t>Name of exchange on which registered</w:t>
            </w:r>
          </w:p>
        </w:tc>
      </w:tr>
      <w:tr w:rsidR="00000000">
        <w:trPr>
          <w:divId w:val="1820265597"/>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820265597"/>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Common Shares, $0.10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5.150% Cum Pref Share, Series F, $0.01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PSAPrF</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5.050% Cum Pref Share, Series G, $0.01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PSAPrG</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5.600% Cum Pref Share, Series H, $0.01 par v</w:t>
            </w:r>
            <w:r>
              <w:rPr>
                <w:rFonts w:eastAsia="Times New Roman"/>
                <w:color w:val="000000"/>
                <w:sz w:val="20"/>
                <w:szCs w:val="20"/>
              </w:rPr>
              <w:t>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PSAPrH</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4.875% Cum Pref Share, Series I, $0.01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PSAPrI</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4.700% Cum Pref Share, Series J, $0.01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PSAPrJ</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4.750% Cum Pref Share, Series K, $0.01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PSAPrK</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4.625% Cum Pref Share, Series L, $0.01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PSAPrL</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4.125% Cum Pref Share, Series M, $0.01 par v</w:t>
            </w:r>
            <w:r>
              <w:rPr>
                <w:rFonts w:eastAsia="Times New Roman"/>
                <w:color w:val="000000"/>
                <w:sz w:val="20"/>
                <w:szCs w:val="20"/>
              </w:rPr>
              <w:t>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PSAPrM</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lastRenderedPageBreak/>
              <w:t>Depositary Shares Each Representing 1/1,000 of a 3.875% Cum Pref Share, Series N, $0.01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PSAPrN</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3.900% Cum Pref Share, Series O, $0.01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PSAPrO</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4.000% Cum Pref Share, Series P, $0.01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PSAPrP</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3.950% Cum Pref Share, Series Q, $0.01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PSAPrQ</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w:t>
            </w:r>
            <w:r>
              <w:rPr>
                <w:rFonts w:eastAsia="Times New Roman"/>
                <w:color w:val="000000"/>
                <w:sz w:val="20"/>
                <w:szCs w:val="20"/>
              </w:rPr>
              <w: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4.000% Cum Pref Share, Series R, $0.01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PSAPrR</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Depositary Shares Each Representing 1/1,000 of a 4.100% Cum Pref Share, Series S, $0.01 par value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PSAPrS</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0.875% Senior Notes due 2032</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PSA32</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r w:rsidR="00000000">
        <w:trPr>
          <w:divId w:val="1820265597"/>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0.500% Senior Notes due 2030</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PSA30</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New York Stock Exchange</w:t>
            </w:r>
          </w:p>
        </w:tc>
      </w:tr>
    </w:tbl>
    <w:p w:rsidR="00000000" w:rsidRDefault="00D04F4B">
      <w:pPr>
        <w:jc w:val="center"/>
        <w:divId w:val="280188568"/>
        <w:rPr>
          <w:rFonts w:eastAsia="Times New Roman"/>
        </w:rPr>
      </w:pPr>
      <w:r>
        <w:rPr>
          <w:rFonts w:eastAsia="Times New Roman"/>
          <w:b/>
          <w:bCs/>
          <w:color w:val="000000"/>
          <w:sz w:val="18"/>
          <w:szCs w:val="18"/>
        </w:rPr>
        <w:t>Securities registered pursuant to Section 12(g) of the Act: None</w:t>
      </w:r>
    </w:p>
    <w:p w:rsidR="00000000" w:rsidRDefault="00D04F4B">
      <w:pPr>
        <w:jc w:val="both"/>
        <w:divId w:val="726337142"/>
        <w:rPr>
          <w:rFonts w:eastAsia="Times New Roman"/>
        </w:rPr>
      </w:pPr>
      <w:r>
        <w:rPr>
          <w:rFonts w:eastAsia="Times New Roman"/>
          <w:color w:val="000000"/>
          <w:sz w:val="20"/>
          <w:szCs w:val="20"/>
        </w:rPr>
        <w:t>Indicate by check mark if the registrant is a well-known seasoned issuer, as defined in Rule 405 of the Securities Act.</w:t>
      </w:r>
    </w:p>
    <w:tbl>
      <w:tblPr>
        <w:tblW w:w="1090" w:type="pct"/>
        <w:jc w:val="center"/>
        <w:tblCellMar>
          <w:top w:w="15" w:type="dxa"/>
          <w:left w:w="15" w:type="dxa"/>
          <w:bottom w:w="15" w:type="dxa"/>
          <w:right w:w="15" w:type="dxa"/>
        </w:tblCellMar>
        <w:tblLook w:val="04A0" w:firstRow="1" w:lastRow="0" w:firstColumn="1" w:lastColumn="0" w:noHBand="0" w:noVBand="1"/>
      </w:tblPr>
      <w:tblGrid>
        <w:gridCol w:w="37"/>
        <w:gridCol w:w="578"/>
        <w:gridCol w:w="36"/>
        <w:gridCol w:w="37"/>
        <w:gridCol w:w="195"/>
        <w:gridCol w:w="36"/>
        <w:gridCol w:w="37"/>
        <w:gridCol w:w="551"/>
        <w:gridCol w:w="36"/>
        <w:gridCol w:w="37"/>
        <w:gridCol w:w="195"/>
        <w:gridCol w:w="36"/>
      </w:tblGrid>
      <w:tr w:rsidR="00000000">
        <w:trPr>
          <w:divId w:val="399593699"/>
          <w:jc w:val="center"/>
        </w:trPr>
        <w:tc>
          <w:tcPr>
            <w:tcW w:w="50" w:type="pct"/>
            <w:vAlign w:val="center"/>
            <w:hideMark/>
          </w:tcPr>
          <w:p w:rsidR="00000000" w:rsidRDefault="00D04F4B">
            <w:pPr>
              <w:jc w:val="both"/>
              <w:rPr>
                <w:rFonts w:eastAsia="Times New Roman"/>
              </w:rPr>
            </w:pPr>
          </w:p>
        </w:tc>
        <w:tc>
          <w:tcPr>
            <w:tcW w:w="178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78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399593699"/>
          <w:jc w:val="center"/>
        </w:trPr>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Yes</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No</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D04F4B">
      <w:pPr>
        <w:jc w:val="both"/>
        <w:divId w:val="610864246"/>
        <w:rPr>
          <w:rFonts w:eastAsia="Times New Roman"/>
        </w:rPr>
      </w:pPr>
      <w:r>
        <w:rPr>
          <w:rFonts w:eastAsia="Times New Roman"/>
          <w:color w:val="000000"/>
          <w:sz w:val="20"/>
          <w:szCs w:val="20"/>
        </w:rPr>
        <w:t>Indicate by check mark if the registrant is not required to file reports pursuant to Section 13 or Section 15(d) of the Exchange Act.</w:t>
      </w:r>
    </w:p>
    <w:tbl>
      <w:tblPr>
        <w:tblW w:w="1090" w:type="pct"/>
        <w:jc w:val="center"/>
        <w:tblCellMar>
          <w:top w:w="15" w:type="dxa"/>
          <w:left w:w="15" w:type="dxa"/>
          <w:bottom w:w="15" w:type="dxa"/>
          <w:right w:w="15" w:type="dxa"/>
        </w:tblCellMar>
        <w:tblLook w:val="04A0" w:firstRow="1" w:lastRow="0" w:firstColumn="1" w:lastColumn="0" w:noHBand="0" w:noVBand="1"/>
      </w:tblPr>
      <w:tblGrid>
        <w:gridCol w:w="37"/>
        <w:gridCol w:w="578"/>
        <w:gridCol w:w="36"/>
        <w:gridCol w:w="37"/>
        <w:gridCol w:w="195"/>
        <w:gridCol w:w="36"/>
        <w:gridCol w:w="37"/>
        <w:gridCol w:w="551"/>
        <w:gridCol w:w="36"/>
        <w:gridCol w:w="37"/>
        <w:gridCol w:w="195"/>
        <w:gridCol w:w="36"/>
      </w:tblGrid>
      <w:tr w:rsidR="00000000">
        <w:trPr>
          <w:divId w:val="1193111228"/>
          <w:jc w:val="center"/>
        </w:trPr>
        <w:tc>
          <w:tcPr>
            <w:tcW w:w="50" w:type="pct"/>
            <w:vAlign w:val="center"/>
            <w:hideMark/>
          </w:tcPr>
          <w:p w:rsidR="00000000" w:rsidRDefault="00D04F4B">
            <w:pPr>
              <w:jc w:val="both"/>
              <w:rPr>
                <w:rFonts w:eastAsia="Times New Roman"/>
              </w:rPr>
            </w:pPr>
          </w:p>
        </w:tc>
        <w:tc>
          <w:tcPr>
            <w:tcW w:w="178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78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193111228"/>
          <w:jc w:val="center"/>
        </w:trPr>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Yes</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No</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D04F4B">
      <w:pPr>
        <w:jc w:val="both"/>
        <w:divId w:val="1209801723"/>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w:t>
      </w:r>
    </w:p>
    <w:tbl>
      <w:tblPr>
        <w:tblW w:w="1090" w:type="pct"/>
        <w:jc w:val="center"/>
        <w:tblCellMar>
          <w:top w:w="15" w:type="dxa"/>
          <w:left w:w="15" w:type="dxa"/>
          <w:bottom w:w="15" w:type="dxa"/>
          <w:right w:w="15" w:type="dxa"/>
        </w:tblCellMar>
        <w:tblLook w:val="04A0" w:firstRow="1" w:lastRow="0" w:firstColumn="1" w:lastColumn="0" w:noHBand="0" w:noVBand="1"/>
      </w:tblPr>
      <w:tblGrid>
        <w:gridCol w:w="37"/>
        <w:gridCol w:w="578"/>
        <w:gridCol w:w="36"/>
        <w:gridCol w:w="37"/>
        <w:gridCol w:w="195"/>
        <w:gridCol w:w="36"/>
        <w:gridCol w:w="37"/>
        <w:gridCol w:w="551"/>
        <w:gridCol w:w="36"/>
        <w:gridCol w:w="37"/>
        <w:gridCol w:w="195"/>
        <w:gridCol w:w="36"/>
      </w:tblGrid>
      <w:tr w:rsidR="00000000">
        <w:trPr>
          <w:divId w:val="1056978408"/>
          <w:jc w:val="center"/>
        </w:trPr>
        <w:tc>
          <w:tcPr>
            <w:tcW w:w="50" w:type="pct"/>
            <w:vAlign w:val="center"/>
            <w:hideMark/>
          </w:tcPr>
          <w:p w:rsidR="00000000" w:rsidRDefault="00D04F4B">
            <w:pPr>
              <w:jc w:val="both"/>
              <w:rPr>
                <w:rFonts w:eastAsia="Times New Roman"/>
              </w:rPr>
            </w:pPr>
          </w:p>
        </w:tc>
        <w:tc>
          <w:tcPr>
            <w:tcW w:w="178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78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056978408"/>
          <w:jc w:val="center"/>
        </w:trPr>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Yes</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No</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D04F4B">
      <w:pPr>
        <w:jc w:val="both"/>
        <w:divId w:val="401147512"/>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w:t>
      </w:r>
    </w:p>
    <w:tbl>
      <w:tblPr>
        <w:tblW w:w="1090" w:type="pct"/>
        <w:jc w:val="center"/>
        <w:tblCellMar>
          <w:top w:w="15" w:type="dxa"/>
          <w:left w:w="15" w:type="dxa"/>
          <w:bottom w:w="15" w:type="dxa"/>
          <w:right w:w="15" w:type="dxa"/>
        </w:tblCellMar>
        <w:tblLook w:val="04A0" w:firstRow="1" w:lastRow="0" w:firstColumn="1" w:lastColumn="0" w:noHBand="0" w:noVBand="1"/>
      </w:tblPr>
      <w:tblGrid>
        <w:gridCol w:w="37"/>
        <w:gridCol w:w="578"/>
        <w:gridCol w:w="36"/>
        <w:gridCol w:w="37"/>
        <w:gridCol w:w="195"/>
        <w:gridCol w:w="36"/>
        <w:gridCol w:w="37"/>
        <w:gridCol w:w="551"/>
        <w:gridCol w:w="36"/>
        <w:gridCol w:w="37"/>
        <w:gridCol w:w="195"/>
        <w:gridCol w:w="36"/>
      </w:tblGrid>
      <w:tr w:rsidR="00000000">
        <w:trPr>
          <w:divId w:val="261187366"/>
          <w:jc w:val="center"/>
        </w:trPr>
        <w:tc>
          <w:tcPr>
            <w:tcW w:w="50" w:type="pct"/>
            <w:vAlign w:val="center"/>
            <w:hideMark/>
          </w:tcPr>
          <w:p w:rsidR="00000000" w:rsidRDefault="00D04F4B">
            <w:pPr>
              <w:jc w:val="both"/>
              <w:rPr>
                <w:rFonts w:eastAsia="Times New Roman"/>
              </w:rPr>
            </w:pPr>
          </w:p>
        </w:tc>
        <w:tc>
          <w:tcPr>
            <w:tcW w:w="178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78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261187366"/>
          <w:jc w:val="center"/>
        </w:trPr>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Yes</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No</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D04F4B">
      <w:pPr>
        <w:jc w:val="both"/>
        <w:divId w:val="1068189641"/>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the definitions of “large accelerated filer,” “accelerated filer,” “s</w:t>
      </w:r>
      <w:r>
        <w:rPr>
          <w:rFonts w:eastAsia="Times New Roman"/>
          <w:color w:val="000000"/>
          <w:sz w:val="20"/>
          <w:szCs w:val="20"/>
        </w:rPr>
        <w:t>maller reporting company,” and “emerging growth company” in Rule 12b-2 of the Exchange Act.</w:t>
      </w:r>
    </w:p>
    <w:tbl>
      <w:tblPr>
        <w:tblW w:w="10200" w:type="dxa"/>
        <w:jc w:val="center"/>
        <w:tblCellMar>
          <w:top w:w="15" w:type="dxa"/>
          <w:left w:w="15" w:type="dxa"/>
          <w:bottom w:w="15" w:type="dxa"/>
          <w:right w:w="15" w:type="dxa"/>
        </w:tblCellMar>
        <w:tblLook w:val="04A0" w:firstRow="1" w:lastRow="0" w:firstColumn="1" w:lastColumn="0" w:noHBand="0" w:noVBand="1"/>
      </w:tblPr>
      <w:tblGrid>
        <w:gridCol w:w="36"/>
        <w:gridCol w:w="1912"/>
        <w:gridCol w:w="36"/>
        <w:gridCol w:w="36"/>
        <w:gridCol w:w="1917"/>
        <w:gridCol w:w="36"/>
        <w:gridCol w:w="36"/>
        <w:gridCol w:w="1913"/>
        <w:gridCol w:w="36"/>
        <w:gridCol w:w="39"/>
        <w:gridCol w:w="2041"/>
        <w:gridCol w:w="39"/>
        <w:gridCol w:w="39"/>
        <w:gridCol w:w="2045"/>
        <w:gridCol w:w="39"/>
      </w:tblGrid>
      <w:tr w:rsidR="00000000">
        <w:trPr>
          <w:divId w:val="2040811153"/>
          <w:jc w:val="center"/>
        </w:trPr>
        <w:tc>
          <w:tcPr>
            <w:tcW w:w="20" w:type="dxa"/>
            <w:vAlign w:val="center"/>
            <w:hideMark/>
          </w:tcPr>
          <w:p w:rsidR="00000000" w:rsidRDefault="00D04F4B">
            <w:pPr>
              <w:jc w:val="both"/>
              <w:rPr>
                <w:rFonts w:eastAsia="Times New Roman"/>
              </w:rPr>
            </w:pPr>
          </w:p>
        </w:tc>
        <w:tc>
          <w:tcPr>
            <w:tcW w:w="2000" w:type="dxa"/>
            <w:vAlign w:val="center"/>
            <w:hideMark/>
          </w:tcPr>
          <w:p w:rsidR="00000000" w:rsidRDefault="00D04F4B">
            <w:pPr>
              <w:spacing w:after="100"/>
              <w:rPr>
                <w:rFonts w:eastAsia="Times New Roman"/>
                <w:sz w:val="20"/>
                <w:szCs w:val="20"/>
              </w:rPr>
            </w:pPr>
          </w:p>
        </w:tc>
        <w:tc>
          <w:tcPr>
            <w:tcW w:w="20" w:type="dxa"/>
            <w:vAlign w:val="center"/>
            <w:hideMark/>
          </w:tcPr>
          <w:p w:rsidR="00000000" w:rsidRDefault="00D04F4B">
            <w:pPr>
              <w:spacing w:after="100"/>
              <w:rPr>
                <w:rFonts w:eastAsia="Times New Roman"/>
                <w:sz w:val="20"/>
                <w:szCs w:val="20"/>
              </w:rPr>
            </w:pPr>
          </w:p>
        </w:tc>
        <w:tc>
          <w:tcPr>
            <w:tcW w:w="20" w:type="dxa"/>
            <w:vAlign w:val="center"/>
            <w:hideMark/>
          </w:tcPr>
          <w:p w:rsidR="00000000" w:rsidRDefault="00D04F4B">
            <w:pPr>
              <w:spacing w:after="100"/>
              <w:rPr>
                <w:rFonts w:eastAsia="Times New Roman"/>
                <w:sz w:val="20"/>
                <w:szCs w:val="20"/>
              </w:rPr>
            </w:pPr>
          </w:p>
        </w:tc>
        <w:tc>
          <w:tcPr>
            <w:tcW w:w="2000" w:type="dxa"/>
            <w:vAlign w:val="center"/>
            <w:hideMark/>
          </w:tcPr>
          <w:p w:rsidR="00000000" w:rsidRDefault="00D04F4B">
            <w:pPr>
              <w:spacing w:after="100"/>
              <w:rPr>
                <w:rFonts w:eastAsia="Times New Roman"/>
                <w:sz w:val="20"/>
                <w:szCs w:val="20"/>
              </w:rPr>
            </w:pPr>
          </w:p>
        </w:tc>
        <w:tc>
          <w:tcPr>
            <w:tcW w:w="20" w:type="dxa"/>
            <w:vAlign w:val="center"/>
            <w:hideMark/>
          </w:tcPr>
          <w:p w:rsidR="00000000" w:rsidRDefault="00D04F4B">
            <w:pPr>
              <w:spacing w:after="100"/>
              <w:rPr>
                <w:rFonts w:eastAsia="Times New Roman"/>
                <w:sz w:val="20"/>
                <w:szCs w:val="20"/>
              </w:rPr>
            </w:pPr>
          </w:p>
        </w:tc>
        <w:tc>
          <w:tcPr>
            <w:tcW w:w="20" w:type="dxa"/>
            <w:vAlign w:val="center"/>
            <w:hideMark/>
          </w:tcPr>
          <w:p w:rsidR="00000000" w:rsidRDefault="00D04F4B">
            <w:pPr>
              <w:spacing w:after="100"/>
              <w:rPr>
                <w:rFonts w:eastAsia="Times New Roman"/>
                <w:sz w:val="20"/>
                <w:szCs w:val="20"/>
              </w:rPr>
            </w:pPr>
          </w:p>
        </w:tc>
        <w:tc>
          <w:tcPr>
            <w:tcW w:w="2000" w:type="dxa"/>
            <w:vAlign w:val="center"/>
            <w:hideMark/>
          </w:tcPr>
          <w:p w:rsidR="00000000" w:rsidRDefault="00D04F4B">
            <w:pPr>
              <w:spacing w:after="100"/>
              <w:rPr>
                <w:rFonts w:eastAsia="Times New Roman"/>
                <w:sz w:val="20"/>
                <w:szCs w:val="20"/>
              </w:rPr>
            </w:pPr>
          </w:p>
        </w:tc>
        <w:tc>
          <w:tcPr>
            <w:tcW w:w="20" w:type="dxa"/>
            <w:vAlign w:val="center"/>
            <w:hideMark/>
          </w:tcPr>
          <w:p w:rsidR="00000000" w:rsidRDefault="00D04F4B">
            <w:pPr>
              <w:spacing w:after="100"/>
              <w:rPr>
                <w:rFonts w:eastAsia="Times New Roman"/>
                <w:sz w:val="20"/>
                <w:szCs w:val="20"/>
              </w:rPr>
            </w:pPr>
          </w:p>
        </w:tc>
        <w:tc>
          <w:tcPr>
            <w:tcW w:w="20" w:type="dxa"/>
            <w:vAlign w:val="center"/>
            <w:hideMark/>
          </w:tcPr>
          <w:p w:rsidR="00000000" w:rsidRDefault="00D04F4B">
            <w:pPr>
              <w:spacing w:after="100"/>
              <w:rPr>
                <w:rFonts w:eastAsia="Times New Roman"/>
                <w:sz w:val="20"/>
                <w:szCs w:val="20"/>
              </w:rPr>
            </w:pPr>
          </w:p>
        </w:tc>
        <w:tc>
          <w:tcPr>
            <w:tcW w:w="2000" w:type="dxa"/>
            <w:vAlign w:val="center"/>
            <w:hideMark/>
          </w:tcPr>
          <w:p w:rsidR="00000000" w:rsidRDefault="00D04F4B">
            <w:pPr>
              <w:spacing w:after="100"/>
              <w:rPr>
                <w:rFonts w:eastAsia="Times New Roman"/>
                <w:sz w:val="20"/>
                <w:szCs w:val="20"/>
              </w:rPr>
            </w:pPr>
          </w:p>
        </w:tc>
        <w:tc>
          <w:tcPr>
            <w:tcW w:w="20" w:type="dxa"/>
            <w:vAlign w:val="center"/>
            <w:hideMark/>
          </w:tcPr>
          <w:p w:rsidR="00000000" w:rsidRDefault="00D04F4B">
            <w:pPr>
              <w:spacing w:after="100"/>
              <w:rPr>
                <w:rFonts w:eastAsia="Times New Roman"/>
                <w:sz w:val="20"/>
                <w:szCs w:val="20"/>
              </w:rPr>
            </w:pPr>
          </w:p>
        </w:tc>
        <w:tc>
          <w:tcPr>
            <w:tcW w:w="20" w:type="dxa"/>
            <w:vAlign w:val="center"/>
            <w:hideMark/>
          </w:tcPr>
          <w:p w:rsidR="00000000" w:rsidRDefault="00D04F4B">
            <w:pPr>
              <w:spacing w:after="100"/>
              <w:rPr>
                <w:rFonts w:eastAsia="Times New Roman"/>
                <w:sz w:val="20"/>
                <w:szCs w:val="20"/>
              </w:rPr>
            </w:pPr>
          </w:p>
        </w:tc>
        <w:tc>
          <w:tcPr>
            <w:tcW w:w="2000" w:type="dxa"/>
            <w:vAlign w:val="center"/>
            <w:hideMark/>
          </w:tcPr>
          <w:p w:rsidR="00000000" w:rsidRDefault="00D04F4B">
            <w:pPr>
              <w:spacing w:after="100"/>
              <w:rPr>
                <w:rFonts w:eastAsia="Times New Roman"/>
                <w:sz w:val="20"/>
                <w:szCs w:val="20"/>
              </w:rPr>
            </w:pPr>
          </w:p>
        </w:tc>
        <w:tc>
          <w:tcPr>
            <w:tcW w:w="20" w:type="dxa"/>
            <w:vAlign w:val="center"/>
            <w:hideMark/>
          </w:tcPr>
          <w:p w:rsidR="00000000" w:rsidRDefault="00D04F4B">
            <w:pPr>
              <w:spacing w:after="100"/>
              <w:rPr>
                <w:rFonts w:eastAsia="Times New Roman"/>
                <w:sz w:val="20"/>
                <w:szCs w:val="20"/>
              </w:rPr>
            </w:pPr>
          </w:p>
        </w:tc>
      </w:tr>
      <w:tr w:rsidR="00000000">
        <w:trPr>
          <w:divId w:val="2040811153"/>
          <w:trHeight w:val="480"/>
          <w:jc w:val="center"/>
        </w:trPr>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eastAsia="Times New Roman"/>
                <w:color w:val="000000"/>
                <w:sz w:val="20"/>
                <w:szCs w:val="20"/>
              </w:rPr>
              <w:t>Emerging growth company</w:t>
            </w:r>
          </w:p>
        </w:tc>
      </w:tr>
      <w:tr w:rsidR="00000000">
        <w:trPr>
          <w:divId w:val="2040811153"/>
          <w:trHeight w:val="280"/>
          <w:jc w:val="center"/>
        </w:trPr>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D04F4B">
      <w:pPr>
        <w:jc w:val="both"/>
        <w:divId w:val="982926947"/>
        <w:rPr>
          <w:rFonts w:eastAsia="Times New Roman"/>
        </w:rPr>
      </w:pPr>
      <w:r>
        <w:rPr>
          <w:rFonts w:eastAsia="Times New Roman"/>
          <w:color w:val="000000"/>
          <w:sz w:val="20"/>
          <w:szCs w:val="20"/>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D04F4B">
      <w:pPr>
        <w:jc w:val="both"/>
        <w:divId w:val="1619141826"/>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eastAsia="Times New Roman"/>
          <w:color w:val="000000"/>
          <w:sz w:val="20"/>
          <w:szCs w:val="20"/>
        </w:rPr>
        <w:t>registered public accounting firm that prepared or issued its audit report.</w:t>
      </w:r>
      <w:r>
        <w:rPr>
          <w:rFonts w:eastAsia="Times New Roman"/>
          <w:b/>
          <w:bCs/>
          <w:color w:val="000000"/>
          <w:sz w:val="20"/>
          <w:szCs w:val="20"/>
        </w:rPr>
        <w:t xml:space="preserve"> </w:t>
      </w:r>
      <w:r>
        <w:rPr>
          <w:rFonts w:ascii="Segoe UI Symbol" w:eastAsia="Times New Roman" w:hAnsi="Segoe UI Symbol" w:cs="Segoe UI Symbol"/>
          <w:color w:val="000000"/>
          <w:sz w:val="20"/>
          <w:szCs w:val="20"/>
        </w:rPr>
        <w:t>☒</w:t>
      </w:r>
    </w:p>
    <w:p w:rsidR="00000000" w:rsidRDefault="00D04F4B">
      <w:pPr>
        <w:jc w:val="both"/>
        <w:divId w:val="739908729"/>
        <w:rPr>
          <w:rFonts w:eastAsia="Times New Roman"/>
        </w:rPr>
      </w:pPr>
      <w:r>
        <w:rPr>
          <w:rFonts w:eastAsia="Times New Roman"/>
          <w:color w:val="000000"/>
          <w:sz w:val="20"/>
          <w:szCs w:val="20"/>
        </w:rPr>
        <w:t>Indicate by check mark whether the registrant is a shell company (as defined in Rule 12b-2 of the Exchange Act).</w:t>
      </w:r>
    </w:p>
    <w:tbl>
      <w:tblPr>
        <w:tblW w:w="1090" w:type="pct"/>
        <w:jc w:val="center"/>
        <w:tblCellMar>
          <w:top w:w="15" w:type="dxa"/>
          <w:left w:w="15" w:type="dxa"/>
          <w:bottom w:w="15" w:type="dxa"/>
          <w:right w:w="15" w:type="dxa"/>
        </w:tblCellMar>
        <w:tblLook w:val="04A0" w:firstRow="1" w:lastRow="0" w:firstColumn="1" w:lastColumn="0" w:noHBand="0" w:noVBand="1"/>
      </w:tblPr>
      <w:tblGrid>
        <w:gridCol w:w="37"/>
        <w:gridCol w:w="578"/>
        <w:gridCol w:w="36"/>
        <w:gridCol w:w="37"/>
        <w:gridCol w:w="195"/>
        <w:gridCol w:w="36"/>
        <w:gridCol w:w="37"/>
        <w:gridCol w:w="551"/>
        <w:gridCol w:w="36"/>
        <w:gridCol w:w="37"/>
        <w:gridCol w:w="195"/>
        <w:gridCol w:w="36"/>
      </w:tblGrid>
      <w:tr w:rsidR="00000000">
        <w:trPr>
          <w:divId w:val="58599037"/>
          <w:jc w:val="center"/>
        </w:trPr>
        <w:tc>
          <w:tcPr>
            <w:tcW w:w="50" w:type="pct"/>
            <w:vAlign w:val="center"/>
            <w:hideMark/>
          </w:tcPr>
          <w:p w:rsidR="00000000" w:rsidRDefault="00D04F4B">
            <w:pPr>
              <w:jc w:val="both"/>
              <w:rPr>
                <w:rFonts w:eastAsia="Times New Roman"/>
              </w:rPr>
            </w:pPr>
          </w:p>
        </w:tc>
        <w:tc>
          <w:tcPr>
            <w:tcW w:w="178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78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58599037"/>
          <w:jc w:val="center"/>
        </w:trPr>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Yes</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No</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D04F4B">
      <w:pPr>
        <w:jc w:val="both"/>
        <w:divId w:val="769617353"/>
        <w:rPr>
          <w:rFonts w:eastAsia="Times New Roman"/>
        </w:rPr>
      </w:pPr>
      <w:r>
        <w:rPr>
          <w:rFonts w:eastAsia="Times New Roman"/>
          <w:color w:val="000000"/>
          <w:sz w:val="20"/>
          <w:szCs w:val="20"/>
        </w:rPr>
        <w:t>The aggregate market value of the voting and non-voting common shares held by non-affiliates of the Registrant as of June 30, 2021:</w:t>
      </w:r>
    </w:p>
    <w:p w:rsidR="00000000" w:rsidRDefault="00D04F4B">
      <w:pPr>
        <w:jc w:val="both"/>
        <w:divId w:val="1813710769"/>
        <w:rPr>
          <w:rFonts w:eastAsia="Times New Roman"/>
        </w:rPr>
      </w:pPr>
      <w:r>
        <w:rPr>
          <w:rFonts w:eastAsia="Times New Roman"/>
          <w:color w:val="000000"/>
          <w:sz w:val="20"/>
          <w:szCs w:val="20"/>
        </w:rPr>
        <w:t>Common Shares, $0.10 par value per share – $45,156,391,000 (computed on the basis of $300.69 per share, which was the report</w:t>
      </w:r>
      <w:r>
        <w:rPr>
          <w:rFonts w:eastAsia="Times New Roman"/>
          <w:color w:val="000000"/>
          <w:sz w:val="20"/>
          <w:szCs w:val="20"/>
        </w:rPr>
        <w:t>ed closing sale price of the Company's Common Shares on the New York Stock Exchange (the “NYSE”) on June 30, 2021).</w:t>
      </w:r>
    </w:p>
    <w:p w:rsidR="00000000" w:rsidRDefault="00D04F4B">
      <w:pPr>
        <w:jc w:val="both"/>
        <w:divId w:val="375202663"/>
        <w:rPr>
          <w:rFonts w:eastAsia="Times New Roman"/>
        </w:rPr>
      </w:pPr>
      <w:r>
        <w:rPr>
          <w:rFonts w:eastAsia="Times New Roman"/>
          <w:color w:val="000000"/>
          <w:sz w:val="20"/>
          <w:szCs w:val="20"/>
        </w:rPr>
        <w:t>As of February 18, 2022, there were 175,462,248 outstanding Common Shares, $0.10 par value per share.</w:t>
      </w:r>
    </w:p>
    <w:p w:rsidR="00000000" w:rsidRDefault="00D04F4B">
      <w:pPr>
        <w:jc w:val="center"/>
        <w:divId w:val="1127503482"/>
        <w:rPr>
          <w:rFonts w:eastAsia="Times New Roman"/>
        </w:rPr>
      </w:pPr>
      <w:r>
        <w:rPr>
          <w:rFonts w:eastAsia="Times New Roman"/>
          <w:b/>
          <w:bCs/>
          <w:color w:val="000000"/>
          <w:sz w:val="20"/>
          <w:szCs w:val="20"/>
        </w:rPr>
        <w:t>DOCUMENTS INCORPORATED BY REFERENCE</w:t>
      </w:r>
    </w:p>
    <w:p w:rsidR="00000000" w:rsidRDefault="00D04F4B">
      <w:pPr>
        <w:jc w:val="both"/>
        <w:divId w:val="477571776"/>
        <w:rPr>
          <w:rFonts w:eastAsia="Times New Roman"/>
        </w:rPr>
      </w:pPr>
      <w:r>
        <w:rPr>
          <w:rFonts w:eastAsia="Times New Roman"/>
          <w:color w:val="000000"/>
          <w:sz w:val="20"/>
          <w:szCs w:val="20"/>
        </w:rPr>
        <w:t>Portions of the definitive proxy statement to be filed in connection with the Annual Meeting of Shareholders to be held in 2022 are incorporated by reference into Part III of this Annual Report on Form 10-K to the extent</w:t>
      </w:r>
      <w:r>
        <w:rPr>
          <w:rFonts w:eastAsia="Times New Roman"/>
          <w:color w:val="000000"/>
          <w:sz w:val="20"/>
          <w:szCs w:val="20"/>
        </w:rPr>
        <w:t xml:space="preserve"> described therein.</w:t>
      </w:r>
    </w:p>
    <w:p w:rsidR="00000000" w:rsidRDefault="00D04F4B">
      <w:pPr>
        <w:jc w:val="center"/>
        <w:divId w:val="784620273"/>
        <w:rPr>
          <w:rFonts w:eastAsia="Times New Roman"/>
        </w:rPr>
      </w:pPr>
      <w:r>
        <w:rPr>
          <w:rFonts w:eastAsia="Times New Roman"/>
          <w:color w:val="000000"/>
          <w:sz w:val="20"/>
          <w:szCs w:val="20"/>
        </w:rPr>
        <w:t>1</w:t>
      </w:r>
    </w:p>
    <w:p w:rsidR="00000000" w:rsidRDefault="00D04F4B">
      <w:pPr>
        <w:rPr>
          <w:rFonts w:eastAsia="Times New Roman"/>
        </w:rPr>
      </w:pPr>
      <w:r>
        <w:rPr>
          <w:rFonts w:eastAsia="Times New Roman"/>
        </w:rPr>
        <w:pict>
          <v:rect id="_x0000_i1025" style="width:0;height:1.5pt" o:hralign="center" o:hrstd="t" o:hr="t" fillcolor="#a0a0a0" stroked="f"/>
        </w:pict>
      </w:r>
    </w:p>
    <w:p w:rsidR="00000000" w:rsidRDefault="00D04F4B">
      <w:pPr>
        <w:divId w:val="830100800"/>
        <w:rPr>
          <w:rFonts w:eastAsia="Times New Roman"/>
        </w:rPr>
      </w:pPr>
    </w:p>
    <w:p w:rsidR="00000000" w:rsidRDefault="00D04F4B">
      <w:pPr>
        <w:jc w:val="center"/>
        <w:divId w:val="765809893"/>
        <w:rPr>
          <w:rFonts w:eastAsia="Times New Roman"/>
        </w:rPr>
      </w:pPr>
      <w:r>
        <w:rPr>
          <w:rFonts w:eastAsia="Times New Roman"/>
          <w:b/>
          <w:bCs/>
          <w:color w:val="000000"/>
          <w:sz w:val="20"/>
          <w:szCs w:val="20"/>
          <w:u w:val="single"/>
        </w:rPr>
        <w:t>PART I</w:t>
      </w:r>
    </w:p>
    <w:p w:rsidR="00000000" w:rsidRDefault="00D04F4B">
      <w:pPr>
        <w:jc w:val="both"/>
        <w:divId w:val="1707411249"/>
        <w:rPr>
          <w:rFonts w:eastAsia="Times New Roman"/>
        </w:rPr>
      </w:pPr>
      <w:r>
        <w:rPr>
          <w:rFonts w:eastAsia="Times New Roman"/>
          <w:b/>
          <w:bCs/>
          <w:color w:val="000000"/>
          <w:sz w:val="20"/>
          <w:szCs w:val="20"/>
        </w:rPr>
        <w:t>ITEM 1.</w:t>
      </w:r>
      <w:r>
        <w:rPr>
          <w:rFonts w:eastAsia="Times New Roman"/>
          <w:color w:val="000000"/>
          <w:sz w:val="20"/>
          <w:szCs w:val="20"/>
        </w:rPr>
        <w:t>    </w:t>
      </w:r>
      <w:r>
        <w:rPr>
          <w:rFonts w:eastAsia="Times New Roman"/>
          <w:b/>
          <w:bCs/>
          <w:color w:val="000000"/>
          <w:sz w:val="20"/>
          <w:szCs w:val="20"/>
          <w:u w:val="single"/>
        </w:rPr>
        <w:t>Business</w:t>
      </w:r>
    </w:p>
    <w:p w:rsidR="00000000" w:rsidRDefault="00D04F4B">
      <w:pPr>
        <w:jc w:val="both"/>
        <w:divId w:val="1931812884"/>
        <w:rPr>
          <w:rFonts w:eastAsia="Times New Roman"/>
        </w:rPr>
      </w:pPr>
      <w:r>
        <w:rPr>
          <w:rFonts w:eastAsia="Times New Roman"/>
          <w:b/>
          <w:bCs/>
          <w:color w:val="000000"/>
          <w:sz w:val="20"/>
          <w:szCs w:val="20"/>
          <w:u w:val="single"/>
        </w:rPr>
        <w:t>Cautionary Statement Regarding Forward Looking Statements</w:t>
      </w:r>
    </w:p>
    <w:p w:rsidR="00000000" w:rsidRDefault="00D04F4B">
      <w:pPr>
        <w:ind w:firstLine="720"/>
        <w:jc w:val="both"/>
        <w:divId w:val="1084642760"/>
        <w:rPr>
          <w:rFonts w:eastAsia="Times New Roman"/>
        </w:rPr>
      </w:pPr>
      <w:r>
        <w:rPr>
          <w:rFonts w:eastAsia="Times New Roman"/>
          <w:color w:val="000000"/>
          <w:sz w:val="20"/>
          <w:szCs w:val="20"/>
        </w:rPr>
        <w:t>This Annual Report on Form 10-K contains forward-looking statements within the meaning of the Private Securities Litigation Reform Act of 1995. All statements in this document, other than statements of historical fact, are forward-looking statements and ma</w:t>
      </w:r>
      <w:r>
        <w:rPr>
          <w:rFonts w:eastAsia="Times New Roman"/>
          <w:color w:val="000000"/>
          <w:sz w:val="20"/>
          <w:szCs w:val="20"/>
        </w:rPr>
        <w:t>y be identified by the use of the words "expects,"  "believes,"  "anticipates," "should," "estimates" and similar expressions.</w:t>
      </w:r>
    </w:p>
    <w:p w:rsidR="00000000" w:rsidRDefault="00D04F4B">
      <w:pPr>
        <w:ind w:firstLine="720"/>
        <w:jc w:val="both"/>
        <w:divId w:val="2013022428"/>
        <w:rPr>
          <w:rFonts w:eastAsia="Times New Roman"/>
        </w:rPr>
      </w:pPr>
      <w:r>
        <w:rPr>
          <w:rFonts w:eastAsia="Times New Roman"/>
          <w:color w:val="000000"/>
          <w:sz w:val="20"/>
          <w:szCs w:val="20"/>
        </w:rPr>
        <w:t>These forward-looking statements involve known and unknown risks and uncertainties, which may cause our actual results and perfor</w:t>
      </w:r>
      <w:r>
        <w:rPr>
          <w:rFonts w:eastAsia="Times New Roman"/>
          <w:color w:val="000000"/>
          <w:sz w:val="20"/>
          <w:szCs w:val="20"/>
        </w:rPr>
        <w:t>mance to be materially different from those expressed or implied in the forward-looking statements. Risks and uncertainties that may impact future results and performance include, but are not limited to, those described in Part 1, Item 1A, "Risk Factors" o</w:t>
      </w:r>
      <w:r>
        <w:rPr>
          <w:rFonts w:eastAsia="Times New Roman"/>
          <w:color w:val="000000"/>
          <w:sz w:val="20"/>
          <w:szCs w:val="20"/>
        </w:rPr>
        <w:t>f this report and in our other filings with the Securities and Exchange Commission (the “SEC”). These include changes in demand for our facilities, impacts of natural disasters, adverse changes in laws and regulations including governing property tax, evic</w:t>
      </w:r>
      <w:r>
        <w:rPr>
          <w:rFonts w:eastAsia="Times New Roman"/>
          <w:color w:val="000000"/>
          <w:sz w:val="20"/>
          <w:szCs w:val="20"/>
        </w:rPr>
        <w:t>tions, rental rates, minimum wage levels and insurance, adverse economic effects from the COVID-19 Pandemic or similar public health events, increases in the costs of our primary customer acquisition channels, unfavorable foreign currency rate fluctuations</w:t>
      </w:r>
      <w:r>
        <w:rPr>
          <w:rFonts w:eastAsia="Times New Roman"/>
          <w:color w:val="000000"/>
          <w:sz w:val="20"/>
          <w:szCs w:val="20"/>
        </w:rPr>
        <w:t xml:space="preserve">, changes in federal or state tax laws related to the taxation of REITs, security breaches, including ransomware, or a failure of our networks, systems or technology. </w:t>
      </w:r>
    </w:p>
    <w:p w:rsidR="00000000" w:rsidRDefault="00D04F4B">
      <w:pPr>
        <w:ind w:firstLine="720"/>
        <w:jc w:val="both"/>
        <w:divId w:val="748969237"/>
        <w:rPr>
          <w:rFonts w:eastAsia="Times New Roman"/>
        </w:rPr>
      </w:pPr>
      <w:r>
        <w:rPr>
          <w:rFonts w:eastAsia="Times New Roman"/>
          <w:color w:val="000000"/>
          <w:sz w:val="20"/>
          <w:szCs w:val="20"/>
        </w:rPr>
        <w:t>These forward looking statements speak only as of the date of this report or as of the d</w:t>
      </w:r>
      <w:r>
        <w:rPr>
          <w:rFonts w:eastAsia="Times New Roman"/>
          <w:color w:val="000000"/>
          <w:sz w:val="20"/>
          <w:szCs w:val="20"/>
        </w:rPr>
        <w:t xml:space="preserve">ates indicated in the statements. All of our forward-looking statements, including those in this report, are qualified in their entirety by this cautionary statement. We expressly disclaim any obligation to update </w:t>
      </w:r>
      <w:r>
        <w:rPr>
          <w:rFonts w:eastAsia="Times New Roman"/>
          <w:color w:val="000000"/>
          <w:sz w:val="20"/>
          <w:szCs w:val="20"/>
        </w:rPr>
        <w:lastRenderedPageBreak/>
        <w:t>publicly or otherwise revise any forward-l</w:t>
      </w:r>
      <w:r>
        <w:rPr>
          <w:rFonts w:eastAsia="Times New Roman"/>
          <w:color w:val="000000"/>
          <w:sz w:val="20"/>
          <w:szCs w:val="20"/>
        </w:rPr>
        <w:t>ooking statements, whether as a result of new information, new estimates, or other factors, events or circumstances after the date of these forward looking statements, except when expressly required by law. Given these risks and uncertainties, you should n</w:t>
      </w:r>
      <w:r>
        <w:rPr>
          <w:rFonts w:eastAsia="Times New Roman"/>
          <w:color w:val="000000"/>
          <w:sz w:val="20"/>
          <w:szCs w:val="20"/>
        </w:rPr>
        <w:t>ot rely on any forward-looking statements in this report, or which management may make orally or in writing from time to time, neither as predictions of future events nor guarantees of future performance.</w:t>
      </w:r>
    </w:p>
    <w:p w:rsidR="00000000" w:rsidRDefault="00D04F4B">
      <w:pPr>
        <w:jc w:val="both"/>
        <w:divId w:val="175116099"/>
        <w:rPr>
          <w:rFonts w:eastAsia="Times New Roman"/>
        </w:rPr>
      </w:pPr>
      <w:r>
        <w:rPr>
          <w:rFonts w:eastAsia="Times New Roman"/>
          <w:b/>
          <w:bCs/>
          <w:color w:val="000000"/>
          <w:sz w:val="20"/>
          <w:szCs w:val="20"/>
          <w:u w:val="single"/>
        </w:rPr>
        <w:t>General Discussion of our Business</w:t>
      </w:r>
    </w:p>
    <w:p w:rsidR="00000000" w:rsidRDefault="00D04F4B">
      <w:pPr>
        <w:ind w:firstLine="720"/>
        <w:jc w:val="both"/>
        <w:divId w:val="467940769"/>
        <w:rPr>
          <w:rFonts w:eastAsia="Times New Roman"/>
        </w:rPr>
      </w:pPr>
      <w:r>
        <w:rPr>
          <w:rFonts w:eastAsia="Times New Roman"/>
          <w:color w:val="000000"/>
          <w:sz w:val="20"/>
          <w:szCs w:val="20"/>
        </w:rPr>
        <w:t>Public Storage (</w:t>
      </w:r>
      <w:r>
        <w:rPr>
          <w:rFonts w:eastAsia="Times New Roman"/>
          <w:color w:val="000000"/>
          <w:sz w:val="20"/>
          <w:szCs w:val="20"/>
        </w:rPr>
        <w:t>referred to herein as “the Company”, “we”, “us”, or “our”), a Maryland REIT, was organized in 1980. Our principal business activities include the ownership and operation of self-storage facilities and other related operations including tenant reinsurance a</w:t>
      </w:r>
      <w:r>
        <w:rPr>
          <w:rFonts w:eastAsia="Times New Roman"/>
          <w:color w:val="000000"/>
          <w:sz w:val="20"/>
          <w:szCs w:val="20"/>
        </w:rPr>
        <w:t>nd third-party self-storage management. We are the industry leading owner and operator of self-storage properties with a recognizable brand, including the ubiquitous orange color, which is one of the most recognizable within the industry.</w:t>
      </w:r>
    </w:p>
    <w:p w:rsidR="00000000" w:rsidRDefault="00D04F4B">
      <w:pPr>
        <w:jc w:val="both"/>
        <w:divId w:val="36902376"/>
        <w:rPr>
          <w:rFonts w:eastAsia="Times New Roman"/>
        </w:rPr>
      </w:pPr>
      <w:r>
        <w:rPr>
          <w:rFonts w:eastAsia="Times New Roman"/>
          <w:color w:val="000000"/>
          <w:sz w:val="20"/>
          <w:szCs w:val="20"/>
          <w:u w:val="single"/>
        </w:rPr>
        <w:t>Self-storage Oper</w:t>
      </w:r>
      <w:r>
        <w:rPr>
          <w:rFonts w:eastAsia="Times New Roman"/>
          <w:color w:val="000000"/>
          <w:sz w:val="20"/>
          <w:szCs w:val="20"/>
          <w:u w:val="single"/>
        </w:rPr>
        <w:t>ations</w:t>
      </w:r>
      <w:r>
        <w:rPr>
          <w:rFonts w:eastAsia="Times New Roman"/>
          <w:color w:val="000000"/>
          <w:sz w:val="20"/>
          <w:szCs w:val="20"/>
        </w:rPr>
        <w:t>:</w:t>
      </w:r>
    </w:p>
    <w:p w:rsidR="00000000" w:rsidRDefault="00D04F4B">
      <w:pPr>
        <w:ind w:firstLine="720"/>
        <w:jc w:val="both"/>
        <w:divId w:val="1909221658"/>
        <w:rPr>
          <w:rFonts w:eastAsia="Times New Roman"/>
        </w:rPr>
      </w:pPr>
      <w:r>
        <w:rPr>
          <w:rFonts w:eastAsia="Times New Roman"/>
          <w:color w:val="000000"/>
          <w:sz w:val="20"/>
          <w:szCs w:val="20"/>
        </w:rPr>
        <w:t>We acquire, develop, own and operate self-storage facilities, which offer storage spaces for lease on a month-to-month basis, for personal and business use. We are the largest owner and operator of self-storage facilities in the United States ("U.S</w:t>
      </w:r>
      <w:r>
        <w:rPr>
          <w:rFonts w:eastAsia="Times New Roman"/>
          <w:color w:val="000000"/>
          <w:sz w:val="20"/>
          <w:szCs w:val="20"/>
        </w:rPr>
        <w:t>.") with physical presence in most major markets and 39 states. We believe our scale, brand name and technology platform afford us competitive advantages. At December 31, 2021, we held interests in and consolidated 2,787 self-storage facilities (an aggrega</w:t>
      </w:r>
      <w:r>
        <w:rPr>
          <w:rFonts w:eastAsia="Times New Roman"/>
          <w:color w:val="000000"/>
          <w:sz w:val="20"/>
          <w:szCs w:val="20"/>
        </w:rPr>
        <w:t>te of 198 million net rentable square feet of space) operating under the Public Storage® name.</w:t>
      </w:r>
    </w:p>
    <w:p w:rsidR="00000000" w:rsidRDefault="00D04F4B">
      <w:pPr>
        <w:jc w:val="both"/>
        <w:divId w:val="641540629"/>
        <w:rPr>
          <w:rFonts w:eastAsia="Times New Roman"/>
        </w:rPr>
      </w:pPr>
      <w:r>
        <w:rPr>
          <w:rFonts w:eastAsia="Times New Roman"/>
          <w:color w:val="000000"/>
          <w:sz w:val="20"/>
          <w:szCs w:val="20"/>
          <w:u w:val="single"/>
        </w:rPr>
        <w:t>Other Operations:</w:t>
      </w:r>
    </w:p>
    <w:p w:rsidR="00000000" w:rsidRDefault="00D04F4B">
      <w:pPr>
        <w:ind w:firstLine="720"/>
        <w:jc w:val="both"/>
        <w:divId w:val="116030457"/>
        <w:rPr>
          <w:rFonts w:eastAsia="Times New Roman"/>
        </w:rPr>
      </w:pPr>
      <w:r>
        <w:rPr>
          <w:rFonts w:eastAsia="Times New Roman"/>
          <w:color w:val="000000"/>
          <w:sz w:val="20"/>
          <w:szCs w:val="20"/>
        </w:rPr>
        <w:t xml:space="preserve">Our customers have the option of purchasing insurance from a non-affiliated insurance company to cover certain losses to their goods stored at </w:t>
      </w:r>
      <w:r>
        <w:rPr>
          <w:rFonts w:eastAsia="Times New Roman"/>
          <w:color w:val="000000"/>
          <w:sz w:val="20"/>
          <w:szCs w:val="20"/>
        </w:rPr>
        <w:t>our facilities, as well as those we manage for third parties. A wholly-owned, consolidated subsidiary of Public Storage fully reinsures such policies and thereby assumes all risk of losses under these policies and receives reinsurance premiums substantiall</w:t>
      </w:r>
      <w:r>
        <w:rPr>
          <w:rFonts w:eastAsia="Times New Roman"/>
          <w:color w:val="000000"/>
          <w:sz w:val="20"/>
          <w:szCs w:val="20"/>
        </w:rPr>
        <w:t>y equal to the premiums collected from our tenants, from the non-affiliated insurance company. These policies cover claims for losses related to specified events up to a maximum limit of $5,000 per storage unit. We reinsure all risks in this program but pu</w:t>
      </w:r>
      <w:r>
        <w:rPr>
          <w:rFonts w:eastAsia="Times New Roman"/>
          <w:color w:val="000000"/>
          <w:sz w:val="20"/>
          <w:szCs w:val="20"/>
        </w:rPr>
        <w:t>rchase insurance from an independent third party insurer to cover this exposure for a limit of $15.0 million for losses in excess of $5.0 million per occurrence. At December 31, 2021, there were approximately 1.2 million certificates of insurance held by o</w:t>
      </w:r>
      <w:r>
        <w:rPr>
          <w:rFonts w:eastAsia="Times New Roman"/>
          <w:color w:val="000000"/>
          <w:sz w:val="20"/>
          <w:szCs w:val="20"/>
        </w:rPr>
        <w:t>ur self-storage customers, representing aggregate coverage of approximately $4.9 billion.</w:t>
      </w:r>
    </w:p>
    <w:p w:rsidR="00000000" w:rsidRDefault="00D04F4B">
      <w:pPr>
        <w:jc w:val="center"/>
        <w:divId w:val="524096217"/>
        <w:rPr>
          <w:rFonts w:eastAsia="Times New Roman"/>
        </w:rPr>
      </w:pPr>
      <w:r>
        <w:rPr>
          <w:rFonts w:eastAsia="Times New Roman"/>
          <w:color w:val="000000"/>
          <w:sz w:val="20"/>
          <w:szCs w:val="20"/>
        </w:rPr>
        <w:t>2</w:t>
      </w:r>
    </w:p>
    <w:p w:rsidR="00000000" w:rsidRDefault="00D04F4B">
      <w:pPr>
        <w:rPr>
          <w:rFonts w:eastAsia="Times New Roman"/>
        </w:rPr>
      </w:pPr>
      <w:r>
        <w:rPr>
          <w:rFonts w:eastAsia="Times New Roman"/>
        </w:rPr>
        <w:pict>
          <v:rect id="_x0000_i1026" style="width:0;height:1.5pt" o:hralign="center" o:hrstd="t" o:hr="t" fillcolor="#a0a0a0" stroked="f"/>
        </w:pict>
      </w:r>
    </w:p>
    <w:p w:rsidR="00000000" w:rsidRDefault="00D04F4B">
      <w:pPr>
        <w:divId w:val="199709954"/>
        <w:rPr>
          <w:rFonts w:eastAsia="Times New Roman"/>
        </w:rPr>
      </w:pPr>
    </w:p>
    <w:p w:rsidR="00000000" w:rsidRDefault="00D04F4B">
      <w:pPr>
        <w:ind w:firstLine="720"/>
        <w:jc w:val="both"/>
        <w:divId w:val="181938916"/>
        <w:rPr>
          <w:rFonts w:eastAsia="Times New Roman"/>
        </w:rPr>
      </w:pPr>
      <w:r>
        <w:rPr>
          <w:rFonts w:eastAsia="Times New Roman"/>
          <w:color w:val="000000"/>
          <w:sz w:val="20"/>
          <w:szCs w:val="20"/>
        </w:rPr>
        <w:t>At December 31, 2021, we managed 93 facilities for third parties, and were under contract to manage 59 additional facilities i</w:t>
      </w:r>
      <w:r>
        <w:rPr>
          <w:rFonts w:eastAsia="Times New Roman"/>
          <w:color w:val="000000"/>
          <w:sz w:val="20"/>
          <w:szCs w:val="20"/>
        </w:rPr>
        <w:t>ncluding 54 facilities that are currently under construction. In addition, we sell merchandise, primarily locks and cardboard boxes at our self-storage facilities.</w:t>
      </w:r>
    </w:p>
    <w:p w:rsidR="00000000" w:rsidRDefault="00D04F4B">
      <w:pPr>
        <w:ind w:firstLine="720"/>
        <w:jc w:val="both"/>
        <w:divId w:val="50081119"/>
        <w:rPr>
          <w:rFonts w:eastAsia="Times New Roman"/>
        </w:rPr>
      </w:pPr>
      <w:r>
        <w:rPr>
          <w:rFonts w:eastAsia="Times New Roman"/>
          <w:color w:val="000000"/>
          <w:sz w:val="20"/>
          <w:szCs w:val="20"/>
        </w:rPr>
        <w:t>We hold a 41% equity interest in PS Business Parks, Inc. (“PSB”) and a 35% interest in Shurg</w:t>
      </w:r>
      <w:r>
        <w:rPr>
          <w:rFonts w:eastAsia="Times New Roman"/>
          <w:color w:val="000000"/>
          <w:sz w:val="20"/>
          <w:szCs w:val="20"/>
        </w:rPr>
        <w:t>ard Self Storage SA (“Shurgard”). PSB is a publicly held REIT traded on the NYSE under the "PSB" symbol that owns, operates, acquires and develops commercial properties, primarily multi-tenant flex, office, and industrial parks. At December 31, 2021, PSB o</w:t>
      </w:r>
      <w:r>
        <w:rPr>
          <w:rFonts w:eastAsia="Times New Roman"/>
          <w:color w:val="000000"/>
          <w:sz w:val="20"/>
          <w:szCs w:val="20"/>
        </w:rPr>
        <w:t xml:space="preserve">wned and operated 28 million rentable square feet of commercial space. Shurgard is a public company traded on Euronext Brussels under the “SHUR” symbol. At December 31, 2021, Shurgard owned and operated 253 self-storage facilities (14 million net rentable </w:t>
      </w:r>
      <w:r>
        <w:rPr>
          <w:rFonts w:eastAsia="Times New Roman"/>
          <w:color w:val="000000"/>
          <w:sz w:val="20"/>
          <w:szCs w:val="20"/>
        </w:rPr>
        <w:t>square feet) located in seven countries in Western Europe under the Shurgard® name.</w:t>
      </w:r>
    </w:p>
    <w:p w:rsidR="00000000" w:rsidRDefault="00D04F4B">
      <w:pPr>
        <w:ind w:firstLine="720"/>
        <w:jc w:val="both"/>
        <w:divId w:val="477115194"/>
        <w:rPr>
          <w:rFonts w:eastAsia="Times New Roman"/>
        </w:rPr>
      </w:pPr>
      <w:r>
        <w:rPr>
          <w:rFonts w:eastAsia="Times New Roman"/>
          <w:color w:val="000000"/>
          <w:sz w:val="20"/>
          <w:szCs w:val="20"/>
        </w:rPr>
        <w:t>For all periods presented herein, we have elected to be treated as a REIT, as defined in the Internal Revenue Code of 1986, as amended (the “Code”). For each taxable year i</w:t>
      </w:r>
      <w:r>
        <w:rPr>
          <w:rFonts w:eastAsia="Times New Roman"/>
          <w:color w:val="000000"/>
          <w:sz w:val="20"/>
          <w:szCs w:val="20"/>
        </w:rPr>
        <w:t xml:space="preserve">n which we qualify for taxation as a REIT, we will not be subject to U.S. federal corporate income tax on our “REIT taxable income” (generally, taxable income subject to specified adjustments, including a deduction for dividends paid and excluding our net </w:t>
      </w:r>
      <w:r>
        <w:rPr>
          <w:rFonts w:eastAsia="Times New Roman"/>
          <w:color w:val="000000"/>
          <w:sz w:val="20"/>
          <w:szCs w:val="20"/>
        </w:rPr>
        <w:t>capital gain) that is distributed to our shareholders. We believe we met these requirements in all periods presented herein and we expect to continue to qualify as a REIT.</w:t>
      </w:r>
    </w:p>
    <w:p w:rsidR="00000000" w:rsidRDefault="00D04F4B">
      <w:pPr>
        <w:ind w:firstLine="720"/>
        <w:jc w:val="both"/>
        <w:divId w:val="1593316080"/>
        <w:rPr>
          <w:rFonts w:eastAsia="Times New Roman"/>
        </w:rPr>
      </w:pPr>
      <w:r>
        <w:rPr>
          <w:rFonts w:eastAsia="Times New Roman"/>
          <w:color w:val="000000"/>
          <w:sz w:val="20"/>
          <w:szCs w:val="20"/>
        </w:rPr>
        <w:lastRenderedPageBreak/>
        <w:t>We report annually to the SEC on Form 10-K, which includes consolidated financial st</w:t>
      </w:r>
      <w:r>
        <w:rPr>
          <w:rFonts w:eastAsia="Times New Roman"/>
          <w:color w:val="000000"/>
          <w:sz w:val="20"/>
          <w:szCs w:val="20"/>
        </w:rPr>
        <w:t>atements certified by our independent registered public accountants. We also report quarterly to the SEC on Form 10-Q, which includes unaudited consolidated financial statements. We expect to continue such reporting.</w:t>
      </w:r>
    </w:p>
    <w:p w:rsidR="00000000" w:rsidRDefault="00D04F4B">
      <w:pPr>
        <w:ind w:firstLine="720"/>
        <w:jc w:val="both"/>
        <w:divId w:val="234827203"/>
        <w:rPr>
          <w:rFonts w:eastAsia="Times New Roman"/>
        </w:rPr>
      </w:pPr>
      <w:r>
        <w:rPr>
          <w:rFonts w:eastAsia="Times New Roman"/>
          <w:color w:val="000000"/>
          <w:sz w:val="20"/>
          <w:szCs w:val="20"/>
        </w:rPr>
        <w:t xml:space="preserve">On our website, www.publicstorage.com, </w:t>
      </w:r>
      <w:r>
        <w:rPr>
          <w:rFonts w:eastAsia="Times New Roman"/>
          <w:color w:val="000000"/>
          <w:sz w:val="20"/>
          <w:szCs w:val="20"/>
        </w:rPr>
        <w:t>we make available, free of charge, our annual reports on Form 10-K, quarterly reports on Form 10-Q, current reports on Form 8-K, definitive proxy statements, and other reports required to be filed with the SEC, as well as all amendments to those reports as</w:t>
      </w:r>
      <w:r>
        <w:rPr>
          <w:rFonts w:eastAsia="Times New Roman"/>
          <w:color w:val="000000"/>
          <w:sz w:val="20"/>
          <w:szCs w:val="20"/>
        </w:rPr>
        <w:t xml:space="preserve"> soon as reasonably practicable after the reports and amendments are electronically filed with or furnished to the SEC. The information contained on our website is not a part of, or incorporated by reference into, this Annual Report on Form 10-K.</w:t>
      </w:r>
    </w:p>
    <w:p w:rsidR="00000000" w:rsidRDefault="00D04F4B">
      <w:pPr>
        <w:jc w:val="both"/>
        <w:divId w:val="440226405"/>
        <w:rPr>
          <w:rFonts w:eastAsia="Times New Roman"/>
        </w:rPr>
      </w:pPr>
      <w:r>
        <w:rPr>
          <w:rFonts w:eastAsia="Times New Roman"/>
          <w:b/>
          <w:bCs/>
          <w:color w:val="000000"/>
          <w:sz w:val="20"/>
          <w:szCs w:val="20"/>
          <w:u w:val="single"/>
        </w:rPr>
        <w:t>Competiti</w:t>
      </w:r>
      <w:r>
        <w:rPr>
          <w:rFonts w:eastAsia="Times New Roman"/>
          <w:b/>
          <w:bCs/>
          <w:color w:val="000000"/>
          <w:sz w:val="20"/>
          <w:szCs w:val="20"/>
          <w:u w:val="single"/>
        </w:rPr>
        <w:t>on</w:t>
      </w:r>
    </w:p>
    <w:p w:rsidR="00000000" w:rsidRDefault="00D04F4B">
      <w:pPr>
        <w:ind w:firstLine="720"/>
        <w:jc w:val="both"/>
        <w:divId w:val="128322705"/>
        <w:rPr>
          <w:rFonts w:eastAsia="Times New Roman"/>
        </w:rPr>
      </w:pPr>
      <w:r>
        <w:rPr>
          <w:rFonts w:eastAsia="Times New Roman"/>
          <w:color w:val="000000"/>
          <w:sz w:val="20"/>
          <w:szCs w:val="20"/>
        </w:rPr>
        <w:t>Ownership and operation of self-storage facilities is highly fragmented. As the largest owner of self-storage facilities, we believe that we own approximately 9% of the self-storage square footage in the U.S. and that collectively the five largest self-</w:t>
      </w:r>
      <w:r>
        <w:rPr>
          <w:rFonts w:eastAsia="Times New Roman"/>
          <w:color w:val="000000"/>
          <w:sz w:val="20"/>
          <w:szCs w:val="20"/>
        </w:rPr>
        <w:t>storage owners in the U.S. own approximately 19%, with the remaining 81% owned by regional and local operators. We believe our Public Storage® brand awareness is a competitive advantage in acquiring customers relative to other self-storage operators.</w:t>
      </w:r>
    </w:p>
    <w:p w:rsidR="00000000" w:rsidRDefault="00D04F4B">
      <w:pPr>
        <w:ind w:firstLine="720"/>
        <w:jc w:val="both"/>
        <w:divId w:val="678115419"/>
        <w:rPr>
          <w:rFonts w:eastAsia="Times New Roman"/>
        </w:rPr>
      </w:pPr>
      <w:r>
        <w:rPr>
          <w:rFonts w:eastAsia="Times New Roman"/>
          <w:color w:val="000000"/>
          <w:sz w:val="20"/>
          <w:szCs w:val="20"/>
        </w:rPr>
        <w:t>The high level of ownership fragmentation in the industry is partially attributable to the relative simplicity of managing a local self-storage facility, such that small-scale owners can operate self-storage facilities at a basic level of profitability wit</w:t>
      </w:r>
      <w:r>
        <w:rPr>
          <w:rFonts w:eastAsia="Times New Roman"/>
          <w:color w:val="000000"/>
          <w:sz w:val="20"/>
          <w:szCs w:val="20"/>
        </w:rPr>
        <w:t>hout significant managerial or operational infrastructure. Our facilities compete with nearby self-storage facilities owned by other operators using marketing channels, including Internet advertising, signage, and banners and offering services similar to o</w:t>
      </w:r>
      <w:r>
        <w:rPr>
          <w:rFonts w:eastAsia="Times New Roman"/>
          <w:color w:val="000000"/>
          <w:sz w:val="20"/>
          <w:szCs w:val="20"/>
        </w:rPr>
        <w:t>urs. As a result, competition is significant and affects the occupancy levels, rental rates, rental income and operating expenses of our facilities. However, we believe that the economies of scale inherent in this business result in our being able to opera</w:t>
      </w:r>
      <w:r>
        <w:rPr>
          <w:rFonts w:eastAsia="Times New Roman"/>
          <w:color w:val="000000"/>
          <w:sz w:val="20"/>
          <w:szCs w:val="20"/>
        </w:rPr>
        <w:t>te self-storage facilities at a materially higher level of cash flow per square foot than other operators without our scale.</w:t>
      </w:r>
    </w:p>
    <w:p w:rsidR="00000000" w:rsidRDefault="00D04F4B">
      <w:pPr>
        <w:jc w:val="both"/>
        <w:divId w:val="274600106"/>
        <w:rPr>
          <w:rFonts w:eastAsia="Times New Roman"/>
        </w:rPr>
      </w:pPr>
      <w:r>
        <w:rPr>
          <w:rFonts w:eastAsia="Times New Roman"/>
          <w:b/>
          <w:bCs/>
          <w:color w:val="000000"/>
          <w:sz w:val="20"/>
          <w:szCs w:val="20"/>
          <w:u w:val="single"/>
        </w:rPr>
        <w:t>Technology</w:t>
      </w:r>
    </w:p>
    <w:p w:rsidR="00000000" w:rsidRDefault="00D04F4B">
      <w:pPr>
        <w:ind w:firstLine="720"/>
        <w:jc w:val="both"/>
        <w:divId w:val="1453283669"/>
        <w:rPr>
          <w:rFonts w:eastAsia="Times New Roman"/>
        </w:rPr>
      </w:pPr>
      <w:r>
        <w:rPr>
          <w:rFonts w:eastAsia="Times New Roman"/>
          <w:color w:val="000000"/>
          <w:sz w:val="20"/>
          <w:szCs w:val="20"/>
        </w:rPr>
        <w:t>We believe technology enables revenue optimization and cost efficiencies. Over the past few years we have invested in te</w:t>
      </w:r>
      <w:r>
        <w:rPr>
          <w:rFonts w:eastAsia="Times New Roman"/>
          <w:color w:val="000000"/>
          <w:sz w:val="20"/>
          <w:szCs w:val="20"/>
        </w:rPr>
        <w:t>chnologies that we believe have enabled us to operate and compete more effectively by providing customers with a modern digital experience.</w:t>
      </w:r>
    </w:p>
    <w:p w:rsidR="00000000" w:rsidRDefault="00D04F4B">
      <w:pPr>
        <w:ind w:firstLine="720"/>
        <w:jc w:val="both"/>
        <w:divId w:val="1188061416"/>
        <w:rPr>
          <w:rFonts w:eastAsia="Times New Roman"/>
        </w:rPr>
      </w:pPr>
      <w:r>
        <w:rPr>
          <w:rFonts w:eastAsia="Times New Roman"/>
          <w:b/>
          <w:bCs/>
          <w:i/>
          <w:iCs/>
          <w:color w:val="000000"/>
          <w:sz w:val="20"/>
          <w:szCs w:val="20"/>
        </w:rPr>
        <w:t>Convenient shopping experience:</w:t>
      </w:r>
      <w:r>
        <w:rPr>
          <w:rFonts w:eastAsia="Times New Roman"/>
          <w:color w:val="000000"/>
          <w:sz w:val="20"/>
          <w:szCs w:val="20"/>
        </w:rPr>
        <w:t xml:space="preserve"> Customers can conveniently shop for available storage space, reviewing attributes su</w:t>
      </w:r>
      <w:r>
        <w:rPr>
          <w:rFonts w:eastAsia="Times New Roman"/>
          <w:color w:val="000000"/>
          <w:sz w:val="20"/>
          <w:szCs w:val="20"/>
        </w:rPr>
        <w:t>ch as facility location, size, amenities such as climate-control, as well as pricing, through the following marketing channels:</w:t>
      </w:r>
    </w:p>
    <w:p w:rsidR="00000000" w:rsidRDefault="00D04F4B">
      <w:pPr>
        <w:ind w:hanging="360"/>
        <w:jc w:val="both"/>
        <w:divId w:val="1175222007"/>
        <w:rPr>
          <w:rFonts w:eastAsia="Times New Roman"/>
        </w:rPr>
      </w:pPr>
      <w:r>
        <w:rPr>
          <w:rFonts w:eastAsia="Times New Roman"/>
          <w:b/>
          <w:bCs/>
          <w:i/>
          <w:iCs/>
          <w:color w:val="000000"/>
          <w:sz w:val="20"/>
          <w:szCs w:val="20"/>
        </w:rPr>
        <w:t>•Our Desktop and Mobile Websites:</w:t>
      </w:r>
      <w:r>
        <w:rPr>
          <w:rFonts w:eastAsia="Times New Roman"/>
          <w:color w:val="000000"/>
          <w:sz w:val="20"/>
          <w:szCs w:val="20"/>
        </w:rPr>
        <w:t xml:space="preserve"> The online marketing channel is a key source of customers. Approximately 76% of our move-ins i</w:t>
      </w:r>
      <w:r>
        <w:rPr>
          <w:rFonts w:eastAsia="Times New Roman"/>
          <w:color w:val="000000"/>
          <w:sz w:val="20"/>
          <w:szCs w:val="20"/>
        </w:rPr>
        <w:t xml:space="preserve">n 2021 were sourced through our website and we believe that many of our other customers who reserved directly through our customer care center or arrived at a facility and </w:t>
      </w:r>
    </w:p>
    <w:p w:rsidR="00000000" w:rsidRDefault="00D04F4B">
      <w:pPr>
        <w:jc w:val="center"/>
        <w:divId w:val="504059073"/>
        <w:rPr>
          <w:rFonts w:eastAsia="Times New Roman"/>
        </w:rPr>
      </w:pPr>
      <w:r>
        <w:rPr>
          <w:rFonts w:eastAsia="Times New Roman"/>
          <w:color w:val="000000"/>
          <w:sz w:val="20"/>
          <w:szCs w:val="20"/>
        </w:rPr>
        <w:t>3</w:t>
      </w:r>
    </w:p>
    <w:p w:rsidR="00000000" w:rsidRDefault="00D04F4B">
      <w:pPr>
        <w:rPr>
          <w:rFonts w:eastAsia="Times New Roman"/>
        </w:rPr>
      </w:pPr>
      <w:r>
        <w:rPr>
          <w:rFonts w:eastAsia="Times New Roman"/>
        </w:rPr>
        <w:pict>
          <v:rect id="_x0000_i1027" style="width:0;height:1.5pt" o:hralign="center" o:hrstd="t" o:hr="t" fillcolor="#a0a0a0" stroked="f"/>
        </w:pict>
      </w:r>
    </w:p>
    <w:p w:rsidR="00000000" w:rsidRDefault="00D04F4B">
      <w:pPr>
        <w:divId w:val="78600792"/>
        <w:rPr>
          <w:rFonts w:eastAsia="Times New Roman"/>
        </w:rPr>
      </w:pPr>
    </w:p>
    <w:p w:rsidR="00000000" w:rsidRDefault="00D04F4B">
      <w:pPr>
        <w:jc w:val="both"/>
        <w:divId w:val="947469438"/>
        <w:rPr>
          <w:rFonts w:eastAsia="Times New Roman"/>
        </w:rPr>
      </w:pPr>
      <w:r>
        <w:rPr>
          <w:rFonts w:eastAsia="Times New Roman"/>
          <w:color w:val="000000"/>
          <w:sz w:val="20"/>
          <w:szCs w:val="20"/>
        </w:rPr>
        <w:t>moved in without a reservation, have revie</w:t>
      </w:r>
      <w:r>
        <w:rPr>
          <w:rFonts w:eastAsia="Times New Roman"/>
          <w:color w:val="000000"/>
          <w:sz w:val="20"/>
          <w:szCs w:val="20"/>
        </w:rPr>
        <w:t>wed our pricing and availability online through our websites. We seek to regularly update the structure, layout, and content of our website in order to enhance our placement in “unpaid” search in Google and related websites, to improve the efficiency of ou</w:t>
      </w:r>
      <w:r>
        <w:rPr>
          <w:rFonts w:eastAsia="Times New Roman"/>
          <w:color w:val="000000"/>
          <w:sz w:val="20"/>
          <w:szCs w:val="20"/>
        </w:rPr>
        <w:t>r bids in “paid” search campaigns, and to maximize users’ likelihood of reserving space on our website.</w:t>
      </w:r>
    </w:p>
    <w:p w:rsidR="00000000" w:rsidRDefault="00D04F4B">
      <w:pPr>
        <w:ind w:hanging="360"/>
        <w:jc w:val="both"/>
        <w:divId w:val="1428699465"/>
        <w:rPr>
          <w:rFonts w:eastAsia="Times New Roman"/>
        </w:rPr>
      </w:pPr>
      <w:r>
        <w:rPr>
          <w:rFonts w:eastAsia="Times New Roman"/>
          <w:b/>
          <w:bCs/>
          <w:i/>
          <w:iCs/>
          <w:color w:val="000000"/>
          <w:sz w:val="20"/>
          <w:szCs w:val="20"/>
        </w:rPr>
        <w:t>•Our Customer Care Center:</w:t>
      </w:r>
      <w:r>
        <w:rPr>
          <w:rFonts w:eastAsia="Times New Roman"/>
          <w:color w:val="000000"/>
          <w:sz w:val="20"/>
          <w:szCs w:val="20"/>
        </w:rPr>
        <w:t xml:space="preserve"> Our customer care center is staffed by skilled sales specialists and customer service representatives. Customers reach our cu</w:t>
      </w:r>
      <w:r>
        <w:rPr>
          <w:rFonts w:eastAsia="Times New Roman"/>
          <w:color w:val="000000"/>
          <w:sz w:val="20"/>
          <w:szCs w:val="20"/>
        </w:rPr>
        <w:t>stomer care center by calling our advertised toll-free telephone numbers provided on search engines, from our website, the Public Storage App, or from our in-store kiosks. We believe giving customers the option to interact with a live agent, despite the hi</w:t>
      </w:r>
      <w:r>
        <w:rPr>
          <w:rFonts w:eastAsia="Times New Roman"/>
          <w:color w:val="000000"/>
          <w:sz w:val="20"/>
          <w:szCs w:val="20"/>
        </w:rPr>
        <w:t>gher marginal cost relative to a reservation made on our website, enhances our ability to close sales with potential customers and results in greater satisfaction. In 2021, we added live internet chat capability as another channel for our customers to enga</w:t>
      </w:r>
      <w:r>
        <w:rPr>
          <w:rFonts w:eastAsia="Times New Roman"/>
          <w:color w:val="000000"/>
          <w:sz w:val="20"/>
          <w:szCs w:val="20"/>
        </w:rPr>
        <w:t>ge our agents, cost effectively improving customer responsiveness.</w:t>
      </w:r>
    </w:p>
    <w:p w:rsidR="00000000" w:rsidRDefault="00D04F4B">
      <w:pPr>
        <w:ind w:hanging="360"/>
        <w:jc w:val="both"/>
        <w:divId w:val="1211725730"/>
        <w:rPr>
          <w:rFonts w:eastAsia="Times New Roman"/>
        </w:rPr>
      </w:pPr>
      <w:r>
        <w:rPr>
          <w:rFonts w:eastAsia="Times New Roman"/>
          <w:color w:val="000000"/>
          <w:sz w:val="20"/>
          <w:szCs w:val="20"/>
        </w:rPr>
        <w:lastRenderedPageBreak/>
        <w:t>•</w:t>
      </w:r>
      <w:r>
        <w:rPr>
          <w:rFonts w:eastAsia="Times New Roman"/>
          <w:b/>
          <w:bCs/>
          <w:i/>
          <w:iCs/>
          <w:color w:val="000000"/>
          <w:sz w:val="20"/>
          <w:szCs w:val="20"/>
        </w:rPr>
        <w:t>Our Properties:</w:t>
      </w:r>
      <w:r>
        <w:rPr>
          <w:rFonts w:eastAsia="Times New Roman"/>
          <w:color w:val="000000"/>
          <w:sz w:val="20"/>
          <w:szCs w:val="20"/>
        </w:rPr>
        <w:t xml:space="preserve"> Customers can also shop at any one of our facilities. Property managers access the same information that is available on our website and to our customer care center agents </w:t>
      </w:r>
      <w:r>
        <w:rPr>
          <w:rFonts w:eastAsia="Times New Roman"/>
          <w:color w:val="000000"/>
          <w:sz w:val="20"/>
          <w:szCs w:val="20"/>
        </w:rPr>
        <w:t>and can inform the customer of available space at that site or at our other nearby storage facilities. Property managers are trained to maximize the conversion of such “walk in” shoppers into customers. We are expanding the use of in-store kiosks to give c</w:t>
      </w:r>
      <w:r>
        <w:rPr>
          <w:rFonts w:eastAsia="Times New Roman"/>
          <w:color w:val="000000"/>
          <w:sz w:val="20"/>
          <w:szCs w:val="20"/>
        </w:rPr>
        <w:t>ustomers the options of a full self-service experience or a two-way video assisted service via our existing customer care center.</w:t>
      </w:r>
    </w:p>
    <w:p w:rsidR="00000000" w:rsidRDefault="00D04F4B">
      <w:pPr>
        <w:ind w:firstLine="720"/>
        <w:jc w:val="both"/>
        <w:divId w:val="889656085"/>
        <w:rPr>
          <w:rFonts w:eastAsia="Times New Roman"/>
        </w:rPr>
      </w:pPr>
      <w:r>
        <w:rPr>
          <w:rFonts w:eastAsia="Times New Roman"/>
          <w:b/>
          <w:bCs/>
          <w:i/>
          <w:iCs/>
          <w:color w:val="000000"/>
          <w:sz w:val="20"/>
          <w:szCs w:val="20"/>
        </w:rPr>
        <w:t>eRental® move-in process:</w:t>
      </w:r>
      <w:r>
        <w:rPr>
          <w:rFonts w:eastAsia="Times New Roman"/>
          <w:color w:val="000000"/>
          <w:sz w:val="20"/>
          <w:szCs w:val="20"/>
        </w:rPr>
        <w:t xml:space="preserve"> To further enhance the move-in experience, in 2020 we initiated our “eRental®” process whereby prosp</w:t>
      </w:r>
      <w:r>
        <w:rPr>
          <w:rFonts w:eastAsia="Times New Roman"/>
          <w:color w:val="000000"/>
          <w:sz w:val="20"/>
          <w:szCs w:val="20"/>
        </w:rPr>
        <w:t>ective tenants (including those who initially reserved a space) are able to execute their rental agreement from their smartphone or computer and then go directly to their space on the move-in date. Approximately half of customers elected this “eRental®” pr</w:t>
      </w:r>
      <w:r>
        <w:rPr>
          <w:rFonts w:eastAsia="Times New Roman"/>
          <w:color w:val="000000"/>
          <w:sz w:val="20"/>
          <w:szCs w:val="20"/>
        </w:rPr>
        <w:t>ocess during 2021.</w:t>
      </w:r>
    </w:p>
    <w:p w:rsidR="00000000" w:rsidRDefault="00D04F4B">
      <w:pPr>
        <w:ind w:firstLine="720"/>
        <w:jc w:val="both"/>
        <w:divId w:val="555750370"/>
        <w:rPr>
          <w:rFonts w:eastAsia="Times New Roman"/>
        </w:rPr>
      </w:pPr>
      <w:r>
        <w:rPr>
          <w:rFonts w:eastAsia="Times New Roman"/>
          <w:b/>
          <w:bCs/>
          <w:i/>
          <w:iCs/>
          <w:color w:val="000000"/>
          <w:sz w:val="20"/>
          <w:szCs w:val="20"/>
        </w:rPr>
        <w:t>Public Storage App:</w:t>
      </w:r>
      <w:r>
        <w:rPr>
          <w:rFonts w:eastAsia="Times New Roman"/>
          <w:color w:val="000000"/>
          <w:sz w:val="20"/>
          <w:szCs w:val="20"/>
        </w:rPr>
        <w:t xml:space="preserve"> During the fourth quarter of 2020, we implemented an industry leading customer smartphone application. The Public Storage App provides our customers with digital access to our properties, as well as payment and other </w:t>
      </w:r>
      <w:r>
        <w:rPr>
          <w:rFonts w:eastAsia="Times New Roman"/>
          <w:color w:val="000000"/>
          <w:sz w:val="20"/>
          <w:szCs w:val="20"/>
        </w:rPr>
        <w:t>account management functions.</w:t>
      </w:r>
    </w:p>
    <w:p w:rsidR="00000000" w:rsidRDefault="00D04F4B">
      <w:pPr>
        <w:ind w:firstLine="720"/>
        <w:jc w:val="both"/>
        <w:divId w:val="1155684003"/>
        <w:rPr>
          <w:rFonts w:eastAsia="Times New Roman"/>
        </w:rPr>
      </w:pPr>
      <w:r>
        <w:rPr>
          <w:rFonts w:eastAsia="Times New Roman"/>
          <w:b/>
          <w:bCs/>
          <w:i/>
          <w:iCs/>
          <w:color w:val="000000"/>
          <w:sz w:val="20"/>
          <w:szCs w:val="20"/>
        </w:rPr>
        <w:t>Centralized information networks:</w:t>
      </w:r>
      <w:r>
        <w:rPr>
          <w:rFonts w:eastAsia="Times New Roman"/>
          <w:color w:val="000000"/>
          <w:sz w:val="20"/>
          <w:szCs w:val="20"/>
        </w:rPr>
        <w:t xml:space="preserve"> </w:t>
      </w:r>
      <w:r>
        <w:rPr>
          <w:rFonts w:eastAsia="Times New Roman"/>
          <w:color w:val="000000"/>
          <w:sz w:val="20"/>
          <w:szCs w:val="20"/>
        </w:rPr>
        <w:t>Our centralized reporting and information network enables us to identify changing market conditions and operating trends as well as analyze customer data and, on an automated basis, quickly change each of our individual property’s pricing and promotions, a</w:t>
      </w:r>
      <w:r>
        <w:rPr>
          <w:rFonts w:eastAsia="Times New Roman"/>
          <w:color w:val="000000"/>
          <w:sz w:val="20"/>
          <w:szCs w:val="20"/>
        </w:rPr>
        <w:t>s well as to drive marketing spending such as the relative level of bidding for various paid search terms on paid search engines.</w:t>
      </w:r>
    </w:p>
    <w:p w:rsidR="00000000" w:rsidRDefault="00D04F4B">
      <w:pPr>
        <w:jc w:val="both"/>
        <w:divId w:val="1368489362"/>
        <w:rPr>
          <w:rFonts w:eastAsia="Times New Roman"/>
        </w:rPr>
      </w:pPr>
      <w:r>
        <w:rPr>
          <w:rFonts w:eastAsia="Times New Roman"/>
          <w:b/>
          <w:bCs/>
          <w:color w:val="000000"/>
          <w:sz w:val="20"/>
          <w:szCs w:val="20"/>
          <w:u w:val="single"/>
        </w:rPr>
        <w:t>Growth and Investment Strategies</w:t>
      </w:r>
    </w:p>
    <w:p w:rsidR="00000000" w:rsidRDefault="00D04F4B">
      <w:pPr>
        <w:ind w:firstLine="720"/>
        <w:jc w:val="both"/>
        <w:divId w:val="54352524"/>
        <w:rPr>
          <w:rFonts w:eastAsia="Times New Roman"/>
        </w:rPr>
      </w:pPr>
      <w:r>
        <w:rPr>
          <w:rFonts w:eastAsia="Times New Roman"/>
          <w:color w:val="000000"/>
          <w:sz w:val="20"/>
          <w:szCs w:val="20"/>
        </w:rPr>
        <w:t>Our ongoing growth strategies consist of: (i) improving the operating performance of our exis</w:t>
      </w:r>
      <w:r>
        <w:rPr>
          <w:rFonts w:eastAsia="Times New Roman"/>
          <w:color w:val="000000"/>
          <w:sz w:val="20"/>
          <w:szCs w:val="20"/>
        </w:rPr>
        <w:t>ting self-storage facilities, (ii) acquiring and developing facilities and (iii) growing ancillary business activities including tenant reinsurance and third-party management services. While our long-term strategy includes each of these elements, in the sh</w:t>
      </w:r>
      <w:r>
        <w:rPr>
          <w:rFonts w:eastAsia="Times New Roman"/>
          <w:color w:val="000000"/>
          <w:sz w:val="20"/>
          <w:szCs w:val="20"/>
        </w:rPr>
        <w:t>ort run the level of growth in our asset base in any period is dependent upon the cost and availability of capital, as well as the relative attractiveness of available investment alternatives.</w:t>
      </w:r>
    </w:p>
    <w:p w:rsidR="00000000" w:rsidRDefault="00D04F4B">
      <w:pPr>
        <w:ind w:firstLine="720"/>
        <w:jc w:val="both"/>
        <w:divId w:val="1245644541"/>
        <w:rPr>
          <w:rFonts w:eastAsia="Times New Roman"/>
        </w:rPr>
      </w:pPr>
      <w:r>
        <w:rPr>
          <w:rFonts w:eastAsia="Times New Roman"/>
          <w:b/>
          <w:bCs/>
          <w:i/>
          <w:iCs/>
          <w:color w:val="000000"/>
          <w:sz w:val="20"/>
          <w:szCs w:val="20"/>
        </w:rPr>
        <w:t>Improve the operating performance of existing facilities:</w:t>
      </w:r>
      <w:r>
        <w:rPr>
          <w:rFonts w:eastAsia="Times New Roman"/>
          <w:color w:val="000000"/>
          <w:sz w:val="20"/>
          <w:szCs w:val="20"/>
        </w:rPr>
        <w:t xml:space="preserve"> We re</w:t>
      </w:r>
      <w:r>
        <w:rPr>
          <w:rFonts w:eastAsia="Times New Roman"/>
          <w:color w:val="000000"/>
          <w:sz w:val="20"/>
          <w:szCs w:val="20"/>
        </w:rPr>
        <w:t>gularly update and enhance our strategies to increase the net cash flow of our existing self-storage facilities through maximizing revenues and controlling operating costs. We maximize revenues through striking the appropriate balance between occupancy and</w:t>
      </w:r>
      <w:r>
        <w:rPr>
          <w:rFonts w:eastAsia="Times New Roman"/>
          <w:color w:val="000000"/>
          <w:sz w:val="20"/>
          <w:szCs w:val="20"/>
        </w:rPr>
        <w:t xml:space="preserve"> rates to new and existing tenants by regularly adjusting (i) our promotional and other discounts, (ii) the rental rates we charge to new and existing customers, and (iii) our marketing spending and intensity. We inform these pricing and marketing decision</w:t>
      </w:r>
      <w:r>
        <w:rPr>
          <w:rFonts w:eastAsia="Times New Roman"/>
          <w:color w:val="000000"/>
          <w:sz w:val="20"/>
          <w:szCs w:val="20"/>
        </w:rPr>
        <w:t>s by observing their impact on web and customer care center traffic, reservations, move-ins, move-outs, tenant length of stay, and other indicators of response. The size and scope of our operations have enabled us to achieve high operating margins and a lo</w:t>
      </w:r>
      <w:r>
        <w:rPr>
          <w:rFonts w:eastAsia="Times New Roman"/>
          <w:color w:val="000000"/>
          <w:sz w:val="20"/>
          <w:szCs w:val="20"/>
        </w:rPr>
        <w:t>w level of administrative costs relative to revenues through the centralization of many functions, such as facility maintenance, employee compensation and benefits programs, revenue management, as well as the development and documentation of standardized o</w:t>
      </w:r>
      <w:r>
        <w:rPr>
          <w:rFonts w:eastAsia="Times New Roman"/>
          <w:color w:val="000000"/>
          <w:sz w:val="20"/>
          <w:szCs w:val="20"/>
        </w:rPr>
        <w:t>perating procedures.</w:t>
      </w:r>
    </w:p>
    <w:p w:rsidR="00000000" w:rsidRDefault="00D04F4B">
      <w:pPr>
        <w:ind w:firstLine="720"/>
        <w:jc w:val="both"/>
        <w:divId w:val="247158285"/>
        <w:rPr>
          <w:rFonts w:eastAsia="Times New Roman"/>
        </w:rPr>
      </w:pPr>
      <w:r>
        <w:rPr>
          <w:rFonts w:eastAsia="Times New Roman"/>
          <w:b/>
          <w:bCs/>
          <w:i/>
          <w:iCs/>
          <w:color w:val="000000"/>
          <w:sz w:val="20"/>
          <w:szCs w:val="20"/>
        </w:rPr>
        <w:t>Acquire existing properties:</w:t>
      </w:r>
      <w:r>
        <w:rPr>
          <w:rFonts w:eastAsia="Times New Roman"/>
          <w:color w:val="000000"/>
          <w:sz w:val="20"/>
          <w:szCs w:val="20"/>
        </w:rPr>
        <w:t xml:space="preserve"> We seek to capitalize on the fragmentation of the self-storage business through acquiring attractively priced, well-located existing self-storage facilities. We believe our presence in and knowledge of subs</w:t>
      </w:r>
      <w:r>
        <w:rPr>
          <w:rFonts w:eastAsia="Times New Roman"/>
          <w:color w:val="000000"/>
          <w:sz w:val="20"/>
          <w:szCs w:val="20"/>
        </w:rPr>
        <w:t xml:space="preserve">tantially all of the major markets in the U.S. enhances our ability to identify attractive acquisition opportunities. Data on the rental rates and occupancy levels of our existing facilities provide us an advantage in evaluating the potential of </w:t>
      </w:r>
    </w:p>
    <w:p w:rsidR="00000000" w:rsidRDefault="00D04F4B">
      <w:pPr>
        <w:jc w:val="center"/>
        <w:divId w:val="1478260915"/>
        <w:rPr>
          <w:rFonts w:eastAsia="Times New Roman"/>
        </w:rPr>
      </w:pPr>
      <w:r>
        <w:rPr>
          <w:rFonts w:eastAsia="Times New Roman"/>
          <w:color w:val="000000"/>
          <w:sz w:val="20"/>
          <w:szCs w:val="20"/>
        </w:rPr>
        <w:t>4</w:t>
      </w:r>
    </w:p>
    <w:p w:rsidR="00000000" w:rsidRDefault="00D04F4B">
      <w:pPr>
        <w:rPr>
          <w:rFonts w:eastAsia="Times New Roman"/>
        </w:rPr>
      </w:pPr>
      <w:r>
        <w:rPr>
          <w:rFonts w:eastAsia="Times New Roman"/>
        </w:rPr>
        <w:pict>
          <v:rect id="_x0000_i1028" style="width:0;height:1.5pt" o:hralign="center" o:hrstd="t" o:hr="t" fillcolor="#a0a0a0" stroked="f"/>
        </w:pict>
      </w:r>
    </w:p>
    <w:p w:rsidR="00000000" w:rsidRDefault="00D04F4B">
      <w:pPr>
        <w:divId w:val="1996373456"/>
        <w:rPr>
          <w:rFonts w:eastAsia="Times New Roman"/>
        </w:rPr>
      </w:pPr>
    </w:p>
    <w:p w:rsidR="00000000" w:rsidRDefault="00D04F4B">
      <w:pPr>
        <w:jc w:val="both"/>
        <w:divId w:val="866258207"/>
        <w:rPr>
          <w:rFonts w:eastAsia="Times New Roman"/>
        </w:rPr>
      </w:pPr>
      <w:r>
        <w:rPr>
          <w:rFonts w:eastAsia="Times New Roman"/>
          <w:color w:val="000000"/>
          <w:sz w:val="20"/>
          <w:szCs w:val="20"/>
        </w:rPr>
        <w:t>acquisition opportunities. Our aggressiveness in bidding for particular marketed facilities depends upon many factors including the potential for future growth, the quality of construction and location, the cash flow we expe</w:t>
      </w:r>
      <w:r>
        <w:rPr>
          <w:rFonts w:eastAsia="Times New Roman"/>
          <w:color w:val="000000"/>
          <w:sz w:val="20"/>
          <w:szCs w:val="20"/>
        </w:rPr>
        <w:t>ct from the facility when operated on our platform, how well the facility fits into our current geographic footprint, as well as our return on capital expectations.</w:t>
      </w:r>
    </w:p>
    <w:p w:rsidR="00000000" w:rsidRDefault="00D04F4B">
      <w:pPr>
        <w:ind w:firstLine="720"/>
        <w:jc w:val="both"/>
        <w:divId w:val="1720089906"/>
        <w:rPr>
          <w:rFonts w:eastAsia="Times New Roman"/>
        </w:rPr>
      </w:pPr>
      <w:r>
        <w:rPr>
          <w:rFonts w:eastAsia="Times New Roman"/>
          <w:b/>
          <w:bCs/>
          <w:i/>
          <w:iCs/>
          <w:color w:val="000000"/>
          <w:sz w:val="20"/>
          <w:szCs w:val="20"/>
        </w:rPr>
        <w:t>Develop new self-storage facilities and expand existing facilities:</w:t>
      </w:r>
      <w:r>
        <w:rPr>
          <w:rFonts w:eastAsia="Times New Roman"/>
          <w:color w:val="000000"/>
          <w:sz w:val="20"/>
          <w:szCs w:val="20"/>
        </w:rPr>
        <w:t xml:space="preserve"> The development of new </w:t>
      </w:r>
      <w:r>
        <w:rPr>
          <w:rFonts w:eastAsia="Times New Roman"/>
          <w:color w:val="000000"/>
          <w:sz w:val="20"/>
          <w:szCs w:val="20"/>
        </w:rPr>
        <w:t xml:space="preserve">self-storage locations and the expansion of existing facilities has been an important source of our growth. Our operating experience in major markets and experience in stabilizing new properties provides us advantages in developing new facilities. We plan </w:t>
      </w:r>
      <w:r>
        <w:rPr>
          <w:rFonts w:eastAsia="Times New Roman"/>
          <w:color w:val="000000"/>
          <w:sz w:val="20"/>
          <w:szCs w:val="20"/>
        </w:rPr>
        <w:t>to increase our development activity when attractive risk adjusted return profile with yields above those of acquisitions. However, our level of development is dependent upon many factors, including the cost and availability of land, the cost and availabil</w:t>
      </w:r>
      <w:r>
        <w:rPr>
          <w:rFonts w:eastAsia="Times New Roman"/>
          <w:color w:val="000000"/>
          <w:sz w:val="20"/>
          <w:szCs w:val="20"/>
        </w:rPr>
        <w:t>ity of construction materials and labor, zoning and permitting limitations, our cost of capital, the cost of acquiring facilities relative to developing new facilities, as well as local demand and economic conditions.</w:t>
      </w:r>
    </w:p>
    <w:p w:rsidR="00000000" w:rsidRDefault="00D04F4B">
      <w:pPr>
        <w:ind w:firstLine="720"/>
        <w:jc w:val="both"/>
        <w:divId w:val="387847090"/>
        <w:rPr>
          <w:rFonts w:eastAsia="Times New Roman"/>
        </w:rPr>
      </w:pPr>
      <w:r>
        <w:rPr>
          <w:rFonts w:eastAsia="Times New Roman"/>
          <w:b/>
          <w:bCs/>
          <w:i/>
          <w:iCs/>
          <w:color w:val="000000"/>
          <w:sz w:val="20"/>
          <w:szCs w:val="20"/>
        </w:rPr>
        <w:t>Grow ancillary business activities:</w:t>
      </w:r>
      <w:r>
        <w:rPr>
          <w:rFonts w:eastAsia="Times New Roman"/>
          <w:color w:val="000000"/>
          <w:sz w:val="20"/>
          <w:szCs w:val="20"/>
        </w:rPr>
        <w:t xml:space="preserve"> We</w:t>
      </w:r>
      <w:r>
        <w:rPr>
          <w:rFonts w:eastAsia="Times New Roman"/>
          <w:color w:val="000000"/>
          <w:sz w:val="20"/>
          <w:szCs w:val="20"/>
        </w:rPr>
        <w:t xml:space="preserve"> pursue growth initiatives aimed at increasing our insurance offering coverage for tenants who choose to protect their stored items against loss and desire to maximize their storage experience. As we grow our self-storage portfolio we have the opportunity </w:t>
      </w:r>
      <w:r>
        <w:rPr>
          <w:rFonts w:eastAsia="Times New Roman"/>
          <w:color w:val="000000"/>
          <w:sz w:val="20"/>
          <w:szCs w:val="20"/>
        </w:rPr>
        <w:t>to increase the growth profile of our tenant reinsurance business.</w:t>
      </w:r>
    </w:p>
    <w:p w:rsidR="00000000" w:rsidRDefault="00D04F4B">
      <w:pPr>
        <w:ind w:firstLine="720"/>
        <w:jc w:val="both"/>
        <w:divId w:val="738014289"/>
        <w:rPr>
          <w:rFonts w:eastAsia="Times New Roman"/>
        </w:rPr>
      </w:pPr>
      <w:r>
        <w:rPr>
          <w:rFonts w:eastAsia="Times New Roman"/>
          <w:color w:val="000000"/>
          <w:sz w:val="20"/>
          <w:szCs w:val="20"/>
        </w:rPr>
        <w:t>Our third party management business enables us to generate revenues through management fees, expand our presence, increase our economies of scale, promote our brand, and enhance our ability</w:t>
      </w:r>
      <w:r>
        <w:rPr>
          <w:rFonts w:eastAsia="Times New Roman"/>
          <w:color w:val="000000"/>
          <w:sz w:val="20"/>
          <w:szCs w:val="20"/>
        </w:rPr>
        <w:t xml:space="preserve"> to acquire additional facilities over the medium and long-term as a result of strategic relationships forged with third-party owners.</w:t>
      </w:r>
    </w:p>
    <w:p w:rsidR="00000000" w:rsidRDefault="00D04F4B">
      <w:pPr>
        <w:jc w:val="both"/>
        <w:divId w:val="737173265"/>
        <w:rPr>
          <w:rFonts w:eastAsia="Times New Roman"/>
        </w:rPr>
      </w:pPr>
      <w:r>
        <w:rPr>
          <w:rFonts w:eastAsia="Times New Roman"/>
          <w:b/>
          <w:bCs/>
          <w:color w:val="000000"/>
          <w:sz w:val="20"/>
          <w:szCs w:val="20"/>
          <w:u w:val="single"/>
        </w:rPr>
        <w:t>Compliance with Government Regulations</w:t>
      </w:r>
    </w:p>
    <w:p w:rsidR="00000000" w:rsidRDefault="00D04F4B">
      <w:pPr>
        <w:ind w:firstLine="720"/>
        <w:jc w:val="both"/>
        <w:divId w:val="1072235996"/>
        <w:rPr>
          <w:rFonts w:eastAsia="Times New Roman"/>
        </w:rPr>
      </w:pPr>
      <w:r>
        <w:rPr>
          <w:rFonts w:eastAsia="Times New Roman"/>
          <w:color w:val="000000"/>
          <w:sz w:val="20"/>
          <w:szCs w:val="20"/>
        </w:rPr>
        <w:t>We are subject to various laws, ordinances and regulations, including various federal, state and local regulations that apply generally to the ownership of real property and the operation of self-storage properties. These include various laws and governmen</w:t>
      </w:r>
      <w:r>
        <w:rPr>
          <w:rFonts w:eastAsia="Times New Roman"/>
          <w:color w:val="000000"/>
          <w:sz w:val="20"/>
          <w:szCs w:val="20"/>
        </w:rPr>
        <w:t>t regulations concerning environmental matters, labor matters and employee safety and health matters. Further, our insurance activities are subject to state insurance laws and regulations as determined by the particular insurance commissioner for each stat</w:t>
      </w:r>
      <w:r>
        <w:rPr>
          <w:rFonts w:eastAsia="Times New Roman"/>
          <w:color w:val="000000"/>
          <w:sz w:val="20"/>
          <w:szCs w:val="20"/>
        </w:rPr>
        <w:t>e in accordance with certain federal regulations.</w:t>
      </w:r>
    </w:p>
    <w:p w:rsidR="00000000" w:rsidRDefault="00D04F4B">
      <w:pPr>
        <w:ind w:firstLine="720"/>
        <w:jc w:val="both"/>
        <w:divId w:val="1307667952"/>
        <w:rPr>
          <w:rFonts w:eastAsia="Times New Roman"/>
        </w:rPr>
      </w:pPr>
      <w:r>
        <w:rPr>
          <w:rFonts w:eastAsia="Times New Roman"/>
          <w:color w:val="000000"/>
          <w:sz w:val="20"/>
          <w:szCs w:val="20"/>
        </w:rPr>
        <w:t>Refer to Item 1A, “Risk Factors” below for a discussion of certain risks related to government regulations, including risks related to environmental regulations, emergency regulations adopted in response to</w:t>
      </w:r>
      <w:r>
        <w:rPr>
          <w:rFonts w:eastAsia="Times New Roman"/>
          <w:color w:val="000000"/>
          <w:sz w:val="20"/>
          <w:szCs w:val="20"/>
        </w:rPr>
        <w:t xml:space="preserve"> the COVID Pandemic or wildfires that restrict access to our facilities or the rents we can charge our customers, wage regulations, income tax regulations including relating to REIT qualification, and property tax regulations. </w:t>
      </w:r>
    </w:p>
    <w:p w:rsidR="00000000" w:rsidRDefault="00D04F4B">
      <w:pPr>
        <w:ind w:firstLine="720"/>
        <w:jc w:val="both"/>
        <w:divId w:val="974337233"/>
        <w:rPr>
          <w:rFonts w:eastAsia="Times New Roman"/>
        </w:rPr>
      </w:pPr>
      <w:r>
        <w:rPr>
          <w:rFonts w:eastAsia="Times New Roman"/>
          <w:color w:val="000000"/>
          <w:sz w:val="20"/>
          <w:szCs w:val="20"/>
        </w:rPr>
        <w:t>Aside from the regulations d</w:t>
      </w:r>
      <w:r>
        <w:rPr>
          <w:rFonts w:eastAsia="Times New Roman"/>
          <w:color w:val="000000"/>
          <w:sz w:val="20"/>
          <w:szCs w:val="20"/>
        </w:rPr>
        <w:t>iscussed therein, we are not aware of any government regulations that have resulted or that we expect will result in compliance costs that had or will have a material effect on our capital expenditures, earnings or competitive position. We are committed to</w:t>
      </w:r>
      <w:r>
        <w:rPr>
          <w:rFonts w:eastAsia="Times New Roman"/>
          <w:color w:val="000000"/>
          <w:sz w:val="20"/>
          <w:szCs w:val="20"/>
        </w:rPr>
        <w:t xml:space="preserve"> a long-term environmental stewardship program that reduces emissions of hazardous materials into the environment and the remediation of identified existing environmental concerns, including environmentally-friendly capital initiatives and building and ope</w:t>
      </w:r>
      <w:r>
        <w:rPr>
          <w:rFonts w:eastAsia="Times New Roman"/>
          <w:color w:val="000000"/>
          <w:sz w:val="20"/>
          <w:szCs w:val="20"/>
        </w:rPr>
        <w:t>rating properties with a high structural resilience and low obsolescence. We accrue environmental assessments and estimated remediation costs when it is probable that such efforts will be required and the related costs can be reasonably estimated. Our curr</w:t>
      </w:r>
      <w:r>
        <w:rPr>
          <w:rFonts w:eastAsia="Times New Roman"/>
          <w:color w:val="000000"/>
          <w:sz w:val="20"/>
          <w:szCs w:val="20"/>
        </w:rPr>
        <w:t>ent practice is to conduct environmental investigations in connection with property acquisitions. Although there can be no assurance, we are not aware of any environmental contamination of any of our facilities, which individually or in the aggregate would</w:t>
      </w:r>
      <w:r>
        <w:rPr>
          <w:rFonts w:eastAsia="Times New Roman"/>
          <w:color w:val="000000"/>
          <w:sz w:val="20"/>
          <w:szCs w:val="20"/>
        </w:rPr>
        <w:t xml:space="preserve"> be material to our overall business, financial condition, or results of operations.</w:t>
      </w:r>
    </w:p>
    <w:p w:rsidR="00000000" w:rsidRDefault="00D04F4B">
      <w:pPr>
        <w:divId w:val="1229725242"/>
        <w:rPr>
          <w:rFonts w:eastAsia="Times New Roman"/>
        </w:rPr>
      </w:pPr>
      <w:r>
        <w:rPr>
          <w:rFonts w:eastAsia="Times New Roman"/>
          <w:b/>
          <w:bCs/>
          <w:color w:val="000000"/>
          <w:sz w:val="20"/>
          <w:szCs w:val="20"/>
          <w:u w:val="single"/>
        </w:rPr>
        <w:t>Human Capital Resources</w:t>
      </w:r>
    </w:p>
    <w:p w:rsidR="00000000" w:rsidRDefault="00D04F4B">
      <w:pPr>
        <w:ind w:firstLine="720"/>
        <w:jc w:val="both"/>
        <w:divId w:val="743989026"/>
        <w:rPr>
          <w:rFonts w:eastAsia="Times New Roman"/>
        </w:rPr>
      </w:pPr>
      <w:r>
        <w:rPr>
          <w:rFonts w:eastAsia="Times New Roman"/>
          <w:color w:val="000000"/>
          <w:sz w:val="20"/>
          <w:szCs w:val="20"/>
        </w:rPr>
        <w:t>Our employees are the foundation of our business and fundamental to our ability to execute our corporate strategies and build long-term value for o</w:t>
      </w:r>
      <w:r>
        <w:rPr>
          <w:rFonts w:eastAsia="Times New Roman"/>
          <w:color w:val="000000"/>
          <w:sz w:val="20"/>
          <w:szCs w:val="20"/>
        </w:rPr>
        <w:t>ur stakeholders. In order to maintain a strong foundation, our key human capital management objectives are to attract, develop, and retain the highest quality talent. We achieve these objectives by committing to our employees to provide a diverse and inclu</w:t>
      </w:r>
      <w:r>
        <w:rPr>
          <w:rFonts w:eastAsia="Times New Roman"/>
          <w:color w:val="000000"/>
          <w:sz w:val="20"/>
          <w:szCs w:val="20"/>
        </w:rPr>
        <w:t>sive workplace, regular and open communication, competitive and supportive compensation and benefits programs, and opportunities for career growth and development. Together with our core values of doing the right thing and integrity in all that we do, whic</w:t>
      </w:r>
      <w:r>
        <w:rPr>
          <w:rFonts w:eastAsia="Times New Roman"/>
          <w:color w:val="000000"/>
          <w:sz w:val="20"/>
          <w:szCs w:val="20"/>
        </w:rPr>
        <w:t xml:space="preserve">h serve as the cornerstone of our corporate culture, we believe that this commitment facilitates employee engagement and their commitment to Public Storage. While most of our employees join without experience in the self-storage industry, many find career </w:t>
      </w:r>
      <w:r>
        <w:rPr>
          <w:rFonts w:eastAsia="Times New Roman"/>
          <w:color w:val="000000"/>
          <w:sz w:val="20"/>
          <w:szCs w:val="20"/>
        </w:rPr>
        <w:t xml:space="preserve">success with us given our emphasis on training, development, and promotion from within. </w:t>
      </w:r>
    </w:p>
    <w:p w:rsidR="00000000" w:rsidRDefault="00D04F4B">
      <w:pPr>
        <w:jc w:val="center"/>
        <w:divId w:val="1009255345"/>
        <w:rPr>
          <w:rFonts w:eastAsia="Times New Roman"/>
        </w:rPr>
      </w:pPr>
      <w:r>
        <w:rPr>
          <w:rFonts w:eastAsia="Times New Roman"/>
          <w:color w:val="000000"/>
          <w:sz w:val="20"/>
          <w:szCs w:val="20"/>
        </w:rPr>
        <w:t>5</w:t>
      </w:r>
    </w:p>
    <w:p w:rsidR="00000000" w:rsidRDefault="00D04F4B">
      <w:pPr>
        <w:rPr>
          <w:rFonts w:eastAsia="Times New Roman"/>
        </w:rPr>
      </w:pPr>
      <w:r>
        <w:rPr>
          <w:rFonts w:eastAsia="Times New Roman"/>
        </w:rPr>
        <w:pict>
          <v:rect id="_x0000_i1029" style="width:0;height:1.5pt" o:hralign="center" o:hrstd="t" o:hr="t" fillcolor="#a0a0a0" stroked="f"/>
        </w:pict>
      </w:r>
    </w:p>
    <w:p w:rsidR="00000000" w:rsidRDefault="00D04F4B">
      <w:pPr>
        <w:divId w:val="2069109640"/>
        <w:rPr>
          <w:rFonts w:eastAsia="Times New Roman"/>
        </w:rPr>
      </w:pPr>
    </w:p>
    <w:p w:rsidR="00000000" w:rsidRDefault="00D04F4B">
      <w:pPr>
        <w:ind w:firstLine="720"/>
        <w:jc w:val="both"/>
        <w:divId w:val="1031610074"/>
        <w:rPr>
          <w:rFonts w:eastAsia="Times New Roman"/>
        </w:rPr>
      </w:pPr>
      <w:r>
        <w:rPr>
          <w:rFonts w:eastAsia="Times New Roman"/>
          <w:color w:val="000000"/>
          <w:sz w:val="20"/>
          <w:szCs w:val="20"/>
        </w:rPr>
        <w:t xml:space="preserve">We have approximately 5,800 employees, including 5,060 customer facing roles (such as property level and customer care center </w:t>
      </w:r>
      <w:r>
        <w:rPr>
          <w:rFonts w:eastAsia="Times New Roman"/>
          <w:color w:val="000000"/>
          <w:sz w:val="20"/>
          <w:szCs w:val="20"/>
        </w:rPr>
        <w:t>personnel), 340 field management employees, and 400 employees in our corporate operations.</w:t>
      </w:r>
    </w:p>
    <w:p w:rsidR="00000000" w:rsidRDefault="00D04F4B">
      <w:pPr>
        <w:ind w:firstLine="720"/>
        <w:jc w:val="both"/>
        <w:divId w:val="730464752"/>
        <w:rPr>
          <w:rFonts w:eastAsia="Times New Roman"/>
        </w:rPr>
      </w:pPr>
      <w:r>
        <w:rPr>
          <w:rFonts w:eastAsia="Times New Roman"/>
          <w:color w:val="000000"/>
          <w:sz w:val="20"/>
          <w:szCs w:val="20"/>
        </w:rPr>
        <w:t>The following is an overview of our key programs and initiatives focused on attracting, developing, and retaining the highest quality talent:</w:t>
      </w:r>
    </w:p>
    <w:p w:rsidR="00000000" w:rsidRDefault="00D04F4B">
      <w:pPr>
        <w:jc w:val="both"/>
        <w:divId w:val="1293025686"/>
        <w:rPr>
          <w:rFonts w:eastAsia="Times New Roman"/>
        </w:rPr>
      </w:pPr>
      <w:r>
        <w:rPr>
          <w:rFonts w:eastAsia="Times New Roman"/>
          <w:b/>
          <w:bCs/>
          <w:i/>
          <w:iCs/>
          <w:color w:val="000000"/>
          <w:sz w:val="20"/>
          <w:szCs w:val="20"/>
        </w:rPr>
        <w:t>Diversity and Inclusion</w:t>
      </w:r>
    </w:p>
    <w:p w:rsidR="00000000" w:rsidRDefault="00D04F4B">
      <w:pPr>
        <w:ind w:firstLine="720"/>
        <w:jc w:val="both"/>
        <w:divId w:val="1432355509"/>
        <w:rPr>
          <w:rFonts w:eastAsia="Times New Roman"/>
        </w:rPr>
      </w:pPr>
      <w:r>
        <w:rPr>
          <w:rFonts w:eastAsia="Times New Roman"/>
          <w:color w:val="000000"/>
          <w:sz w:val="20"/>
          <w:szCs w:val="20"/>
        </w:rPr>
        <w:t>We are committed to creating a diverse and inclusive environment where all employees feel valued, included, and excited to be part of a best-in-class team. Our employees come from all different races, backgrounds, and life experiences, and we celebrate in</w:t>
      </w:r>
      <w:r>
        <w:rPr>
          <w:rFonts w:eastAsia="Times New Roman"/>
          <w:color w:val="000000"/>
          <w:sz w:val="20"/>
          <w:szCs w:val="20"/>
        </w:rPr>
        <w:t>clusion and value the diversity each person brings to Public Storage. Our commitment to diversity and inclusion transcends the organization and drives everything we do, from the people we hire, to the business decisions we make.</w:t>
      </w:r>
    </w:p>
    <w:p w:rsidR="00000000" w:rsidRDefault="00D04F4B">
      <w:pPr>
        <w:ind w:firstLine="720"/>
        <w:jc w:val="both"/>
        <w:divId w:val="1563905100"/>
        <w:rPr>
          <w:rFonts w:eastAsia="Times New Roman"/>
        </w:rPr>
      </w:pPr>
      <w:r>
        <w:rPr>
          <w:rFonts w:eastAsia="Times New Roman"/>
          <w:color w:val="000000"/>
          <w:sz w:val="20"/>
          <w:szCs w:val="20"/>
        </w:rPr>
        <w:t>In 2021, our Chief Executiv</w:t>
      </w:r>
      <w:r>
        <w:rPr>
          <w:rFonts w:eastAsia="Times New Roman"/>
          <w:color w:val="000000"/>
          <w:sz w:val="20"/>
          <w:szCs w:val="20"/>
        </w:rPr>
        <w:t>e Officer signed the CEO Action for Diversity &amp; Inclusion pledge, reflecting our commitment to foster an environment where everyone feels valued, included, engaged, and excited to be part of our best-in-class team. We began implementing the pledge througho</w:t>
      </w:r>
      <w:r>
        <w:rPr>
          <w:rFonts w:eastAsia="Times New Roman"/>
          <w:color w:val="000000"/>
          <w:sz w:val="20"/>
          <w:szCs w:val="20"/>
        </w:rPr>
        <w:t xml:space="preserve">ut the year, including with unconscious bias training for our leaders and various listening and learning programs for all employees directed at raising diversity awareness and encouraging honest and open discussions. </w:t>
      </w:r>
    </w:p>
    <w:p w:rsidR="00000000" w:rsidRDefault="00D04F4B">
      <w:pPr>
        <w:ind w:firstLine="720"/>
        <w:jc w:val="both"/>
        <w:divId w:val="445319769"/>
        <w:rPr>
          <w:rFonts w:eastAsia="Times New Roman"/>
        </w:rPr>
      </w:pPr>
      <w:r>
        <w:rPr>
          <w:rFonts w:eastAsia="Times New Roman"/>
          <w:color w:val="000000"/>
          <w:sz w:val="20"/>
          <w:szCs w:val="20"/>
        </w:rPr>
        <w:t>Public Storage hires based on characte</w:t>
      </w:r>
      <w:r>
        <w:rPr>
          <w:rFonts w:eastAsia="Times New Roman"/>
          <w:color w:val="000000"/>
          <w:sz w:val="20"/>
          <w:szCs w:val="20"/>
        </w:rPr>
        <w:t>r, skills, and experience, without regard to age, gender, race, ethnicity, religion, sexual orientation, or other protected characteristic. Adherence to this practice has resulted in a diverse and inclusive employee base that reflects the diversity of cust</w:t>
      </w:r>
      <w:r>
        <w:rPr>
          <w:rFonts w:eastAsia="Times New Roman"/>
          <w:color w:val="000000"/>
          <w:sz w:val="20"/>
          <w:szCs w:val="20"/>
        </w:rPr>
        <w:t>omers we serve. We maintain policies regarding diversity, equal opportunity, pay-for-performance, discrimination, harassment, and labor (including opposition to child, forced, and compulsory labor). In 2021, we also formalized into policy our long-standing</w:t>
      </w:r>
      <w:r>
        <w:rPr>
          <w:rFonts w:eastAsia="Times New Roman"/>
          <w:color w:val="000000"/>
          <w:sz w:val="20"/>
          <w:szCs w:val="20"/>
        </w:rPr>
        <w:t xml:space="preserve"> practice of requiring that diverse candidate slates be considered for all director positions and above.</w:t>
      </w:r>
    </w:p>
    <w:p w:rsidR="00000000" w:rsidRDefault="00D04F4B">
      <w:pPr>
        <w:ind w:firstLine="720"/>
        <w:jc w:val="both"/>
        <w:divId w:val="281494877"/>
        <w:rPr>
          <w:rFonts w:eastAsia="Times New Roman"/>
        </w:rPr>
      </w:pPr>
      <w:r>
        <w:rPr>
          <w:rFonts w:eastAsia="Times New Roman"/>
          <w:color w:val="000000"/>
          <w:sz w:val="20"/>
          <w:szCs w:val="20"/>
        </w:rPr>
        <w:t>Our long-held practice of hiring “the best” has fostered a diverse and inclusive workforce that represents the communities in which we operate. Our com</w:t>
      </w:r>
      <w:r>
        <w:rPr>
          <w:rFonts w:eastAsia="Times New Roman"/>
          <w:color w:val="000000"/>
          <w:sz w:val="20"/>
          <w:szCs w:val="20"/>
        </w:rPr>
        <w:t>mitment to diversity is evident at all levels of the organization. Additionally, by having a balanced mix of generations in the organization, we gain from the experiences each age group brings – our employees are 10% Boomer, 37% Gen X, 38% Gen Y and 15% Ge</w:t>
      </w:r>
      <w:r>
        <w:rPr>
          <w:rFonts w:eastAsia="Times New Roman"/>
          <w:color w:val="000000"/>
          <w:sz w:val="20"/>
          <w:szCs w:val="20"/>
        </w:rPr>
        <w:t>n Z.</w:t>
      </w:r>
    </w:p>
    <w:p w:rsidR="00000000" w:rsidRDefault="00D04F4B">
      <w:pPr>
        <w:spacing w:before="240"/>
        <w:ind w:firstLine="720"/>
        <w:jc w:val="center"/>
        <w:divId w:val="219832846"/>
        <w:rPr>
          <w:rFonts w:eastAsia="Times New Roman"/>
        </w:rPr>
      </w:pPr>
      <w:r>
        <w:rPr>
          <w:rFonts w:eastAsia="Times New Roman"/>
          <w:noProof/>
        </w:rPr>
        <w:drawing>
          <wp:inline distT="0" distB="0" distL="0" distR="0">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04F4B">
      <w:pPr>
        <w:jc w:val="both"/>
        <w:divId w:val="1386416130"/>
        <w:rPr>
          <w:rFonts w:eastAsia="Times New Roman"/>
        </w:rPr>
      </w:pPr>
      <w:r>
        <w:rPr>
          <w:rFonts w:eastAsia="Times New Roman"/>
          <w:b/>
          <w:bCs/>
          <w:i/>
          <w:iCs/>
          <w:color w:val="000000"/>
          <w:sz w:val="20"/>
          <w:szCs w:val="20"/>
        </w:rPr>
        <w:t>Communication and Engagement</w:t>
      </w:r>
    </w:p>
    <w:p w:rsidR="00000000" w:rsidRDefault="00D04F4B">
      <w:pPr>
        <w:ind w:firstLine="720"/>
        <w:jc w:val="both"/>
        <w:divId w:val="999504101"/>
        <w:rPr>
          <w:rFonts w:eastAsia="Times New Roman"/>
        </w:rPr>
      </w:pPr>
      <w:r>
        <w:rPr>
          <w:rFonts w:eastAsia="Times New Roman"/>
          <w:color w:val="000000"/>
          <w:sz w:val="20"/>
          <w:szCs w:val="20"/>
        </w:rPr>
        <w:t>Given the geographically dispersed nature of our business, regular and</w:t>
      </w:r>
      <w:r>
        <w:rPr>
          <w:rFonts w:eastAsia="Times New Roman"/>
          <w:color w:val="000000"/>
          <w:sz w:val="20"/>
          <w:szCs w:val="20"/>
        </w:rPr>
        <w:t xml:space="preserve"> clear communication is critical to ensuring that employees feel informed, included, and engaged. We communicate through various channels, such as monthly meetings, frequent email communications and updates from our management team, company intranet postin</w:t>
      </w:r>
      <w:r>
        <w:rPr>
          <w:rFonts w:eastAsia="Times New Roman"/>
          <w:color w:val="000000"/>
          <w:sz w:val="20"/>
          <w:szCs w:val="20"/>
        </w:rPr>
        <w:t>gs, engagement surveys, and monthly newsletters. Our monthly newsletter is fundamental to our communication and engagement efforts. It contains a CEO message, recognizes employee achievements and promotions, and provides company strategy and performance up</w:t>
      </w:r>
      <w:r>
        <w:rPr>
          <w:rFonts w:eastAsia="Times New Roman"/>
          <w:color w:val="000000"/>
          <w:sz w:val="20"/>
          <w:szCs w:val="20"/>
        </w:rPr>
        <w:t>dates, health and wellness tips, and other pertinent information.</w:t>
      </w:r>
    </w:p>
    <w:p w:rsidR="00000000" w:rsidRDefault="00D04F4B">
      <w:pPr>
        <w:ind w:firstLine="720"/>
        <w:jc w:val="both"/>
        <w:divId w:val="1184242640"/>
        <w:rPr>
          <w:rFonts w:eastAsia="Times New Roman"/>
        </w:rPr>
      </w:pPr>
      <w:r>
        <w:rPr>
          <w:rFonts w:eastAsia="Times New Roman"/>
          <w:color w:val="000000"/>
          <w:sz w:val="20"/>
          <w:szCs w:val="20"/>
        </w:rPr>
        <w:t>In order to better understand the effectiveness of our engagement strategies, we conduct various surveys that measure employee commitment, motivation, and engagement, and solicit employee fe</w:t>
      </w:r>
      <w:r>
        <w:rPr>
          <w:rFonts w:eastAsia="Times New Roman"/>
          <w:color w:val="000000"/>
          <w:sz w:val="20"/>
          <w:szCs w:val="20"/>
        </w:rPr>
        <w:t>edback that helps us improve. In the first quarter of 2021, we conducted our first formal full employee engagement survey, which we followed with a “pulse check” update in the fourth quarter. We were pleased to see employee engagement increase 3% over this</w:t>
      </w:r>
      <w:r>
        <w:rPr>
          <w:rFonts w:eastAsia="Times New Roman"/>
          <w:color w:val="000000"/>
          <w:sz w:val="20"/>
          <w:szCs w:val="20"/>
        </w:rPr>
        <w:t xml:space="preserve"> period, from 76% in the first quarter to 79% in the fourth quarter of 2021. We believe these results were driven by the enhanced commitment to providing career development opportunities that we introduced during the year, which we discuss further below un</w:t>
      </w:r>
      <w:r>
        <w:rPr>
          <w:rFonts w:eastAsia="Times New Roman"/>
          <w:color w:val="000000"/>
          <w:sz w:val="20"/>
          <w:szCs w:val="20"/>
        </w:rPr>
        <w:t>der “Training, Development, Growth and Recognition.” We intend to complete a full engagement survey followed by an interim pulse check update to monitor our performance each year.</w:t>
      </w:r>
    </w:p>
    <w:p w:rsidR="00000000" w:rsidRDefault="00D04F4B">
      <w:pPr>
        <w:jc w:val="center"/>
        <w:divId w:val="393941405"/>
        <w:rPr>
          <w:rFonts w:eastAsia="Times New Roman"/>
        </w:rPr>
      </w:pPr>
      <w:r>
        <w:rPr>
          <w:rFonts w:eastAsia="Times New Roman"/>
          <w:color w:val="000000"/>
          <w:sz w:val="20"/>
          <w:szCs w:val="20"/>
        </w:rPr>
        <w:t>6</w:t>
      </w:r>
    </w:p>
    <w:p w:rsidR="00000000" w:rsidRDefault="00D04F4B">
      <w:pPr>
        <w:rPr>
          <w:rFonts w:eastAsia="Times New Roman"/>
        </w:rPr>
      </w:pPr>
      <w:r>
        <w:rPr>
          <w:rFonts w:eastAsia="Times New Roman"/>
        </w:rPr>
        <w:pict>
          <v:rect id="_x0000_i1031" style="width:0;height:1.5pt" o:hralign="center" o:hrstd="t" o:hr="t" fillcolor="#a0a0a0" stroked="f"/>
        </w:pict>
      </w:r>
    </w:p>
    <w:p w:rsidR="00000000" w:rsidRDefault="00D04F4B">
      <w:pPr>
        <w:divId w:val="281155623"/>
        <w:rPr>
          <w:rFonts w:eastAsia="Times New Roman"/>
        </w:rPr>
      </w:pPr>
    </w:p>
    <w:p w:rsidR="00000000" w:rsidRDefault="00D04F4B">
      <w:pPr>
        <w:ind w:firstLine="720"/>
        <w:jc w:val="both"/>
        <w:divId w:val="1472209089"/>
        <w:rPr>
          <w:rFonts w:eastAsia="Times New Roman"/>
        </w:rPr>
      </w:pPr>
      <w:r>
        <w:rPr>
          <w:rFonts w:eastAsia="Times New Roman"/>
          <w:color w:val="000000"/>
          <w:sz w:val="20"/>
          <w:szCs w:val="20"/>
        </w:rPr>
        <w:t>We believe that the success of our e</w:t>
      </w:r>
      <w:r>
        <w:rPr>
          <w:rFonts w:eastAsia="Times New Roman"/>
          <w:color w:val="000000"/>
          <w:sz w:val="20"/>
          <w:szCs w:val="20"/>
        </w:rPr>
        <w:t>ngagement strategies can also be seen through third party surveys and recognition, such as our placement on the Forbes 2022 list of best employers.</w:t>
      </w:r>
    </w:p>
    <w:p w:rsidR="00000000" w:rsidRDefault="00D04F4B">
      <w:pPr>
        <w:divId w:val="491877174"/>
        <w:rPr>
          <w:rFonts w:eastAsia="Times New Roman"/>
        </w:rPr>
      </w:pPr>
      <w:r>
        <w:rPr>
          <w:rFonts w:eastAsia="Times New Roman"/>
          <w:b/>
          <w:bCs/>
          <w:i/>
          <w:iCs/>
          <w:color w:val="000000"/>
          <w:sz w:val="20"/>
          <w:szCs w:val="20"/>
        </w:rPr>
        <w:t>Compensation, Health and Wellness</w:t>
      </w:r>
    </w:p>
    <w:p w:rsidR="00000000" w:rsidRDefault="00D04F4B">
      <w:pPr>
        <w:ind w:firstLine="720"/>
        <w:jc w:val="both"/>
        <w:divId w:val="218396428"/>
        <w:rPr>
          <w:rFonts w:eastAsia="Times New Roman"/>
        </w:rPr>
      </w:pPr>
      <w:r>
        <w:rPr>
          <w:rFonts w:eastAsia="Times New Roman"/>
          <w:color w:val="000000"/>
          <w:sz w:val="20"/>
          <w:szCs w:val="20"/>
        </w:rPr>
        <w:t>Public Storage maintains compensation and benefits programs designed to in</w:t>
      </w:r>
      <w:r>
        <w:rPr>
          <w:rFonts w:eastAsia="Times New Roman"/>
          <w:color w:val="000000"/>
          <w:sz w:val="20"/>
          <w:szCs w:val="20"/>
        </w:rPr>
        <w:t>centivize, reward, and support our employees. We believe in aligning employee compensation with our short- and long-term performance goals and providing the compensation and incentives needed to attract, motivate, and retain employees who are crucial to ou</w:t>
      </w:r>
      <w:r>
        <w:rPr>
          <w:rFonts w:eastAsia="Times New Roman"/>
          <w:color w:val="000000"/>
          <w:sz w:val="20"/>
          <w:szCs w:val="20"/>
        </w:rPr>
        <w:t>r success. We tailor our compensation programs to each employee group to ensure competitiveness in the market and to drive employee engagement.</w:t>
      </w:r>
    </w:p>
    <w:p w:rsidR="00000000" w:rsidRDefault="00D04F4B">
      <w:pPr>
        <w:ind w:firstLine="720"/>
        <w:jc w:val="both"/>
        <w:divId w:val="1030110891"/>
        <w:rPr>
          <w:rFonts w:eastAsia="Times New Roman"/>
        </w:rPr>
      </w:pPr>
      <w:r>
        <w:rPr>
          <w:rFonts w:eastAsia="Times New Roman"/>
          <w:color w:val="000000"/>
          <w:sz w:val="20"/>
          <w:szCs w:val="20"/>
        </w:rPr>
        <w:t>We are committed to the total well-being of all our employees and provide resources to help support them in time</w:t>
      </w:r>
      <w:r>
        <w:rPr>
          <w:rFonts w:eastAsia="Times New Roman"/>
          <w:color w:val="000000"/>
          <w:sz w:val="20"/>
          <w:szCs w:val="20"/>
        </w:rPr>
        <w:t>s of need along with access to targeted solutions to help them achieve their personal and financial goals. We provide affordable health plans and programs to virtually all our employees (99.5%). Anyone working 20 hours or more is eligible to participate in</w:t>
      </w:r>
      <w:r>
        <w:rPr>
          <w:rFonts w:eastAsia="Times New Roman"/>
          <w:color w:val="000000"/>
          <w:sz w:val="20"/>
          <w:szCs w:val="20"/>
        </w:rPr>
        <w:t xml:space="preserve"> our health benefit offerings, which include medical, dental, vision, flexible and health savings accounts, discount programs, and income protection plans. We also offer a 401(k) plan with generous matching employer contributions to help our employees prep</w:t>
      </w:r>
      <w:r>
        <w:rPr>
          <w:rFonts w:eastAsia="Times New Roman"/>
          <w:color w:val="000000"/>
          <w:sz w:val="20"/>
          <w:szCs w:val="20"/>
        </w:rPr>
        <w:t>are for retirement. In addition to these programs, we maintain various employee support programs, including access to counseling, life planning tools, and discount programs for fitness, legal services, and home, auto, and pet insurance. Finally, we offer a</w:t>
      </w:r>
      <w:r>
        <w:rPr>
          <w:rFonts w:eastAsia="Times New Roman"/>
          <w:color w:val="000000"/>
          <w:sz w:val="20"/>
          <w:szCs w:val="20"/>
        </w:rPr>
        <w:t xml:space="preserve"> range of educational tools and resources, including a dedicated health and wellness website, to help empower our employees to maintain a healthy and balanced lifestyle.</w:t>
      </w:r>
    </w:p>
    <w:p w:rsidR="00000000" w:rsidRDefault="00D04F4B">
      <w:pPr>
        <w:jc w:val="both"/>
        <w:divId w:val="840466140"/>
        <w:rPr>
          <w:rFonts w:eastAsia="Times New Roman"/>
        </w:rPr>
      </w:pPr>
      <w:r>
        <w:rPr>
          <w:rFonts w:eastAsia="Times New Roman"/>
          <w:b/>
          <w:bCs/>
          <w:i/>
          <w:iCs/>
          <w:color w:val="000000"/>
          <w:sz w:val="20"/>
          <w:szCs w:val="20"/>
        </w:rPr>
        <w:t>Training, Development, Growth, and Recognition</w:t>
      </w:r>
    </w:p>
    <w:p w:rsidR="00000000" w:rsidRDefault="00D04F4B">
      <w:pPr>
        <w:ind w:firstLine="720"/>
        <w:jc w:val="both"/>
        <w:divId w:val="1551263684"/>
        <w:rPr>
          <w:rFonts w:eastAsia="Times New Roman"/>
        </w:rPr>
      </w:pPr>
      <w:r>
        <w:rPr>
          <w:rFonts w:eastAsia="Times New Roman"/>
          <w:color w:val="000000"/>
          <w:sz w:val="20"/>
          <w:szCs w:val="20"/>
        </w:rPr>
        <w:t xml:space="preserve">We provide training and development programs across all levels of Public Storage. All new hires in our field and customer care center operations complete robust training programs designed to help them quickly </w:t>
      </w:r>
      <w:r>
        <w:rPr>
          <w:rFonts w:eastAsia="Times New Roman"/>
          <w:color w:val="000000"/>
          <w:sz w:val="20"/>
          <w:szCs w:val="20"/>
        </w:rPr>
        <w:t xml:space="preserve">learn and operate in the self-storage business. This includes hands-on training with a key training professional (“KTP”) in coordination with close coaching and development from a district manager, which has our newly onboarded teammates ready to manage a </w:t>
      </w:r>
      <w:r>
        <w:rPr>
          <w:rFonts w:eastAsia="Times New Roman"/>
          <w:color w:val="000000"/>
          <w:sz w:val="20"/>
          <w:szCs w:val="20"/>
        </w:rPr>
        <w:t>property in their first two weeks. In addition, all new hires in leadership roles complete property-level training that gives them a hands-on view of our day-to-day operations at our properties. This training helps facilitate engagement across all levels o</w:t>
      </w:r>
      <w:r>
        <w:rPr>
          <w:rFonts w:eastAsia="Times New Roman"/>
          <w:color w:val="000000"/>
          <w:sz w:val="20"/>
          <w:szCs w:val="20"/>
        </w:rPr>
        <w:t>f the Company and is designed to provide our leaders with an understanding of the fundamentals of our business and operations, including the challenges our front-line employees face and our customers’ needs and expectations.</w:t>
      </w:r>
    </w:p>
    <w:p w:rsidR="00000000" w:rsidRDefault="00D04F4B">
      <w:pPr>
        <w:ind w:firstLine="720"/>
        <w:jc w:val="both"/>
        <w:divId w:val="1976324686"/>
        <w:rPr>
          <w:rFonts w:eastAsia="Times New Roman"/>
        </w:rPr>
      </w:pPr>
      <w:r>
        <w:rPr>
          <w:rFonts w:eastAsia="Times New Roman"/>
          <w:color w:val="000000"/>
          <w:sz w:val="20"/>
          <w:szCs w:val="20"/>
        </w:rPr>
        <w:t>Most new hires join us as prope</w:t>
      </w:r>
      <w:r>
        <w:rPr>
          <w:rFonts w:eastAsia="Times New Roman"/>
          <w:color w:val="000000"/>
          <w:sz w:val="20"/>
          <w:szCs w:val="20"/>
        </w:rPr>
        <w:t>rty managers without any experience in the self-storage industry. In 2021, we enhanced our commitment to providing career development opportunities across Public Storage. We have multiple career path opportunities for our property teams, and many choose to</w:t>
      </w:r>
      <w:r>
        <w:rPr>
          <w:rFonts w:eastAsia="Times New Roman"/>
          <w:color w:val="000000"/>
          <w:sz w:val="20"/>
          <w:szCs w:val="20"/>
        </w:rPr>
        <w:t xml:space="preserve"> grow their entire career with us while learning new skills and taking on additional responsibility. Some choose to focus on developing people as a KTP, others desire to learn multi-unit property management and local compliance requirements as a delinquent</w:t>
      </w:r>
      <w:r>
        <w:rPr>
          <w:rFonts w:eastAsia="Times New Roman"/>
          <w:color w:val="000000"/>
          <w:sz w:val="20"/>
          <w:szCs w:val="20"/>
        </w:rPr>
        <w:t xml:space="preserve"> tenant specialist, and many want to build their career around ensuring our customers receive the best possible service as part of our customer care center. For those who enjoy the challenges that come with managing multi-unit portfolios and people, we off</w:t>
      </w:r>
      <w:r>
        <w:rPr>
          <w:rFonts w:eastAsia="Times New Roman"/>
          <w:color w:val="000000"/>
          <w:sz w:val="20"/>
          <w:szCs w:val="20"/>
        </w:rPr>
        <w:t>er our District Manager in Training program, which prepares some of our best teammates to become successful district managers with Public Storage through a three-month development program that includes online courses and partnership with a peer trainer and</w:t>
      </w:r>
      <w:r>
        <w:rPr>
          <w:rFonts w:eastAsia="Times New Roman"/>
          <w:color w:val="000000"/>
          <w:sz w:val="20"/>
          <w:szCs w:val="20"/>
        </w:rPr>
        <w:t xml:space="preserve"> mentor. We also maintain a six-month development program to develop senior district managers. </w:t>
      </w:r>
    </w:p>
    <w:p w:rsidR="00000000" w:rsidRDefault="00D04F4B">
      <w:pPr>
        <w:ind w:firstLine="720"/>
        <w:jc w:val="both"/>
        <w:divId w:val="694421755"/>
        <w:rPr>
          <w:rFonts w:eastAsia="Times New Roman"/>
        </w:rPr>
      </w:pPr>
      <w:r>
        <w:rPr>
          <w:rFonts w:eastAsia="Times New Roman"/>
          <w:color w:val="000000"/>
          <w:sz w:val="20"/>
          <w:szCs w:val="20"/>
        </w:rPr>
        <w:t>In addition to these structured programs, we also offer ongoing training, development, and leadership programs for our entire workforce designed to facilitate p</w:t>
      </w:r>
      <w:r>
        <w:rPr>
          <w:rFonts w:eastAsia="Times New Roman"/>
          <w:color w:val="000000"/>
          <w:sz w:val="20"/>
          <w:szCs w:val="20"/>
        </w:rPr>
        <w:t>rofessional growth and career advancement. Many of these programs leverage our online learning platform of training courses and reference materials. Public Storage employees completed 440,000 formal training hours in 2021, up from 367,000 in 2020. Our lead</w:t>
      </w:r>
      <w:r>
        <w:rPr>
          <w:rFonts w:eastAsia="Times New Roman"/>
          <w:color w:val="000000"/>
          <w:sz w:val="20"/>
          <w:szCs w:val="20"/>
        </w:rPr>
        <w:t>ership development programs bring together senior leaders and leaders-in-training to teach management skills and strategies and ensure our new leaders have a clear understanding of their role, a strong bond with their peers, and an expanded professional ne</w:t>
      </w:r>
      <w:r>
        <w:rPr>
          <w:rFonts w:eastAsia="Times New Roman"/>
          <w:color w:val="000000"/>
          <w:sz w:val="20"/>
          <w:szCs w:val="20"/>
        </w:rPr>
        <w:t>twork. In addition to formal training programs, we also offer a variety of one-on-one coaching, job shadowing, and mentoring programs.</w:t>
      </w:r>
    </w:p>
    <w:p w:rsidR="00000000" w:rsidRDefault="00D04F4B">
      <w:pPr>
        <w:ind w:firstLine="720"/>
        <w:jc w:val="both"/>
        <w:divId w:val="523983558"/>
        <w:rPr>
          <w:rFonts w:eastAsia="Times New Roman"/>
        </w:rPr>
      </w:pPr>
      <w:r>
        <w:rPr>
          <w:rFonts w:eastAsia="Times New Roman"/>
          <w:color w:val="000000"/>
          <w:sz w:val="20"/>
          <w:szCs w:val="20"/>
        </w:rPr>
        <w:t xml:space="preserve">Our online training and development platform also allows us to reinforce our culture of ongoing recognition by providing </w:t>
      </w:r>
      <w:r>
        <w:rPr>
          <w:rFonts w:eastAsia="Times New Roman"/>
          <w:color w:val="000000"/>
          <w:sz w:val="20"/>
          <w:szCs w:val="20"/>
        </w:rPr>
        <w:t xml:space="preserve">a means to show appreciation to others across all levels of the business by awarding employee recognition badges such as the team player or appreciation badges. Over 78,000 badges were awarded in 2021, 46% more than in 2020. </w:t>
      </w:r>
    </w:p>
    <w:p w:rsidR="00000000" w:rsidRDefault="00D04F4B">
      <w:pPr>
        <w:jc w:val="both"/>
        <w:divId w:val="2039964938"/>
        <w:rPr>
          <w:rFonts w:eastAsia="Times New Roman"/>
        </w:rPr>
      </w:pPr>
    </w:p>
    <w:p w:rsidR="00000000" w:rsidRDefault="00D04F4B">
      <w:pPr>
        <w:jc w:val="center"/>
        <w:divId w:val="1438403316"/>
        <w:rPr>
          <w:rFonts w:eastAsia="Times New Roman"/>
        </w:rPr>
      </w:pPr>
      <w:r>
        <w:rPr>
          <w:rFonts w:eastAsia="Times New Roman"/>
          <w:color w:val="000000"/>
          <w:sz w:val="20"/>
          <w:szCs w:val="20"/>
        </w:rPr>
        <w:t>7</w:t>
      </w:r>
    </w:p>
    <w:p w:rsidR="00000000" w:rsidRDefault="00D04F4B">
      <w:pPr>
        <w:rPr>
          <w:rFonts w:eastAsia="Times New Roman"/>
        </w:rPr>
      </w:pPr>
      <w:r>
        <w:rPr>
          <w:rFonts w:eastAsia="Times New Roman"/>
        </w:rPr>
        <w:pict>
          <v:rect id="_x0000_i1032" style="width:0;height:1.5pt" o:hralign="center" o:hrstd="t" o:hr="t" fillcolor="#a0a0a0" stroked="f"/>
        </w:pict>
      </w:r>
    </w:p>
    <w:p w:rsidR="00000000" w:rsidRDefault="00D04F4B">
      <w:pPr>
        <w:divId w:val="473304048"/>
        <w:rPr>
          <w:rFonts w:eastAsia="Times New Roman"/>
        </w:rPr>
      </w:pPr>
    </w:p>
    <w:p w:rsidR="00000000" w:rsidRDefault="00D04F4B">
      <w:pPr>
        <w:jc w:val="both"/>
        <w:divId w:val="1439446768"/>
        <w:rPr>
          <w:rFonts w:eastAsia="Times New Roman"/>
        </w:rPr>
      </w:pPr>
      <w:r>
        <w:rPr>
          <w:rFonts w:eastAsia="Times New Roman"/>
          <w:b/>
          <w:bCs/>
          <w:i/>
          <w:iCs/>
          <w:color w:val="000000"/>
          <w:sz w:val="20"/>
          <w:szCs w:val="20"/>
        </w:rPr>
        <w:t>Performance Management and Succession Planning</w:t>
      </w:r>
    </w:p>
    <w:p w:rsidR="00000000" w:rsidRDefault="00D04F4B">
      <w:pPr>
        <w:ind w:firstLine="720"/>
        <w:jc w:val="both"/>
        <w:divId w:val="653028565"/>
        <w:rPr>
          <w:rFonts w:eastAsia="Times New Roman"/>
        </w:rPr>
      </w:pPr>
      <w:r>
        <w:rPr>
          <w:rFonts w:eastAsia="Times New Roman"/>
          <w:color w:val="000000"/>
          <w:sz w:val="20"/>
          <w:szCs w:val="20"/>
        </w:rPr>
        <w:t>Our performance management processes are designed to be collaborative, where employees and management work together to plan, monitor and review the employee’s objectives and career aspirations, and</w:t>
      </w:r>
      <w:r>
        <w:rPr>
          <w:rFonts w:eastAsia="Times New Roman"/>
          <w:color w:val="000000"/>
          <w:sz w:val="20"/>
          <w:szCs w:val="20"/>
        </w:rPr>
        <w:t xml:space="preserve"> set short- and long-term goals to achieve outcomes. This process is continual, with regular opportunities for management and employees to give and receive feedback. We believe every employee should know where they stand and how they can be successful in t</w:t>
      </w:r>
      <w:r>
        <w:rPr>
          <w:rFonts w:eastAsia="Times New Roman"/>
          <w:color w:val="000000"/>
          <w:sz w:val="20"/>
          <w:szCs w:val="20"/>
        </w:rPr>
        <w:t>heir career at Public Storage.</w:t>
      </w:r>
    </w:p>
    <w:p w:rsidR="00000000" w:rsidRDefault="00D04F4B">
      <w:pPr>
        <w:ind w:firstLine="720"/>
        <w:jc w:val="both"/>
        <w:divId w:val="1210924103"/>
        <w:rPr>
          <w:rFonts w:eastAsia="Times New Roman"/>
        </w:rPr>
      </w:pPr>
      <w:r>
        <w:rPr>
          <w:rFonts w:eastAsia="Times New Roman"/>
          <w:color w:val="000000"/>
          <w:sz w:val="20"/>
          <w:szCs w:val="20"/>
        </w:rPr>
        <w:t>Succession planning is a top priority for management and our Board of Trustees (our "Board") to ensure business continuity. Leaders at all levels review development opportunities, provide feedback, and facilitate career progr</w:t>
      </w:r>
      <w:r>
        <w:rPr>
          <w:rFonts w:eastAsia="Times New Roman"/>
          <w:color w:val="000000"/>
          <w:sz w:val="20"/>
          <w:szCs w:val="20"/>
        </w:rPr>
        <w:t>ession conversations on an ongoing basis to ensure that employees can reach their full potential. No less than annually, the executive teams meet to review succession bench strength, calibrate talent, and provide recommendations to prepare succession candi</w:t>
      </w:r>
      <w:r>
        <w:rPr>
          <w:rFonts w:eastAsia="Times New Roman"/>
          <w:color w:val="000000"/>
          <w:sz w:val="20"/>
          <w:szCs w:val="20"/>
        </w:rPr>
        <w:t>dates for future leadership roles within the organization. This broad and collaborative approach to talent management works to ensure opportunities are made available to employees to grow outside of their current function and responsibilities.</w:t>
      </w:r>
    </w:p>
    <w:p w:rsidR="00000000" w:rsidRDefault="00D04F4B">
      <w:pPr>
        <w:jc w:val="both"/>
        <w:divId w:val="2023702669"/>
        <w:rPr>
          <w:rFonts w:eastAsia="Times New Roman"/>
        </w:rPr>
      </w:pPr>
      <w:r>
        <w:rPr>
          <w:rFonts w:eastAsia="Times New Roman"/>
          <w:b/>
          <w:bCs/>
          <w:i/>
          <w:iCs/>
          <w:color w:val="000000"/>
          <w:sz w:val="20"/>
          <w:szCs w:val="20"/>
        </w:rPr>
        <w:t>Our People P</w:t>
      </w:r>
      <w:r>
        <w:rPr>
          <w:rFonts w:eastAsia="Times New Roman"/>
          <w:b/>
          <w:bCs/>
          <w:i/>
          <w:iCs/>
          <w:color w:val="000000"/>
          <w:sz w:val="20"/>
          <w:szCs w:val="20"/>
        </w:rPr>
        <w:t>ower our Brand</w:t>
      </w:r>
    </w:p>
    <w:p w:rsidR="00000000" w:rsidRDefault="00D04F4B">
      <w:pPr>
        <w:ind w:firstLine="720"/>
        <w:jc w:val="both"/>
        <w:divId w:val="200214161"/>
        <w:rPr>
          <w:rFonts w:eastAsia="Times New Roman"/>
        </w:rPr>
      </w:pPr>
      <w:r>
        <w:rPr>
          <w:rFonts w:eastAsia="Times New Roman"/>
          <w:color w:val="000000"/>
          <w:sz w:val="20"/>
          <w:szCs w:val="20"/>
        </w:rPr>
        <w:t>Every day, our teammates deliver the Public Storage brand and experience to our customers through countless personal interactions. While we enthusiastically celebrate our ability to bring self-storage solutions to our customers where and how</w:t>
      </w:r>
      <w:r>
        <w:rPr>
          <w:rFonts w:eastAsia="Times New Roman"/>
          <w:color w:val="000000"/>
          <w:sz w:val="20"/>
          <w:szCs w:val="20"/>
        </w:rPr>
        <w:t xml:space="preserve"> they are needed, we recognize that our most important asset in doing so is our people behind the orange door.</w:t>
      </w:r>
    </w:p>
    <w:p w:rsidR="00000000" w:rsidRDefault="00D04F4B">
      <w:pPr>
        <w:jc w:val="both"/>
        <w:divId w:val="1631938308"/>
        <w:rPr>
          <w:rFonts w:eastAsia="Times New Roman"/>
        </w:rPr>
      </w:pPr>
      <w:r>
        <w:rPr>
          <w:rFonts w:eastAsia="Times New Roman"/>
          <w:b/>
          <w:bCs/>
          <w:color w:val="000000"/>
          <w:sz w:val="20"/>
          <w:szCs w:val="20"/>
          <w:u w:val="single"/>
        </w:rPr>
        <w:t>Climate Change and Environmental Stewardship</w:t>
      </w:r>
    </w:p>
    <w:p w:rsidR="00000000" w:rsidRDefault="00D04F4B">
      <w:pPr>
        <w:ind w:firstLine="720"/>
        <w:jc w:val="both"/>
        <w:divId w:val="594559923"/>
        <w:rPr>
          <w:rFonts w:eastAsia="Times New Roman"/>
        </w:rPr>
      </w:pPr>
      <w:r>
        <w:rPr>
          <w:rFonts w:eastAsia="Times New Roman"/>
          <w:color w:val="000000"/>
          <w:sz w:val="20"/>
          <w:szCs w:val="20"/>
        </w:rPr>
        <w:t>We are committed to managing climate-related risks and opportunities. This commitment is a key compo</w:t>
      </w:r>
      <w:r>
        <w:rPr>
          <w:rFonts w:eastAsia="Times New Roman"/>
          <w:color w:val="000000"/>
          <w:sz w:val="20"/>
          <w:szCs w:val="20"/>
        </w:rPr>
        <w:t xml:space="preserve">nent of our recognition that we must operate in a responsible and sustainable manner that aligns with our long-term corporate strategy and promotes our best interests along with those of our stakeholders, including our customers, investors, employees, and </w:t>
      </w:r>
      <w:r>
        <w:rPr>
          <w:rFonts w:eastAsia="Times New Roman"/>
          <w:color w:val="000000"/>
          <w:sz w:val="20"/>
          <w:szCs w:val="20"/>
        </w:rPr>
        <w:t>the communities in which we do business.</w:t>
      </w:r>
    </w:p>
    <w:p w:rsidR="00000000" w:rsidRDefault="00D04F4B">
      <w:pPr>
        <w:ind w:firstLine="720"/>
        <w:jc w:val="both"/>
        <w:divId w:val="1443768644"/>
        <w:rPr>
          <w:rFonts w:eastAsia="Times New Roman"/>
        </w:rPr>
      </w:pPr>
      <w:r>
        <w:rPr>
          <w:rFonts w:eastAsia="Times New Roman"/>
          <w:color w:val="000000"/>
          <w:sz w:val="20"/>
          <w:szCs w:val="20"/>
        </w:rPr>
        <w:t>Our management Environmental, Social, and Governance Steering Committee (our “Sustainability Committee”) guides our commitment to sustainability and has primary responsibility for climate-related activities. The Sus</w:t>
      </w:r>
      <w:r>
        <w:rPr>
          <w:rFonts w:eastAsia="Times New Roman"/>
          <w:color w:val="000000"/>
          <w:sz w:val="20"/>
          <w:szCs w:val="20"/>
        </w:rPr>
        <w:t>tainability Committee reports directly to the Nominating, Governance, and Sustainability Committee of our Board, which oversees all of our sustainability initiatives.</w:t>
      </w:r>
    </w:p>
    <w:p w:rsidR="00000000" w:rsidRDefault="00D04F4B">
      <w:pPr>
        <w:ind w:firstLine="720"/>
        <w:jc w:val="both"/>
        <w:divId w:val="468476610"/>
        <w:rPr>
          <w:rFonts w:eastAsia="Times New Roman"/>
        </w:rPr>
      </w:pPr>
      <w:r>
        <w:rPr>
          <w:rFonts w:eastAsia="Times New Roman"/>
          <w:color w:val="000000"/>
          <w:sz w:val="20"/>
          <w:szCs w:val="20"/>
        </w:rPr>
        <w:t xml:space="preserve">We consider potential environmental impacts—both positive and negative—into our decision </w:t>
      </w:r>
      <w:r>
        <w:rPr>
          <w:rFonts w:eastAsia="Times New Roman"/>
          <w:color w:val="000000"/>
          <w:sz w:val="20"/>
          <w:szCs w:val="20"/>
        </w:rPr>
        <w:t>making across the business. The following features of our properties reflect our commitment to responsible environmental stewardship:</w:t>
      </w:r>
    </w:p>
    <w:p w:rsidR="00000000" w:rsidRDefault="00D04F4B">
      <w:pPr>
        <w:ind w:firstLine="720"/>
        <w:jc w:val="both"/>
        <w:divId w:val="1446072501"/>
        <w:rPr>
          <w:rFonts w:eastAsia="Times New Roman"/>
        </w:rPr>
      </w:pPr>
      <w:r>
        <w:rPr>
          <w:rFonts w:eastAsia="Times New Roman"/>
          <w:color w:val="000000"/>
          <w:sz w:val="20"/>
          <w:szCs w:val="20"/>
        </w:rPr>
        <w:t xml:space="preserve">- </w:t>
      </w:r>
      <w:r>
        <w:rPr>
          <w:rFonts w:eastAsia="Times New Roman"/>
          <w:i/>
          <w:iCs/>
          <w:color w:val="000000"/>
          <w:sz w:val="20"/>
          <w:szCs w:val="20"/>
        </w:rPr>
        <w:t>Low environmental impact.</w:t>
      </w:r>
      <w:r>
        <w:rPr>
          <w:rFonts w:eastAsia="Times New Roman"/>
          <w:color w:val="000000"/>
          <w:sz w:val="20"/>
          <w:szCs w:val="20"/>
        </w:rPr>
        <w:t xml:space="preserve"> Our property portfolio has an inherently light footprint that we further reduce through enviro</w:t>
      </w:r>
      <w:r>
        <w:rPr>
          <w:rFonts w:eastAsia="Times New Roman"/>
          <w:color w:val="000000"/>
          <w:sz w:val="20"/>
          <w:szCs w:val="20"/>
        </w:rPr>
        <w:t>nmentally friendly capital initiatives.</w:t>
      </w:r>
    </w:p>
    <w:p w:rsidR="00000000" w:rsidRDefault="00D04F4B">
      <w:pPr>
        <w:ind w:firstLine="720"/>
        <w:jc w:val="both"/>
        <w:divId w:val="1121921631"/>
        <w:rPr>
          <w:rFonts w:eastAsia="Times New Roman"/>
        </w:rPr>
      </w:pPr>
      <w:r>
        <w:rPr>
          <w:rFonts w:eastAsia="Times New Roman"/>
          <w:color w:val="000000"/>
          <w:sz w:val="20"/>
          <w:szCs w:val="20"/>
        </w:rPr>
        <w:t xml:space="preserve">- </w:t>
      </w:r>
      <w:r>
        <w:rPr>
          <w:rFonts w:eastAsia="Times New Roman"/>
          <w:i/>
          <w:iCs/>
          <w:color w:val="000000"/>
          <w:sz w:val="20"/>
          <w:szCs w:val="20"/>
        </w:rPr>
        <w:t>Low obsolescence</w:t>
      </w:r>
      <w:r>
        <w:rPr>
          <w:rFonts w:eastAsia="Times New Roman"/>
          <w:color w:val="000000"/>
          <w:sz w:val="20"/>
          <w:szCs w:val="20"/>
        </w:rPr>
        <w:t>. Our properties have retained functional and physical usefulness over many decades. In fact, many customers favor our single-story, drive-up properties built in the 1970s and 1980s due to their central locations and accessibility. This contrasts with othe</w:t>
      </w:r>
      <w:r>
        <w:rPr>
          <w:rFonts w:eastAsia="Times New Roman"/>
          <w:color w:val="000000"/>
          <w:sz w:val="20"/>
          <w:szCs w:val="20"/>
        </w:rPr>
        <w:t>r real estate types that require frequent reinvestment (i.e., capital expenditures) to stay current with consumer preference, remain competitive with newer competition, offset heavier wear-and-tear by users, and maintain structural operating efficiency.</w:t>
      </w:r>
    </w:p>
    <w:p w:rsidR="00000000" w:rsidRDefault="00D04F4B">
      <w:pPr>
        <w:ind w:firstLine="720"/>
        <w:jc w:val="both"/>
        <w:divId w:val="400447930"/>
        <w:rPr>
          <w:rFonts w:eastAsia="Times New Roman"/>
        </w:rPr>
      </w:pPr>
      <w:r>
        <w:rPr>
          <w:rFonts w:eastAsia="Times New Roman"/>
          <w:color w:val="000000"/>
          <w:sz w:val="20"/>
          <w:szCs w:val="20"/>
        </w:rPr>
        <w:t xml:space="preserve">- </w:t>
      </w:r>
      <w:r>
        <w:rPr>
          <w:rFonts w:eastAsia="Times New Roman"/>
          <w:i/>
          <w:iCs/>
          <w:color w:val="000000"/>
          <w:sz w:val="20"/>
          <w:szCs w:val="20"/>
        </w:rPr>
        <w:t>High structural resilience.</w:t>
      </w:r>
      <w:r>
        <w:rPr>
          <w:rFonts w:eastAsia="Times New Roman"/>
          <w:color w:val="000000"/>
          <w:sz w:val="20"/>
          <w:szCs w:val="20"/>
        </w:rPr>
        <w:t xml:space="preserve"> We build and operate our properties to withstand the test of time, including general aging and acute and chronic risks from rising water levels, changing temperatures, and natural disasters.</w:t>
      </w:r>
    </w:p>
    <w:p w:rsidR="00000000" w:rsidRDefault="00D04F4B">
      <w:pPr>
        <w:ind w:firstLine="720"/>
        <w:jc w:val="both"/>
        <w:divId w:val="1206336940"/>
        <w:rPr>
          <w:rFonts w:eastAsia="Times New Roman"/>
        </w:rPr>
      </w:pPr>
      <w:r>
        <w:rPr>
          <w:rFonts w:eastAsia="Times New Roman"/>
          <w:color w:val="000000"/>
          <w:sz w:val="20"/>
          <w:szCs w:val="20"/>
        </w:rPr>
        <w:t>We measure and monitor our environmen</w:t>
      </w:r>
      <w:r>
        <w:rPr>
          <w:rFonts w:eastAsia="Times New Roman"/>
          <w:color w:val="000000"/>
          <w:sz w:val="20"/>
          <w:szCs w:val="20"/>
        </w:rPr>
        <w:t xml:space="preserve">tal impact and leverage sustainability measures to reduce this impact while achieving cost efficiencies in our operations by implementing a range of energy, water, and waste management initiatives. Many of these initiatives are integrated into our ongoing </w:t>
      </w:r>
      <w:r>
        <w:rPr>
          <w:rFonts w:eastAsia="Times New Roman"/>
          <w:color w:val="000000"/>
          <w:sz w:val="20"/>
          <w:szCs w:val="20"/>
        </w:rPr>
        <w:t>Property of Tomorrow capital investment program.</w:t>
      </w:r>
    </w:p>
    <w:p w:rsidR="00000000" w:rsidRDefault="00D04F4B">
      <w:pPr>
        <w:ind w:firstLine="720"/>
        <w:jc w:val="both"/>
        <w:divId w:val="69619492"/>
        <w:rPr>
          <w:rFonts w:eastAsia="Times New Roman"/>
        </w:rPr>
      </w:pPr>
      <w:r>
        <w:rPr>
          <w:rFonts w:eastAsia="Times New Roman"/>
          <w:color w:val="000000"/>
          <w:sz w:val="20"/>
          <w:szCs w:val="20"/>
        </w:rPr>
        <w:t>In regard to climate, we assess risks and opportunities in conjunction with ongoing operating and risk management processes across the company. We give primary consideration to physical, regulatory, legal, m</w:t>
      </w:r>
      <w:r>
        <w:rPr>
          <w:rFonts w:eastAsia="Times New Roman"/>
          <w:color w:val="000000"/>
          <w:sz w:val="20"/>
          <w:szCs w:val="20"/>
        </w:rPr>
        <w:t>arket, and reputational risks. Examples of these risks include natural disasters, pandemics, temperature change, rising water levels, and regulatory compliance. The risks we are more commonly exposed to and seek to mitigate include flooding and storm damag</w:t>
      </w:r>
      <w:r>
        <w:rPr>
          <w:rFonts w:eastAsia="Times New Roman"/>
          <w:color w:val="000000"/>
          <w:sz w:val="20"/>
          <w:szCs w:val="20"/>
        </w:rPr>
        <w:t xml:space="preserve">e in the southern and eastern United States and wildfires in the western United States. We actively engage in </w:t>
      </w:r>
    </w:p>
    <w:p w:rsidR="00000000" w:rsidRDefault="00D04F4B">
      <w:pPr>
        <w:jc w:val="center"/>
        <w:divId w:val="840051263"/>
        <w:rPr>
          <w:rFonts w:eastAsia="Times New Roman"/>
        </w:rPr>
      </w:pPr>
      <w:r>
        <w:rPr>
          <w:rFonts w:eastAsia="Times New Roman"/>
          <w:color w:val="000000"/>
          <w:sz w:val="20"/>
          <w:szCs w:val="20"/>
        </w:rPr>
        <w:t>8</w:t>
      </w:r>
    </w:p>
    <w:p w:rsidR="00000000" w:rsidRDefault="00D04F4B">
      <w:pPr>
        <w:rPr>
          <w:rFonts w:eastAsia="Times New Roman"/>
        </w:rPr>
      </w:pPr>
      <w:r>
        <w:rPr>
          <w:rFonts w:eastAsia="Times New Roman"/>
        </w:rPr>
        <w:pict>
          <v:rect id="_x0000_i1033" style="width:0;height:1.5pt" o:hralign="center" o:hrstd="t" o:hr="t" fillcolor="#a0a0a0" stroked="f"/>
        </w:pict>
      </w:r>
    </w:p>
    <w:p w:rsidR="00000000" w:rsidRDefault="00D04F4B">
      <w:pPr>
        <w:divId w:val="1093279083"/>
        <w:rPr>
          <w:rFonts w:eastAsia="Times New Roman"/>
        </w:rPr>
      </w:pPr>
    </w:p>
    <w:p w:rsidR="00000000" w:rsidRDefault="00D04F4B">
      <w:pPr>
        <w:jc w:val="both"/>
        <w:divId w:val="1756854644"/>
        <w:rPr>
          <w:rFonts w:eastAsia="Times New Roman"/>
        </w:rPr>
      </w:pPr>
      <w:r>
        <w:rPr>
          <w:rFonts w:eastAsia="Times New Roman"/>
          <w:color w:val="000000"/>
          <w:sz w:val="20"/>
          <w:szCs w:val="20"/>
        </w:rPr>
        <w:t xml:space="preserve">identifying and acting upon the opportunities associated with these risks including LED lighting, solar </w:t>
      </w:r>
      <w:r>
        <w:rPr>
          <w:rFonts w:eastAsia="Times New Roman"/>
          <w:color w:val="000000"/>
          <w:sz w:val="20"/>
          <w:szCs w:val="20"/>
        </w:rPr>
        <w:t>power generation, low-water-use landscaping, and enhancing our broader enterprise risk management framework.</w:t>
      </w:r>
    </w:p>
    <w:p w:rsidR="00000000" w:rsidRDefault="00D04F4B">
      <w:pPr>
        <w:ind w:firstLine="720"/>
        <w:jc w:val="both"/>
        <w:divId w:val="129369252"/>
        <w:rPr>
          <w:rFonts w:eastAsia="Times New Roman"/>
        </w:rPr>
      </w:pPr>
      <w:r>
        <w:rPr>
          <w:rFonts w:eastAsia="Times New Roman"/>
          <w:color w:val="000000"/>
          <w:sz w:val="20"/>
          <w:szCs w:val="20"/>
        </w:rPr>
        <w:t xml:space="preserve">We will continue to utilize our unique competitive advantages in furthering our environmental stewardship. Moreover, we are committed to improving our climate initiatives and long-term sustainability strategies, including: </w:t>
      </w:r>
    </w:p>
    <w:p w:rsidR="00000000" w:rsidRDefault="00D04F4B">
      <w:pPr>
        <w:ind w:hanging="360"/>
        <w:jc w:val="both"/>
        <w:divId w:val="261695015"/>
        <w:rPr>
          <w:rFonts w:eastAsia="Times New Roman"/>
        </w:rPr>
      </w:pPr>
      <w:r>
        <w:rPr>
          <w:rFonts w:eastAsia="Times New Roman"/>
          <w:color w:val="000000"/>
          <w:sz w:val="20"/>
          <w:szCs w:val="20"/>
        </w:rPr>
        <w:t>•proactively evaluating our buil</w:t>
      </w:r>
      <w:r>
        <w:rPr>
          <w:rFonts w:eastAsia="Times New Roman"/>
          <w:color w:val="000000"/>
          <w:sz w:val="20"/>
          <w:szCs w:val="20"/>
        </w:rPr>
        <w:t>ding prototype and design standards for opportunities to further reduce our environmental impact, including an effort underway to refine our green building implementation strategy in conjunction with U.S. Green Building Council through LEE</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certification;</w:t>
      </w:r>
    </w:p>
    <w:p w:rsidR="00000000" w:rsidRDefault="00D04F4B">
      <w:pPr>
        <w:ind w:hanging="360"/>
        <w:jc w:val="both"/>
        <w:divId w:val="691345166"/>
        <w:rPr>
          <w:rFonts w:eastAsia="Times New Roman"/>
        </w:rPr>
      </w:pPr>
      <w:r>
        <w:rPr>
          <w:rFonts w:eastAsia="Times New Roman"/>
          <w:color w:val="000000"/>
          <w:sz w:val="20"/>
          <w:szCs w:val="20"/>
        </w:rPr>
        <w:t>•prioritizing our understanding of Paris Climate Agreement and the potential paths towards a carbon neutral future; and</w:t>
      </w:r>
    </w:p>
    <w:p w:rsidR="00000000" w:rsidRDefault="00D04F4B">
      <w:pPr>
        <w:ind w:hanging="360"/>
        <w:jc w:val="both"/>
        <w:divId w:val="242833348"/>
        <w:rPr>
          <w:rFonts w:eastAsia="Times New Roman"/>
        </w:rPr>
      </w:pPr>
      <w:r>
        <w:rPr>
          <w:rFonts w:eastAsia="Times New Roman"/>
          <w:color w:val="000000"/>
          <w:sz w:val="20"/>
          <w:szCs w:val="20"/>
        </w:rPr>
        <w:t>•evaluating the feasibility of instituting medium and/or long-term greenhouse gas emissions reduction targets or other climate-focus ta</w:t>
      </w:r>
      <w:r>
        <w:rPr>
          <w:rFonts w:eastAsia="Times New Roman"/>
          <w:color w:val="000000"/>
          <w:sz w:val="20"/>
          <w:szCs w:val="20"/>
        </w:rPr>
        <w:t>rgets to encourage or increase adoption of renewable energy or energy efficiency measures.</w:t>
      </w:r>
    </w:p>
    <w:p w:rsidR="00000000" w:rsidRDefault="00D04F4B">
      <w:pPr>
        <w:ind w:firstLine="720"/>
        <w:jc w:val="both"/>
        <w:divId w:val="319891722"/>
        <w:rPr>
          <w:rFonts w:eastAsia="Times New Roman"/>
        </w:rPr>
      </w:pPr>
      <w:r>
        <w:rPr>
          <w:rFonts w:eastAsia="Times New Roman"/>
          <w:color w:val="000000"/>
          <w:sz w:val="20"/>
          <w:szCs w:val="20"/>
        </w:rPr>
        <w:t>Our annual Sustainability Report, which details our commitment to environmental stewardship along with our results, performance and progress, is accessible on our we</w:t>
      </w:r>
      <w:r>
        <w:rPr>
          <w:rFonts w:eastAsia="Times New Roman"/>
          <w:color w:val="000000"/>
          <w:sz w:val="20"/>
          <w:szCs w:val="20"/>
        </w:rPr>
        <w:t xml:space="preserve">bsite at www.publicstorage.com. </w:t>
      </w:r>
    </w:p>
    <w:p w:rsidR="00000000" w:rsidRDefault="00D04F4B">
      <w:pPr>
        <w:jc w:val="both"/>
        <w:divId w:val="2038464049"/>
        <w:rPr>
          <w:rFonts w:eastAsia="Times New Roman"/>
        </w:rPr>
      </w:pPr>
      <w:r>
        <w:rPr>
          <w:rFonts w:eastAsia="Times New Roman"/>
          <w:b/>
          <w:bCs/>
          <w:color w:val="000000"/>
          <w:sz w:val="20"/>
          <w:szCs w:val="20"/>
          <w:u w:val="single"/>
        </w:rPr>
        <w:t>Seasonality</w:t>
      </w:r>
    </w:p>
    <w:p w:rsidR="00000000" w:rsidRDefault="00D04F4B">
      <w:pPr>
        <w:ind w:firstLine="720"/>
        <w:jc w:val="both"/>
        <w:divId w:val="1356080274"/>
        <w:rPr>
          <w:rFonts w:eastAsia="Times New Roman"/>
        </w:rPr>
      </w:pPr>
      <w:r>
        <w:rPr>
          <w:rFonts w:eastAsia="Times New Roman"/>
          <w:color w:val="000000"/>
          <w:sz w:val="20"/>
          <w:szCs w:val="20"/>
        </w:rPr>
        <w:t>We experience minor seasonal fluctuations in the demand for self-storage space, with demand and rental rates generally higher in the summer months than in the winter months. We believe that these fluctuations re</w:t>
      </w:r>
      <w:r>
        <w:rPr>
          <w:rFonts w:eastAsia="Times New Roman"/>
          <w:color w:val="000000"/>
          <w:sz w:val="20"/>
          <w:szCs w:val="20"/>
        </w:rPr>
        <w:t>sult in part from increased moving activity during the summer months.</w:t>
      </w:r>
    </w:p>
    <w:p w:rsidR="00000000" w:rsidRDefault="00D04F4B">
      <w:pPr>
        <w:ind w:hanging="1440"/>
        <w:divId w:val="1993752663"/>
        <w:rPr>
          <w:rFonts w:eastAsia="Times New Roman"/>
        </w:rPr>
      </w:pPr>
      <w:r>
        <w:rPr>
          <w:rFonts w:eastAsia="Times New Roman"/>
          <w:b/>
          <w:bCs/>
          <w:color w:val="000000"/>
          <w:sz w:val="20"/>
          <w:szCs w:val="20"/>
        </w:rPr>
        <w:t>ITEM 1A.    </w:t>
      </w:r>
      <w:r>
        <w:rPr>
          <w:rFonts w:eastAsia="Times New Roman"/>
          <w:b/>
          <w:bCs/>
          <w:color w:val="000000"/>
          <w:sz w:val="20"/>
          <w:szCs w:val="20"/>
          <w:u w:val="single"/>
        </w:rPr>
        <w:t>Risk Factors</w:t>
      </w:r>
    </w:p>
    <w:p w:rsidR="00000000" w:rsidRDefault="00D04F4B">
      <w:pPr>
        <w:ind w:firstLine="720"/>
        <w:jc w:val="both"/>
        <w:divId w:val="1777821561"/>
        <w:rPr>
          <w:rFonts w:eastAsia="Times New Roman"/>
        </w:rPr>
      </w:pPr>
      <w:r>
        <w:rPr>
          <w:rFonts w:eastAsia="Times New Roman"/>
          <w:color w:val="000000"/>
          <w:sz w:val="20"/>
          <w:szCs w:val="20"/>
        </w:rPr>
        <w:t>In addition to the other information in our Annual Report on Form 10-K, you should consider the risks described below that we believe may be material to investor</w:t>
      </w:r>
      <w:r>
        <w:rPr>
          <w:rFonts w:eastAsia="Times New Roman"/>
          <w:color w:val="000000"/>
          <w:sz w:val="20"/>
          <w:szCs w:val="20"/>
        </w:rPr>
        <w:t>s in evaluating the Company. This section contains forward-looking statements, and in considering these statements, you should refer to the qualifications and limitations on our forward-looking statements that are described in Item 1, “Business.”</w:t>
      </w:r>
    </w:p>
    <w:p w:rsidR="00000000" w:rsidRDefault="00D04F4B">
      <w:pPr>
        <w:ind w:firstLine="720"/>
        <w:jc w:val="center"/>
        <w:divId w:val="915362726"/>
        <w:rPr>
          <w:rFonts w:eastAsia="Times New Roman"/>
        </w:rPr>
      </w:pPr>
      <w:r>
        <w:rPr>
          <w:rFonts w:eastAsia="Times New Roman"/>
          <w:b/>
          <w:bCs/>
          <w:color w:val="000000"/>
          <w:sz w:val="20"/>
          <w:szCs w:val="20"/>
        </w:rPr>
        <w:t>Risks Rel</w:t>
      </w:r>
      <w:r>
        <w:rPr>
          <w:rFonts w:eastAsia="Times New Roman"/>
          <w:b/>
          <w:bCs/>
          <w:color w:val="000000"/>
          <w:sz w:val="20"/>
          <w:szCs w:val="20"/>
        </w:rPr>
        <w:t>ated to Our Business</w:t>
      </w:r>
    </w:p>
    <w:p w:rsidR="00000000" w:rsidRDefault="00D04F4B">
      <w:pPr>
        <w:jc w:val="both"/>
        <w:divId w:val="590239329"/>
        <w:rPr>
          <w:rFonts w:eastAsia="Times New Roman"/>
        </w:rPr>
      </w:pPr>
      <w:r>
        <w:rPr>
          <w:rFonts w:eastAsia="Times New Roman"/>
          <w:b/>
          <w:bCs/>
          <w:color w:val="000000"/>
          <w:sz w:val="20"/>
          <w:szCs w:val="20"/>
        </w:rPr>
        <w:t>We have significant exposure to real estate risk.</w:t>
      </w:r>
    </w:p>
    <w:p w:rsidR="00000000" w:rsidRDefault="00D04F4B">
      <w:pPr>
        <w:ind w:firstLine="720"/>
        <w:jc w:val="both"/>
        <w:divId w:val="1974172631"/>
        <w:rPr>
          <w:rFonts w:eastAsia="Times New Roman"/>
        </w:rPr>
      </w:pPr>
      <w:r>
        <w:rPr>
          <w:rFonts w:eastAsia="Times New Roman"/>
          <w:color w:val="000000"/>
          <w:sz w:val="20"/>
          <w:szCs w:val="20"/>
        </w:rPr>
        <w:t>Since our business consists primarily of acquiring, developing, and operating real estate, we are subject to risks related to the ownership and operation of real estate that could resul</w:t>
      </w:r>
      <w:r>
        <w:rPr>
          <w:rFonts w:eastAsia="Times New Roman"/>
          <w:color w:val="000000"/>
          <w:sz w:val="20"/>
          <w:szCs w:val="20"/>
        </w:rPr>
        <w:t>t in reduced revenues, increased expenses, increased capital expenditures, or increased borrowings, which could negatively impact our operating results, cash flow available for distribution or reinvestment, and our stock price, including:</w:t>
      </w:r>
    </w:p>
    <w:p w:rsidR="00000000" w:rsidRDefault="00D04F4B">
      <w:pPr>
        <w:ind w:firstLine="720"/>
        <w:jc w:val="both"/>
        <w:divId w:val="252132747"/>
        <w:rPr>
          <w:rFonts w:eastAsia="Times New Roman"/>
        </w:rPr>
      </w:pPr>
      <w:r>
        <w:rPr>
          <w:rFonts w:eastAsia="Times New Roman"/>
          <w:i/>
          <w:iCs/>
          <w:color w:val="000000"/>
          <w:sz w:val="20"/>
          <w:szCs w:val="20"/>
        </w:rPr>
        <w:t>Natural disasters</w:t>
      </w:r>
      <w:r>
        <w:rPr>
          <w:rFonts w:eastAsia="Times New Roman"/>
          <w:i/>
          <w:iCs/>
          <w:color w:val="000000"/>
          <w:sz w:val="20"/>
          <w:szCs w:val="20"/>
        </w:rPr>
        <w:t xml:space="preserve"> or terrorist attacks could cause damage to our facilities, resulting in increased costs and reduced revenues.</w:t>
      </w:r>
      <w:r>
        <w:rPr>
          <w:rFonts w:eastAsia="Times New Roman"/>
          <w:color w:val="000000"/>
          <w:sz w:val="20"/>
          <w:szCs w:val="20"/>
        </w:rPr>
        <w:t xml:space="preserve"> Natural disasters, such as earthquakes, fires, hurricanes and floods, or terrorist attacks could cause significant damage to our facilities and r</w:t>
      </w:r>
      <w:r>
        <w:rPr>
          <w:rFonts w:eastAsia="Times New Roman"/>
          <w:color w:val="000000"/>
          <w:sz w:val="20"/>
          <w:szCs w:val="20"/>
        </w:rPr>
        <w:t>equire significant repair costs, and make facilities temporarily uninhabitable, thereby reducing our revenues. Damage and business interruption losses could exceed the aggregate limits of our insurance coverage. In addition, because we self-insure a portio</w:t>
      </w:r>
      <w:r>
        <w:rPr>
          <w:rFonts w:eastAsia="Times New Roman"/>
          <w:color w:val="000000"/>
          <w:sz w:val="20"/>
          <w:szCs w:val="20"/>
        </w:rPr>
        <w:t>n of our risks, losses below a certain level may not be covered by insurance. See Note 14 to our December 31, 2021 consolidated financial statements for a description of the risks of losses that are not covered by third-party insurance contracts. We may no</w:t>
      </w:r>
      <w:r>
        <w:rPr>
          <w:rFonts w:eastAsia="Times New Roman"/>
          <w:color w:val="000000"/>
          <w:sz w:val="20"/>
          <w:szCs w:val="20"/>
        </w:rPr>
        <w:t>t have sufficient insurance coverage for losses caused by a terrorist attack, or such insurance may not be maintained, available or cost-effective. In addition, significant natural disasters, terrorist attacks, threats of future terrorist attacks, or resul</w:t>
      </w:r>
      <w:r>
        <w:rPr>
          <w:rFonts w:eastAsia="Times New Roman"/>
          <w:color w:val="000000"/>
          <w:sz w:val="20"/>
          <w:szCs w:val="20"/>
        </w:rPr>
        <w:t>ting wider armed conflicts could have negative impacts on self-storage demand and/or our revenues.</w:t>
      </w:r>
    </w:p>
    <w:p w:rsidR="00000000" w:rsidRDefault="00D04F4B">
      <w:pPr>
        <w:ind w:firstLine="720"/>
        <w:jc w:val="both"/>
        <w:divId w:val="338584466"/>
        <w:rPr>
          <w:rFonts w:eastAsia="Times New Roman"/>
        </w:rPr>
      </w:pPr>
      <w:r>
        <w:rPr>
          <w:rFonts w:eastAsia="Times New Roman"/>
          <w:i/>
          <w:iCs/>
          <w:color w:val="000000"/>
          <w:sz w:val="20"/>
          <w:szCs w:val="20"/>
        </w:rPr>
        <w:t>Consequences of climate change, including severe weather events, and the steps taken to prevent climate change, could result in increased capital expenditure</w:t>
      </w:r>
      <w:r>
        <w:rPr>
          <w:rFonts w:eastAsia="Times New Roman"/>
          <w:i/>
          <w:iCs/>
          <w:color w:val="000000"/>
          <w:sz w:val="20"/>
          <w:szCs w:val="20"/>
        </w:rPr>
        <w:t>s, increased expenses, and reduced revenues:</w:t>
      </w:r>
      <w:r>
        <w:rPr>
          <w:rFonts w:eastAsia="Times New Roman"/>
          <w:color w:val="000000"/>
          <w:sz w:val="20"/>
          <w:szCs w:val="20"/>
        </w:rPr>
        <w:t xml:space="preserve"> Direct and indirect impacts of climate change, such as increased destructive weather events, floods, fires, and drought could result in significant damage to our self-storage facilities, increase our costs, or r</w:t>
      </w:r>
      <w:r>
        <w:rPr>
          <w:rFonts w:eastAsia="Times New Roman"/>
          <w:color w:val="000000"/>
          <w:sz w:val="20"/>
          <w:szCs w:val="20"/>
        </w:rPr>
        <w:t xml:space="preserve">educe demand for our self-storage facilities. Consistent with our commitment to sustainability in our business operations, we have undertaken a number of initiatives to reduce emissions and energy consumption, water usage, and waste, including through our </w:t>
      </w:r>
      <w:r>
        <w:rPr>
          <w:rFonts w:eastAsia="Times New Roman"/>
          <w:color w:val="000000"/>
          <w:sz w:val="20"/>
          <w:szCs w:val="20"/>
        </w:rPr>
        <w:t xml:space="preserve">Property of Tomorrow program, pursuant to which we are upgrading all of our older properties by the end of 2025, which has already resulted in investment of approximately </w:t>
      </w:r>
    </w:p>
    <w:p w:rsidR="00000000" w:rsidRDefault="00D04F4B">
      <w:pPr>
        <w:jc w:val="center"/>
        <w:divId w:val="1911229181"/>
        <w:rPr>
          <w:rFonts w:eastAsia="Times New Roman"/>
        </w:rPr>
      </w:pPr>
      <w:r>
        <w:rPr>
          <w:rFonts w:eastAsia="Times New Roman"/>
          <w:color w:val="000000"/>
          <w:sz w:val="20"/>
          <w:szCs w:val="20"/>
        </w:rPr>
        <w:t>9</w:t>
      </w:r>
    </w:p>
    <w:p w:rsidR="00000000" w:rsidRDefault="00D04F4B">
      <w:pPr>
        <w:rPr>
          <w:rFonts w:eastAsia="Times New Roman"/>
        </w:rPr>
      </w:pPr>
      <w:r>
        <w:rPr>
          <w:rFonts w:eastAsia="Times New Roman"/>
        </w:rPr>
        <w:pict>
          <v:rect id="_x0000_i1034" style="width:0;height:1.5pt" o:hralign="center" o:hrstd="t" o:hr="t" fillcolor="#a0a0a0" stroked="f"/>
        </w:pict>
      </w:r>
    </w:p>
    <w:p w:rsidR="00000000" w:rsidRDefault="00D04F4B">
      <w:pPr>
        <w:divId w:val="586620995"/>
        <w:rPr>
          <w:rFonts w:eastAsia="Times New Roman"/>
        </w:rPr>
      </w:pPr>
    </w:p>
    <w:p w:rsidR="00000000" w:rsidRDefault="00D04F4B">
      <w:pPr>
        <w:jc w:val="both"/>
        <w:divId w:val="1031995436"/>
        <w:rPr>
          <w:rFonts w:eastAsia="Times New Roman"/>
        </w:rPr>
      </w:pPr>
      <w:r>
        <w:rPr>
          <w:rFonts w:eastAsia="Times New Roman"/>
          <w:color w:val="000000"/>
          <w:sz w:val="20"/>
          <w:szCs w:val="20"/>
        </w:rPr>
        <w:t>$230 million in improvements through Decembe</w:t>
      </w:r>
      <w:r>
        <w:rPr>
          <w:rFonts w:eastAsia="Times New Roman"/>
          <w:color w:val="000000"/>
          <w:sz w:val="20"/>
          <w:szCs w:val="20"/>
        </w:rPr>
        <w:t>r 31, 2021. Governmental, political, and societal pressure, including expectations of institutional and activist investors and other interest groups, could require us to accelerate our initiatives and, with it, the costs of their implementation. These same</w:t>
      </w:r>
      <w:r>
        <w:rPr>
          <w:rFonts w:eastAsia="Times New Roman"/>
          <w:color w:val="000000"/>
          <w:sz w:val="20"/>
          <w:szCs w:val="20"/>
        </w:rPr>
        <w:t xml:space="preserve"> potential governmental, political, and social pressure could in the future result in (i) costly changes to newly developed facilities or retrofits of our existing facilities to reduce carbon emissions through multiple avenues, including changes to insulat</w:t>
      </w:r>
      <w:r>
        <w:rPr>
          <w:rFonts w:eastAsia="Times New Roman"/>
          <w:color w:val="000000"/>
          <w:sz w:val="20"/>
          <w:szCs w:val="20"/>
        </w:rPr>
        <w:t>ion, space configuration, lighting, heating, and air conditioning, (ii) increased energy costs as a result of transitioning to less carbon-intensive, but more expensive, sources of energy to operate our facilities, and (iii) consumers reducing their indivi</w:t>
      </w:r>
      <w:r>
        <w:rPr>
          <w:rFonts w:eastAsia="Times New Roman"/>
          <w:color w:val="000000"/>
          <w:sz w:val="20"/>
          <w:szCs w:val="20"/>
        </w:rPr>
        <w:t>dual carbon footprints by owning fewer durable material consumer goods, collectibles, and other such items requiring storage, resulting in a reduced demand for our self-storage space.</w:t>
      </w:r>
    </w:p>
    <w:p w:rsidR="00000000" w:rsidRDefault="00D04F4B">
      <w:pPr>
        <w:ind w:firstLine="720"/>
        <w:jc w:val="both"/>
        <w:divId w:val="383405975"/>
        <w:rPr>
          <w:rFonts w:eastAsia="Times New Roman"/>
        </w:rPr>
      </w:pPr>
      <w:r>
        <w:rPr>
          <w:rFonts w:eastAsia="Times New Roman"/>
          <w:i/>
          <w:iCs/>
          <w:color w:val="000000"/>
          <w:sz w:val="20"/>
          <w:szCs w:val="20"/>
        </w:rPr>
        <w:t>Operating costs, including property taxes, could increase</w:t>
      </w:r>
      <w:r>
        <w:rPr>
          <w:rFonts w:eastAsia="Times New Roman"/>
          <w:color w:val="000000"/>
          <w:sz w:val="20"/>
          <w:szCs w:val="20"/>
        </w:rPr>
        <w:t>. We could be s</w:t>
      </w:r>
      <w:r>
        <w:rPr>
          <w:rFonts w:eastAsia="Times New Roman"/>
          <w:color w:val="000000"/>
          <w:sz w:val="20"/>
          <w:szCs w:val="20"/>
        </w:rPr>
        <w:t>ubject to increases in insurance premiums, property or other taxes, repair and maintenance costs, payroll, utility costs, workers compensation, and other operating expenses due to various factors such as inflation, labor shortages, commodity and energy pri</w:t>
      </w:r>
      <w:r>
        <w:rPr>
          <w:rFonts w:eastAsia="Times New Roman"/>
          <w:color w:val="000000"/>
          <w:sz w:val="20"/>
          <w:szCs w:val="20"/>
        </w:rPr>
        <w:t>ce increases, weather, increases to minimum wage rates, changes to governmental safety and real estate use limitations, as well as other governmental actions. Our property tax expense, which totaled approximately $335.1 million during the year ended Decemb</w:t>
      </w:r>
      <w:r>
        <w:rPr>
          <w:rFonts w:eastAsia="Times New Roman"/>
          <w:color w:val="000000"/>
          <w:sz w:val="20"/>
          <w:szCs w:val="20"/>
        </w:rPr>
        <w:t>er 31, 2021, generally depends upon the assessed value of our real estate facilities as determined by assessors and government agencies, and accordingly could be subject to substantial increases if such agencies changed their valuation approaches or opinio</w:t>
      </w:r>
      <w:r>
        <w:rPr>
          <w:rFonts w:eastAsia="Times New Roman"/>
          <w:color w:val="000000"/>
          <w:sz w:val="20"/>
          <w:szCs w:val="20"/>
        </w:rPr>
        <w:t>ns or if new laws are enacted, especially if new approaches are adopted or laws are enacted that result in increased property tax assessments in states or geographies where we have a high concentration of facilities. See also “We have exposure to increased</w:t>
      </w:r>
      <w:r>
        <w:rPr>
          <w:rFonts w:eastAsia="Times New Roman"/>
          <w:color w:val="000000"/>
          <w:sz w:val="20"/>
          <w:szCs w:val="20"/>
        </w:rPr>
        <w:t xml:space="preserve"> property tax in California” below.</w:t>
      </w:r>
    </w:p>
    <w:p w:rsidR="00000000" w:rsidRDefault="00D04F4B">
      <w:pPr>
        <w:ind w:firstLine="720"/>
        <w:jc w:val="both"/>
        <w:divId w:val="1641033095"/>
        <w:rPr>
          <w:rFonts w:eastAsia="Times New Roman"/>
        </w:rPr>
      </w:pPr>
      <w:r>
        <w:rPr>
          <w:rFonts w:eastAsia="Times New Roman"/>
          <w:i/>
          <w:iCs/>
          <w:color w:val="000000"/>
          <w:sz w:val="20"/>
          <w:szCs w:val="20"/>
        </w:rPr>
        <w:t>The acquisition of existing properties or self-storage operating companies is subject to risks that may adversely affect our growth and financial results.</w:t>
      </w:r>
      <w:r>
        <w:rPr>
          <w:rFonts w:eastAsia="Times New Roman"/>
          <w:color w:val="000000"/>
          <w:sz w:val="20"/>
          <w:szCs w:val="20"/>
        </w:rPr>
        <w:t xml:space="preserve"> We have acquired self-storage facilities from third parties in th</w:t>
      </w:r>
      <w:r>
        <w:rPr>
          <w:rFonts w:eastAsia="Times New Roman"/>
          <w:color w:val="000000"/>
          <w:sz w:val="20"/>
          <w:szCs w:val="20"/>
        </w:rPr>
        <w:t>e past, and we expect to continue to do so in the future. We face significant competition for suitable acquisition properties from other real estate investors. As a result, we may be unable to acquire additional properties we desire or the purchase price f</w:t>
      </w:r>
      <w:r>
        <w:rPr>
          <w:rFonts w:eastAsia="Times New Roman"/>
          <w:color w:val="000000"/>
          <w:sz w:val="20"/>
          <w:szCs w:val="20"/>
        </w:rPr>
        <w:t>or desirable properties may be significantly increased. Failures or unexpected circumstances in integrating facilities that we acquire directly or via the acquisition of operating companies into our operations, or circumstances we did not detect or anticip</w:t>
      </w:r>
      <w:r>
        <w:rPr>
          <w:rFonts w:eastAsia="Times New Roman"/>
          <w:color w:val="000000"/>
          <w:sz w:val="20"/>
          <w:szCs w:val="20"/>
        </w:rPr>
        <w:t xml:space="preserve">ate during due diligence, such as environmental matters, needed repairs or deferred maintenance, customer collection issues, assumed liabilities, turnover of critical personnel involved in acquired operating companies, or the effects of increased property </w:t>
      </w:r>
      <w:r>
        <w:rPr>
          <w:rFonts w:eastAsia="Times New Roman"/>
          <w:color w:val="000000"/>
          <w:sz w:val="20"/>
          <w:szCs w:val="20"/>
        </w:rPr>
        <w:t>tax following reassessment of a newly-acquired property, as well as the general risks of real estate investment and mergers and acquisitions, could jeopardize realization of the anticipated earnings from an acquisition.</w:t>
      </w:r>
    </w:p>
    <w:p w:rsidR="00000000" w:rsidRDefault="00D04F4B">
      <w:pPr>
        <w:ind w:firstLine="720"/>
        <w:jc w:val="both"/>
        <w:divId w:val="658000025"/>
        <w:rPr>
          <w:rFonts w:eastAsia="Times New Roman"/>
        </w:rPr>
      </w:pPr>
      <w:r>
        <w:rPr>
          <w:rFonts w:eastAsia="Times New Roman"/>
          <w:i/>
          <w:iCs/>
          <w:color w:val="000000"/>
          <w:sz w:val="20"/>
          <w:szCs w:val="20"/>
        </w:rPr>
        <w:t>Development of self-storage faciliti</w:t>
      </w:r>
      <w:r>
        <w:rPr>
          <w:rFonts w:eastAsia="Times New Roman"/>
          <w:i/>
          <w:iCs/>
          <w:color w:val="000000"/>
          <w:sz w:val="20"/>
          <w:szCs w:val="20"/>
        </w:rPr>
        <w:t>es can subject us to risks.</w:t>
      </w:r>
      <w:r>
        <w:rPr>
          <w:rFonts w:eastAsia="Times New Roman"/>
          <w:color w:val="000000"/>
          <w:sz w:val="20"/>
          <w:szCs w:val="20"/>
        </w:rPr>
        <w:t>  At December 31, 2021, we had a pipeline of development projects totaling $800.0 million (subject to contingencies), and we expect to continue to seek additional development projects. There are significant risks involved in deve</w:t>
      </w:r>
      <w:r>
        <w:rPr>
          <w:rFonts w:eastAsia="Times New Roman"/>
          <w:color w:val="000000"/>
          <w:sz w:val="20"/>
          <w:szCs w:val="20"/>
        </w:rPr>
        <w:t>loping self-storage facilities, such as delays or cost increases due to changes in or failure to meet government or regulatory requirements, failure of revenue to meet our underwriting estimates, delays caused by weather issues, unforeseen site conditions,</w:t>
      </w:r>
      <w:r>
        <w:rPr>
          <w:rFonts w:eastAsia="Times New Roman"/>
          <w:color w:val="000000"/>
          <w:sz w:val="20"/>
          <w:szCs w:val="20"/>
        </w:rPr>
        <w:t xml:space="preserve"> or personnel problems. Self-storage space is generally not pre-leased, and rent-up of newly developed space can be delayed or ongoing cash flow yields can be reduced due to competition, reductions in storage demand, or other factors.</w:t>
      </w:r>
    </w:p>
    <w:p w:rsidR="00000000" w:rsidRDefault="00D04F4B">
      <w:pPr>
        <w:ind w:firstLine="720"/>
        <w:jc w:val="both"/>
        <w:divId w:val="967474198"/>
        <w:rPr>
          <w:rFonts w:eastAsia="Times New Roman"/>
        </w:rPr>
      </w:pPr>
      <w:r>
        <w:rPr>
          <w:rFonts w:eastAsia="Times New Roman"/>
          <w:i/>
          <w:iCs/>
          <w:color w:val="000000"/>
          <w:sz w:val="20"/>
          <w:szCs w:val="20"/>
        </w:rPr>
        <w:t xml:space="preserve">There is significant </w:t>
      </w:r>
      <w:r>
        <w:rPr>
          <w:rFonts w:eastAsia="Times New Roman"/>
          <w:i/>
          <w:iCs/>
          <w:color w:val="000000"/>
          <w:sz w:val="20"/>
          <w:szCs w:val="20"/>
        </w:rPr>
        <w:t>competition among self-storage operators and from other storage alternatives</w:t>
      </w:r>
      <w:r>
        <w:rPr>
          <w:rFonts w:eastAsia="Times New Roman"/>
          <w:color w:val="000000"/>
          <w:sz w:val="20"/>
          <w:szCs w:val="20"/>
        </w:rPr>
        <w:t>.  </w:t>
      </w:r>
      <w:r>
        <w:rPr>
          <w:rFonts w:eastAsia="Times New Roman"/>
          <w:color w:val="000000"/>
          <w:sz w:val="20"/>
          <w:szCs w:val="20"/>
        </w:rPr>
        <w:t>Our self-storage facilities generate most of our revenue and earnings. Significant competition from self-storage operators, property developers, and other storage alternatives may adversely impact our ability to attract and retain customers and may negativ</w:t>
      </w:r>
      <w:r>
        <w:rPr>
          <w:rFonts w:eastAsia="Times New Roman"/>
          <w:color w:val="000000"/>
          <w:sz w:val="20"/>
          <w:szCs w:val="20"/>
        </w:rPr>
        <w:t xml:space="preserve">ely impact our ability to generate revenue. Competition in the local market areas in which many of our properties are located is significant and has affected our occupancy levels, rental rates, and operating expenses. There is also an increasing influx of </w:t>
      </w:r>
      <w:r>
        <w:rPr>
          <w:rFonts w:eastAsia="Times New Roman"/>
          <w:color w:val="000000"/>
          <w:sz w:val="20"/>
          <w:szCs w:val="20"/>
        </w:rPr>
        <w:t>capital from outside financing sources driving more money, development, and supply into the industry. Development of self-storage facilities has increased in recent years, which has intensified competition and will continue to do so as newly developed faci</w:t>
      </w:r>
      <w:r>
        <w:rPr>
          <w:rFonts w:eastAsia="Times New Roman"/>
          <w:color w:val="000000"/>
          <w:sz w:val="20"/>
          <w:szCs w:val="20"/>
        </w:rPr>
        <w:t>lities are opened. Development of self-storage facilities by other operators could continue to increase, due to increases in availability of funds for investment or other reasons, and further intensify competition.</w:t>
      </w:r>
    </w:p>
    <w:p w:rsidR="00000000" w:rsidRDefault="00D04F4B">
      <w:pPr>
        <w:ind w:firstLine="720"/>
        <w:jc w:val="both"/>
        <w:divId w:val="1913737064"/>
        <w:rPr>
          <w:rFonts w:eastAsia="Times New Roman"/>
        </w:rPr>
      </w:pPr>
      <w:r>
        <w:rPr>
          <w:rFonts w:eastAsia="Times New Roman"/>
          <w:i/>
          <w:iCs/>
          <w:color w:val="000000"/>
          <w:sz w:val="20"/>
          <w:szCs w:val="20"/>
        </w:rPr>
        <w:t>Demand for self-storage facilities may be</w:t>
      </w:r>
      <w:r>
        <w:rPr>
          <w:rFonts w:eastAsia="Times New Roman"/>
          <w:i/>
          <w:iCs/>
          <w:color w:val="000000"/>
          <w:sz w:val="20"/>
          <w:szCs w:val="20"/>
        </w:rPr>
        <w:t xml:space="preserve"> affected by customer perceptions and factors outside of our control.</w:t>
      </w:r>
      <w:r>
        <w:rPr>
          <w:rFonts w:eastAsia="Times New Roman"/>
          <w:color w:val="000000"/>
          <w:sz w:val="20"/>
          <w:szCs w:val="20"/>
        </w:rPr>
        <w:t xml:space="preserve"> Significantly lower logistics costs could introduce new competitors such as valet-style storage services, which may reduce the demand for traditional self-storage. Customer preferences a</w:t>
      </w:r>
      <w:r>
        <w:rPr>
          <w:rFonts w:eastAsia="Times New Roman"/>
          <w:color w:val="000000"/>
          <w:sz w:val="20"/>
          <w:szCs w:val="20"/>
        </w:rPr>
        <w:t>nd/or needs for self-storage could change, decline, or shift to other product types thereby impacting our business model and ability to grow and/or generate revenues. Shifts in population and demographics could cause the geographical distribution of our po</w:t>
      </w:r>
      <w:r>
        <w:rPr>
          <w:rFonts w:eastAsia="Times New Roman"/>
          <w:color w:val="000000"/>
          <w:sz w:val="20"/>
          <w:szCs w:val="20"/>
        </w:rPr>
        <w:t>rtfolio to be suboptimal and affect our ability to maintain occupancy and attract new customers. Security incidents could result in the perception that our properties are not safe. If our customers do not feel our properties are safe, they may select compe</w:t>
      </w:r>
      <w:r>
        <w:rPr>
          <w:rFonts w:eastAsia="Times New Roman"/>
          <w:color w:val="000000"/>
          <w:sz w:val="20"/>
          <w:szCs w:val="20"/>
        </w:rPr>
        <w:t>titors for their self-</w:t>
      </w:r>
    </w:p>
    <w:p w:rsidR="00000000" w:rsidRDefault="00D04F4B">
      <w:pPr>
        <w:jc w:val="center"/>
        <w:divId w:val="1796630607"/>
        <w:rPr>
          <w:rFonts w:eastAsia="Times New Roman"/>
        </w:rPr>
      </w:pPr>
      <w:r>
        <w:rPr>
          <w:rFonts w:eastAsia="Times New Roman"/>
          <w:color w:val="000000"/>
          <w:sz w:val="20"/>
          <w:szCs w:val="20"/>
        </w:rPr>
        <w:t>10</w:t>
      </w:r>
    </w:p>
    <w:p w:rsidR="00000000" w:rsidRDefault="00D04F4B">
      <w:pPr>
        <w:rPr>
          <w:rFonts w:eastAsia="Times New Roman"/>
        </w:rPr>
      </w:pPr>
      <w:r>
        <w:rPr>
          <w:rFonts w:eastAsia="Times New Roman"/>
        </w:rPr>
        <w:pict>
          <v:rect id="_x0000_i1035" style="width:0;height:1.5pt" o:hralign="center" o:hrstd="t" o:hr="t" fillcolor="#a0a0a0" stroked="f"/>
        </w:pict>
      </w:r>
    </w:p>
    <w:p w:rsidR="00000000" w:rsidRDefault="00D04F4B">
      <w:pPr>
        <w:divId w:val="386417718"/>
        <w:rPr>
          <w:rFonts w:eastAsia="Times New Roman"/>
        </w:rPr>
      </w:pPr>
    </w:p>
    <w:p w:rsidR="00000000" w:rsidRDefault="00D04F4B">
      <w:pPr>
        <w:jc w:val="both"/>
        <w:divId w:val="1093748762"/>
        <w:rPr>
          <w:rFonts w:eastAsia="Times New Roman"/>
        </w:rPr>
      </w:pPr>
      <w:r>
        <w:rPr>
          <w:rFonts w:eastAsia="Times New Roman"/>
          <w:color w:val="000000"/>
          <w:sz w:val="20"/>
          <w:szCs w:val="20"/>
        </w:rPr>
        <w:t>storage needs, or if there is an industry perception of inadequate security generally, customer use of self-storage could be negatively impacted.</w:t>
      </w:r>
    </w:p>
    <w:p w:rsidR="00000000" w:rsidRDefault="00D04F4B">
      <w:pPr>
        <w:ind w:firstLine="720"/>
        <w:jc w:val="both"/>
        <w:divId w:val="718287086"/>
        <w:rPr>
          <w:rFonts w:eastAsia="Times New Roman"/>
        </w:rPr>
      </w:pPr>
      <w:r>
        <w:rPr>
          <w:rFonts w:eastAsia="Times New Roman"/>
          <w:i/>
          <w:iCs/>
          <w:color w:val="000000"/>
          <w:sz w:val="20"/>
          <w:szCs w:val="20"/>
        </w:rPr>
        <w:t>Our newly developed and expanded facilities, and facilities that we mana</w:t>
      </w:r>
      <w:r>
        <w:rPr>
          <w:rFonts w:eastAsia="Times New Roman"/>
          <w:i/>
          <w:iCs/>
          <w:color w:val="000000"/>
          <w:sz w:val="20"/>
          <w:szCs w:val="20"/>
        </w:rPr>
        <w:t>ge for third party owners, may negatively impact the revenues of our existing facilities.</w:t>
      </w:r>
      <w:r>
        <w:rPr>
          <w:rFonts w:eastAsia="Times New Roman"/>
          <w:color w:val="000000"/>
          <w:sz w:val="20"/>
          <w:szCs w:val="20"/>
        </w:rPr>
        <w:t xml:space="preserve"> We continue to develop new self-storage facilities and expand our existing self-storage facilities. In addition, we are seeking to increase the number of self-storage</w:t>
      </w:r>
      <w:r>
        <w:rPr>
          <w:rFonts w:eastAsia="Times New Roman"/>
          <w:color w:val="000000"/>
          <w:sz w:val="20"/>
          <w:szCs w:val="20"/>
        </w:rPr>
        <w:t xml:space="preserve"> facilities that we manage for third party owners in exchange for a fee, many of which are in the process of stabilization and are in proximity to our existing stabilized self-storage facilities. In order to hasten the fill-up of these new facilities, we a</w:t>
      </w:r>
      <w:r>
        <w:rPr>
          <w:rFonts w:eastAsia="Times New Roman"/>
          <w:color w:val="000000"/>
          <w:sz w:val="20"/>
          <w:szCs w:val="20"/>
        </w:rPr>
        <w:t>ggressively price such space during the fill-up period. While we believe that this aggressive pricing allows us to increase our market share relative to our competitors and increase the cash flows of these properties, such pricing and the added capacity ma</w:t>
      </w:r>
      <w:r>
        <w:rPr>
          <w:rFonts w:eastAsia="Times New Roman"/>
          <w:color w:val="000000"/>
          <w:sz w:val="20"/>
          <w:szCs w:val="20"/>
        </w:rPr>
        <w:t>y also negatively impact our existing stabilized self-storage facilities that are in proximity to these unstabilized facilities.</w:t>
      </w:r>
    </w:p>
    <w:p w:rsidR="00000000" w:rsidRDefault="00D04F4B">
      <w:pPr>
        <w:ind w:firstLine="720"/>
        <w:jc w:val="both"/>
        <w:divId w:val="1080367753"/>
        <w:rPr>
          <w:rFonts w:eastAsia="Times New Roman"/>
        </w:rPr>
      </w:pPr>
      <w:r>
        <w:rPr>
          <w:rFonts w:eastAsia="Times New Roman"/>
          <w:i/>
          <w:iCs/>
          <w:color w:val="000000"/>
          <w:sz w:val="20"/>
          <w:szCs w:val="20"/>
        </w:rPr>
        <w:t>Many of our existing self-storage facilities may be at a competitive disadvantage to newly developed facilities.</w:t>
      </w:r>
      <w:r>
        <w:rPr>
          <w:rFonts w:eastAsia="Times New Roman"/>
          <w:color w:val="000000"/>
          <w:sz w:val="20"/>
          <w:szCs w:val="20"/>
        </w:rPr>
        <w:t xml:space="preserve"> There is a sig</w:t>
      </w:r>
      <w:r>
        <w:rPr>
          <w:rFonts w:eastAsia="Times New Roman"/>
          <w:color w:val="000000"/>
          <w:sz w:val="20"/>
          <w:szCs w:val="20"/>
        </w:rPr>
        <w:t>nificant level of development of new self-storage facilities, by us and other operators. These newly developed facilities are generally of high quality, with a more fresh and vibrant appearance, more amenities such as climate control, more attractive offic</w:t>
      </w:r>
      <w:r>
        <w:rPr>
          <w:rFonts w:eastAsia="Times New Roman"/>
          <w:color w:val="000000"/>
          <w:sz w:val="20"/>
          <w:szCs w:val="20"/>
        </w:rPr>
        <w:t>e configurations, newer elements, and a more attractive retail presence as compared to many of our existing stabilized self-storage facilities, some of which were built as much as 50 years ago. Such qualitative differentials may negatively impact our abili</w:t>
      </w:r>
      <w:r>
        <w:rPr>
          <w:rFonts w:eastAsia="Times New Roman"/>
          <w:color w:val="000000"/>
          <w:sz w:val="20"/>
          <w:szCs w:val="20"/>
        </w:rPr>
        <w:t>ty to compete with these facilities for new tenants and our existing tenants may move to newly developed facilities.</w:t>
      </w:r>
    </w:p>
    <w:p w:rsidR="00000000" w:rsidRDefault="00D04F4B">
      <w:pPr>
        <w:ind w:firstLine="720"/>
        <w:jc w:val="both"/>
        <w:divId w:val="2139256832"/>
        <w:rPr>
          <w:rFonts w:eastAsia="Times New Roman"/>
        </w:rPr>
      </w:pPr>
      <w:r>
        <w:rPr>
          <w:rFonts w:eastAsia="Times New Roman"/>
          <w:i/>
          <w:iCs/>
          <w:color w:val="000000"/>
          <w:sz w:val="20"/>
          <w:szCs w:val="20"/>
        </w:rPr>
        <w:t>We may incur significant liabilities from environmental contamination or moisture infiltration</w:t>
      </w:r>
      <w:r>
        <w:rPr>
          <w:rFonts w:eastAsia="Times New Roman"/>
          <w:color w:val="000000"/>
          <w:sz w:val="20"/>
          <w:szCs w:val="20"/>
        </w:rPr>
        <w:t>.   Existing or future laws impose or may imp</w:t>
      </w:r>
      <w:r>
        <w:rPr>
          <w:rFonts w:eastAsia="Times New Roman"/>
          <w:color w:val="000000"/>
          <w:sz w:val="20"/>
          <w:szCs w:val="20"/>
        </w:rPr>
        <w:t>ose liability on us to clean up environmental contamination on or around properties that we currently or previously owned or operated, even if we were not responsible for or aware of the environmental contamination or even if such environmental contaminati</w:t>
      </w:r>
      <w:r>
        <w:rPr>
          <w:rFonts w:eastAsia="Times New Roman"/>
          <w:color w:val="000000"/>
          <w:sz w:val="20"/>
          <w:szCs w:val="20"/>
        </w:rPr>
        <w:t>on occurred prior to our involvement with the property. We have conducted preliminary environmental assessments on most of our properties, which have not identified any material liabilities. These assessments, commonly referred to as “Phase 1 Environmental</w:t>
      </w:r>
      <w:r>
        <w:rPr>
          <w:rFonts w:eastAsia="Times New Roman"/>
          <w:color w:val="000000"/>
          <w:sz w:val="20"/>
          <w:szCs w:val="20"/>
        </w:rPr>
        <w:t xml:space="preserve"> Assessments,” include an investigation (excluding soil or groundwater sampling or analysis) and a review of publicly available information regarding the site and other nearby properties.</w:t>
      </w:r>
    </w:p>
    <w:p w:rsidR="00000000" w:rsidRDefault="00D04F4B">
      <w:pPr>
        <w:ind w:firstLine="720"/>
        <w:jc w:val="both"/>
        <w:divId w:val="1063256723"/>
        <w:rPr>
          <w:rFonts w:eastAsia="Times New Roman"/>
        </w:rPr>
      </w:pPr>
      <w:r>
        <w:rPr>
          <w:rFonts w:eastAsia="Times New Roman"/>
          <w:color w:val="000000"/>
          <w:sz w:val="20"/>
          <w:szCs w:val="20"/>
        </w:rPr>
        <w:t>We are also subject to potential liability relating to moisture infi</w:t>
      </w:r>
      <w:r>
        <w:rPr>
          <w:rFonts w:eastAsia="Times New Roman"/>
          <w:color w:val="000000"/>
          <w:sz w:val="20"/>
          <w:szCs w:val="20"/>
        </w:rPr>
        <w:t xml:space="preserve">ltration, which can result in mold or other damage to our or our customers’ property, as well as potential health concerns. When we receive a complaint or otherwise become aware that an air quality concern exists, we implement corrective measures and seek </w:t>
      </w:r>
      <w:r>
        <w:rPr>
          <w:rFonts w:eastAsia="Times New Roman"/>
          <w:color w:val="000000"/>
          <w:sz w:val="20"/>
          <w:szCs w:val="20"/>
        </w:rPr>
        <w:t>to work proactively with our customers to resolve issues, subject to our contractual limitations on liability for such claims.</w:t>
      </w:r>
    </w:p>
    <w:p w:rsidR="00000000" w:rsidRDefault="00D04F4B">
      <w:pPr>
        <w:ind w:firstLine="720"/>
        <w:jc w:val="both"/>
        <w:divId w:val="1283418535"/>
        <w:rPr>
          <w:rFonts w:eastAsia="Times New Roman"/>
        </w:rPr>
      </w:pPr>
      <w:r>
        <w:rPr>
          <w:rFonts w:eastAsia="Times New Roman"/>
          <w:color w:val="000000"/>
          <w:sz w:val="20"/>
          <w:szCs w:val="20"/>
        </w:rPr>
        <w:t>We are not aware of any environmental contamination or moisture infiltration related liabilities at any of our properties that co</w:t>
      </w:r>
      <w:r>
        <w:rPr>
          <w:rFonts w:eastAsia="Times New Roman"/>
          <w:color w:val="000000"/>
          <w:sz w:val="20"/>
          <w:szCs w:val="20"/>
        </w:rPr>
        <w:t>uld be material to our overall business, financial condition, or results of operation. However, we may not have detected all material liabilities, we could acquire properties with material undetected liabilities, or new conditions could arise or develop at</w:t>
      </w:r>
      <w:r>
        <w:rPr>
          <w:rFonts w:eastAsia="Times New Roman"/>
          <w:color w:val="000000"/>
          <w:sz w:val="20"/>
          <w:szCs w:val="20"/>
        </w:rPr>
        <w:t xml:space="preserve"> our properties, any of which could result in a cash settlement or adversely affect our ability to sell, lease, operate, or encumber affected facilities.</w:t>
      </w:r>
    </w:p>
    <w:p w:rsidR="00000000" w:rsidRDefault="00D04F4B">
      <w:pPr>
        <w:jc w:val="both"/>
        <w:divId w:val="1519923598"/>
        <w:rPr>
          <w:rFonts w:eastAsia="Times New Roman"/>
        </w:rPr>
      </w:pPr>
      <w:r>
        <w:rPr>
          <w:rFonts w:eastAsia="Times New Roman"/>
          <w:b/>
          <w:bCs/>
          <w:color w:val="000000"/>
          <w:sz w:val="20"/>
          <w:szCs w:val="20"/>
        </w:rPr>
        <w:t>Economic conditions can adversely affect our business, financial condition, growth and access to capit</w:t>
      </w:r>
      <w:r>
        <w:rPr>
          <w:rFonts w:eastAsia="Times New Roman"/>
          <w:b/>
          <w:bCs/>
          <w:color w:val="000000"/>
          <w:sz w:val="20"/>
          <w:szCs w:val="20"/>
        </w:rPr>
        <w:t>al.</w:t>
      </w:r>
    </w:p>
    <w:p w:rsidR="00000000" w:rsidRDefault="00D04F4B">
      <w:pPr>
        <w:ind w:firstLine="720"/>
        <w:jc w:val="both"/>
        <w:divId w:val="754864221"/>
        <w:rPr>
          <w:rFonts w:eastAsia="Times New Roman"/>
        </w:rPr>
      </w:pPr>
      <w:r>
        <w:rPr>
          <w:rFonts w:eastAsia="Times New Roman"/>
          <w:color w:val="000000"/>
          <w:sz w:val="20"/>
          <w:szCs w:val="20"/>
        </w:rPr>
        <w:t>Economic downturns or adverse economic or industry conditions could adversely impact our financial results, growth, and access to capital.</w:t>
      </w:r>
    </w:p>
    <w:p w:rsidR="00000000" w:rsidRDefault="00D04F4B">
      <w:pPr>
        <w:ind w:firstLine="720"/>
        <w:jc w:val="both"/>
        <w:divId w:val="781807664"/>
        <w:rPr>
          <w:rFonts w:eastAsia="Times New Roman"/>
        </w:rPr>
      </w:pPr>
      <w:r>
        <w:rPr>
          <w:rFonts w:eastAsia="Times New Roman"/>
          <w:color w:val="000000"/>
          <w:sz w:val="20"/>
          <w:szCs w:val="20"/>
        </w:rPr>
        <w:t>Our revenues and operating cash flow can be negatively impacted by reductions in employment and population levels</w:t>
      </w:r>
      <w:r>
        <w:rPr>
          <w:rFonts w:eastAsia="Times New Roman"/>
          <w:color w:val="000000"/>
          <w:sz w:val="20"/>
          <w:szCs w:val="20"/>
        </w:rPr>
        <w:t>, household and disposable income, and other general economic factors that lead to a reduction in demand for rental space in each of the markets in which we operate.</w:t>
      </w:r>
    </w:p>
    <w:p w:rsidR="00000000" w:rsidRDefault="00D04F4B">
      <w:pPr>
        <w:ind w:firstLine="720"/>
        <w:jc w:val="both"/>
        <w:divId w:val="309865240"/>
        <w:rPr>
          <w:rFonts w:eastAsia="Times New Roman"/>
        </w:rPr>
      </w:pPr>
      <w:r>
        <w:rPr>
          <w:rFonts w:eastAsia="Times New Roman"/>
          <w:color w:val="000000"/>
          <w:sz w:val="20"/>
          <w:szCs w:val="20"/>
        </w:rPr>
        <w:t>Our ability to raise capital to fund our activities may be adversely affected by challengi</w:t>
      </w:r>
      <w:r>
        <w:rPr>
          <w:rFonts w:eastAsia="Times New Roman"/>
          <w:color w:val="000000"/>
          <w:sz w:val="20"/>
          <w:szCs w:val="20"/>
        </w:rPr>
        <w:t>ng market conditions. In periods when the capital and credit markets experience significant volatility, the amounts, sources, and cost of capital available to us may be adversely affected. If we were unable to raise capital at reasonable rates, prospective</w:t>
      </w:r>
      <w:r>
        <w:rPr>
          <w:rFonts w:eastAsia="Times New Roman"/>
          <w:color w:val="000000"/>
          <w:sz w:val="20"/>
          <w:szCs w:val="20"/>
        </w:rPr>
        <w:t xml:space="preserve"> earnings growth through expanding our asset base could be limited.</w:t>
      </w:r>
    </w:p>
    <w:p w:rsidR="00000000" w:rsidRDefault="00D04F4B">
      <w:pPr>
        <w:jc w:val="both"/>
        <w:divId w:val="1206721670"/>
        <w:rPr>
          <w:rFonts w:eastAsia="Times New Roman"/>
        </w:rPr>
      </w:pPr>
      <w:r>
        <w:rPr>
          <w:rFonts w:eastAsia="Times New Roman"/>
          <w:b/>
          <w:bCs/>
          <w:color w:val="000000"/>
          <w:sz w:val="20"/>
          <w:szCs w:val="20"/>
        </w:rPr>
        <w:t>We have exposure to European operations through our ownership in Shurgard.</w:t>
      </w:r>
    </w:p>
    <w:p w:rsidR="00000000" w:rsidRDefault="00D04F4B">
      <w:pPr>
        <w:ind w:firstLine="720"/>
        <w:jc w:val="both"/>
        <w:divId w:val="1271546302"/>
        <w:rPr>
          <w:rFonts w:eastAsia="Times New Roman"/>
        </w:rPr>
      </w:pPr>
      <w:r>
        <w:rPr>
          <w:rFonts w:eastAsia="Times New Roman"/>
          <w:color w:val="000000"/>
          <w:sz w:val="20"/>
          <w:szCs w:val="20"/>
        </w:rPr>
        <w:t>We own approximately 35% of the common shares of Shurgard, and this investment has a $313.5 million book value an</w:t>
      </w:r>
      <w:r>
        <w:rPr>
          <w:rFonts w:eastAsia="Times New Roman"/>
          <w:color w:val="000000"/>
          <w:sz w:val="20"/>
          <w:szCs w:val="20"/>
        </w:rPr>
        <w:t xml:space="preserve">d a $2.0 billion market value (based upon the closing trading price of Shurgard’s common stock) at December 31, </w:t>
      </w:r>
    </w:p>
    <w:p w:rsidR="00000000" w:rsidRDefault="00D04F4B">
      <w:pPr>
        <w:jc w:val="center"/>
        <w:divId w:val="1132943332"/>
        <w:rPr>
          <w:rFonts w:eastAsia="Times New Roman"/>
        </w:rPr>
      </w:pPr>
      <w:r>
        <w:rPr>
          <w:rFonts w:eastAsia="Times New Roman"/>
          <w:color w:val="000000"/>
          <w:sz w:val="20"/>
          <w:szCs w:val="20"/>
        </w:rPr>
        <w:t>11</w:t>
      </w:r>
    </w:p>
    <w:p w:rsidR="00000000" w:rsidRDefault="00D04F4B">
      <w:pPr>
        <w:rPr>
          <w:rFonts w:eastAsia="Times New Roman"/>
        </w:rPr>
      </w:pPr>
      <w:r>
        <w:rPr>
          <w:rFonts w:eastAsia="Times New Roman"/>
        </w:rPr>
        <w:pict>
          <v:rect id="_x0000_i1036" style="width:0;height:1.5pt" o:hralign="center" o:hrstd="t" o:hr="t" fillcolor="#a0a0a0" stroked="f"/>
        </w:pict>
      </w:r>
    </w:p>
    <w:p w:rsidR="00000000" w:rsidRDefault="00D04F4B">
      <w:pPr>
        <w:divId w:val="914822077"/>
        <w:rPr>
          <w:rFonts w:eastAsia="Times New Roman"/>
        </w:rPr>
      </w:pPr>
    </w:p>
    <w:p w:rsidR="00000000" w:rsidRDefault="00D04F4B">
      <w:pPr>
        <w:jc w:val="both"/>
        <w:divId w:val="666517472"/>
        <w:rPr>
          <w:rFonts w:eastAsia="Times New Roman"/>
        </w:rPr>
      </w:pPr>
      <w:r>
        <w:rPr>
          <w:rFonts w:eastAsia="Times New Roman"/>
          <w:color w:val="000000"/>
          <w:sz w:val="20"/>
          <w:szCs w:val="20"/>
        </w:rPr>
        <w:t>2021. We recognized $24.4 million in equity in earnings and received $41.5 million in dividends in 202</w:t>
      </w:r>
      <w:r>
        <w:rPr>
          <w:rFonts w:eastAsia="Times New Roman"/>
          <w:color w:val="000000"/>
          <w:sz w:val="20"/>
          <w:szCs w:val="20"/>
        </w:rPr>
        <w:t>1 with respect to Shurgard.</w:t>
      </w:r>
    </w:p>
    <w:p w:rsidR="00000000" w:rsidRDefault="00D04F4B">
      <w:pPr>
        <w:ind w:firstLine="720"/>
        <w:jc w:val="both"/>
        <w:divId w:val="2119988362"/>
        <w:rPr>
          <w:rFonts w:eastAsia="Times New Roman"/>
        </w:rPr>
      </w:pPr>
      <w:r>
        <w:rPr>
          <w:rFonts w:eastAsia="Times New Roman"/>
          <w:color w:val="000000"/>
          <w:sz w:val="20"/>
          <w:szCs w:val="20"/>
        </w:rPr>
        <w:t>Shurgard, as an owner, operator, and developer of self-storage facilities, is subject to many of the same risks we are with respect to self-storage. However, through our investment in Shurgard, we are exposed to additional risks</w:t>
      </w:r>
      <w:r>
        <w:rPr>
          <w:rFonts w:eastAsia="Times New Roman"/>
          <w:color w:val="000000"/>
          <w:sz w:val="20"/>
          <w:szCs w:val="20"/>
        </w:rPr>
        <w:t xml:space="preserve"> unique to the various European markets Shurgard operates in which may adversely impact our business and financial results, many of which are referred to in Shurgard’s public filings. These risks include the following:</w:t>
      </w:r>
    </w:p>
    <w:p w:rsidR="00000000" w:rsidRDefault="00D04F4B">
      <w:pPr>
        <w:ind w:hanging="360"/>
        <w:jc w:val="both"/>
        <w:divId w:val="185677413"/>
        <w:rPr>
          <w:rFonts w:eastAsia="Times New Roman"/>
        </w:rPr>
      </w:pPr>
      <w:r>
        <w:rPr>
          <w:rFonts w:eastAsia="Times New Roman"/>
          <w:i/>
          <w:iCs/>
          <w:color w:val="000000"/>
          <w:sz w:val="20"/>
          <w:szCs w:val="20"/>
        </w:rPr>
        <w:t>•Currency risks:</w:t>
      </w:r>
      <w:r>
        <w:rPr>
          <w:rFonts w:eastAsia="Times New Roman"/>
          <w:color w:val="000000"/>
          <w:sz w:val="20"/>
          <w:szCs w:val="20"/>
        </w:rPr>
        <w:t xml:space="preserve"> Currency fluctuation</w:t>
      </w:r>
      <w:r>
        <w:rPr>
          <w:rFonts w:eastAsia="Times New Roman"/>
          <w:color w:val="000000"/>
          <w:sz w:val="20"/>
          <w:szCs w:val="20"/>
        </w:rPr>
        <w:t>s can impact the fair value of our investment in Shurgard, our equity earnings, our ongoing dividends, and any other related repatriations of cash.</w:t>
      </w:r>
    </w:p>
    <w:p w:rsidR="00000000" w:rsidRDefault="00D04F4B">
      <w:pPr>
        <w:ind w:hanging="360"/>
        <w:jc w:val="both"/>
        <w:divId w:val="1713917422"/>
        <w:rPr>
          <w:rFonts w:eastAsia="Times New Roman"/>
        </w:rPr>
      </w:pPr>
      <w:r>
        <w:rPr>
          <w:rFonts w:eastAsia="Times New Roman"/>
          <w:i/>
          <w:iCs/>
          <w:color w:val="000000"/>
          <w:sz w:val="20"/>
          <w:szCs w:val="20"/>
        </w:rPr>
        <w:t>•Legislative, tax, and regulatory risks:</w:t>
      </w:r>
      <w:r>
        <w:rPr>
          <w:rFonts w:eastAsia="Times New Roman"/>
          <w:color w:val="000000"/>
          <w:sz w:val="20"/>
          <w:szCs w:val="20"/>
        </w:rPr>
        <w:t xml:space="preserve"> Shurgard is subject to a variety of local, national, and pan Europe</w:t>
      </w:r>
      <w:r>
        <w:rPr>
          <w:rFonts w:eastAsia="Times New Roman"/>
          <w:color w:val="000000"/>
          <w:sz w:val="20"/>
          <w:szCs w:val="20"/>
        </w:rPr>
        <w:t xml:space="preserve">an laws and regulations related to permitting and land use, the environment, labor, and other areas, as well as income, property, sales, value added and employment tax laws. These laws can be difficult to apply or interpret and can vary in each country or </w:t>
      </w:r>
      <w:r>
        <w:rPr>
          <w:rFonts w:eastAsia="Times New Roman"/>
          <w:color w:val="000000"/>
          <w:sz w:val="20"/>
          <w:szCs w:val="20"/>
        </w:rPr>
        <w:t>locality, and are subject to unexpected changes in their form and application due to regional, national, or local political uncertainty and other factors. Such changes, or Shurgard’s failure to comply with these laws, could subject it to penalties or other</w:t>
      </w:r>
      <w:r>
        <w:rPr>
          <w:rFonts w:eastAsia="Times New Roman"/>
          <w:color w:val="000000"/>
          <w:sz w:val="20"/>
          <w:szCs w:val="20"/>
        </w:rPr>
        <w:t xml:space="preserve"> sanctions, adverse changes in business processes, as well as potentially adverse income tax, property tax, or other tax burdens.</w:t>
      </w:r>
    </w:p>
    <w:p w:rsidR="00000000" w:rsidRDefault="00D04F4B">
      <w:pPr>
        <w:ind w:hanging="360"/>
        <w:jc w:val="both"/>
        <w:divId w:val="893731767"/>
        <w:rPr>
          <w:rFonts w:eastAsia="Times New Roman"/>
        </w:rPr>
      </w:pPr>
      <w:r>
        <w:rPr>
          <w:rFonts w:eastAsia="Times New Roman"/>
          <w:i/>
          <w:iCs/>
          <w:color w:val="000000"/>
          <w:sz w:val="20"/>
          <w:szCs w:val="20"/>
        </w:rPr>
        <w:t>•Impediments to capital repatriation could negatively impact the realization of our investment in Shurgard:</w:t>
      </w:r>
      <w:r>
        <w:rPr>
          <w:rFonts w:eastAsia="Times New Roman"/>
          <w:color w:val="000000"/>
          <w:sz w:val="20"/>
          <w:szCs w:val="20"/>
        </w:rPr>
        <w:t xml:space="preserve"> Laws in Europe and</w:t>
      </w:r>
      <w:r>
        <w:rPr>
          <w:rFonts w:eastAsia="Times New Roman"/>
          <w:color w:val="000000"/>
          <w:sz w:val="20"/>
          <w:szCs w:val="20"/>
        </w:rPr>
        <w:t xml:space="preserve"> the U.S. may create, impede, or increase our cost to repatriate distributions received from Shurgard or proceeds from the sale of Shurgard’s shares.</w:t>
      </w:r>
    </w:p>
    <w:p w:rsidR="00000000" w:rsidRDefault="00D04F4B">
      <w:pPr>
        <w:ind w:hanging="360"/>
        <w:jc w:val="both"/>
        <w:divId w:val="1390307419"/>
        <w:rPr>
          <w:rFonts w:eastAsia="Times New Roman"/>
        </w:rPr>
      </w:pPr>
      <w:r>
        <w:rPr>
          <w:rFonts w:eastAsia="Times New Roman"/>
          <w:i/>
          <w:iCs/>
          <w:color w:val="000000"/>
          <w:sz w:val="20"/>
          <w:szCs w:val="20"/>
        </w:rPr>
        <w:t>•Risks of collective bargaining and intellectual property:</w:t>
      </w:r>
      <w:r>
        <w:rPr>
          <w:rFonts w:eastAsia="Times New Roman"/>
          <w:color w:val="000000"/>
          <w:sz w:val="20"/>
          <w:szCs w:val="20"/>
        </w:rPr>
        <w:t xml:space="preserve"> Collective bargaining, which is prevalent in ce</w:t>
      </w:r>
      <w:r>
        <w:rPr>
          <w:rFonts w:eastAsia="Times New Roman"/>
          <w:color w:val="000000"/>
          <w:sz w:val="20"/>
          <w:szCs w:val="20"/>
        </w:rPr>
        <w:t>rtain areas in Europe, could negatively impact Shurgard’s labor costs or operations. Many of Shurgard’s employees participate in various national unions.</w:t>
      </w:r>
    </w:p>
    <w:p w:rsidR="00000000" w:rsidRDefault="00D04F4B">
      <w:pPr>
        <w:ind w:hanging="360"/>
        <w:jc w:val="both"/>
        <w:divId w:val="418408693"/>
        <w:rPr>
          <w:rFonts w:eastAsia="Times New Roman"/>
        </w:rPr>
      </w:pPr>
      <w:r>
        <w:rPr>
          <w:rFonts w:eastAsia="Times New Roman"/>
          <w:i/>
          <w:iCs/>
          <w:color w:val="000000"/>
          <w:sz w:val="20"/>
          <w:szCs w:val="20"/>
        </w:rPr>
        <w:t>•Potential operating and individual country risks:</w:t>
      </w:r>
      <w:r>
        <w:rPr>
          <w:rFonts w:eastAsia="Times New Roman"/>
          <w:color w:val="000000"/>
          <w:sz w:val="20"/>
          <w:szCs w:val="20"/>
        </w:rPr>
        <w:t xml:space="preserve"> Economic slowdowns or extraordinary political or so</w:t>
      </w:r>
      <w:r>
        <w:rPr>
          <w:rFonts w:eastAsia="Times New Roman"/>
          <w:color w:val="000000"/>
          <w:sz w:val="20"/>
          <w:szCs w:val="20"/>
        </w:rPr>
        <w:t>cial change in the countries in which it operates have posed, and could continue to pose, challenges or result in future reductions of Shurgard’s operating cash flows.</w:t>
      </w:r>
    </w:p>
    <w:p w:rsidR="00000000" w:rsidRDefault="00D04F4B">
      <w:pPr>
        <w:ind w:hanging="360"/>
        <w:jc w:val="both"/>
        <w:divId w:val="796415644"/>
        <w:rPr>
          <w:rFonts w:eastAsia="Times New Roman"/>
        </w:rPr>
      </w:pPr>
      <w:r>
        <w:rPr>
          <w:rFonts w:eastAsia="Times New Roman"/>
          <w:i/>
          <w:iCs/>
          <w:color w:val="000000"/>
          <w:sz w:val="20"/>
          <w:szCs w:val="20"/>
        </w:rPr>
        <w:t>•Liquidity of our ownership stake:</w:t>
      </w:r>
      <w:r>
        <w:rPr>
          <w:rFonts w:eastAsia="Times New Roman"/>
          <w:color w:val="000000"/>
          <w:sz w:val="20"/>
          <w:szCs w:val="20"/>
        </w:rPr>
        <w:t xml:space="preserve"> We have no plans to liquidate our interest in Shurgar</w:t>
      </w:r>
      <w:r>
        <w:rPr>
          <w:rFonts w:eastAsia="Times New Roman"/>
          <w:color w:val="000000"/>
          <w:sz w:val="20"/>
          <w:szCs w:val="20"/>
        </w:rPr>
        <w:t>d. However, while Shurgard is a publicly held entity, if we chose to, our ability to liquidate our shares in Shurgard in an efficient manner could be limited by the level of Shurgard’s public “float” relative to any ownership stake we sought to sell. Our e</w:t>
      </w:r>
      <w:r>
        <w:rPr>
          <w:rFonts w:eastAsia="Times New Roman"/>
          <w:color w:val="000000"/>
          <w:sz w:val="20"/>
          <w:szCs w:val="20"/>
        </w:rPr>
        <w:t>xisting relationship with our legacy joint venture partner may place further contractual limitations on our ability to sell all of the shares we own if we desired to do so.</w:t>
      </w:r>
    </w:p>
    <w:p w:rsidR="00000000" w:rsidRDefault="00D04F4B">
      <w:pPr>
        <w:ind w:hanging="360"/>
        <w:jc w:val="both"/>
        <w:divId w:val="1006057268"/>
        <w:rPr>
          <w:rFonts w:eastAsia="Times New Roman"/>
        </w:rPr>
      </w:pPr>
      <w:r>
        <w:rPr>
          <w:rFonts w:eastAsia="Times New Roman"/>
          <w:i/>
          <w:iCs/>
          <w:color w:val="000000"/>
          <w:sz w:val="20"/>
          <w:szCs w:val="20"/>
        </w:rPr>
        <w:t>•Impediments of Shurgard’s public ownership structure:</w:t>
      </w:r>
      <w:r>
        <w:rPr>
          <w:rFonts w:eastAsia="Times New Roman"/>
          <w:color w:val="000000"/>
          <w:sz w:val="20"/>
          <w:szCs w:val="20"/>
        </w:rPr>
        <w:t xml:space="preserve"> Shurgard’s strategic decisio</w:t>
      </w:r>
      <w:r>
        <w:rPr>
          <w:rFonts w:eastAsia="Times New Roman"/>
          <w:color w:val="000000"/>
          <w:sz w:val="20"/>
          <w:szCs w:val="20"/>
        </w:rPr>
        <w:t>ns, involving activities such as borrowing money, capital contributions, raising capital from third parties, as well as selling or acquiring significant assets, are determined by its board of directors. As a result, Shurgard may be precluded from taking ad</w:t>
      </w:r>
      <w:r>
        <w:rPr>
          <w:rFonts w:eastAsia="Times New Roman"/>
          <w:color w:val="000000"/>
          <w:sz w:val="20"/>
          <w:szCs w:val="20"/>
        </w:rPr>
        <w:t>vantage of opportunities that we would find attractive but that we may not be able to pursue separately, or it could take actions that we do not agree with.</w:t>
      </w:r>
    </w:p>
    <w:p w:rsidR="00000000" w:rsidRDefault="00D04F4B">
      <w:pPr>
        <w:jc w:val="both"/>
        <w:divId w:val="1724789708"/>
        <w:rPr>
          <w:rFonts w:eastAsia="Times New Roman"/>
        </w:rPr>
      </w:pPr>
      <w:r>
        <w:rPr>
          <w:rFonts w:eastAsia="Times New Roman"/>
          <w:b/>
          <w:bCs/>
          <w:color w:val="000000"/>
          <w:sz w:val="20"/>
          <w:szCs w:val="20"/>
        </w:rPr>
        <w:t>We have exposure to commercial property risk through our ownership in PSB.</w:t>
      </w:r>
    </w:p>
    <w:p w:rsidR="00000000" w:rsidRDefault="00D04F4B">
      <w:pPr>
        <w:ind w:firstLine="720"/>
        <w:jc w:val="both"/>
        <w:divId w:val="742070017"/>
        <w:rPr>
          <w:rFonts w:eastAsia="Times New Roman"/>
        </w:rPr>
      </w:pPr>
      <w:r>
        <w:rPr>
          <w:rFonts w:eastAsia="Times New Roman"/>
          <w:color w:val="000000"/>
          <w:sz w:val="20"/>
          <w:szCs w:val="20"/>
        </w:rPr>
        <w:t>We own approximately 41% of the common equity of PSB, and this investment has a $515.3 million book value and a $2.7 billion market value (based upon the closing trading price of PS</w:t>
      </w:r>
      <w:r>
        <w:rPr>
          <w:rFonts w:eastAsia="Times New Roman"/>
          <w:color w:val="000000"/>
          <w:sz w:val="20"/>
          <w:szCs w:val="20"/>
        </w:rPr>
        <w:t>B’s common stock) at December 31, 2021. We recognized $207.7 million in equity in earnings, and received $127.3 million in dividends in 2021 with respect to PSB.</w:t>
      </w:r>
    </w:p>
    <w:p w:rsidR="00000000" w:rsidRDefault="00D04F4B">
      <w:pPr>
        <w:ind w:firstLine="720"/>
        <w:jc w:val="both"/>
        <w:divId w:val="2099934825"/>
        <w:rPr>
          <w:rFonts w:eastAsia="Times New Roman"/>
        </w:rPr>
      </w:pPr>
      <w:r>
        <w:rPr>
          <w:rFonts w:eastAsia="Times New Roman"/>
          <w:color w:val="000000"/>
          <w:sz w:val="20"/>
          <w:szCs w:val="20"/>
        </w:rPr>
        <w:t>PSB, as an owner, operator, and developer of real estate, is subject to many of the same risks</w:t>
      </w:r>
      <w:r>
        <w:rPr>
          <w:rFonts w:eastAsia="Times New Roman"/>
          <w:color w:val="000000"/>
          <w:sz w:val="20"/>
          <w:szCs w:val="20"/>
        </w:rPr>
        <w:t xml:space="preserve"> we are with respect to real estate. However, we may be exposed to other risks as a result of PSB’s ownership specifically of commercial facilities. These risks are set forth in PSB’s Form 10-K for the year ended December 31, 2021, under “Item 1A. </w:t>
      </w:r>
      <w:r>
        <w:rPr>
          <w:rFonts w:eastAsia="Times New Roman"/>
          <w:i/>
          <w:iCs/>
          <w:color w:val="000000"/>
          <w:sz w:val="20"/>
          <w:szCs w:val="20"/>
        </w:rPr>
        <w:t>Risk Fac</w:t>
      </w:r>
      <w:r>
        <w:rPr>
          <w:rFonts w:eastAsia="Times New Roman"/>
          <w:i/>
          <w:iCs/>
          <w:color w:val="000000"/>
          <w:sz w:val="20"/>
          <w:szCs w:val="20"/>
        </w:rPr>
        <w:t>tors</w:t>
      </w:r>
      <w:r>
        <w:rPr>
          <w:rFonts w:eastAsia="Times New Roman"/>
          <w:color w:val="000000"/>
          <w:sz w:val="20"/>
          <w:szCs w:val="20"/>
        </w:rPr>
        <w:t>.”</w:t>
      </w:r>
    </w:p>
    <w:p w:rsidR="00000000" w:rsidRDefault="00D04F4B">
      <w:pPr>
        <w:jc w:val="both"/>
        <w:divId w:val="1015494647"/>
        <w:rPr>
          <w:rFonts w:eastAsia="Times New Roman"/>
        </w:rPr>
      </w:pPr>
    </w:p>
    <w:p w:rsidR="00000000" w:rsidRDefault="00D04F4B">
      <w:pPr>
        <w:jc w:val="center"/>
        <w:divId w:val="391345308"/>
        <w:rPr>
          <w:rFonts w:eastAsia="Times New Roman"/>
        </w:rPr>
      </w:pPr>
      <w:r>
        <w:rPr>
          <w:rFonts w:eastAsia="Times New Roman"/>
          <w:color w:val="000000"/>
          <w:sz w:val="20"/>
          <w:szCs w:val="20"/>
        </w:rPr>
        <w:t>12</w:t>
      </w:r>
    </w:p>
    <w:p w:rsidR="00000000" w:rsidRDefault="00D04F4B">
      <w:pPr>
        <w:rPr>
          <w:rFonts w:eastAsia="Times New Roman"/>
        </w:rPr>
      </w:pPr>
      <w:r>
        <w:rPr>
          <w:rFonts w:eastAsia="Times New Roman"/>
        </w:rPr>
        <w:pict>
          <v:rect id="_x0000_i1037" style="width:0;height:1.5pt" o:hralign="center" o:hrstd="t" o:hr="t" fillcolor="#a0a0a0" stroked="f"/>
        </w:pict>
      </w:r>
    </w:p>
    <w:p w:rsidR="00000000" w:rsidRDefault="00D04F4B">
      <w:pPr>
        <w:divId w:val="1584485840"/>
        <w:rPr>
          <w:rFonts w:eastAsia="Times New Roman"/>
        </w:rPr>
      </w:pPr>
    </w:p>
    <w:p w:rsidR="00000000" w:rsidRDefault="00D04F4B">
      <w:pPr>
        <w:jc w:val="both"/>
        <w:divId w:val="880362393"/>
        <w:rPr>
          <w:rFonts w:eastAsia="Times New Roman"/>
        </w:rPr>
      </w:pPr>
      <w:r>
        <w:rPr>
          <w:rFonts w:eastAsia="Times New Roman"/>
          <w:b/>
          <w:bCs/>
          <w:color w:val="000000"/>
          <w:sz w:val="20"/>
          <w:szCs w:val="20"/>
        </w:rPr>
        <w:t>We are subject to risks from the COVID Pandemic and we may in the future be subject to risks from other public health crises.</w:t>
      </w:r>
    </w:p>
    <w:p w:rsidR="00000000" w:rsidRDefault="00D04F4B">
      <w:pPr>
        <w:ind w:firstLine="720"/>
        <w:jc w:val="both"/>
        <w:divId w:val="1418399072"/>
        <w:rPr>
          <w:rFonts w:eastAsia="Times New Roman"/>
        </w:rPr>
      </w:pPr>
      <w:r>
        <w:rPr>
          <w:rFonts w:eastAsia="Times New Roman"/>
          <w:color w:val="000000"/>
          <w:sz w:val="20"/>
          <w:szCs w:val="20"/>
        </w:rPr>
        <w:t>Since being reported in December 2019, the COVID Pandemic has spread globally, including to every state in the United States, adve</w:t>
      </w:r>
      <w:r>
        <w:rPr>
          <w:rFonts w:eastAsia="Times New Roman"/>
          <w:color w:val="000000"/>
          <w:sz w:val="20"/>
          <w:szCs w:val="20"/>
        </w:rPr>
        <w:t>rsely affecting public health and economic activity. Our business is subject to risks from the COVID Pandemic, including, among others:</w:t>
      </w:r>
    </w:p>
    <w:p w:rsidR="00000000" w:rsidRDefault="00D04F4B">
      <w:pPr>
        <w:ind w:hanging="360"/>
        <w:jc w:val="both"/>
        <w:divId w:val="552497623"/>
        <w:rPr>
          <w:rFonts w:eastAsia="Times New Roman"/>
        </w:rPr>
      </w:pPr>
      <w:r>
        <w:rPr>
          <w:rFonts w:eastAsia="Times New Roman"/>
          <w:color w:val="000000"/>
          <w:sz w:val="20"/>
          <w:szCs w:val="20"/>
        </w:rPr>
        <w:t>•risk of illness or death of our employees or customers;</w:t>
      </w:r>
    </w:p>
    <w:p w:rsidR="00000000" w:rsidRDefault="00D04F4B">
      <w:pPr>
        <w:ind w:hanging="360"/>
        <w:jc w:val="both"/>
        <w:divId w:val="2104034675"/>
        <w:rPr>
          <w:rFonts w:eastAsia="Times New Roman"/>
        </w:rPr>
      </w:pPr>
      <w:r>
        <w:rPr>
          <w:rFonts w:eastAsia="Times New Roman"/>
          <w:color w:val="000000"/>
          <w:sz w:val="20"/>
          <w:szCs w:val="20"/>
        </w:rPr>
        <w:t xml:space="preserve">•continuing negative impacts on the economic conditions in our </w:t>
      </w:r>
      <w:r>
        <w:rPr>
          <w:rFonts w:eastAsia="Times New Roman"/>
          <w:color w:val="000000"/>
          <w:sz w:val="20"/>
          <w:szCs w:val="20"/>
        </w:rPr>
        <w:t>markets which may reduce the demand for self-storage;</w:t>
      </w:r>
    </w:p>
    <w:p w:rsidR="00000000" w:rsidRDefault="00D04F4B">
      <w:pPr>
        <w:ind w:hanging="360"/>
        <w:jc w:val="both"/>
        <w:divId w:val="599416023"/>
        <w:rPr>
          <w:rFonts w:eastAsia="Times New Roman"/>
        </w:rPr>
      </w:pPr>
      <w:r>
        <w:rPr>
          <w:rFonts w:eastAsia="Times New Roman"/>
          <w:color w:val="000000"/>
          <w:sz w:val="20"/>
          <w:szCs w:val="20"/>
        </w:rPr>
        <w:t xml:space="preserve">•risk that there could be an out-migration of population from certain high-cost major markets, if it is determined that the ability to “work from home,” which has become more prominent during the COVID </w:t>
      </w:r>
      <w:r>
        <w:rPr>
          <w:rFonts w:eastAsia="Times New Roman"/>
          <w:color w:val="000000"/>
          <w:sz w:val="20"/>
          <w:szCs w:val="20"/>
        </w:rPr>
        <w:t>Pandemic, could allow certain workers to live in less expensive localities, which could negatively impact the occupancies and revenues of our properties in such high-cost major markets;</w:t>
      </w:r>
    </w:p>
    <w:p w:rsidR="00000000" w:rsidRDefault="00D04F4B">
      <w:pPr>
        <w:ind w:hanging="360"/>
        <w:jc w:val="both"/>
        <w:divId w:val="1036079681"/>
        <w:rPr>
          <w:rFonts w:eastAsia="Times New Roman"/>
        </w:rPr>
      </w:pPr>
      <w:r>
        <w:rPr>
          <w:rFonts w:eastAsia="Times New Roman"/>
          <w:color w:val="000000"/>
          <w:sz w:val="20"/>
          <w:szCs w:val="20"/>
        </w:rPr>
        <w:t>•continuing, new or reinstituted government restrictions that (i) limi</w:t>
      </w:r>
      <w:r>
        <w:rPr>
          <w:rFonts w:eastAsia="Times New Roman"/>
          <w:color w:val="000000"/>
          <w:sz w:val="20"/>
          <w:szCs w:val="20"/>
        </w:rPr>
        <w:t xml:space="preserve">t or prevent use of our facilities, (ii) limit our ability to increase rent or otherwise limit the rent we can charge, (iii) limit our ability to collect rent or evict delinquent tenants, or (iv) limit our ability to complete development and redevelopment </w:t>
      </w:r>
      <w:r>
        <w:rPr>
          <w:rFonts w:eastAsia="Times New Roman"/>
          <w:color w:val="000000"/>
          <w:sz w:val="20"/>
          <w:szCs w:val="20"/>
        </w:rPr>
        <w:t>projects;</w:t>
      </w:r>
    </w:p>
    <w:p w:rsidR="00000000" w:rsidRDefault="00D04F4B">
      <w:pPr>
        <w:ind w:hanging="360"/>
        <w:jc w:val="both"/>
        <w:divId w:val="878542680"/>
        <w:rPr>
          <w:rFonts w:eastAsia="Times New Roman"/>
        </w:rPr>
      </w:pPr>
      <w:r>
        <w:rPr>
          <w:rFonts w:eastAsia="Times New Roman"/>
          <w:color w:val="000000"/>
          <w:sz w:val="20"/>
          <w:szCs w:val="20"/>
        </w:rPr>
        <w:t>•risk that future waves of infection, including those resulting from new variants, such as Delta or Omicron, or from additional pandemics, could result in new or reinstituted government restrictions;</w:t>
      </w:r>
    </w:p>
    <w:p w:rsidR="00000000" w:rsidRDefault="00D04F4B">
      <w:pPr>
        <w:ind w:hanging="360"/>
        <w:jc w:val="both"/>
        <w:divId w:val="268120354"/>
        <w:rPr>
          <w:rFonts w:eastAsia="Times New Roman"/>
        </w:rPr>
      </w:pPr>
      <w:r>
        <w:rPr>
          <w:rFonts w:eastAsia="Times New Roman"/>
          <w:color w:val="000000"/>
          <w:sz w:val="20"/>
          <w:szCs w:val="20"/>
        </w:rPr>
        <w:t>•risk that we could experience a change in the</w:t>
      </w:r>
      <w:r>
        <w:rPr>
          <w:rFonts w:eastAsia="Times New Roman"/>
          <w:color w:val="000000"/>
          <w:sz w:val="20"/>
          <w:szCs w:val="20"/>
        </w:rPr>
        <w:t xml:space="preserve"> move-out patterns of our long-term customers due to economic uncertainty and increases in unemployment as a result of the COVID Pandemic, which could lead to lower occupancies and rent “roll down” as long-term customers are replaced with new customers at </w:t>
      </w:r>
      <w:r>
        <w:rPr>
          <w:rFonts w:eastAsia="Times New Roman"/>
          <w:color w:val="000000"/>
          <w:sz w:val="20"/>
          <w:szCs w:val="20"/>
        </w:rPr>
        <w:t>lower rates; and</w:t>
      </w:r>
    </w:p>
    <w:p w:rsidR="00000000" w:rsidRDefault="00D04F4B">
      <w:pPr>
        <w:ind w:hanging="360"/>
        <w:jc w:val="both"/>
        <w:divId w:val="2021929776"/>
        <w:rPr>
          <w:rFonts w:eastAsia="Times New Roman"/>
        </w:rPr>
      </w:pPr>
      <w:r>
        <w:rPr>
          <w:rFonts w:eastAsia="Times New Roman"/>
          <w:color w:val="000000"/>
          <w:sz w:val="20"/>
          <w:szCs w:val="20"/>
        </w:rPr>
        <w:t>•risk of negative impacts on the cost and availability of debt and equity capital as a result of the COVID Pandemic, which could have a material impact upon our capital and growth plans.</w:t>
      </w:r>
    </w:p>
    <w:p w:rsidR="00000000" w:rsidRDefault="00D04F4B">
      <w:pPr>
        <w:ind w:firstLine="720"/>
        <w:jc w:val="both"/>
        <w:divId w:val="1558056174"/>
        <w:rPr>
          <w:rFonts w:eastAsia="Times New Roman"/>
        </w:rPr>
      </w:pPr>
      <w:r>
        <w:rPr>
          <w:rFonts w:eastAsia="Times New Roman"/>
          <w:color w:val="000000"/>
          <w:sz w:val="20"/>
          <w:szCs w:val="20"/>
        </w:rPr>
        <w:t>We believe that the degree to which the COVID Pandem</w:t>
      </w:r>
      <w:r>
        <w:rPr>
          <w:rFonts w:eastAsia="Times New Roman"/>
          <w:color w:val="000000"/>
          <w:sz w:val="20"/>
          <w:szCs w:val="20"/>
        </w:rPr>
        <w:t>ic adversely impacts our business, operating results, cash flows and/or financial condition will be driven primarily by the duration, spread and severity of the pandemic itself, the effectiveness of vaccine and treatment developments, including against var</w:t>
      </w:r>
      <w:r>
        <w:rPr>
          <w:rFonts w:eastAsia="Times New Roman"/>
          <w:color w:val="000000"/>
          <w:sz w:val="20"/>
          <w:szCs w:val="20"/>
        </w:rPr>
        <w:t>iants such as the Delta and Omicron variants, public adoption rates of vaccines, including booster shots, as well as the duration of indirect economic impacts such as recession, dislocation in capital markets, and job loss, as well as potential longer term</w:t>
      </w:r>
      <w:r>
        <w:rPr>
          <w:rFonts w:eastAsia="Times New Roman"/>
          <w:color w:val="000000"/>
          <w:sz w:val="20"/>
          <w:szCs w:val="20"/>
        </w:rPr>
        <w:t xml:space="preserve"> changes in consumer behavior, all of which are uncertain and difficult to predict. As a result, we are not able at this time to estimate the effect of these factors on our business, but the adverse impact on our business, results of operations, financial </w:t>
      </w:r>
      <w:r>
        <w:rPr>
          <w:rFonts w:eastAsia="Times New Roman"/>
          <w:color w:val="000000"/>
          <w:sz w:val="20"/>
          <w:szCs w:val="20"/>
        </w:rPr>
        <w:t>condition and cash flows could be material. Future pandemics or public health crises could have similar impacts.</w:t>
      </w:r>
    </w:p>
    <w:p w:rsidR="00000000" w:rsidRDefault="00D04F4B">
      <w:pPr>
        <w:jc w:val="both"/>
        <w:divId w:val="281230013"/>
        <w:rPr>
          <w:rFonts w:eastAsia="Times New Roman"/>
        </w:rPr>
      </w:pPr>
      <w:r>
        <w:rPr>
          <w:rFonts w:eastAsia="Times New Roman"/>
          <w:b/>
          <w:bCs/>
          <w:color w:val="000000"/>
          <w:sz w:val="20"/>
          <w:szCs w:val="20"/>
        </w:rPr>
        <w:t>We have been and may in the future be adversely impacted by emergency regulations adopted in response to significant events, such as natural di</w:t>
      </w:r>
      <w:r>
        <w:rPr>
          <w:rFonts w:eastAsia="Times New Roman"/>
          <w:b/>
          <w:bCs/>
          <w:color w:val="000000"/>
          <w:sz w:val="20"/>
          <w:szCs w:val="20"/>
        </w:rPr>
        <w:t>sasters or public health crises, that could adversely impact our operations.</w:t>
      </w:r>
    </w:p>
    <w:p w:rsidR="00000000" w:rsidRDefault="00D04F4B">
      <w:pPr>
        <w:ind w:firstLine="720"/>
        <w:jc w:val="both"/>
        <w:divId w:val="254367549"/>
        <w:rPr>
          <w:rFonts w:eastAsia="Times New Roman"/>
        </w:rPr>
      </w:pPr>
      <w:r>
        <w:rPr>
          <w:rFonts w:eastAsia="Times New Roman"/>
          <w:color w:val="000000"/>
          <w:sz w:val="20"/>
          <w:szCs w:val="20"/>
        </w:rPr>
        <w:t xml:space="preserve">In response to significant events, local, state and federal governments have and may in the future adopt regulations that could impact our operations. For example, in response to </w:t>
      </w:r>
      <w:r>
        <w:rPr>
          <w:rFonts w:eastAsia="Times New Roman"/>
          <w:color w:val="000000"/>
          <w:sz w:val="20"/>
          <w:szCs w:val="20"/>
        </w:rPr>
        <w:t>wildfires in 2018 and 2019, the State of California and some localities in California adopted temporary regulations that imposed certain limits on the rents we could charge at certain of our facilities and the extent to which we could increase rents to exi</w:t>
      </w:r>
      <w:r>
        <w:rPr>
          <w:rFonts w:eastAsia="Times New Roman"/>
          <w:color w:val="000000"/>
          <w:sz w:val="20"/>
          <w:szCs w:val="20"/>
        </w:rPr>
        <w:t>sting tenants. As noted above, in response to the COVID Pandemic, certain localities adopted restrictions on the use of certain of our facilities, limited our ability to increase rents, limited our ability to collect rent or evict delinquent tenants, and l</w:t>
      </w:r>
      <w:r>
        <w:rPr>
          <w:rFonts w:eastAsia="Times New Roman"/>
          <w:color w:val="000000"/>
          <w:sz w:val="20"/>
          <w:szCs w:val="20"/>
        </w:rPr>
        <w:t>imited our ability to complete development and redevelopment projects. Similar restrictions could be imposed in the future in response to significant events and these restrictions could adversely impact our operations.</w:t>
      </w:r>
    </w:p>
    <w:p w:rsidR="00000000" w:rsidRDefault="00D04F4B">
      <w:pPr>
        <w:jc w:val="both"/>
        <w:divId w:val="1621913731"/>
        <w:rPr>
          <w:rFonts w:eastAsia="Times New Roman"/>
        </w:rPr>
      </w:pPr>
      <w:r>
        <w:rPr>
          <w:rFonts w:eastAsia="Times New Roman"/>
          <w:b/>
          <w:bCs/>
          <w:color w:val="000000"/>
          <w:sz w:val="20"/>
          <w:szCs w:val="20"/>
        </w:rPr>
        <w:t xml:space="preserve">Our marketing and pricing strategies </w:t>
      </w:r>
      <w:r>
        <w:rPr>
          <w:rFonts w:eastAsia="Times New Roman"/>
          <w:b/>
          <w:bCs/>
          <w:color w:val="000000"/>
          <w:sz w:val="20"/>
          <w:szCs w:val="20"/>
        </w:rPr>
        <w:t>may fail to be effective or may be constrained by factors outside of our control.</w:t>
      </w:r>
    </w:p>
    <w:p w:rsidR="00000000" w:rsidRDefault="00D04F4B">
      <w:pPr>
        <w:ind w:firstLine="720"/>
        <w:jc w:val="both"/>
        <w:divId w:val="1792438757"/>
        <w:rPr>
          <w:rFonts w:eastAsia="Times New Roman"/>
        </w:rPr>
      </w:pPr>
      <w:r>
        <w:rPr>
          <w:rFonts w:eastAsia="Times New Roman"/>
          <w:color w:val="000000"/>
          <w:sz w:val="20"/>
          <w:szCs w:val="20"/>
        </w:rPr>
        <w:t>Marketing initiatives, including our increasing dependence on Google to source customers, may fail to be effective and could negatively impact financial performance. Approxim</w:t>
      </w:r>
      <w:r>
        <w:rPr>
          <w:rFonts w:eastAsia="Times New Roman"/>
          <w:color w:val="000000"/>
          <w:sz w:val="20"/>
          <w:szCs w:val="20"/>
        </w:rPr>
        <w:t xml:space="preserve">ately 63% of our new storage customers in 2021 were sourced directly or indirectly through “unpaid” search and “paid” search campaigns on Google. We believe that the </w:t>
      </w:r>
    </w:p>
    <w:p w:rsidR="00000000" w:rsidRDefault="00D04F4B">
      <w:pPr>
        <w:jc w:val="center"/>
        <w:divId w:val="2036684676"/>
        <w:rPr>
          <w:rFonts w:eastAsia="Times New Roman"/>
        </w:rPr>
      </w:pPr>
      <w:r>
        <w:rPr>
          <w:rFonts w:eastAsia="Times New Roman"/>
          <w:color w:val="000000"/>
          <w:sz w:val="20"/>
          <w:szCs w:val="20"/>
        </w:rPr>
        <w:t>13</w:t>
      </w:r>
    </w:p>
    <w:p w:rsidR="00000000" w:rsidRDefault="00D04F4B">
      <w:pPr>
        <w:rPr>
          <w:rFonts w:eastAsia="Times New Roman"/>
        </w:rPr>
      </w:pPr>
      <w:r>
        <w:rPr>
          <w:rFonts w:eastAsia="Times New Roman"/>
        </w:rPr>
        <w:pict>
          <v:rect id="_x0000_i1038" style="width:0;height:1.5pt" o:hralign="center" o:hrstd="t" o:hr="t" fillcolor="#a0a0a0" stroked="f"/>
        </w:pict>
      </w:r>
    </w:p>
    <w:p w:rsidR="00000000" w:rsidRDefault="00D04F4B">
      <w:pPr>
        <w:divId w:val="1035815741"/>
        <w:rPr>
          <w:rFonts w:eastAsia="Times New Roman"/>
        </w:rPr>
      </w:pPr>
    </w:p>
    <w:p w:rsidR="00000000" w:rsidRDefault="00D04F4B">
      <w:pPr>
        <w:jc w:val="both"/>
        <w:divId w:val="1783304024"/>
        <w:rPr>
          <w:rFonts w:eastAsia="Times New Roman"/>
        </w:rPr>
      </w:pPr>
      <w:r>
        <w:rPr>
          <w:rFonts w:eastAsia="Times New Roman"/>
          <w:color w:val="000000"/>
          <w:sz w:val="20"/>
          <w:szCs w:val="20"/>
        </w:rPr>
        <w:t>vast majority of customers searching for self-st</w:t>
      </w:r>
      <w:r>
        <w:rPr>
          <w:rFonts w:eastAsia="Times New Roman"/>
          <w:color w:val="000000"/>
          <w:sz w:val="20"/>
          <w:szCs w:val="20"/>
        </w:rPr>
        <w:t>orage use Google at some stage in their shopping experience. Google is providing tools to allow smaller and less sophisticated operators to bid for search terms, increasing competition for self-storage search terms. The predominance of Google in the shoppi</w:t>
      </w:r>
      <w:r>
        <w:rPr>
          <w:rFonts w:eastAsia="Times New Roman"/>
          <w:color w:val="000000"/>
          <w:sz w:val="20"/>
          <w:szCs w:val="20"/>
        </w:rPr>
        <w:t>ng experience, as well as Google’s enabling of additional competitors to bid for placements in self-storage search terms, may reduce the number of new customers that we can procure, and/or increase our costs to obtain new customers.</w:t>
      </w:r>
    </w:p>
    <w:p w:rsidR="00000000" w:rsidRDefault="00D04F4B">
      <w:pPr>
        <w:ind w:firstLine="720"/>
        <w:jc w:val="both"/>
        <w:divId w:val="797069212"/>
        <w:rPr>
          <w:rFonts w:eastAsia="Times New Roman"/>
        </w:rPr>
      </w:pPr>
      <w:r>
        <w:rPr>
          <w:rFonts w:eastAsia="Times New Roman"/>
          <w:color w:val="000000"/>
          <w:sz w:val="20"/>
          <w:szCs w:val="20"/>
        </w:rPr>
        <w:t>In addition, the inabil</w:t>
      </w:r>
      <w:r>
        <w:rPr>
          <w:rFonts w:eastAsia="Times New Roman"/>
          <w:color w:val="000000"/>
          <w:sz w:val="20"/>
          <w:szCs w:val="20"/>
        </w:rPr>
        <w:t>ity to utilize our pricing methodology due to regulatory or market constraints could also significantly impact our financial results.</w:t>
      </w:r>
    </w:p>
    <w:p w:rsidR="00000000" w:rsidRDefault="00D04F4B">
      <w:pPr>
        <w:jc w:val="both"/>
        <w:divId w:val="999969139"/>
        <w:rPr>
          <w:rFonts w:eastAsia="Times New Roman"/>
        </w:rPr>
      </w:pPr>
      <w:r>
        <w:rPr>
          <w:rFonts w:eastAsia="Times New Roman"/>
          <w:b/>
          <w:bCs/>
          <w:color w:val="000000"/>
          <w:sz w:val="20"/>
          <w:szCs w:val="20"/>
        </w:rPr>
        <w:t>We are exposed to ongoing litigation and other legal and regulatory actions, which may divert management’s time and attention, require us to pay damages and expenses or restrict the operation of our business.</w:t>
      </w:r>
    </w:p>
    <w:p w:rsidR="00000000" w:rsidRDefault="00D04F4B">
      <w:pPr>
        <w:ind w:firstLine="720"/>
        <w:jc w:val="both"/>
        <w:divId w:val="1019745342"/>
        <w:rPr>
          <w:rFonts w:eastAsia="Times New Roman"/>
        </w:rPr>
      </w:pPr>
      <w:r>
        <w:rPr>
          <w:rFonts w:eastAsia="Times New Roman"/>
          <w:color w:val="000000"/>
          <w:sz w:val="20"/>
          <w:szCs w:val="20"/>
        </w:rPr>
        <w:t>We have approximately 5,800 employees, 1.8 mill</w:t>
      </w:r>
      <w:r>
        <w:rPr>
          <w:rFonts w:eastAsia="Times New Roman"/>
          <w:color w:val="000000"/>
          <w:sz w:val="20"/>
          <w:szCs w:val="20"/>
        </w:rPr>
        <w:t>ion customers, and we conduct business at facilities with 198 million net rentable square feet of storage space. As a result, we are subject to the risk of legal claims and proceedings (including class actions) and regulatory enforcement actions in the ord</w:t>
      </w:r>
      <w:r>
        <w:rPr>
          <w:rFonts w:eastAsia="Times New Roman"/>
          <w:color w:val="000000"/>
          <w:sz w:val="20"/>
          <w:szCs w:val="20"/>
        </w:rPr>
        <w:t xml:space="preserve">inary course of our business and otherwise, and we could incur significant liabilities and substantial legal fees as a result of these actions. Resolution of these claims and actions may divert time and attention by our management could involve payment of </w:t>
      </w:r>
      <w:r>
        <w:rPr>
          <w:rFonts w:eastAsia="Times New Roman"/>
          <w:color w:val="000000"/>
          <w:sz w:val="20"/>
          <w:szCs w:val="20"/>
        </w:rPr>
        <w:t>damages or expenses by us, all of which may be significant, and could damage our reputation and our brand. In addition, any such resolution could involve our agreement to terms that restrict the operation of our business. The results of legal proceedings c</w:t>
      </w:r>
      <w:r>
        <w:rPr>
          <w:rFonts w:eastAsia="Times New Roman"/>
          <w:color w:val="000000"/>
          <w:sz w:val="20"/>
          <w:szCs w:val="20"/>
        </w:rPr>
        <w:t>annot be predicted with certainty. We cannot guarantee losses incurred in connection with any current or future legal or regulatory proceedings or actions will not exceed any provisions we may have set aside in respect of such proceedings or actions or wil</w:t>
      </w:r>
      <w:r>
        <w:rPr>
          <w:rFonts w:eastAsia="Times New Roman"/>
          <w:color w:val="000000"/>
          <w:sz w:val="20"/>
          <w:szCs w:val="20"/>
        </w:rPr>
        <w:t>l not exceed any available insurance coverage. The impact of any such legal claims, proceedings, and regulatory enforcement actions could negatively impact our operating results, cash flow available for distribution or reinvestment, and/or the price of our</w:t>
      </w:r>
      <w:r>
        <w:rPr>
          <w:rFonts w:eastAsia="Times New Roman"/>
          <w:color w:val="000000"/>
          <w:sz w:val="20"/>
          <w:szCs w:val="20"/>
        </w:rPr>
        <w:t xml:space="preserve"> common shares.</w:t>
      </w:r>
    </w:p>
    <w:p w:rsidR="00000000" w:rsidRDefault="00D04F4B">
      <w:pPr>
        <w:ind w:firstLine="720"/>
        <w:jc w:val="both"/>
        <w:divId w:val="581529420"/>
        <w:rPr>
          <w:rFonts w:eastAsia="Times New Roman"/>
        </w:rPr>
      </w:pPr>
      <w:r>
        <w:rPr>
          <w:rFonts w:eastAsia="Times New Roman"/>
          <w:color w:val="000000"/>
          <w:sz w:val="20"/>
          <w:szCs w:val="20"/>
        </w:rPr>
        <w:t>In addition, through exercising their authority to regulate our activities, governmental agencies can otherwise negatively impact our business by increasing costs or decreasing revenues.</w:t>
      </w:r>
    </w:p>
    <w:p w:rsidR="00000000" w:rsidRDefault="00D04F4B">
      <w:pPr>
        <w:jc w:val="both"/>
        <w:divId w:val="1692730188"/>
        <w:rPr>
          <w:rFonts w:eastAsia="Times New Roman"/>
        </w:rPr>
      </w:pPr>
      <w:r>
        <w:rPr>
          <w:rFonts w:eastAsia="Times New Roman"/>
          <w:b/>
          <w:bCs/>
          <w:color w:val="000000"/>
          <w:sz w:val="20"/>
          <w:szCs w:val="20"/>
        </w:rPr>
        <w:t>Our failure to modernize and adopt advancements in in</w:t>
      </w:r>
      <w:r>
        <w:rPr>
          <w:rFonts w:eastAsia="Times New Roman"/>
          <w:b/>
          <w:bCs/>
          <w:color w:val="000000"/>
          <w:sz w:val="20"/>
          <w:szCs w:val="20"/>
        </w:rPr>
        <w:t>formation technology may hinder or prevent us from achieving strategic objectives.</w:t>
      </w:r>
    </w:p>
    <w:p w:rsidR="00000000" w:rsidRDefault="00D04F4B">
      <w:pPr>
        <w:ind w:firstLine="720"/>
        <w:jc w:val="both"/>
        <w:divId w:val="1976788291"/>
        <w:rPr>
          <w:rFonts w:eastAsia="Times New Roman"/>
        </w:rPr>
      </w:pPr>
      <w:r>
        <w:rPr>
          <w:rFonts w:eastAsia="Times New Roman"/>
          <w:color w:val="000000"/>
          <w:sz w:val="20"/>
          <w:szCs w:val="20"/>
        </w:rPr>
        <w:t>Our inability to adapt and deliver new capabilities in time with strategic requirements may cause the organization to miss market competitive timing, first mover position, o</w:t>
      </w:r>
      <w:r>
        <w:rPr>
          <w:rFonts w:eastAsia="Times New Roman"/>
          <w:color w:val="000000"/>
          <w:sz w:val="20"/>
          <w:szCs w:val="20"/>
        </w:rPr>
        <w:t>r to suffer material loss due to failed technology choices or implementation.</w:t>
      </w:r>
    </w:p>
    <w:p w:rsidR="00000000" w:rsidRDefault="00D04F4B">
      <w:pPr>
        <w:jc w:val="both"/>
        <w:divId w:val="1890141899"/>
        <w:rPr>
          <w:rFonts w:eastAsia="Times New Roman"/>
        </w:rPr>
      </w:pPr>
      <w:r>
        <w:rPr>
          <w:rFonts w:eastAsia="Times New Roman"/>
          <w:b/>
          <w:bCs/>
          <w:color w:val="000000"/>
          <w:sz w:val="20"/>
          <w:szCs w:val="20"/>
        </w:rPr>
        <w:t>We are heavily dependent on computer systems, telecommunications and the Internet to process transactions, make payments, summarize results and manage our business. The failure o</w:t>
      </w:r>
      <w:r>
        <w:rPr>
          <w:rFonts w:eastAsia="Times New Roman"/>
          <w:b/>
          <w:bCs/>
          <w:color w:val="000000"/>
          <w:sz w:val="20"/>
          <w:szCs w:val="20"/>
        </w:rPr>
        <w:t>r disruption of our computer and communications systems</w:t>
      </w:r>
      <w:r>
        <w:rPr>
          <w:rFonts w:eastAsia="Times New Roman"/>
          <w:color w:val="000000"/>
          <w:sz w:val="20"/>
          <w:szCs w:val="20"/>
        </w:rPr>
        <w:t xml:space="preserve"> </w:t>
      </w:r>
      <w:r>
        <w:rPr>
          <w:rFonts w:eastAsia="Times New Roman"/>
          <w:b/>
          <w:bCs/>
          <w:color w:val="000000"/>
          <w:sz w:val="20"/>
          <w:szCs w:val="20"/>
        </w:rPr>
        <w:t>could significantly harm our business.</w:t>
      </w:r>
    </w:p>
    <w:p w:rsidR="00000000" w:rsidRDefault="00D04F4B">
      <w:pPr>
        <w:ind w:firstLine="720"/>
        <w:jc w:val="both"/>
        <w:divId w:val="1946031999"/>
        <w:rPr>
          <w:rFonts w:eastAsia="Times New Roman"/>
        </w:rPr>
      </w:pPr>
      <w:r>
        <w:rPr>
          <w:rFonts w:eastAsia="Times New Roman"/>
          <w:color w:val="000000"/>
          <w:sz w:val="20"/>
          <w:szCs w:val="20"/>
        </w:rPr>
        <w:t xml:space="preserve">We are heavily dependent upon automated information technology and Internet commerce, with more than half of our new customers coming from the telephone or over </w:t>
      </w:r>
      <w:r>
        <w:rPr>
          <w:rFonts w:eastAsia="Times New Roman"/>
          <w:color w:val="000000"/>
          <w:sz w:val="20"/>
          <w:szCs w:val="20"/>
        </w:rPr>
        <w:t>the Internet. We centrally manage significant components of our operations with our computer systems, including our financial information, and we also rely extensively on third-party vendors to retain data, process transactions and provide other systems se</w:t>
      </w:r>
      <w:r>
        <w:rPr>
          <w:rFonts w:eastAsia="Times New Roman"/>
          <w:color w:val="000000"/>
          <w:sz w:val="20"/>
          <w:szCs w:val="20"/>
        </w:rPr>
        <w:t>rvices. These systems are subject to damage or interruption from power outages, computer and telecommunications failures, hackers, including through a ransomware attack, computer worms, viruses and other destructive or disruptive security breaches and cata</w:t>
      </w:r>
      <w:r>
        <w:rPr>
          <w:rFonts w:eastAsia="Times New Roman"/>
          <w:color w:val="000000"/>
          <w:sz w:val="20"/>
          <w:szCs w:val="20"/>
        </w:rPr>
        <w:t>strophic events. Such incidents could also result in significant costs to repair or replace such networks or information systems, as well as actual monetary losses in case of a breach that resulted in fraudulent payments or other cash transactions. As a re</w:t>
      </w:r>
      <w:r>
        <w:rPr>
          <w:rFonts w:eastAsia="Times New Roman"/>
          <w:color w:val="000000"/>
          <w:sz w:val="20"/>
          <w:szCs w:val="20"/>
        </w:rPr>
        <w:t>sult, our operations could be severely impacted by a natural disaster, terrorist attack, attack by hackers, acts of vandalism, data theft, misplaced or lost data, programming or human error, or other circumstance that results in a significant outage of our</w:t>
      </w:r>
      <w:r>
        <w:rPr>
          <w:rFonts w:eastAsia="Times New Roman"/>
          <w:color w:val="000000"/>
          <w:sz w:val="20"/>
          <w:szCs w:val="20"/>
        </w:rPr>
        <w:t xml:space="preserve"> systems or those of our third party providers, despite our use of back up and redundancy measures.</w:t>
      </w:r>
    </w:p>
    <w:p w:rsidR="00000000" w:rsidRDefault="00D04F4B">
      <w:pPr>
        <w:jc w:val="both"/>
        <w:divId w:val="1792361323"/>
        <w:rPr>
          <w:rFonts w:eastAsia="Times New Roman"/>
        </w:rPr>
      </w:pPr>
      <w:r>
        <w:rPr>
          <w:rFonts w:eastAsia="Times New Roman"/>
          <w:b/>
          <w:bCs/>
          <w:color w:val="000000"/>
          <w:sz w:val="20"/>
          <w:szCs w:val="20"/>
        </w:rPr>
        <w:t>If our confidential information is compromised or corrupted, including as a result of a cybersecurity breach, our reputation and business relationships coul</w:t>
      </w:r>
      <w:r>
        <w:rPr>
          <w:rFonts w:eastAsia="Times New Roman"/>
          <w:b/>
          <w:bCs/>
          <w:color w:val="000000"/>
          <w:sz w:val="20"/>
          <w:szCs w:val="20"/>
        </w:rPr>
        <w:t>d be damaged, which could adversely affect our financial condition and operating results.</w:t>
      </w:r>
    </w:p>
    <w:p w:rsidR="00000000" w:rsidRDefault="00D04F4B">
      <w:pPr>
        <w:ind w:firstLine="720"/>
        <w:jc w:val="both"/>
        <w:divId w:val="1911429868"/>
        <w:rPr>
          <w:rFonts w:eastAsia="Times New Roman"/>
        </w:rPr>
      </w:pPr>
      <w:r>
        <w:rPr>
          <w:rFonts w:eastAsia="Times New Roman"/>
          <w:color w:val="000000"/>
          <w:sz w:val="20"/>
          <w:szCs w:val="20"/>
        </w:rPr>
        <w:t>In the ordinary course of our business we acquire and store sensitive data, including personally identifiable information of our prospective and current customers and</w:t>
      </w:r>
      <w:r>
        <w:rPr>
          <w:rFonts w:eastAsia="Times New Roman"/>
          <w:color w:val="000000"/>
          <w:sz w:val="20"/>
          <w:szCs w:val="20"/>
        </w:rPr>
        <w:t xml:space="preserve"> our employees. The secure processing and maintenance of this information is critical to our operations and business strategy. Although we believe we have taken commercially reasonable </w:t>
      </w:r>
    </w:p>
    <w:p w:rsidR="00000000" w:rsidRDefault="00D04F4B">
      <w:pPr>
        <w:jc w:val="center"/>
        <w:divId w:val="1531722281"/>
        <w:rPr>
          <w:rFonts w:eastAsia="Times New Roman"/>
        </w:rPr>
      </w:pPr>
      <w:r>
        <w:rPr>
          <w:rFonts w:eastAsia="Times New Roman"/>
          <w:color w:val="000000"/>
          <w:sz w:val="20"/>
          <w:szCs w:val="20"/>
        </w:rPr>
        <w:t>14</w:t>
      </w:r>
    </w:p>
    <w:p w:rsidR="00000000" w:rsidRDefault="00D04F4B">
      <w:pPr>
        <w:rPr>
          <w:rFonts w:eastAsia="Times New Roman"/>
        </w:rPr>
      </w:pPr>
      <w:r>
        <w:rPr>
          <w:rFonts w:eastAsia="Times New Roman"/>
        </w:rPr>
        <w:pict>
          <v:rect id="_x0000_i1039" style="width:0;height:1.5pt" o:hralign="center" o:hrstd="t" o:hr="t" fillcolor="#a0a0a0" stroked="f"/>
        </w:pict>
      </w:r>
    </w:p>
    <w:p w:rsidR="00000000" w:rsidRDefault="00D04F4B">
      <w:pPr>
        <w:divId w:val="1828862872"/>
        <w:rPr>
          <w:rFonts w:eastAsia="Times New Roman"/>
        </w:rPr>
      </w:pPr>
    </w:p>
    <w:p w:rsidR="00000000" w:rsidRDefault="00D04F4B">
      <w:pPr>
        <w:jc w:val="both"/>
        <w:divId w:val="885139031"/>
        <w:rPr>
          <w:rFonts w:eastAsia="Times New Roman"/>
        </w:rPr>
      </w:pPr>
      <w:r>
        <w:rPr>
          <w:rFonts w:eastAsia="Times New Roman"/>
          <w:color w:val="000000"/>
          <w:sz w:val="20"/>
          <w:szCs w:val="20"/>
        </w:rPr>
        <w:t>steps to protect the securit</w:t>
      </w:r>
      <w:r>
        <w:rPr>
          <w:rFonts w:eastAsia="Times New Roman"/>
          <w:color w:val="000000"/>
          <w:sz w:val="20"/>
          <w:szCs w:val="20"/>
        </w:rPr>
        <w:t>y of our confidential information, information security risks have generally increased in recent years due to the rise in new technologies and the increased sophistication and activities of perpetrators of cyberattacks. Despite our security measures, we ha</w:t>
      </w:r>
      <w:r>
        <w:rPr>
          <w:rFonts w:eastAsia="Times New Roman"/>
          <w:color w:val="000000"/>
          <w:sz w:val="20"/>
          <w:szCs w:val="20"/>
        </w:rPr>
        <w:t>ve experienced security breaches due to cyberattacks and additional breaches could occur in the future. In these cases, our information technology and infrastructure could be vulnerable and our or our customers’ or employees’ confidential information could</w:t>
      </w:r>
      <w:r>
        <w:rPr>
          <w:rFonts w:eastAsia="Times New Roman"/>
          <w:color w:val="000000"/>
          <w:sz w:val="20"/>
          <w:szCs w:val="20"/>
        </w:rPr>
        <w:t xml:space="preserve"> be compromised or misappropriated. Any such breach could result in serious and harmful consequences for us or our tenants.</w:t>
      </w:r>
    </w:p>
    <w:p w:rsidR="00000000" w:rsidRDefault="00D04F4B">
      <w:pPr>
        <w:ind w:firstLine="720"/>
        <w:jc w:val="both"/>
        <w:divId w:val="1473870352"/>
        <w:rPr>
          <w:rFonts w:eastAsia="Times New Roman"/>
        </w:rPr>
      </w:pPr>
      <w:r>
        <w:rPr>
          <w:rFonts w:eastAsia="Times New Roman"/>
          <w:color w:val="000000"/>
          <w:sz w:val="20"/>
          <w:szCs w:val="20"/>
        </w:rPr>
        <w:t xml:space="preserve">Our confidential information may also be compromised due to programming or human error or malfeasance. We must continually evaluate </w:t>
      </w:r>
      <w:r>
        <w:rPr>
          <w:rFonts w:eastAsia="Times New Roman"/>
          <w:color w:val="000000"/>
          <w:sz w:val="20"/>
          <w:szCs w:val="20"/>
        </w:rPr>
        <w:t>and adapt our systems and processes to address the evolving threat landscape, and therefore there is no guarantee that they will be adequate to safeguard against all data security breaches or misuses of data. In addition, as the regulatory environment rela</w:t>
      </w:r>
      <w:r>
        <w:rPr>
          <w:rFonts w:eastAsia="Times New Roman"/>
          <w:color w:val="000000"/>
          <w:sz w:val="20"/>
          <w:szCs w:val="20"/>
        </w:rPr>
        <w:t>ted to information security, data collection and use, and privacy becomes increasingly rigorous, with new and changing requirements applicable to our business from multiple regulatory agencies at the local, state, federal, or international level, complianc</w:t>
      </w:r>
      <w:r>
        <w:rPr>
          <w:rFonts w:eastAsia="Times New Roman"/>
          <w:color w:val="000000"/>
          <w:sz w:val="20"/>
          <w:szCs w:val="20"/>
        </w:rPr>
        <w:t>e with those requirement could also result in additional costs, or we could fail to comply with those requirements due to various reasons such as not being aware of them.</w:t>
      </w:r>
    </w:p>
    <w:p w:rsidR="00000000" w:rsidRDefault="00D04F4B">
      <w:pPr>
        <w:ind w:firstLine="720"/>
        <w:jc w:val="both"/>
        <w:divId w:val="1567883324"/>
        <w:rPr>
          <w:rFonts w:eastAsia="Times New Roman"/>
        </w:rPr>
      </w:pPr>
      <w:r>
        <w:rPr>
          <w:rFonts w:eastAsia="Times New Roman"/>
          <w:color w:val="000000"/>
          <w:sz w:val="20"/>
          <w:szCs w:val="20"/>
        </w:rPr>
        <w:t>Any such access, disclosure or other loss of information could result in legal claims</w:t>
      </w:r>
      <w:r>
        <w:rPr>
          <w:rFonts w:eastAsia="Times New Roman"/>
          <w:color w:val="000000"/>
          <w:sz w:val="20"/>
          <w:szCs w:val="20"/>
        </w:rPr>
        <w:t xml:space="preserve"> or proceedings, liability under laws that protect the privacy of personal information, regulatory penalties, disruption to our operations and the services we provide to customers or damage our reputation, any of which could adversely affect our results of</w:t>
      </w:r>
      <w:r>
        <w:rPr>
          <w:rFonts w:eastAsia="Times New Roman"/>
          <w:color w:val="000000"/>
          <w:sz w:val="20"/>
          <w:szCs w:val="20"/>
        </w:rPr>
        <w:t xml:space="preserve"> operations, reputation and competitive position. In addition, our customers could lose confidence in our ability to protect their personal information, which could cause them to discontinue leasing our self-storage facilities. Such events could lead to lo</w:t>
      </w:r>
      <w:r>
        <w:rPr>
          <w:rFonts w:eastAsia="Times New Roman"/>
          <w:color w:val="000000"/>
          <w:sz w:val="20"/>
          <w:szCs w:val="20"/>
        </w:rPr>
        <w:t>st future revenues and adversely affect our results of operations and could result in remedial and other costs, fines or lawsuits, which could be in excess of any available insurance that we have procured.</w:t>
      </w:r>
    </w:p>
    <w:p w:rsidR="00000000" w:rsidRDefault="00D04F4B">
      <w:pPr>
        <w:jc w:val="both"/>
        <w:divId w:val="145561410"/>
        <w:rPr>
          <w:rFonts w:eastAsia="Times New Roman"/>
        </w:rPr>
      </w:pPr>
      <w:r>
        <w:rPr>
          <w:rFonts w:eastAsia="Times New Roman"/>
          <w:b/>
          <w:bCs/>
          <w:color w:val="000000"/>
          <w:sz w:val="20"/>
          <w:szCs w:val="20"/>
        </w:rPr>
        <w:t>Ineffective succession planning for our CEO and ex</w:t>
      </w:r>
      <w:r>
        <w:rPr>
          <w:rFonts w:eastAsia="Times New Roman"/>
          <w:b/>
          <w:bCs/>
          <w:color w:val="000000"/>
          <w:sz w:val="20"/>
          <w:szCs w:val="20"/>
        </w:rPr>
        <w:t>ecutive management, as well as for our other key employees, may impact the execution of our strategic plan.</w:t>
      </w:r>
    </w:p>
    <w:p w:rsidR="00000000" w:rsidRDefault="00D04F4B">
      <w:pPr>
        <w:ind w:firstLine="720"/>
        <w:jc w:val="both"/>
        <w:divId w:val="1084180742"/>
        <w:rPr>
          <w:rFonts w:eastAsia="Times New Roman"/>
        </w:rPr>
      </w:pPr>
      <w:r>
        <w:rPr>
          <w:rFonts w:eastAsia="Times New Roman"/>
          <w:color w:val="000000"/>
          <w:sz w:val="20"/>
          <w:szCs w:val="20"/>
        </w:rPr>
        <w:t>We may not effectively or appropriately identify ready-now succession candidates for our CEO and executive management team which may negatively impa</w:t>
      </w:r>
      <w:r>
        <w:rPr>
          <w:rFonts w:eastAsia="Times New Roman"/>
          <w:color w:val="000000"/>
          <w:sz w:val="20"/>
          <w:szCs w:val="20"/>
        </w:rPr>
        <w:t>ct our ability to meet key strategic goals. Failure to implement succession plans for other key employees may leave us vulnerable to retirements and turnover.</w:t>
      </w:r>
    </w:p>
    <w:p w:rsidR="00000000" w:rsidRDefault="00D04F4B">
      <w:pPr>
        <w:jc w:val="both"/>
        <w:divId w:val="1977029089"/>
        <w:rPr>
          <w:rFonts w:eastAsia="Times New Roman"/>
        </w:rPr>
      </w:pPr>
      <w:r>
        <w:rPr>
          <w:rFonts w:eastAsia="Times New Roman"/>
          <w:b/>
          <w:bCs/>
          <w:color w:val="000000"/>
          <w:sz w:val="20"/>
          <w:szCs w:val="20"/>
        </w:rPr>
        <w:t>We may fail to adequately protect our trademarks.</w:t>
      </w:r>
    </w:p>
    <w:p w:rsidR="00000000" w:rsidRDefault="00D04F4B">
      <w:pPr>
        <w:ind w:firstLine="720"/>
        <w:jc w:val="both"/>
        <w:divId w:val="1653027421"/>
        <w:rPr>
          <w:rFonts w:eastAsia="Times New Roman"/>
        </w:rPr>
      </w:pPr>
      <w:r>
        <w:rPr>
          <w:rFonts w:eastAsia="Times New Roman"/>
          <w:color w:val="000000"/>
          <w:sz w:val="20"/>
          <w:szCs w:val="20"/>
        </w:rPr>
        <w:t>Our trademark and trade dress could be deemed g</w:t>
      </w:r>
      <w:r>
        <w:rPr>
          <w:rFonts w:eastAsia="Times New Roman"/>
          <w:color w:val="000000"/>
          <w:sz w:val="20"/>
          <w:szCs w:val="20"/>
        </w:rPr>
        <w:t>eneric and indistinct and lose protection. We could lose rights to our other intellectual property and trade secrets. Competitor use of our trademarks and trade names could lead to likelihood of confusion, tarnishment of our brand, and loss of legal protec</w:t>
      </w:r>
      <w:r>
        <w:rPr>
          <w:rFonts w:eastAsia="Times New Roman"/>
          <w:color w:val="000000"/>
          <w:sz w:val="20"/>
          <w:szCs w:val="20"/>
        </w:rPr>
        <w:t>tion for our marks.</w:t>
      </w:r>
    </w:p>
    <w:p w:rsidR="00000000" w:rsidRDefault="00D04F4B">
      <w:pPr>
        <w:ind w:firstLine="720"/>
        <w:jc w:val="center"/>
        <w:divId w:val="765614500"/>
        <w:rPr>
          <w:rFonts w:eastAsia="Times New Roman"/>
        </w:rPr>
      </w:pPr>
      <w:r>
        <w:rPr>
          <w:rFonts w:eastAsia="Times New Roman"/>
          <w:b/>
          <w:bCs/>
          <w:color w:val="000000"/>
          <w:sz w:val="20"/>
          <w:szCs w:val="20"/>
        </w:rPr>
        <w:t>Risks Related to Our Ownership, Organization and Structure</w:t>
      </w:r>
    </w:p>
    <w:p w:rsidR="00000000" w:rsidRDefault="00D04F4B">
      <w:pPr>
        <w:jc w:val="both"/>
        <w:divId w:val="360253275"/>
        <w:rPr>
          <w:rFonts w:eastAsia="Times New Roman"/>
        </w:rPr>
      </w:pPr>
      <w:r>
        <w:rPr>
          <w:rFonts w:eastAsia="Times New Roman"/>
          <w:b/>
          <w:bCs/>
          <w:color w:val="000000"/>
          <w:sz w:val="20"/>
          <w:szCs w:val="20"/>
        </w:rPr>
        <w:t>Takeover attempts or changes in control could be thwarted, even if beneficial to shareholders.</w:t>
      </w:r>
    </w:p>
    <w:p w:rsidR="00000000" w:rsidRDefault="00D04F4B">
      <w:pPr>
        <w:ind w:firstLine="720"/>
        <w:jc w:val="both"/>
        <w:divId w:val="1005136694"/>
        <w:rPr>
          <w:rFonts w:eastAsia="Times New Roman"/>
        </w:rPr>
      </w:pPr>
      <w:r>
        <w:rPr>
          <w:rFonts w:eastAsia="Times New Roman"/>
          <w:color w:val="000000"/>
          <w:sz w:val="20"/>
          <w:szCs w:val="20"/>
        </w:rPr>
        <w:t>In certain circumstances, shareholders might desire a change in control or acquisi</w:t>
      </w:r>
      <w:r>
        <w:rPr>
          <w:rFonts w:eastAsia="Times New Roman"/>
          <w:color w:val="000000"/>
          <w:sz w:val="20"/>
          <w:szCs w:val="20"/>
        </w:rPr>
        <w:t>tion of us, in order to realize a premium over the then-prevailing market price of our shares or for other reasons. However, the following could prevent, deter, or delay such a transaction:</w:t>
      </w:r>
    </w:p>
    <w:p w:rsidR="00000000" w:rsidRDefault="00D04F4B">
      <w:pPr>
        <w:ind w:hanging="360"/>
        <w:jc w:val="both"/>
        <w:divId w:val="1562128978"/>
        <w:rPr>
          <w:rFonts w:eastAsia="Times New Roman"/>
        </w:rPr>
      </w:pPr>
      <w:r>
        <w:rPr>
          <w:rFonts w:eastAsia="Times New Roman"/>
          <w:color w:val="000000"/>
          <w:sz w:val="20"/>
          <w:szCs w:val="20"/>
        </w:rPr>
        <w:t>•</w:t>
      </w:r>
      <w:r>
        <w:rPr>
          <w:rFonts w:eastAsia="Times New Roman"/>
          <w:color w:val="000000"/>
          <w:sz w:val="20"/>
          <w:szCs w:val="20"/>
        </w:rPr>
        <w:t>Provisions of Maryland law may impose limitations that may make it more difficult for a third party to negotiate or effect a business combination transaction or control share acquisition with Public Storage. Currently, our Board has opted not to subject th</w:t>
      </w:r>
      <w:r>
        <w:rPr>
          <w:rFonts w:eastAsia="Times New Roman"/>
          <w:color w:val="000000"/>
          <w:sz w:val="20"/>
          <w:szCs w:val="20"/>
        </w:rPr>
        <w:t>e Company to these provisions of Maryland law, but it could choose to do so in the future without shareholder approval.</w:t>
      </w:r>
    </w:p>
    <w:p w:rsidR="00000000" w:rsidRDefault="00D04F4B">
      <w:pPr>
        <w:ind w:hanging="360"/>
        <w:jc w:val="both"/>
        <w:divId w:val="29187487"/>
        <w:rPr>
          <w:rFonts w:eastAsia="Times New Roman"/>
        </w:rPr>
      </w:pPr>
      <w:r>
        <w:rPr>
          <w:rFonts w:eastAsia="Times New Roman"/>
          <w:color w:val="000000"/>
          <w:sz w:val="20"/>
          <w:szCs w:val="20"/>
        </w:rPr>
        <w:t xml:space="preserve">•To protect against the loss of our REIT status due to concentration of ownership levels, our declaration of trust generally limits the </w:t>
      </w:r>
      <w:r>
        <w:rPr>
          <w:rFonts w:eastAsia="Times New Roman"/>
          <w:color w:val="000000"/>
          <w:sz w:val="20"/>
          <w:szCs w:val="20"/>
        </w:rPr>
        <w:t xml:space="preserve">ability of a person, other than the Hughes family or “designated investment entities” (each as defined in our declaration of trust), to own, actually or constructively, more than 3% of our outstanding common shares or 9.9% of the outstanding shares of any </w:t>
      </w:r>
      <w:r>
        <w:rPr>
          <w:rFonts w:eastAsia="Times New Roman"/>
          <w:color w:val="000000"/>
          <w:sz w:val="20"/>
          <w:szCs w:val="20"/>
        </w:rPr>
        <w:t>class or series of preferred or equity shares. Our Board may grant, and has previously granted, a specific exemption. These limits could discourage, delay or prevent a transaction involving a change in control of the Company not approved by our Board.</w:t>
      </w:r>
    </w:p>
    <w:p w:rsidR="00000000" w:rsidRDefault="00D04F4B">
      <w:pPr>
        <w:jc w:val="center"/>
        <w:divId w:val="1097480143"/>
        <w:rPr>
          <w:rFonts w:eastAsia="Times New Roman"/>
        </w:rPr>
      </w:pPr>
      <w:r>
        <w:rPr>
          <w:rFonts w:eastAsia="Times New Roman"/>
          <w:color w:val="000000"/>
          <w:sz w:val="20"/>
          <w:szCs w:val="20"/>
        </w:rPr>
        <w:t>15</w:t>
      </w:r>
    </w:p>
    <w:p w:rsidR="00000000" w:rsidRDefault="00D04F4B">
      <w:pPr>
        <w:rPr>
          <w:rFonts w:eastAsia="Times New Roman"/>
        </w:rPr>
      </w:pPr>
      <w:r>
        <w:rPr>
          <w:rFonts w:eastAsia="Times New Roman"/>
        </w:rPr>
        <w:pict>
          <v:rect id="_x0000_i1040" style="width:0;height:1.5pt" o:hralign="center" o:hrstd="t" o:hr="t" fillcolor="#a0a0a0" stroked="f"/>
        </w:pict>
      </w:r>
    </w:p>
    <w:p w:rsidR="00000000" w:rsidRDefault="00D04F4B">
      <w:pPr>
        <w:divId w:val="732311559"/>
        <w:rPr>
          <w:rFonts w:eastAsia="Times New Roman"/>
        </w:rPr>
      </w:pPr>
    </w:p>
    <w:p w:rsidR="00000000" w:rsidRDefault="00D04F4B">
      <w:pPr>
        <w:ind w:hanging="360"/>
        <w:jc w:val="both"/>
        <w:divId w:val="568342436"/>
        <w:rPr>
          <w:rFonts w:eastAsia="Times New Roman"/>
        </w:rPr>
      </w:pPr>
      <w:r>
        <w:rPr>
          <w:rFonts w:eastAsia="Times New Roman"/>
          <w:color w:val="000000"/>
          <w:sz w:val="20"/>
          <w:szCs w:val="20"/>
        </w:rPr>
        <w:t>•Similarly, current provisions of our declaration of trust and powers of our Board could have the same effect, including (1) limitations on removal of trustees, (2) restrictions on the acquisition of our shares of bene</w:t>
      </w:r>
      <w:r>
        <w:rPr>
          <w:rFonts w:eastAsia="Times New Roman"/>
          <w:color w:val="000000"/>
          <w:sz w:val="20"/>
          <w:szCs w:val="20"/>
        </w:rPr>
        <w:t>ficial interest, (3) the power to issue additional common shares, preferred shares or equity shares on terms approved by our Board without obtaining shareholder approval, (4) the advance notice provisions of our bylaws and (5) our Board’s ability under Mar</w:t>
      </w:r>
      <w:r>
        <w:rPr>
          <w:rFonts w:eastAsia="Times New Roman"/>
          <w:color w:val="000000"/>
          <w:sz w:val="20"/>
          <w:szCs w:val="20"/>
        </w:rPr>
        <w:t>yland law, without obtaining shareholder approval, to implement takeover defenses that we may not yet have and to take, or refrain from taking, other actions that could have the effect of delaying, deterring or preventing a transaction or a change in contr</w:t>
      </w:r>
      <w:r>
        <w:rPr>
          <w:rFonts w:eastAsia="Times New Roman"/>
          <w:color w:val="000000"/>
          <w:sz w:val="20"/>
          <w:szCs w:val="20"/>
        </w:rPr>
        <w:t>ol.</w:t>
      </w:r>
    </w:p>
    <w:p w:rsidR="00000000" w:rsidRDefault="00D04F4B">
      <w:pPr>
        <w:jc w:val="both"/>
        <w:divId w:val="904486948"/>
        <w:rPr>
          <w:rFonts w:eastAsia="Times New Roman"/>
        </w:rPr>
      </w:pPr>
      <w:r>
        <w:rPr>
          <w:rFonts w:eastAsia="Times New Roman"/>
          <w:b/>
          <w:bCs/>
          <w:color w:val="000000"/>
          <w:sz w:val="20"/>
          <w:szCs w:val="20"/>
        </w:rPr>
        <w:t>Holders of our preferred shares have dividend, liquidation and other rights that are senior to the rights of the holders of shares of our common stock.</w:t>
      </w:r>
    </w:p>
    <w:p w:rsidR="00000000" w:rsidRDefault="00D04F4B">
      <w:pPr>
        <w:ind w:firstLine="720"/>
        <w:jc w:val="both"/>
        <w:divId w:val="1653756982"/>
        <w:rPr>
          <w:rFonts w:eastAsia="Times New Roman"/>
        </w:rPr>
      </w:pPr>
      <w:r>
        <w:rPr>
          <w:rFonts w:eastAsia="Times New Roman"/>
          <w:color w:val="000000"/>
          <w:sz w:val="20"/>
          <w:szCs w:val="20"/>
        </w:rPr>
        <w:t>Holders of our preferred shares are entitled to cumulative dividends before any dividends may be dec</w:t>
      </w:r>
      <w:r>
        <w:rPr>
          <w:rFonts w:eastAsia="Times New Roman"/>
          <w:color w:val="000000"/>
          <w:sz w:val="20"/>
          <w:szCs w:val="20"/>
        </w:rPr>
        <w:t>lared or set aside on our common stock. Upon liquidation, holders of our preferred shares will receive a liquidation preference of $25,000 per share (or $25.00 per depositary share) plus any accrued and unpaid distributions before any payment is made to th</w:t>
      </w:r>
      <w:r>
        <w:rPr>
          <w:rFonts w:eastAsia="Times New Roman"/>
          <w:color w:val="000000"/>
          <w:sz w:val="20"/>
          <w:szCs w:val="20"/>
        </w:rPr>
        <w:t>e common shareholders. These preferences may limit the amount received by our common shareholders either from ongoing distributions or upon liquidation. In addition, our preferred shareholders have the right to elect two additional directors to our Board w</w:t>
      </w:r>
      <w:r>
        <w:rPr>
          <w:rFonts w:eastAsia="Times New Roman"/>
          <w:color w:val="000000"/>
          <w:sz w:val="20"/>
          <w:szCs w:val="20"/>
        </w:rPr>
        <w:t>henever dividends are in arrears in an aggregate amount equivalent to six or more quarterly dividends, whether or not consecutive.</w:t>
      </w:r>
    </w:p>
    <w:p w:rsidR="00000000" w:rsidRDefault="00D04F4B">
      <w:pPr>
        <w:jc w:val="both"/>
        <w:divId w:val="882331147"/>
        <w:rPr>
          <w:rFonts w:eastAsia="Times New Roman"/>
        </w:rPr>
      </w:pPr>
      <w:r>
        <w:rPr>
          <w:rFonts w:eastAsia="Times New Roman"/>
          <w:b/>
          <w:bCs/>
          <w:color w:val="000000"/>
          <w:sz w:val="20"/>
          <w:szCs w:val="20"/>
        </w:rPr>
        <w:t>Preferred Shareholders are subject to certain risks.</w:t>
      </w:r>
    </w:p>
    <w:p w:rsidR="00000000" w:rsidRDefault="00D04F4B">
      <w:pPr>
        <w:ind w:firstLine="720"/>
        <w:jc w:val="both"/>
        <w:divId w:val="638654954"/>
        <w:rPr>
          <w:rFonts w:eastAsia="Times New Roman"/>
        </w:rPr>
      </w:pPr>
      <w:r>
        <w:rPr>
          <w:rFonts w:eastAsia="Times New Roman"/>
          <w:color w:val="000000"/>
          <w:sz w:val="20"/>
          <w:szCs w:val="20"/>
        </w:rPr>
        <w:t>Holders of our preferred shares have preference rights over our common s</w:t>
      </w:r>
      <w:r>
        <w:rPr>
          <w:rFonts w:eastAsia="Times New Roman"/>
          <w:color w:val="000000"/>
          <w:sz w:val="20"/>
          <w:szCs w:val="20"/>
        </w:rPr>
        <w:t>hareholders with respect to liquidation and distributions, which give them some assurance of continued payment of their stated dividend rate, and receipt of their principal upon liquidation of the Company or redemption of their securities. However, holders</w:t>
      </w:r>
      <w:r>
        <w:rPr>
          <w:rFonts w:eastAsia="Times New Roman"/>
          <w:color w:val="000000"/>
          <w:sz w:val="20"/>
          <w:szCs w:val="20"/>
        </w:rPr>
        <w:t xml:space="preserve"> of our Preferred Shares should consider the following risks:</w:t>
      </w:r>
    </w:p>
    <w:p w:rsidR="00000000" w:rsidRDefault="00D04F4B">
      <w:pPr>
        <w:ind w:hanging="360"/>
        <w:jc w:val="both"/>
        <w:divId w:val="1017655641"/>
        <w:rPr>
          <w:rFonts w:eastAsia="Times New Roman"/>
        </w:rPr>
      </w:pPr>
      <w:r>
        <w:rPr>
          <w:rFonts w:eastAsia="Times New Roman"/>
          <w:color w:val="000000"/>
          <w:sz w:val="20"/>
          <w:szCs w:val="20"/>
        </w:rPr>
        <w:t>•The Company has in the past, and could in the future, issue or assume additional debt. Preferred shareholders would be subordinated to the interest and principal payments of such debt, which wo</w:t>
      </w:r>
      <w:r>
        <w:rPr>
          <w:rFonts w:eastAsia="Times New Roman"/>
          <w:color w:val="000000"/>
          <w:sz w:val="20"/>
          <w:szCs w:val="20"/>
        </w:rPr>
        <w:t>uld increase the risk that there would not be sufficient funds to pay distributions or liquidation amounts to the preferred shareholders.</w:t>
      </w:r>
    </w:p>
    <w:p w:rsidR="00000000" w:rsidRDefault="00D04F4B">
      <w:pPr>
        <w:ind w:hanging="360"/>
        <w:jc w:val="both"/>
        <w:divId w:val="800660387"/>
        <w:rPr>
          <w:rFonts w:eastAsia="Times New Roman"/>
        </w:rPr>
      </w:pPr>
      <w:r>
        <w:rPr>
          <w:rFonts w:eastAsia="Times New Roman"/>
          <w:color w:val="000000"/>
          <w:sz w:val="20"/>
          <w:szCs w:val="20"/>
        </w:rPr>
        <w:t>•The Company has in the past, and could in the future, issue additional preferred shares that, while pari passu to the</w:t>
      </w:r>
      <w:r>
        <w:rPr>
          <w:rFonts w:eastAsia="Times New Roman"/>
          <w:color w:val="000000"/>
          <w:sz w:val="20"/>
          <w:szCs w:val="20"/>
        </w:rPr>
        <w:t xml:space="preserve"> existing preferred shares, increases the risk that there would not be sufficient funds to pay distributions to the preferred shareholders.</w:t>
      </w:r>
    </w:p>
    <w:p w:rsidR="00000000" w:rsidRDefault="00D04F4B">
      <w:pPr>
        <w:jc w:val="both"/>
        <w:rPr>
          <w:rFonts w:eastAsia="Times New Roman"/>
        </w:rPr>
      </w:pPr>
    </w:p>
    <w:p w:rsidR="00000000" w:rsidRDefault="00D04F4B">
      <w:pPr>
        <w:ind w:hanging="360"/>
        <w:jc w:val="both"/>
        <w:rPr>
          <w:rFonts w:eastAsia="Times New Roman"/>
        </w:rPr>
      </w:pPr>
      <w:r>
        <w:rPr>
          <w:rFonts w:eastAsia="Times New Roman"/>
          <w:color w:val="000000"/>
          <w:sz w:val="20"/>
          <w:szCs w:val="20"/>
        </w:rPr>
        <w:t>•While the Company has no plans to do so, if the Company were to lose its REIT status or no longer elect REIT stat</w:t>
      </w:r>
      <w:r>
        <w:rPr>
          <w:rFonts w:eastAsia="Times New Roman"/>
          <w:color w:val="000000"/>
          <w:sz w:val="20"/>
          <w:szCs w:val="20"/>
        </w:rPr>
        <w:t>us, it would no longer be required to distribute its taxable income to maintain REIT status. If, in such a circumstance, the Company ceased paying dividends, unpaid distributions to the preferred shareholders would continue to accumulate. The preferred sha</w:t>
      </w:r>
      <w:r>
        <w:rPr>
          <w:rFonts w:eastAsia="Times New Roman"/>
          <w:color w:val="000000"/>
          <w:sz w:val="20"/>
          <w:szCs w:val="20"/>
        </w:rPr>
        <w:t xml:space="preserve">reholders would have the ability to elect two additional members to serve on our Board until the arrearage was cured. The preferred shareholders would not receive any compensation (such as interest) for the delay in the receipt of distributions, and it is </w:t>
      </w:r>
      <w:r>
        <w:rPr>
          <w:rFonts w:eastAsia="Times New Roman"/>
          <w:color w:val="000000"/>
          <w:sz w:val="20"/>
          <w:szCs w:val="20"/>
        </w:rPr>
        <w:t>possible that the arrearage could accumulate indefinitely.</w:t>
      </w:r>
    </w:p>
    <w:p w:rsidR="00000000" w:rsidRDefault="00D04F4B">
      <w:pPr>
        <w:jc w:val="center"/>
        <w:divId w:val="1330017720"/>
        <w:rPr>
          <w:rFonts w:eastAsia="Times New Roman"/>
        </w:rPr>
      </w:pPr>
      <w:r>
        <w:rPr>
          <w:rFonts w:eastAsia="Times New Roman"/>
          <w:b/>
          <w:bCs/>
          <w:color w:val="000000"/>
          <w:sz w:val="20"/>
          <w:szCs w:val="20"/>
        </w:rPr>
        <w:t>Risks Related to Government Regulations and Taxation</w:t>
      </w:r>
    </w:p>
    <w:p w:rsidR="00000000" w:rsidRDefault="00D04F4B">
      <w:pPr>
        <w:jc w:val="both"/>
        <w:divId w:val="1252619258"/>
        <w:rPr>
          <w:rFonts w:eastAsia="Times New Roman"/>
        </w:rPr>
      </w:pPr>
      <w:r>
        <w:rPr>
          <w:rFonts w:eastAsia="Times New Roman"/>
          <w:b/>
          <w:bCs/>
          <w:color w:val="000000"/>
          <w:sz w:val="20"/>
          <w:szCs w:val="20"/>
        </w:rPr>
        <w:t>We would incur adverse tax consequences if we failed to qualify as a REIT, and we would have to pay substantial U.S. federal corporate income ta</w:t>
      </w:r>
      <w:r>
        <w:rPr>
          <w:rFonts w:eastAsia="Times New Roman"/>
          <w:b/>
          <w:bCs/>
          <w:color w:val="000000"/>
          <w:sz w:val="20"/>
          <w:szCs w:val="20"/>
        </w:rPr>
        <w:t>xes.</w:t>
      </w:r>
    </w:p>
    <w:p w:rsidR="00000000" w:rsidRDefault="00D04F4B">
      <w:pPr>
        <w:ind w:firstLine="720"/>
        <w:jc w:val="both"/>
        <w:divId w:val="1500347564"/>
        <w:rPr>
          <w:rFonts w:eastAsia="Times New Roman"/>
        </w:rPr>
      </w:pPr>
      <w:r>
        <w:rPr>
          <w:rFonts w:eastAsia="Times New Roman"/>
          <w:color w:val="000000"/>
          <w:sz w:val="20"/>
          <w:szCs w:val="20"/>
        </w:rPr>
        <w:t>REITs are subject to a range of complex organizational and operational requirements. A qualifying REIT does not generally incur U.S. federal corporate income tax on its “REIT taxable income” (generally, taxable income subject to specified adjustments,</w:t>
      </w:r>
      <w:r>
        <w:rPr>
          <w:rFonts w:eastAsia="Times New Roman"/>
          <w:color w:val="000000"/>
          <w:sz w:val="20"/>
          <w:szCs w:val="20"/>
        </w:rPr>
        <w:t xml:space="preserve"> including a deduction for dividends paid and excluding net capital gain) that it distributes to its shareholders. Our REIT status is also dependent upon the ongoing REIT qualification of PSB as a result of our substantial ownership interest in it. We beli</w:t>
      </w:r>
      <w:r>
        <w:rPr>
          <w:rFonts w:eastAsia="Times New Roman"/>
          <w:color w:val="000000"/>
          <w:sz w:val="20"/>
          <w:szCs w:val="20"/>
        </w:rPr>
        <w:t>eve we have qualified as a REIT and we intend to continue to maintain our REIT status.</w:t>
      </w:r>
    </w:p>
    <w:p w:rsidR="00000000" w:rsidRDefault="00D04F4B">
      <w:pPr>
        <w:ind w:firstLine="720"/>
        <w:jc w:val="both"/>
        <w:divId w:val="1948072936"/>
        <w:rPr>
          <w:rFonts w:eastAsia="Times New Roman"/>
        </w:rPr>
      </w:pPr>
      <w:r>
        <w:rPr>
          <w:rFonts w:eastAsia="Times New Roman"/>
          <w:color w:val="000000"/>
          <w:sz w:val="20"/>
          <w:szCs w:val="20"/>
        </w:rPr>
        <w:t>However, there can be no assurance that we qualify or will continue to qualify as a REIT, because of the highly technical nature of the REIT rules, the ongoing importanc</w:t>
      </w:r>
      <w:r>
        <w:rPr>
          <w:rFonts w:eastAsia="Times New Roman"/>
          <w:color w:val="000000"/>
          <w:sz w:val="20"/>
          <w:szCs w:val="20"/>
        </w:rPr>
        <w:t>e of factual determinations, the possibility of unidentified issues in prior periods, or changes in our circumstances, as well as share ownership limits in our articles of incorporation that do not necessarily ensure that our shareholder base is sufficient</w:t>
      </w:r>
      <w:r>
        <w:rPr>
          <w:rFonts w:eastAsia="Times New Roman"/>
          <w:color w:val="000000"/>
          <w:sz w:val="20"/>
          <w:szCs w:val="20"/>
        </w:rPr>
        <w:t xml:space="preserve">ly diverse for us to qualify as a REIT. For any year we fail to qualify as a REIT, unless certain relief provisions apply (the granting of such relief could nonetheless result in significant </w:t>
      </w:r>
    </w:p>
    <w:p w:rsidR="00000000" w:rsidRDefault="00D04F4B">
      <w:pPr>
        <w:jc w:val="center"/>
        <w:divId w:val="1332366774"/>
        <w:rPr>
          <w:rFonts w:eastAsia="Times New Roman"/>
        </w:rPr>
      </w:pPr>
      <w:r>
        <w:rPr>
          <w:rFonts w:eastAsia="Times New Roman"/>
          <w:color w:val="000000"/>
          <w:sz w:val="20"/>
          <w:szCs w:val="20"/>
        </w:rPr>
        <w:t>16</w:t>
      </w:r>
    </w:p>
    <w:p w:rsidR="00000000" w:rsidRDefault="00D04F4B">
      <w:pPr>
        <w:rPr>
          <w:rFonts w:eastAsia="Times New Roman"/>
        </w:rPr>
      </w:pPr>
      <w:r>
        <w:rPr>
          <w:rFonts w:eastAsia="Times New Roman"/>
        </w:rPr>
        <w:pict>
          <v:rect id="_x0000_i1041" style="width:0;height:1.5pt" o:hralign="center" o:hrstd="t" o:hr="t" fillcolor="#a0a0a0" stroked="f"/>
        </w:pict>
      </w:r>
    </w:p>
    <w:p w:rsidR="00000000" w:rsidRDefault="00D04F4B">
      <w:pPr>
        <w:divId w:val="1441951841"/>
        <w:rPr>
          <w:rFonts w:eastAsia="Times New Roman"/>
        </w:rPr>
      </w:pPr>
    </w:p>
    <w:p w:rsidR="00000000" w:rsidRDefault="00D04F4B">
      <w:pPr>
        <w:jc w:val="both"/>
        <w:divId w:val="2124763150"/>
        <w:rPr>
          <w:rFonts w:eastAsia="Times New Roman"/>
        </w:rPr>
      </w:pPr>
      <w:r>
        <w:rPr>
          <w:rFonts w:eastAsia="Times New Roman"/>
          <w:color w:val="000000"/>
          <w:sz w:val="20"/>
          <w:szCs w:val="20"/>
        </w:rPr>
        <w:t>excise or penalty taxe</w:t>
      </w:r>
      <w:r>
        <w:rPr>
          <w:rFonts w:eastAsia="Times New Roman"/>
          <w:color w:val="000000"/>
          <w:sz w:val="20"/>
          <w:szCs w:val="20"/>
        </w:rPr>
        <w:t>s), we would not be allowed a deduction for dividends paid, we would be subject to U.S. federal corporate income tax on our taxable income, and generally we would not be allowed to elect REIT status until the fifth year after such a disqualification. Any t</w:t>
      </w:r>
      <w:r>
        <w:rPr>
          <w:rFonts w:eastAsia="Times New Roman"/>
          <w:color w:val="000000"/>
          <w:sz w:val="20"/>
          <w:szCs w:val="20"/>
        </w:rPr>
        <w:t>axes, interest, and penalties incurred would reduce our cash available for distributions to shareholders and could negatively affect our stock price. However, for years in which we failed to qualify as a REIT, we would not be subject to REIT rules that req</w:t>
      </w:r>
      <w:r>
        <w:rPr>
          <w:rFonts w:eastAsia="Times New Roman"/>
          <w:color w:val="000000"/>
          <w:sz w:val="20"/>
          <w:szCs w:val="20"/>
        </w:rPr>
        <w:t>uire us to distribute substantially all of our taxable income to our shareholders.</w:t>
      </w:r>
    </w:p>
    <w:p w:rsidR="00000000" w:rsidRDefault="00D04F4B">
      <w:pPr>
        <w:jc w:val="both"/>
        <w:divId w:val="1349065865"/>
        <w:rPr>
          <w:rFonts w:eastAsia="Times New Roman"/>
        </w:rPr>
      </w:pPr>
      <w:r>
        <w:rPr>
          <w:rFonts w:eastAsia="Times New Roman"/>
          <w:b/>
          <w:bCs/>
          <w:color w:val="000000"/>
          <w:sz w:val="20"/>
          <w:szCs w:val="20"/>
        </w:rPr>
        <w:t>Changes in tax laws could negatively impact us.</w:t>
      </w:r>
    </w:p>
    <w:p w:rsidR="00000000" w:rsidRDefault="00D04F4B">
      <w:pPr>
        <w:ind w:firstLine="720"/>
        <w:jc w:val="both"/>
        <w:divId w:val="1248878929"/>
        <w:rPr>
          <w:rFonts w:eastAsia="Times New Roman"/>
        </w:rPr>
      </w:pPr>
      <w:r>
        <w:rPr>
          <w:rFonts w:eastAsia="Times New Roman"/>
          <w:color w:val="000000"/>
          <w:sz w:val="20"/>
          <w:szCs w:val="20"/>
        </w:rPr>
        <w:t>The United States Treasury Department and Congress frequently review federal income tax legislation, regulations and other gu</w:t>
      </w:r>
      <w:r>
        <w:rPr>
          <w:rFonts w:eastAsia="Times New Roman"/>
          <w:color w:val="000000"/>
          <w:sz w:val="20"/>
          <w:szCs w:val="20"/>
        </w:rPr>
        <w:t>idance. We cannot predict whether, when, or to what extent new federal tax laws, regulations, interpretations or rulings will be adopted, but these changes might include, in particular, increases in the U.S. federal income tax rates that apply to us or our</w:t>
      </w:r>
      <w:r>
        <w:rPr>
          <w:rFonts w:eastAsia="Times New Roman"/>
          <w:color w:val="000000"/>
          <w:sz w:val="20"/>
          <w:szCs w:val="20"/>
        </w:rPr>
        <w:t xml:space="preserve"> shareholders in certain circumstances, possibly with retroactive effect.</w:t>
      </w:r>
    </w:p>
    <w:p w:rsidR="00000000" w:rsidRDefault="00D04F4B">
      <w:pPr>
        <w:ind w:firstLine="720"/>
        <w:jc w:val="both"/>
        <w:divId w:val="206528295"/>
        <w:rPr>
          <w:rFonts w:eastAsia="Times New Roman"/>
        </w:rPr>
      </w:pPr>
      <w:r>
        <w:rPr>
          <w:rFonts w:eastAsia="Times New Roman"/>
          <w:color w:val="000000"/>
          <w:sz w:val="20"/>
          <w:szCs w:val="20"/>
        </w:rPr>
        <w:t>Changes made by the Tax Cuts and Jobs Act, signed into law on December 22, 2017, limit our ability to deduct compensation in excess of $1 million paid to certain senior executives. T</w:t>
      </w:r>
      <w:r>
        <w:rPr>
          <w:rFonts w:eastAsia="Times New Roman"/>
          <w:color w:val="000000"/>
          <w:sz w:val="20"/>
          <w:szCs w:val="20"/>
        </w:rPr>
        <w:t>his could require us to increase distributions to our shareholders in the future in order to avoid paying tax and to maintain our REIT status.</w:t>
      </w:r>
    </w:p>
    <w:p w:rsidR="00000000" w:rsidRDefault="00D04F4B">
      <w:pPr>
        <w:jc w:val="both"/>
        <w:divId w:val="1832794951"/>
        <w:rPr>
          <w:rFonts w:eastAsia="Times New Roman"/>
        </w:rPr>
      </w:pPr>
      <w:r>
        <w:rPr>
          <w:rFonts w:eastAsia="Times New Roman"/>
          <w:b/>
          <w:bCs/>
          <w:color w:val="000000"/>
          <w:sz w:val="20"/>
          <w:szCs w:val="20"/>
        </w:rPr>
        <w:t>We may pay some taxes, reducing cash available for shareholders.</w:t>
      </w:r>
    </w:p>
    <w:p w:rsidR="00000000" w:rsidRDefault="00D04F4B">
      <w:pPr>
        <w:ind w:firstLine="720"/>
        <w:jc w:val="both"/>
        <w:divId w:val="910042584"/>
        <w:rPr>
          <w:rFonts w:eastAsia="Times New Roman"/>
        </w:rPr>
      </w:pPr>
      <w:r>
        <w:rPr>
          <w:rFonts w:eastAsia="Times New Roman"/>
          <w:color w:val="000000"/>
          <w:sz w:val="20"/>
          <w:szCs w:val="20"/>
        </w:rPr>
        <w:t>Even if we qualify as a REIT for U.S. federal co</w:t>
      </w:r>
      <w:r>
        <w:rPr>
          <w:rFonts w:eastAsia="Times New Roman"/>
          <w:color w:val="000000"/>
          <w:sz w:val="20"/>
          <w:szCs w:val="20"/>
        </w:rPr>
        <w:t>rporate income tax purposes, we may be subject to some federal, foreign, state and local taxes on our income and property. Since January 1, 2001, certain consolidated corporate subsidiaries of the Company have elected to be treated as taxable REIT subsidia</w:t>
      </w:r>
      <w:r>
        <w:rPr>
          <w:rFonts w:eastAsia="Times New Roman"/>
          <w:color w:val="000000"/>
          <w:sz w:val="20"/>
          <w:szCs w:val="20"/>
        </w:rPr>
        <w:t>ries (“TRSs”) for U.S. federal corporate income tax purposes, and are taxable as regular corporations and subject to certain limitations on intercompany transactions. If tax authorities determine that amounts paid by our TRSs to us are not reasonable compa</w:t>
      </w:r>
      <w:r>
        <w:rPr>
          <w:rFonts w:eastAsia="Times New Roman"/>
          <w:color w:val="000000"/>
          <w:sz w:val="20"/>
          <w:szCs w:val="20"/>
        </w:rPr>
        <w:t>red to similar arrangements among unrelated parties, we could be subject to a 100% penalty tax on the excess payments, and ongoing intercompany arrangements could have to change, resulting in higher ongoing tax payments. To the extent the Company is requir</w:t>
      </w:r>
      <w:r>
        <w:rPr>
          <w:rFonts w:eastAsia="Times New Roman"/>
          <w:color w:val="000000"/>
          <w:sz w:val="20"/>
          <w:szCs w:val="20"/>
        </w:rPr>
        <w:t>ed to pay federal, foreign, state or local taxes or federal penalty taxes due to existing laws or changes thereto, we will have less cash available for distribution to shareholders.</w:t>
      </w:r>
    </w:p>
    <w:p w:rsidR="00000000" w:rsidRDefault="00D04F4B">
      <w:pPr>
        <w:ind w:firstLine="720"/>
        <w:jc w:val="both"/>
        <w:divId w:val="1581866232"/>
        <w:rPr>
          <w:rFonts w:eastAsia="Times New Roman"/>
        </w:rPr>
      </w:pPr>
      <w:r>
        <w:rPr>
          <w:rFonts w:eastAsia="Times New Roman"/>
          <w:color w:val="000000"/>
          <w:sz w:val="20"/>
          <w:szCs w:val="20"/>
        </w:rPr>
        <w:t>In addition, certain local and state governments have imposed taxes on sel</w:t>
      </w:r>
      <w:r>
        <w:rPr>
          <w:rFonts w:eastAsia="Times New Roman"/>
          <w:color w:val="000000"/>
          <w:sz w:val="20"/>
          <w:szCs w:val="20"/>
        </w:rPr>
        <w:t>f-storage rent. While in most cases those taxes are paid by our customers, they increase the cost of self-storage rental to our customers and can negatively impact our revenues. Other local and state governments may impose self-storage rent taxes in the fu</w:t>
      </w:r>
      <w:r>
        <w:rPr>
          <w:rFonts w:eastAsia="Times New Roman"/>
          <w:color w:val="000000"/>
          <w:sz w:val="20"/>
          <w:szCs w:val="20"/>
        </w:rPr>
        <w:t>ture.</w:t>
      </w:r>
    </w:p>
    <w:p w:rsidR="00000000" w:rsidRDefault="00D04F4B">
      <w:pPr>
        <w:jc w:val="both"/>
        <w:divId w:val="649216468"/>
        <w:rPr>
          <w:rFonts w:eastAsia="Times New Roman"/>
        </w:rPr>
      </w:pPr>
      <w:r>
        <w:rPr>
          <w:rFonts w:eastAsia="Times New Roman"/>
          <w:b/>
          <w:bCs/>
          <w:color w:val="000000"/>
          <w:sz w:val="20"/>
          <w:szCs w:val="20"/>
        </w:rPr>
        <w:t>We have exposure to increased property tax in California.</w:t>
      </w:r>
    </w:p>
    <w:p w:rsidR="00000000" w:rsidRDefault="00D04F4B">
      <w:pPr>
        <w:ind w:firstLine="720"/>
        <w:jc w:val="both"/>
        <w:divId w:val="1883052882"/>
        <w:rPr>
          <w:rFonts w:eastAsia="Times New Roman"/>
        </w:rPr>
      </w:pPr>
      <w:r>
        <w:rPr>
          <w:rFonts w:eastAsia="Times New Roman"/>
          <w:color w:val="000000"/>
          <w:sz w:val="20"/>
          <w:szCs w:val="20"/>
        </w:rPr>
        <w:t>Approximately $649 million of our 2021 net operating income is from our properties in California, and we incurred approximately $46 million in related property tax expense. Due to the impact of Proposition 13, which generally limits increases in assessed v</w:t>
      </w:r>
      <w:r>
        <w:rPr>
          <w:rFonts w:eastAsia="Times New Roman"/>
          <w:color w:val="000000"/>
          <w:sz w:val="20"/>
          <w:szCs w:val="20"/>
        </w:rPr>
        <w:t>alues to 2% per year, the assessed value and resulting property tax we pay is less than it would be if the properties were assessed at current values. From time to time, proposals have been made to reduce the beneficial impact of Proposition 13, most recen</w:t>
      </w:r>
      <w:r>
        <w:rPr>
          <w:rFonts w:eastAsia="Times New Roman"/>
          <w:color w:val="000000"/>
          <w:sz w:val="20"/>
          <w:szCs w:val="20"/>
        </w:rPr>
        <w:t>tly in the November 2020 ballot. While this ballot initiative failed, there can be no assurance that future initiatives or other legislative actions will not eliminate or reduce the benefit of Proposition 13 with respect to our properties. If the beneficia</w:t>
      </w:r>
      <w:r>
        <w:rPr>
          <w:rFonts w:eastAsia="Times New Roman"/>
          <w:color w:val="000000"/>
          <w:sz w:val="20"/>
          <w:szCs w:val="20"/>
        </w:rPr>
        <w:t>l effect of Proposition 13 were ended for our properties, our property tax expense could increase substantially, adversely affecting our cash flow from operations and net income.</w:t>
      </w:r>
    </w:p>
    <w:p w:rsidR="00000000" w:rsidRDefault="00D04F4B">
      <w:pPr>
        <w:jc w:val="both"/>
        <w:divId w:val="578175944"/>
        <w:rPr>
          <w:rFonts w:eastAsia="Times New Roman"/>
        </w:rPr>
      </w:pPr>
      <w:r>
        <w:rPr>
          <w:rFonts w:eastAsia="Times New Roman"/>
          <w:b/>
          <w:bCs/>
          <w:color w:val="000000"/>
          <w:sz w:val="20"/>
          <w:szCs w:val="20"/>
        </w:rPr>
        <w:t>We are subject to new and changing legislation and regulations, including the</w:t>
      </w:r>
      <w:r>
        <w:rPr>
          <w:rFonts w:eastAsia="Times New Roman"/>
          <w:b/>
          <w:bCs/>
          <w:color w:val="000000"/>
          <w:sz w:val="20"/>
          <w:szCs w:val="20"/>
        </w:rPr>
        <w:t xml:space="preserve"> California Privacy Rights Act (CPRA).</w:t>
      </w:r>
    </w:p>
    <w:p w:rsidR="00000000" w:rsidRDefault="00D04F4B">
      <w:pPr>
        <w:ind w:firstLine="720"/>
        <w:jc w:val="both"/>
        <w:divId w:val="1553692711"/>
        <w:rPr>
          <w:rFonts w:eastAsia="Times New Roman"/>
        </w:rPr>
      </w:pPr>
      <w:r>
        <w:rPr>
          <w:rFonts w:eastAsia="Times New Roman"/>
          <w:color w:val="000000"/>
          <w:sz w:val="20"/>
          <w:szCs w:val="20"/>
        </w:rPr>
        <w:t xml:space="preserve">We are subject to new and changing legislation and regulations, including the Americans with Disabilities Act of 1990 and legislation regarding property taxes, income taxes, REIT status, labor and employment, privacy </w:t>
      </w:r>
      <w:r>
        <w:rPr>
          <w:rFonts w:eastAsia="Times New Roman"/>
          <w:color w:val="000000"/>
          <w:sz w:val="20"/>
          <w:szCs w:val="20"/>
        </w:rPr>
        <w:t>and, lien sales, at the city, county, state, and federal level, which could materially impact our business and operations. Failure to comply with applicable laws, regulations, and policies may subject us to increased litigation and regulatory actions and n</w:t>
      </w:r>
      <w:r>
        <w:rPr>
          <w:rFonts w:eastAsia="Times New Roman"/>
          <w:color w:val="000000"/>
          <w:sz w:val="20"/>
          <w:szCs w:val="20"/>
        </w:rPr>
        <w:t>egatively affect our business and operations or reputation.</w:t>
      </w:r>
    </w:p>
    <w:p w:rsidR="00000000" w:rsidRDefault="00D04F4B">
      <w:pPr>
        <w:ind w:firstLine="720"/>
        <w:jc w:val="both"/>
        <w:divId w:val="343168449"/>
        <w:rPr>
          <w:rFonts w:eastAsia="Times New Roman"/>
        </w:rPr>
      </w:pPr>
      <w:r>
        <w:rPr>
          <w:rFonts w:eastAsia="Times New Roman"/>
          <w:color w:val="000000"/>
          <w:sz w:val="20"/>
          <w:szCs w:val="20"/>
        </w:rPr>
        <w:t>On November 3, 2020, Californians passed a ballot measure that creates the California Privacy Rights Act (“CPRA”). The CPRA amends and expands the California Consumer Privacy Act (CCPA), which wen</w:t>
      </w:r>
      <w:r>
        <w:rPr>
          <w:rFonts w:eastAsia="Times New Roman"/>
          <w:color w:val="000000"/>
          <w:sz w:val="20"/>
          <w:szCs w:val="20"/>
        </w:rPr>
        <w:t>t into effect on January 1, 2020. The CPRA, which goes into effect on January 1, 2023, provides new rights and amends existing rights found in the CCPA. It also creates a new privacy enforcement authority, the California Privacy Protection Agency (“CalPPA”</w:t>
      </w:r>
      <w:r>
        <w:rPr>
          <w:rFonts w:eastAsia="Times New Roman"/>
          <w:color w:val="000000"/>
          <w:sz w:val="20"/>
          <w:szCs w:val="20"/>
        </w:rPr>
        <w:t xml:space="preserve">). The CPRA grants the Attorney General and the CalPPA the authority to issue regulations on a wide range of </w:t>
      </w:r>
    </w:p>
    <w:p w:rsidR="00000000" w:rsidRDefault="00D04F4B">
      <w:pPr>
        <w:jc w:val="center"/>
        <w:divId w:val="2027518456"/>
        <w:rPr>
          <w:rFonts w:eastAsia="Times New Roman"/>
        </w:rPr>
      </w:pPr>
      <w:r>
        <w:rPr>
          <w:rFonts w:eastAsia="Times New Roman"/>
          <w:color w:val="000000"/>
          <w:sz w:val="20"/>
          <w:szCs w:val="20"/>
        </w:rPr>
        <w:t>17</w:t>
      </w:r>
    </w:p>
    <w:p w:rsidR="00000000" w:rsidRDefault="00D04F4B">
      <w:pPr>
        <w:rPr>
          <w:rFonts w:eastAsia="Times New Roman"/>
        </w:rPr>
      </w:pPr>
      <w:r>
        <w:rPr>
          <w:rFonts w:eastAsia="Times New Roman"/>
        </w:rPr>
        <w:pict>
          <v:rect id="_x0000_i1042" style="width:0;height:1.5pt" o:hralign="center" o:hrstd="t" o:hr="t" fillcolor="#a0a0a0" stroked="f"/>
        </w:pict>
      </w:r>
    </w:p>
    <w:p w:rsidR="00000000" w:rsidRDefault="00D04F4B">
      <w:pPr>
        <w:divId w:val="1735273548"/>
        <w:rPr>
          <w:rFonts w:eastAsia="Times New Roman"/>
        </w:rPr>
      </w:pPr>
    </w:p>
    <w:p w:rsidR="00000000" w:rsidRDefault="00D04F4B">
      <w:pPr>
        <w:jc w:val="both"/>
        <w:divId w:val="734863237"/>
        <w:rPr>
          <w:rFonts w:eastAsia="Times New Roman"/>
        </w:rPr>
      </w:pPr>
      <w:r>
        <w:rPr>
          <w:rFonts w:eastAsia="Times New Roman"/>
          <w:color w:val="000000"/>
          <w:sz w:val="20"/>
          <w:szCs w:val="20"/>
        </w:rPr>
        <w:t>topics. It therefore remains unclear what, if any, modifications will be made to the CPRA or how it will</w:t>
      </w:r>
      <w:r>
        <w:rPr>
          <w:rFonts w:eastAsia="Times New Roman"/>
          <w:color w:val="000000"/>
          <w:sz w:val="20"/>
          <w:szCs w:val="20"/>
        </w:rPr>
        <w:t xml:space="preserve"> be interpreted. While we believe we have developed processes to comply with current privacy requirements, a regulatory agency may not agree with certain of our implementation decisions, which could subject us to litigation, regulatory actions or changes t</w:t>
      </w:r>
      <w:r>
        <w:rPr>
          <w:rFonts w:eastAsia="Times New Roman"/>
          <w:color w:val="000000"/>
          <w:sz w:val="20"/>
          <w:szCs w:val="20"/>
        </w:rPr>
        <w:t>o our business practices that could increase costs or reduce revenues. Other states have also considered or are considering privacy laws similar to those passed in California. Similar laws may be implemented in other jurisdictions in which we do business a</w:t>
      </w:r>
      <w:r>
        <w:rPr>
          <w:rFonts w:eastAsia="Times New Roman"/>
          <w:color w:val="000000"/>
          <w:sz w:val="20"/>
          <w:szCs w:val="20"/>
        </w:rPr>
        <w:t>nd in ways that may be more restrictive than those in California, increasing the cost of compliance, as well as the risk of noncompliance, on our business.</w:t>
      </w:r>
    </w:p>
    <w:p w:rsidR="00000000" w:rsidRDefault="00D04F4B">
      <w:pPr>
        <w:jc w:val="both"/>
        <w:divId w:val="999456359"/>
        <w:rPr>
          <w:rFonts w:eastAsia="Times New Roman"/>
        </w:rPr>
      </w:pPr>
      <w:r>
        <w:rPr>
          <w:rFonts w:eastAsia="Times New Roman"/>
          <w:b/>
          <w:bCs/>
          <w:color w:val="000000"/>
          <w:sz w:val="20"/>
          <w:szCs w:val="20"/>
        </w:rPr>
        <w:t>Our tenant reinsurance business is subject to governmental regulation which could reduce our profita</w:t>
      </w:r>
      <w:r>
        <w:rPr>
          <w:rFonts w:eastAsia="Times New Roman"/>
          <w:b/>
          <w:bCs/>
          <w:color w:val="000000"/>
          <w:sz w:val="20"/>
          <w:szCs w:val="20"/>
        </w:rPr>
        <w:t>bility or limit our growth.</w:t>
      </w:r>
    </w:p>
    <w:p w:rsidR="00000000" w:rsidRDefault="00D04F4B">
      <w:pPr>
        <w:ind w:firstLine="720"/>
        <w:jc w:val="both"/>
        <w:divId w:val="1687094237"/>
        <w:rPr>
          <w:rFonts w:eastAsia="Times New Roman"/>
        </w:rPr>
      </w:pPr>
      <w:r>
        <w:rPr>
          <w:rFonts w:eastAsia="Times New Roman"/>
          <w:color w:val="000000"/>
          <w:sz w:val="20"/>
          <w:szCs w:val="20"/>
        </w:rPr>
        <w:t xml:space="preserve">We hold Limited Lines Self-Service Storage Insurance Agent licenses from a number of individual state departments of insurance and are subject to state governmental regulation and supervision.  Our continued ability to maintain </w:t>
      </w:r>
      <w:r>
        <w:rPr>
          <w:rFonts w:eastAsia="Times New Roman"/>
          <w:color w:val="000000"/>
          <w:sz w:val="20"/>
          <w:szCs w:val="20"/>
        </w:rPr>
        <w:t>these Limited Lines Self-Service Storage Insurance Agent licenses in the jurisdictions in which we are licensed depends on our compliance with related rules and regulations.  The regulatory authorities in each jurisdiction generally have broad discretion t</w:t>
      </w:r>
      <w:r>
        <w:rPr>
          <w:rFonts w:eastAsia="Times New Roman"/>
          <w:color w:val="000000"/>
          <w:sz w:val="20"/>
          <w:szCs w:val="20"/>
        </w:rPr>
        <w:t>o grant, renew and revoke licenses and approvals, to promulgate, interpret, and implement regulations, and to evaluate compliance with regulations through periodic examinations, audits and investigations of the affairs of insurance agents. As a result of r</w:t>
      </w:r>
      <w:r>
        <w:rPr>
          <w:rFonts w:eastAsia="Times New Roman"/>
          <w:color w:val="000000"/>
          <w:sz w:val="20"/>
          <w:szCs w:val="20"/>
        </w:rPr>
        <w:t>egulatory or private action in any jurisdiction, we may be temporarily or permanently suspended from continuing some or all of our reinsurance activities</w:t>
      </w:r>
      <w:r>
        <w:rPr>
          <w:rFonts w:eastAsia="Times New Roman"/>
          <w:color w:val="1F497D"/>
          <w:sz w:val="20"/>
          <w:szCs w:val="20"/>
        </w:rPr>
        <w:t>,</w:t>
      </w:r>
      <w:r>
        <w:rPr>
          <w:rFonts w:eastAsia="Times New Roman"/>
          <w:color w:val="000000"/>
          <w:sz w:val="20"/>
          <w:szCs w:val="20"/>
        </w:rPr>
        <w:t xml:space="preserve"> or otherwise fined or penalized or suffer an adverse judgment, which could reduce our net income.</w:t>
      </w:r>
    </w:p>
    <w:p w:rsidR="00000000" w:rsidRDefault="00D04F4B">
      <w:pPr>
        <w:jc w:val="both"/>
        <w:divId w:val="1232427087"/>
        <w:rPr>
          <w:rFonts w:eastAsia="Times New Roman"/>
        </w:rPr>
      </w:pPr>
      <w:r>
        <w:rPr>
          <w:rFonts w:eastAsia="Times New Roman"/>
          <w:b/>
          <w:bCs/>
          <w:color w:val="000000"/>
          <w:sz w:val="20"/>
          <w:szCs w:val="20"/>
        </w:rPr>
        <w:t>ITE</w:t>
      </w:r>
      <w:r>
        <w:rPr>
          <w:rFonts w:eastAsia="Times New Roman"/>
          <w:b/>
          <w:bCs/>
          <w:color w:val="000000"/>
          <w:sz w:val="20"/>
          <w:szCs w:val="20"/>
        </w:rPr>
        <w:t>M 1B.</w:t>
      </w:r>
      <w:r>
        <w:rPr>
          <w:rFonts w:eastAsia="Times New Roman"/>
          <w:color w:val="000000"/>
          <w:sz w:val="20"/>
          <w:szCs w:val="20"/>
        </w:rPr>
        <w:t>    </w:t>
      </w:r>
      <w:r>
        <w:rPr>
          <w:rFonts w:eastAsia="Times New Roman"/>
          <w:b/>
          <w:bCs/>
          <w:color w:val="000000"/>
          <w:sz w:val="20"/>
          <w:szCs w:val="20"/>
          <w:u w:val="single"/>
        </w:rPr>
        <w:t>Unresolved Staff Comments</w:t>
      </w:r>
    </w:p>
    <w:p w:rsidR="00000000" w:rsidRDefault="00D04F4B">
      <w:pPr>
        <w:ind w:firstLine="720"/>
        <w:jc w:val="both"/>
        <w:divId w:val="1656453564"/>
        <w:rPr>
          <w:rFonts w:eastAsia="Times New Roman"/>
        </w:rPr>
      </w:pPr>
      <w:r>
        <w:rPr>
          <w:rFonts w:eastAsia="Times New Roman"/>
          <w:color w:val="000000"/>
          <w:sz w:val="20"/>
          <w:szCs w:val="20"/>
        </w:rPr>
        <w:t>None.</w:t>
      </w:r>
    </w:p>
    <w:p w:rsidR="00000000" w:rsidRDefault="00D04F4B">
      <w:pPr>
        <w:jc w:val="center"/>
        <w:divId w:val="1030644610"/>
        <w:rPr>
          <w:rFonts w:eastAsia="Times New Roman"/>
        </w:rPr>
      </w:pPr>
      <w:r>
        <w:rPr>
          <w:rFonts w:eastAsia="Times New Roman"/>
          <w:color w:val="000000"/>
          <w:sz w:val="20"/>
          <w:szCs w:val="20"/>
        </w:rPr>
        <w:t>18</w:t>
      </w:r>
    </w:p>
    <w:p w:rsidR="00000000" w:rsidRDefault="00D04F4B">
      <w:pPr>
        <w:rPr>
          <w:rFonts w:eastAsia="Times New Roman"/>
        </w:rPr>
      </w:pPr>
      <w:r>
        <w:rPr>
          <w:rFonts w:eastAsia="Times New Roman"/>
        </w:rPr>
        <w:pict>
          <v:rect id="_x0000_i1043" style="width:0;height:1.5pt" o:hralign="center" o:hrstd="t" o:hr="t" fillcolor="#a0a0a0" stroked="f"/>
        </w:pict>
      </w:r>
    </w:p>
    <w:p w:rsidR="00000000" w:rsidRDefault="00D04F4B">
      <w:pPr>
        <w:divId w:val="1680933832"/>
        <w:rPr>
          <w:rFonts w:eastAsia="Times New Roman"/>
        </w:rPr>
      </w:pPr>
    </w:p>
    <w:p w:rsidR="00000000" w:rsidRDefault="00D04F4B">
      <w:pPr>
        <w:jc w:val="both"/>
        <w:divId w:val="1356736751"/>
        <w:rPr>
          <w:rFonts w:eastAsia="Times New Roman"/>
        </w:rPr>
      </w:pPr>
      <w:r>
        <w:rPr>
          <w:rFonts w:eastAsia="Times New Roman"/>
          <w:b/>
          <w:bCs/>
          <w:color w:val="000000"/>
          <w:sz w:val="20"/>
          <w:szCs w:val="20"/>
        </w:rPr>
        <w:t>ITEM 2</w:t>
      </w:r>
      <w:r>
        <w:rPr>
          <w:rFonts w:eastAsia="Times New Roman"/>
          <w:color w:val="000000"/>
          <w:sz w:val="20"/>
          <w:szCs w:val="20"/>
        </w:rPr>
        <w:t>.    </w:t>
      </w:r>
      <w:r>
        <w:rPr>
          <w:rFonts w:eastAsia="Times New Roman"/>
          <w:b/>
          <w:bCs/>
          <w:color w:val="000000"/>
          <w:sz w:val="20"/>
          <w:szCs w:val="20"/>
          <w:u w:val="single"/>
        </w:rPr>
        <w:t>Properties</w:t>
      </w:r>
    </w:p>
    <w:p w:rsidR="00000000" w:rsidRDefault="00D04F4B">
      <w:pPr>
        <w:ind w:firstLine="720"/>
        <w:jc w:val="both"/>
        <w:divId w:val="1902279621"/>
        <w:rPr>
          <w:rFonts w:eastAsia="Times New Roman"/>
        </w:rPr>
      </w:pPr>
      <w:r>
        <w:rPr>
          <w:rFonts w:eastAsia="Times New Roman"/>
          <w:color w:val="000000"/>
          <w:sz w:val="20"/>
          <w:szCs w:val="20"/>
        </w:rPr>
        <w:t>At December 31, 2021, we had controlling ownership interests in 2,787 self-storage facilities located in 39 states within the U.S.:</w:t>
      </w:r>
    </w:p>
    <w:tbl>
      <w:tblPr>
        <w:tblW w:w="5000" w:type="pct"/>
        <w:tblCellMar>
          <w:top w:w="15" w:type="dxa"/>
          <w:left w:w="15" w:type="dxa"/>
          <w:bottom w:w="15" w:type="dxa"/>
          <w:right w:w="15" w:type="dxa"/>
        </w:tblCellMar>
        <w:tblLook w:val="04A0" w:firstRow="1" w:lastRow="0" w:firstColumn="1" w:lastColumn="0" w:noHBand="0" w:noVBand="1"/>
      </w:tblPr>
      <w:tblGrid>
        <w:gridCol w:w="62"/>
        <w:gridCol w:w="4469"/>
        <w:gridCol w:w="38"/>
        <w:gridCol w:w="62"/>
        <w:gridCol w:w="1662"/>
        <w:gridCol w:w="38"/>
        <w:gridCol w:w="37"/>
        <w:gridCol w:w="37"/>
        <w:gridCol w:w="37"/>
        <w:gridCol w:w="51"/>
        <w:gridCol w:w="1776"/>
        <w:gridCol w:w="37"/>
      </w:tblGrid>
      <w:tr w:rsidR="00000000">
        <w:trPr>
          <w:divId w:val="1884829203"/>
        </w:trPr>
        <w:tc>
          <w:tcPr>
            <w:tcW w:w="50" w:type="pct"/>
            <w:vAlign w:val="center"/>
            <w:hideMark/>
          </w:tcPr>
          <w:p w:rsidR="00000000" w:rsidRDefault="00D04F4B">
            <w:pPr>
              <w:ind w:firstLine="720"/>
              <w:jc w:val="both"/>
              <w:rPr>
                <w:rFonts w:eastAsia="Times New Roman"/>
              </w:rPr>
            </w:pPr>
          </w:p>
        </w:tc>
        <w:tc>
          <w:tcPr>
            <w:tcW w:w="270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01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08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884829203"/>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b/>
                <w:bCs/>
                <w:color w:val="000000"/>
                <w:sz w:val="20"/>
                <w:szCs w:val="20"/>
              </w:rPr>
              <w:t>At December 31, 2021</w:t>
            </w:r>
          </w:p>
        </w:tc>
      </w:tr>
      <w:tr w:rsidR="00000000">
        <w:trPr>
          <w:divId w:val="1884829203"/>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Number of Storage Facilities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Net Rentable Square Feet</w:t>
            </w:r>
            <w:r>
              <w:rPr>
                <w:rFonts w:eastAsia="Times New Roman"/>
                <w:color w:val="000000"/>
                <w:sz w:val="20"/>
                <w:szCs w:val="20"/>
              </w:rPr>
              <w:br/>
              <w:t>(in thousands)</w:t>
            </w: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California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884829203"/>
        </w:trPr>
        <w:tc>
          <w:tcPr>
            <w:tcW w:w="0" w:type="auto"/>
            <w:gridSpan w:val="3"/>
            <w:tcMar>
              <w:top w:w="30" w:type="dxa"/>
              <w:left w:w="245"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Southern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19,221 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45"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Northern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11,581 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Texas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34,520 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Florida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21,831 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Illinois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8,536 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Georgia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8,194 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Virginia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7,781 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North Carolina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7,623 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Maryland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7,381 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Washington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7,300 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Colorado</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85 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6,320 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Minnesota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4,935 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New York</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4,817 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South Carolina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4,095 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New Jersey</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3,874 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Ohio</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3,833 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Arizona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3,693 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Michigan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3,589 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Indiana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Missouri</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Tennessee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2,571 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Pennsylvania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2,452 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Oregon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2,451 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Oklahoma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2,086 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Nevada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2,064 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Massachusetts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1,976 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Kansas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Other states (13 states)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8,503 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84829203"/>
        </w:trPr>
        <w:tc>
          <w:tcPr>
            <w:tcW w:w="0" w:type="auto"/>
            <w:gridSpan w:val="3"/>
            <w:tcMar>
              <w:top w:w="30" w:type="dxa"/>
              <w:left w:w="38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Total (a)</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2,787 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198,319 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ind w:hanging="360"/>
        <w:jc w:val="both"/>
        <w:divId w:val="50930416"/>
        <w:rPr>
          <w:rFonts w:eastAsia="Times New Roman"/>
        </w:rPr>
      </w:pPr>
      <w:r>
        <w:rPr>
          <w:rFonts w:eastAsia="Times New Roman"/>
          <w:color w:val="000000"/>
          <w:sz w:val="18"/>
          <w:szCs w:val="18"/>
        </w:rPr>
        <w:t>(a)</w:t>
      </w:r>
      <w:r>
        <w:rPr>
          <w:rFonts w:eastAsia="Times New Roman"/>
          <w:color w:val="000000"/>
          <w:sz w:val="18"/>
          <w:szCs w:val="18"/>
        </w:rPr>
        <w:t>See Schedule III: Real Estate and Accumulated Depreciation in our consolidated financial statements included in this Annual Report on Form 10-K, for a summary of land, building, accumulated depreciation, square footage, and number of properties by market.</w:t>
      </w:r>
    </w:p>
    <w:p w:rsidR="00000000" w:rsidRDefault="00D04F4B">
      <w:pPr>
        <w:ind w:firstLine="720"/>
        <w:jc w:val="both"/>
        <w:divId w:val="1897205007"/>
        <w:rPr>
          <w:rFonts w:eastAsia="Times New Roman"/>
        </w:rPr>
      </w:pPr>
      <w:r>
        <w:rPr>
          <w:rFonts w:eastAsia="Times New Roman"/>
          <w:color w:val="000000"/>
          <w:sz w:val="20"/>
          <w:szCs w:val="20"/>
        </w:rPr>
        <w:t>At December 31, 2021, 11 of our facilities with a net book value of $66 million were encumbered by an aggregate of $23 million in mortgage notes payable.</w:t>
      </w:r>
    </w:p>
    <w:p w:rsidR="00000000" w:rsidRDefault="00D04F4B">
      <w:pPr>
        <w:ind w:firstLine="720"/>
        <w:jc w:val="both"/>
        <w:divId w:val="2067293518"/>
        <w:rPr>
          <w:rFonts w:eastAsia="Times New Roman"/>
        </w:rPr>
      </w:pPr>
      <w:r>
        <w:rPr>
          <w:rFonts w:eastAsia="Times New Roman"/>
          <w:color w:val="000000"/>
          <w:sz w:val="20"/>
          <w:szCs w:val="20"/>
        </w:rPr>
        <w:t>The configuration of self-storage facilities has evolved over time. The oldest facilities are comprise</w:t>
      </w:r>
      <w:r>
        <w:rPr>
          <w:rFonts w:eastAsia="Times New Roman"/>
          <w:color w:val="000000"/>
          <w:sz w:val="20"/>
          <w:szCs w:val="20"/>
        </w:rPr>
        <w:t>d generally of multiple single-story buildings, and have on average approximately 500 primarily “drive up” spaces per facility, and a small rental office. The most prevalent recently constructed facilities have higher density footprints with large, multi-s</w:t>
      </w:r>
      <w:r>
        <w:rPr>
          <w:rFonts w:eastAsia="Times New Roman"/>
          <w:color w:val="000000"/>
          <w:sz w:val="20"/>
          <w:szCs w:val="20"/>
        </w:rPr>
        <w:t xml:space="preserve">tory buildings with climate control and 1,000 or more self-storage spaces, a more imposing and visible retail presence, and a </w:t>
      </w:r>
    </w:p>
    <w:p w:rsidR="00000000" w:rsidRDefault="00D04F4B">
      <w:pPr>
        <w:jc w:val="center"/>
        <w:divId w:val="215628899"/>
        <w:rPr>
          <w:rFonts w:eastAsia="Times New Roman"/>
        </w:rPr>
      </w:pPr>
      <w:r>
        <w:rPr>
          <w:rFonts w:eastAsia="Times New Roman"/>
          <w:color w:val="000000"/>
          <w:sz w:val="20"/>
          <w:szCs w:val="20"/>
        </w:rPr>
        <w:t>19</w:t>
      </w:r>
    </w:p>
    <w:p w:rsidR="00000000" w:rsidRDefault="00D04F4B">
      <w:pPr>
        <w:rPr>
          <w:rFonts w:eastAsia="Times New Roman"/>
        </w:rPr>
      </w:pPr>
      <w:r>
        <w:rPr>
          <w:rFonts w:eastAsia="Times New Roman"/>
        </w:rPr>
        <w:pict>
          <v:rect id="_x0000_i1044" style="width:0;height:1.5pt" o:hralign="center" o:hrstd="t" o:hr="t" fillcolor="#a0a0a0" stroked="f"/>
        </w:pict>
      </w:r>
    </w:p>
    <w:p w:rsidR="00000000" w:rsidRDefault="00D04F4B">
      <w:pPr>
        <w:divId w:val="1943682622"/>
        <w:rPr>
          <w:rFonts w:eastAsia="Times New Roman"/>
        </w:rPr>
      </w:pPr>
    </w:p>
    <w:p w:rsidR="00000000" w:rsidRDefault="00D04F4B">
      <w:pPr>
        <w:jc w:val="both"/>
        <w:divId w:val="735593221"/>
        <w:rPr>
          <w:rFonts w:eastAsia="Times New Roman"/>
        </w:rPr>
      </w:pPr>
      <w:r>
        <w:rPr>
          <w:rFonts w:eastAsia="Times New Roman"/>
          <w:color w:val="000000"/>
          <w:sz w:val="20"/>
          <w:szCs w:val="20"/>
        </w:rPr>
        <w:t>prominent and large rental office designed to appeal to customers as an attractive and retail-focused “store.” Our self-storage portfolio includes facilities with characteristics of the oldest facilities, characteristics of the most recently constructed fa</w:t>
      </w:r>
      <w:r>
        <w:rPr>
          <w:rFonts w:eastAsia="Times New Roman"/>
          <w:color w:val="000000"/>
          <w:sz w:val="20"/>
          <w:szCs w:val="20"/>
        </w:rPr>
        <w:t>cilities, and those with characteristics of both older and recently constructed facilities. Most spaces have between 25 and 400 square feet and an interior height of approximately eight to 12 feet.</w:t>
      </w:r>
    </w:p>
    <w:p w:rsidR="00000000" w:rsidRDefault="00D04F4B">
      <w:pPr>
        <w:jc w:val="both"/>
        <w:divId w:val="926615319"/>
        <w:rPr>
          <w:rFonts w:eastAsia="Times New Roman"/>
        </w:rPr>
      </w:pPr>
      <w:r>
        <w:rPr>
          <w:rFonts w:eastAsia="Times New Roman"/>
          <w:b/>
          <w:bCs/>
          <w:color w:val="000000"/>
          <w:sz w:val="20"/>
          <w:szCs w:val="20"/>
        </w:rPr>
        <w:t>ITEM 3</w:t>
      </w:r>
      <w:r>
        <w:rPr>
          <w:rFonts w:eastAsia="Times New Roman"/>
          <w:color w:val="000000"/>
          <w:sz w:val="20"/>
          <w:szCs w:val="20"/>
        </w:rPr>
        <w:t>.    </w:t>
      </w:r>
      <w:r>
        <w:rPr>
          <w:rFonts w:eastAsia="Times New Roman"/>
          <w:b/>
          <w:bCs/>
          <w:color w:val="000000"/>
          <w:sz w:val="20"/>
          <w:szCs w:val="20"/>
          <w:u w:val="single"/>
        </w:rPr>
        <w:t>Legal Proceedings</w:t>
      </w:r>
    </w:p>
    <w:p w:rsidR="00000000" w:rsidRDefault="00D04F4B">
      <w:pPr>
        <w:ind w:firstLine="720"/>
        <w:divId w:val="357510828"/>
        <w:rPr>
          <w:rFonts w:eastAsia="Times New Roman"/>
        </w:rPr>
      </w:pPr>
      <w:r>
        <w:rPr>
          <w:rFonts w:eastAsia="Times New Roman"/>
          <w:color w:val="000000"/>
          <w:sz w:val="20"/>
          <w:szCs w:val="20"/>
        </w:rPr>
        <w:t>For a description of the Comp</w:t>
      </w:r>
      <w:r>
        <w:rPr>
          <w:rFonts w:eastAsia="Times New Roman"/>
          <w:color w:val="000000"/>
          <w:sz w:val="20"/>
          <w:szCs w:val="20"/>
        </w:rPr>
        <w:t>any’s legal proceedings, see “Note 14. Commitments and Contingencies” to our consolidated financial statements included in this Annual Report on Form 10-K.</w:t>
      </w:r>
    </w:p>
    <w:p w:rsidR="00000000" w:rsidRDefault="00D04F4B">
      <w:pPr>
        <w:jc w:val="both"/>
        <w:divId w:val="440493454"/>
        <w:rPr>
          <w:rFonts w:eastAsia="Times New Roman"/>
        </w:rPr>
      </w:pPr>
      <w:r>
        <w:rPr>
          <w:rFonts w:eastAsia="Times New Roman"/>
          <w:b/>
          <w:bCs/>
          <w:color w:val="000000"/>
          <w:sz w:val="20"/>
          <w:szCs w:val="20"/>
        </w:rPr>
        <w:t>ITEM 4</w:t>
      </w:r>
      <w:r>
        <w:rPr>
          <w:rFonts w:eastAsia="Times New Roman"/>
          <w:color w:val="000000"/>
          <w:sz w:val="20"/>
          <w:szCs w:val="20"/>
        </w:rPr>
        <w:t>.    </w:t>
      </w:r>
      <w:r>
        <w:rPr>
          <w:rFonts w:eastAsia="Times New Roman"/>
          <w:b/>
          <w:bCs/>
          <w:color w:val="000000"/>
          <w:sz w:val="20"/>
          <w:szCs w:val="20"/>
          <w:u w:val="single"/>
        </w:rPr>
        <w:t>Mine Safety Disclosures</w:t>
      </w:r>
    </w:p>
    <w:p w:rsidR="00000000" w:rsidRDefault="00D04F4B">
      <w:pPr>
        <w:ind w:firstLine="720"/>
        <w:jc w:val="both"/>
        <w:divId w:val="239560486"/>
        <w:rPr>
          <w:rFonts w:eastAsia="Times New Roman"/>
        </w:rPr>
      </w:pPr>
      <w:r>
        <w:rPr>
          <w:rFonts w:eastAsia="Times New Roman"/>
          <w:color w:val="000000"/>
          <w:sz w:val="20"/>
          <w:szCs w:val="20"/>
        </w:rPr>
        <w:t>Not applicable.</w:t>
      </w:r>
    </w:p>
    <w:p w:rsidR="00000000" w:rsidRDefault="00D04F4B">
      <w:pPr>
        <w:jc w:val="center"/>
        <w:divId w:val="1165437931"/>
        <w:rPr>
          <w:rFonts w:eastAsia="Times New Roman"/>
        </w:rPr>
      </w:pPr>
      <w:r>
        <w:rPr>
          <w:rFonts w:eastAsia="Times New Roman"/>
          <w:color w:val="000000"/>
          <w:sz w:val="20"/>
          <w:szCs w:val="20"/>
        </w:rPr>
        <w:t>20</w:t>
      </w:r>
    </w:p>
    <w:p w:rsidR="00000000" w:rsidRDefault="00D04F4B">
      <w:pPr>
        <w:rPr>
          <w:rFonts w:eastAsia="Times New Roman"/>
        </w:rPr>
      </w:pPr>
      <w:r>
        <w:rPr>
          <w:rFonts w:eastAsia="Times New Roman"/>
        </w:rPr>
        <w:pict>
          <v:rect id="_x0000_i1045" style="width:0;height:1.5pt" o:hralign="center" o:hrstd="t" o:hr="t" fillcolor="#a0a0a0" stroked="f"/>
        </w:pict>
      </w:r>
    </w:p>
    <w:p w:rsidR="00000000" w:rsidRDefault="00D04F4B">
      <w:pPr>
        <w:divId w:val="1221790151"/>
        <w:rPr>
          <w:rFonts w:eastAsia="Times New Roman"/>
        </w:rPr>
      </w:pPr>
    </w:p>
    <w:p w:rsidR="00000000" w:rsidRDefault="00D04F4B">
      <w:pPr>
        <w:jc w:val="center"/>
        <w:divId w:val="364906929"/>
        <w:rPr>
          <w:rFonts w:eastAsia="Times New Roman"/>
        </w:rPr>
      </w:pPr>
      <w:r>
        <w:rPr>
          <w:rFonts w:eastAsia="Times New Roman"/>
          <w:b/>
          <w:bCs/>
          <w:color w:val="000000"/>
          <w:sz w:val="20"/>
          <w:szCs w:val="20"/>
          <w:u w:val="single"/>
        </w:rPr>
        <w:t>PART II</w:t>
      </w:r>
    </w:p>
    <w:p w:rsidR="00000000" w:rsidRDefault="00D04F4B">
      <w:pPr>
        <w:divId w:val="1585799775"/>
        <w:rPr>
          <w:rFonts w:eastAsia="Times New Roman"/>
        </w:rPr>
      </w:pPr>
      <w:r>
        <w:rPr>
          <w:rFonts w:eastAsia="Times New Roman"/>
          <w:b/>
          <w:bCs/>
          <w:color w:val="000000"/>
          <w:sz w:val="20"/>
          <w:szCs w:val="20"/>
        </w:rPr>
        <w:t>ITEM 5.</w:t>
      </w:r>
      <w:r>
        <w:rPr>
          <w:rFonts w:eastAsia="Times New Roman"/>
          <w:color w:val="000000"/>
          <w:sz w:val="20"/>
          <w:szCs w:val="20"/>
        </w:rPr>
        <w:t>    </w:t>
      </w:r>
      <w:r>
        <w:rPr>
          <w:rFonts w:eastAsia="Times New Roman"/>
          <w:b/>
          <w:bCs/>
          <w:color w:val="000000"/>
          <w:sz w:val="20"/>
          <w:szCs w:val="20"/>
          <w:u w:val="single"/>
        </w:rPr>
        <w:t>Market for Registrant’s Common Equity, Related Shareholder Matters and Issuer Purchases of Equity Securities</w:t>
      </w:r>
    </w:p>
    <w:p w:rsidR="00000000" w:rsidRDefault="00D04F4B">
      <w:pPr>
        <w:ind w:firstLine="720"/>
        <w:jc w:val="both"/>
        <w:divId w:val="1865821415"/>
        <w:rPr>
          <w:rFonts w:eastAsia="Times New Roman"/>
        </w:rPr>
      </w:pPr>
      <w:r>
        <w:rPr>
          <w:rFonts w:eastAsia="Times New Roman"/>
          <w:color w:val="000000"/>
          <w:sz w:val="20"/>
          <w:szCs w:val="20"/>
        </w:rPr>
        <w:t>Our Common Shares of beneficial interest (the “Common Shares”) (NYSE: PSA) have been listed on the NYSE since October 19, 1984. As of Fe</w:t>
      </w:r>
      <w:r>
        <w:rPr>
          <w:rFonts w:eastAsia="Times New Roman"/>
          <w:color w:val="000000"/>
          <w:sz w:val="20"/>
          <w:szCs w:val="20"/>
        </w:rPr>
        <w:t>bruary 18, 2022, there were approximately 10,524 holders of record of our Common Shares.</w:t>
      </w:r>
    </w:p>
    <w:p w:rsidR="00000000" w:rsidRDefault="00D04F4B">
      <w:pPr>
        <w:ind w:firstLine="720"/>
        <w:jc w:val="both"/>
        <w:divId w:val="661393447"/>
        <w:rPr>
          <w:rFonts w:eastAsia="Times New Roman"/>
        </w:rPr>
      </w:pPr>
      <w:r>
        <w:rPr>
          <w:rFonts w:eastAsia="Times New Roman"/>
          <w:color w:val="000000"/>
          <w:sz w:val="20"/>
          <w:szCs w:val="20"/>
        </w:rPr>
        <w:t xml:space="preserve">Our Board has authorized management to repurchase up to 35,000,000 of our common shares on the open market or in privately negotiated transactions. From the inception </w:t>
      </w:r>
      <w:r>
        <w:rPr>
          <w:rFonts w:eastAsia="Times New Roman"/>
          <w:color w:val="000000"/>
          <w:sz w:val="20"/>
          <w:szCs w:val="20"/>
        </w:rPr>
        <w:t>of the repurchase program through February 22, 2022, we have repurchased a total of 23,721,916 common shares (all purchased prior to 2010) at an aggregate cost of approximately $679.1 million. Our common share repurchase program does not have an expiration</w:t>
      </w:r>
      <w:r>
        <w:rPr>
          <w:rFonts w:eastAsia="Times New Roman"/>
          <w:color w:val="000000"/>
          <w:sz w:val="20"/>
          <w:szCs w:val="20"/>
        </w:rPr>
        <w:t xml:space="preserve"> date and there are 11,278,084 common shares that may yet be repurchased under our repurchase program as of December 31, 2021. We have no current plans to repurchase shares; however, future levels of common share repurchases will be dependent upon our avai</w:t>
      </w:r>
      <w:r>
        <w:rPr>
          <w:rFonts w:eastAsia="Times New Roman"/>
          <w:color w:val="000000"/>
          <w:sz w:val="20"/>
          <w:szCs w:val="20"/>
        </w:rPr>
        <w:t>lable capital, investment alternatives, and the trading price of our common shares.</w:t>
      </w:r>
    </w:p>
    <w:p w:rsidR="00000000" w:rsidRDefault="00D04F4B">
      <w:pPr>
        <w:ind w:firstLine="720"/>
        <w:jc w:val="both"/>
        <w:divId w:val="906262121"/>
        <w:rPr>
          <w:rFonts w:eastAsia="Times New Roman"/>
        </w:rPr>
      </w:pPr>
      <w:r>
        <w:rPr>
          <w:rFonts w:eastAsia="Times New Roman"/>
          <w:color w:val="000000"/>
          <w:sz w:val="20"/>
          <w:szCs w:val="20"/>
        </w:rPr>
        <w:t>Refer to Item 12. “Security Ownership of Certain Beneficial Owners and Management and Related Shareholder Matters” for information about our equity compensation plans.</w:t>
      </w:r>
    </w:p>
    <w:p w:rsidR="00000000" w:rsidRDefault="00D04F4B">
      <w:pPr>
        <w:divId w:val="964236880"/>
        <w:rPr>
          <w:rFonts w:eastAsia="Times New Roman"/>
        </w:rPr>
      </w:pPr>
      <w:r>
        <w:rPr>
          <w:rFonts w:eastAsia="Times New Roman"/>
          <w:b/>
          <w:bCs/>
          <w:color w:val="000000"/>
          <w:sz w:val="20"/>
          <w:szCs w:val="20"/>
        </w:rPr>
        <w:t>ITEM</w:t>
      </w:r>
      <w:r>
        <w:rPr>
          <w:rFonts w:eastAsia="Times New Roman"/>
          <w:b/>
          <w:bCs/>
          <w:color w:val="000000"/>
          <w:sz w:val="20"/>
          <w:szCs w:val="20"/>
        </w:rPr>
        <w:t xml:space="preserve"> 6.    </w:t>
      </w:r>
      <w:r>
        <w:rPr>
          <w:rFonts w:eastAsia="Times New Roman"/>
          <w:b/>
          <w:bCs/>
          <w:color w:val="000000"/>
          <w:sz w:val="20"/>
          <w:szCs w:val="20"/>
          <w:u w:val="single"/>
        </w:rPr>
        <w:t>Selected Financial Data</w:t>
      </w:r>
    </w:p>
    <w:p w:rsidR="00000000" w:rsidRDefault="00D04F4B">
      <w:pPr>
        <w:ind w:firstLine="720"/>
        <w:divId w:val="380595447"/>
        <w:rPr>
          <w:rFonts w:eastAsia="Times New Roman"/>
        </w:rPr>
      </w:pPr>
      <w:r>
        <w:rPr>
          <w:rFonts w:eastAsia="Times New Roman"/>
          <w:color w:val="000000"/>
          <w:sz w:val="20"/>
          <w:szCs w:val="20"/>
        </w:rPr>
        <w:t>Not applicable</w:t>
      </w:r>
    </w:p>
    <w:p w:rsidR="00000000" w:rsidRDefault="00D04F4B">
      <w:pPr>
        <w:jc w:val="both"/>
        <w:divId w:val="1881745931"/>
        <w:rPr>
          <w:rFonts w:eastAsia="Times New Roman"/>
        </w:rPr>
      </w:pPr>
      <w:r>
        <w:rPr>
          <w:rFonts w:eastAsia="Times New Roman"/>
          <w:b/>
          <w:bCs/>
          <w:color w:val="000000"/>
          <w:sz w:val="20"/>
          <w:szCs w:val="20"/>
        </w:rPr>
        <w:t>ITEM 7.    </w:t>
      </w:r>
      <w:r>
        <w:rPr>
          <w:rFonts w:eastAsia="Times New Roman"/>
          <w:b/>
          <w:bCs/>
          <w:color w:val="000000"/>
          <w:sz w:val="20"/>
          <w:szCs w:val="20"/>
          <w:u w:val="single"/>
        </w:rPr>
        <w:t>Management’s Discussion and Analysis of Financial Condition and Results of Operations</w:t>
      </w:r>
    </w:p>
    <w:p w:rsidR="00000000" w:rsidRDefault="00D04F4B">
      <w:pPr>
        <w:ind w:firstLine="720"/>
        <w:jc w:val="both"/>
        <w:divId w:val="1877816598"/>
        <w:rPr>
          <w:rFonts w:eastAsia="Times New Roman"/>
        </w:rPr>
      </w:pPr>
      <w:r>
        <w:rPr>
          <w:rFonts w:eastAsia="Times New Roman"/>
          <w:color w:val="000000"/>
          <w:sz w:val="20"/>
          <w:szCs w:val="20"/>
        </w:rPr>
        <w:t>Management’</w:t>
      </w:r>
      <w:r>
        <w:rPr>
          <w:rFonts w:eastAsia="Times New Roman"/>
          <w:color w:val="000000"/>
          <w:sz w:val="20"/>
          <w:szCs w:val="20"/>
        </w:rPr>
        <w:t>s Discussion and Analysis of Financial Condition and Results of Operations (“MD&amp;A”) should be read in conjunction with our consolidated financial statements and notes thereto.</w:t>
      </w:r>
    </w:p>
    <w:p w:rsidR="00000000" w:rsidRDefault="00D04F4B">
      <w:pPr>
        <w:jc w:val="both"/>
        <w:divId w:val="574239573"/>
        <w:rPr>
          <w:rFonts w:eastAsia="Times New Roman"/>
        </w:rPr>
      </w:pPr>
      <w:r>
        <w:rPr>
          <w:rFonts w:eastAsia="Times New Roman"/>
          <w:b/>
          <w:bCs/>
          <w:color w:val="000000"/>
          <w:sz w:val="20"/>
          <w:szCs w:val="20"/>
        </w:rPr>
        <w:t>Critical Accounting Estimates</w:t>
      </w:r>
    </w:p>
    <w:p w:rsidR="00000000" w:rsidRDefault="00D04F4B">
      <w:pPr>
        <w:ind w:firstLine="720"/>
        <w:jc w:val="both"/>
        <w:divId w:val="1609040897"/>
        <w:rPr>
          <w:rFonts w:eastAsia="Times New Roman"/>
        </w:rPr>
      </w:pPr>
      <w:r>
        <w:rPr>
          <w:rFonts w:eastAsia="Times New Roman"/>
          <w:color w:val="000000"/>
          <w:sz w:val="20"/>
          <w:szCs w:val="20"/>
        </w:rPr>
        <w:t>The preparation of consolidated financial statemen</w:t>
      </w:r>
      <w:r>
        <w:rPr>
          <w:rFonts w:eastAsia="Times New Roman"/>
          <w:color w:val="000000"/>
          <w:sz w:val="20"/>
          <w:szCs w:val="20"/>
        </w:rPr>
        <w:t>ts and related disclosures in conformity with U.S. generally accepted accounting principles (“GAAP”) requires us to make judgments, assumptions, and estimates that affect the amounts reported. On an ongoing basis, we evaluate our estimates and assumptions.</w:t>
      </w:r>
      <w:r>
        <w:rPr>
          <w:rFonts w:eastAsia="Times New Roman"/>
          <w:color w:val="000000"/>
          <w:sz w:val="20"/>
          <w:szCs w:val="20"/>
        </w:rPr>
        <w:t xml:space="preserve"> These estimates and assumptions are based on current facts, historical experience, and various other factors that we believe are reasonable under the circumstances to determine reported amounts of assets, liabilities, revenues, and expenses that are not r</w:t>
      </w:r>
      <w:r>
        <w:rPr>
          <w:rFonts w:eastAsia="Times New Roman"/>
          <w:color w:val="000000"/>
          <w:sz w:val="20"/>
          <w:szCs w:val="20"/>
        </w:rPr>
        <w:t xml:space="preserve">eadily apparent from other sources. </w:t>
      </w:r>
    </w:p>
    <w:p w:rsidR="00000000" w:rsidRDefault="00D04F4B">
      <w:pPr>
        <w:ind w:firstLine="720"/>
        <w:jc w:val="both"/>
        <w:divId w:val="477234185"/>
        <w:rPr>
          <w:rFonts w:eastAsia="Times New Roman"/>
        </w:rPr>
      </w:pPr>
      <w:r>
        <w:rPr>
          <w:rFonts w:eastAsia="Times New Roman"/>
          <w:color w:val="000000"/>
          <w:sz w:val="20"/>
          <w:szCs w:val="20"/>
        </w:rPr>
        <w:t>We believe the following are our critical accounting estimates, because they are reasonably likely to have a material impact on the portrayal of our financial condition and results, and they require us to make judgments</w:t>
      </w:r>
      <w:r>
        <w:rPr>
          <w:rFonts w:eastAsia="Times New Roman"/>
          <w:color w:val="000000"/>
          <w:sz w:val="20"/>
          <w:szCs w:val="20"/>
        </w:rPr>
        <w:t xml:space="preserve"> and estimates about matters that involve a significant level of uncertainty.</w:t>
      </w:r>
    </w:p>
    <w:p w:rsidR="00000000" w:rsidRDefault="00D04F4B">
      <w:pPr>
        <w:ind w:firstLine="720"/>
        <w:jc w:val="both"/>
        <w:divId w:val="1682319710"/>
        <w:rPr>
          <w:rFonts w:eastAsia="Times New Roman"/>
        </w:rPr>
      </w:pPr>
      <w:r>
        <w:rPr>
          <w:rFonts w:eastAsia="Times New Roman"/>
          <w:b/>
          <w:bCs/>
          <w:i/>
          <w:iCs/>
          <w:color w:val="000000"/>
          <w:sz w:val="20"/>
          <w:szCs w:val="20"/>
        </w:rPr>
        <w:t>Impairment of Long-Lived Assets:</w:t>
      </w:r>
      <w:r>
        <w:rPr>
          <w:rFonts w:eastAsia="Times New Roman"/>
          <w:color w:val="000000"/>
          <w:sz w:val="20"/>
          <w:szCs w:val="20"/>
        </w:rPr>
        <w:t xml:space="preserve"> The analysis of impairment of our long-lived assets, including our real estate facilities, involves identification of indicators of impairment, i</w:t>
      </w:r>
      <w:r>
        <w:rPr>
          <w:rFonts w:eastAsia="Times New Roman"/>
          <w:color w:val="000000"/>
          <w:sz w:val="20"/>
          <w:szCs w:val="20"/>
        </w:rPr>
        <w:t>ncluding unfavorable operational results and significant cost overruns on construction, projections of future operating cash flows, and estimates of fair values, all of which require significant judgment and subjectivity. In particular, these estimates are</w:t>
      </w:r>
      <w:r>
        <w:rPr>
          <w:rFonts w:eastAsia="Times New Roman"/>
          <w:color w:val="000000"/>
          <w:sz w:val="20"/>
          <w:szCs w:val="20"/>
        </w:rPr>
        <w:t xml:space="preserve"> sensitive to significant assumptions, such as the projections of future rental rates, stabilized occupancy level, future profit margin, discount rates and capitalization rates, all of which could be affected by our expectations about future market or econ</w:t>
      </w:r>
      <w:r>
        <w:rPr>
          <w:rFonts w:eastAsia="Times New Roman"/>
          <w:color w:val="000000"/>
          <w:sz w:val="20"/>
          <w:szCs w:val="20"/>
        </w:rPr>
        <w:t>omic conditions. Others could come to materially different conclusions. In addition, we may not have identified all current facts and circumstances that may affect impairment. Any unidentified impairment loss, or change in conclusions, could have a materia</w:t>
      </w:r>
      <w:r>
        <w:rPr>
          <w:rFonts w:eastAsia="Times New Roman"/>
          <w:color w:val="000000"/>
          <w:sz w:val="20"/>
          <w:szCs w:val="20"/>
        </w:rPr>
        <w:t>l adverse impact on our net income.</w:t>
      </w:r>
    </w:p>
    <w:p w:rsidR="00000000" w:rsidRDefault="00D04F4B">
      <w:pPr>
        <w:ind w:firstLine="720"/>
        <w:jc w:val="both"/>
        <w:divId w:val="536282774"/>
        <w:rPr>
          <w:rFonts w:eastAsia="Times New Roman"/>
        </w:rPr>
      </w:pPr>
      <w:r>
        <w:rPr>
          <w:rFonts w:eastAsia="Times New Roman"/>
          <w:b/>
          <w:bCs/>
          <w:i/>
          <w:iCs/>
          <w:color w:val="000000"/>
          <w:sz w:val="20"/>
          <w:szCs w:val="20"/>
        </w:rPr>
        <w:t>Allocating Purchase Price for Acquired Real Estate Facilities</w:t>
      </w:r>
      <w:r>
        <w:rPr>
          <w:rFonts w:eastAsia="Times New Roman"/>
          <w:color w:val="000000"/>
          <w:sz w:val="20"/>
          <w:szCs w:val="20"/>
        </w:rPr>
        <w:t>: We estimate the fair values of the assets and liabilities of acquired real estate facilities, which consist principally of land and buildings, for purposes o</w:t>
      </w:r>
      <w:r>
        <w:rPr>
          <w:rFonts w:eastAsia="Times New Roman"/>
          <w:color w:val="000000"/>
          <w:sz w:val="20"/>
          <w:szCs w:val="20"/>
        </w:rPr>
        <w:t>f allocating the aggregate purchase price of acquired real estate facilities. We estimate the fair value of land based upon price per square foot derived from observable transactions involving comparable land in similar locations as adjusted for location q</w:t>
      </w:r>
      <w:r>
        <w:rPr>
          <w:rFonts w:eastAsia="Times New Roman"/>
          <w:color w:val="000000"/>
          <w:sz w:val="20"/>
          <w:szCs w:val="20"/>
        </w:rPr>
        <w:t xml:space="preserve">uality, parcel size, and date of sale associated with the acquired facilities. The fair value estimate of land is sensitive to the adjustments made to the land market transactions used in the estimate, particularly when there is a lack of recent </w:t>
      </w:r>
    </w:p>
    <w:p w:rsidR="00000000" w:rsidRDefault="00D04F4B">
      <w:pPr>
        <w:jc w:val="center"/>
        <w:divId w:val="1113015203"/>
        <w:rPr>
          <w:rFonts w:eastAsia="Times New Roman"/>
        </w:rPr>
      </w:pPr>
      <w:r>
        <w:rPr>
          <w:rFonts w:eastAsia="Times New Roman"/>
          <w:color w:val="000000"/>
          <w:sz w:val="20"/>
          <w:szCs w:val="20"/>
        </w:rPr>
        <w:t>21</w:t>
      </w:r>
    </w:p>
    <w:p w:rsidR="00000000" w:rsidRDefault="00D04F4B">
      <w:pPr>
        <w:rPr>
          <w:rFonts w:eastAsia="Times New Roman"/>
        </w:rPr>
      </w:pPr>
      <w:r>
        <w:rPr>
          <w:rFonts w:eastAsia="Times New Roman"/>
        </w:rPr>
        <w:pict>
          <v:rect id="_x0000_i1046" style="width:0;height:1.5pt" o:hralign="center" o:hrstd="t" o:hr="t" fillcolor="#a0a0a0" stroked="f"/>
        </w:pict>
      </w:r>
    </w:p>
    <w:p w:rsidR="00000000" w:rsidRDefault="00D04F4B">
      <w:pPr>
        <w:divId w:val="809861093"/>
        <w:rPr>
          <w:rFonts w:eastAsia="Times New Roman"/>
        </w:rPr>
      </w:pPr>
    </w:p>
    <w:p w:rsidR="00000000" w:rsidRDefault="00D04F4B">
      <w:pPr>
        <w:jc w:val="both"/>
        <w:divId w:val="1297951970"/>
        <w:rPr>
          <w:rFonts w:eastAsia="Times New Roman"/>
        </w:rPr>
      </w:pPr>
      <w:r>
        <w:rPr>
          <w:rFonts w:eastAsia="Times New Roman"/>
          <w:color w:val="000000"/>
          <w:sz w:val="20"/>
          <w:szCs w:val="20"/>
        </w:rPr>
        <w:t>comparable land market data. For large portfolio acquisitions, we estimate the fair value of buildings primarily using the income approach by estimating the fair value of hypothetical vacant acquired facilities and adjusting</w:t>
      </w:r>
      <w:r>
        <w:rPr>
          <w:rFonts w:eastAsia="Times New Roman"/>
          <w:color w:val="000000"/>
          <w:sz w:val="20"/>
          <w:szCs w:val="20"/>
        </w:rPr>
        <w:t xml:space="preserve"> for the estimated fair value of land. For individual and small portfolio acquisitions, we estimate the fair value of buildings primarily based upon the estimated current replacement cost, which we calculate by estimating the replacement cost of new purpos</w:t>
      </w:r>
      <w:r>
        <w:rPr>
          <w:rFonts w:eastAsia="Times New Roman"/>
          <w:color w:val="000000"/>
          <w:sz w:val="20"/>
          <w:szCs w:val="20"/>
        </w:rPr>
        <w:t>e-built self-storage facilities in similar geographic regions and adjusting for age, quality, amenities, and configuration associated with the buildings acquired. The fair value estimate of buildings is sensitive to assumptions used in both the income appr</w:t>
      </w:r>
      <w:r>
        <w:rPr>
          <w:rFonts w:eastAsia="Times New Roman"/>
          <w:color w:val="000000"/>
          <w:sz w:val="20"/>
          <w:szCs w:val="20"/>
        </w:rPr>
        <w:t>oach, such as lease-up period, future stabilized operating cash flows, capitalization rate and discount rate, and in the replacement cost approach, such as current cost adjustment, soft cost and developer profit estimate. Others could come to materially di</w:t>
      </w:r>
      <w:r>
        <w:rPr>
          <w:rFonts w:eastAsia="Times New Roman"/>
          <w:color w:val="000000"/>
          <w:sz w:val="20"/>
          <w:szCs w:val="20"/>
        </w:rPr>
        <w:t>fferent conclusions as to the estimated fair values of land and buildings, which would result in different depreciation and amortization expense, gains and losses on sale of real estate assets, as well as the level of land and buildings on our consolidated</w:t>
      </w:r>
      <w:r>
        <w:rPr>
          <w:rFonts w:eastAsia="Times New Roman"/>
          <w:color w:val="000000"/>
          <w:sz w:val="20"/>
          <w:szCs w:val="20"/>
        </w:rPr>
        <w:t xml:space="preserve"> balance sheet. </w:t>
      </w:r>
    </w:p>
    <w:p w:rsidR="00000000" w:rsidRDefault="00D04F4B">
      <w:pPr>
        <w:jc w:val="both"/>
        <w:divId w:val="1788771683"/>
        <w:rPr>
          <w:rFonts w:eastAsia="Times New Roman"/>
        </w:rPr>
      </w:pPr>
      <w:r>
        <w:rPr>
          <w:rFonts w:eastAsia="Times New Roman"/>
          <w:b/>
          <w:bCs/>
          <w:color w:val="000000"/>
          <w:sz w:val="20"/>
          <w:szCs w:val="20"/>
        </w:rPr>
        <w:t xml:space="preserve">Overview </w:t>
      </w:r>
    </w:p>
    <w:p w:rsidR="00000000" w:rsidRDefault="00D04F4B">
      <w:pPr>
        <w:ind w:firstLine="720"/>
        <w:jc w:val="both"/>
        <w:rPr>
          <w:rFonts w:eastAsia="Times New Roman"/>
        </w:rPr>
      </w:pPr>
      <w:r>
        <w:rPr>
          <w:rFonts w:eastAsia="Times New Roman"/>
          <w:color w:val="000000"/>
          <w:sz w:val="20"/>
          <w:szCs w:val="20"/>
        </w:rPr>
        <w:t>Our self-storage operations generate most of our net income and our earnings growth is most impacted by the level of organic growth within our Same Store Facilities (as defined below). Accordingly, a significant portion of management’s time is devoted to m</w:t>
      </w:r>
      <w:r>
        <w:rPr>
          <w:rFonts w:eastAsia="Times New Roman"/>
          <w:color w:val="000000"/>
          <w:sz w:val="20"/>
          <w:szCs w:val="20"/>
        </w:rPr>
        <w:t xml:space="preserve">aximizing cash flows from our existing self-storage facility portfolio. </w:t>
      </w:r>
    </w:p>
    <w:p w:rsidR="00000000" w:rsidRDefault="00D04F4B">
      <w:pPr>
        <w:ind w:firstLine="720"/>
        <w:jc w:val="both"/>
        <w:rPr>
          <w:rFonts w:eastAsia="Times New Roman"/>
        </w:rPr>
      </w:pPr>
    </w:p>
    <w:p w:rsidR="00000000" w:rsidRDefault="00D04F4B">
      <w:pPr>
        <w:ind w:firstLine="720"/>
        <w:jc w:val="both"/>
        <w:rPr>
          <w:rFonts w:eastAsia="Times New Roman"/>
        </w:rPr>
      </w:pPr>
      <w:r>
        <w:rPr>
          <w:rFonts w:eastAsia="Times New Roman"/>
          <w:color w:val="000000"/>
          <w:sz w:val="20"/>
          <w:szCs w:val="20"/>
        </w:rPr>
        <w:t>During the year ended December 31, 2021, revenues generated by our Same Store Facilities increased by 10.5%, as compared to the previous year, while Same Store cost of operations de</w:t>
      </w:r>
      <w:r>
        <w:rPr>
          <w:rFonts w:eastAsia="Times New Roman"/>
          <w:color w:val="000000"/>
          <w:sz w:val="20"/>
          <w:szCs w:val="20"/>
        </w:rPr>
        <w:t xml:space="preserve">creased by 2%. Demand and operating trends have continued to improve, leading to increases in our self-storage rental rates and reduction in advertising expense in all markets while maintaining high levels of occupancy. </w:t>
      </w:r>
    </w:p>
    <w:p w:rsidR="00000000" w:rsidRDefault="00D04F4B">
      <w:pPr>
        <w:ind w:firstLine="720"/>
        <w:jc w:val="both"/>
        <w:rPr>
          <w:rFonts w:eastAsia="Times New Roman"/>
        </w:rPr>
      </w:pPr>
    </w:p>
    <w:p w:rsidR="00000000" w:rsidRDefault="00D04F4B">
      <w:pPr>
        <w:ind w:firstLine="720"/>
        <w:jc w:val="both"/>
        <w:rPr>
          <w:rFonts w:eastAsia="Times New Roman"/>
        </w:rPr>
      </w:pPr>
      <w:r>
        <w:rPr>
          <w:rFonts w:eastAsia="Times New Roman"/>
          <w:color w:val="000000"/>
          <w:sz w:val="20"/>
          <w:szCs w:val="20"/>
        </w:rPr>
        <w:t>In addition to managing our exist</w:t>
      </w:r>
      <w:r>
        <w:rPr>
          <w:rFonts w:eastAsia="Times New Roman"/>
          <w:color w:val="000000"/>
          <w:sz w:val="20"/>
          <w:szCs w:val="20"/>
        </w:rPr>
        <w:t>ing facilities for organic growth, we have grown and plan to continue to grow through the acquisition and development of new facilities and expansion of our existing self-storage facilities. During 2021, we acquired a near-record high of 232 facilities wit</w:t>
      </w:r>
      <w:r>
        <w:rPr>
          <w:rFonts w:eastAsia="Times New Roman"/>
          <w:color w:val="000000"/>
          <w:sz w:val="20"/>
          <w:szCs w:val="20"/>
        </w:rPr>
        <w:t xml:space="preserve">h 21.8 million net rentable square feet for $5.1 billion. In addition, we developed and expanded self-storage space for a total cost of $218.0 million, adding 1.6 million net rentable square feet. During the year ended December 31, 2021, revenue generated </w:t>
      </w:r>
      <w:r>
        <w:rPr>
          <w:rFonts w:eastAsia="Times New Roman"/>
          <w:color w:val="000000"/>
          <w:sz w:val="20"/>
          <w:szCs w:val="20"/>
        </w:rPr>
        <w:t>by our acquired and newly developed and expanded facilities increased by 112.9% as compared to the previous year.</w:t>
      </w:r>
    </w:p>
    <w:p w:rsidR="00000000" w:rsidRDefault="00D04F4B">
      <w:pPr>
        <w:ind w:firstLine="720"/>
        <w:jc w:val="both"/>
        <w:rPr>
          <w:rFonts w:eastAsia="Times New Roman"/>
        </w:rPr>
      </w:pPr>
    </w:p>
    <w:p w:rsidR="00000000" w:rsidRDefault="00D04F4B">
      <w:pPr>
        <w:ind w:firstLine="720"/>
        <w:jc w:val="both"/>
        <w:rPr>
          <w:rFonts w:eastAsia="Times New Roman"/>
        </w:rPr>
      </w:pPr>
      <w:r>
        <w:rPr>
          <w:rFonts w:eastAsia="Times New Roman"/>
          <w:color w:val="000000"/>
          <w:sz w:val="20"/>
          <w:szCs w:val="20"/>
        </w:rPr>
        <w:t xml:space="preserve">Our strong financial profile continues to enable effective access to capital markets in order to support our growth. During 2021, we raised </w:t>
      </w:r>
      <w:r>
        <w:rPr>
          <w:rFonts w:eastAsia="Times New Roman"/>
          <w:color w:val="000000"/>
          <w:sz w:val="20"/>
          <w:szCs w:val="20"/>
        </w:rPr>
        <w:t>an aggregate of $5.1 billion in four public debt offerings, resulting in aggregate notes payable of $7.5 billion with a weighted average rate of 1.8% at December 31, 2021. Additionally, during 2021, we issued $1.2 billion in three public offerings of our p</w:t>
      </w:r>
      <w:r>
        <w:rPr>
          <w:rFonts w:eastAsia="Times New Roman"/>
          <w:color w:val="000000"/>
          <w:sz w:val="20"/>
          <w:szCs w:val="20"/>
        </w:rPr>
        <w:t>referred shares offset by $1.2 billion in redemptions of our preferred shares, reducing our weighted average dividend rate from 4.8% at December 31, 2020 to 4.5% at December 31, 2021.</w:t>
      </w:r>
    </w:p>
    <w:p w:rsidR="00000000" w:rsidRDefault="00D04F4B">
      <w:pPr>
        <w:ind w:firstLine="720"/>
        <w:jc w:val="both"/>
        <w:rPr>
          <w:rFonts w:eastAsia="Times New Roman"/>
        </w:rPr>
      </w:pPr>
    </w:p>
    <w:p w:rsidR="00000000" w:rsidRDefault="00D04F4B">
      <w:pPr>
        <w:ind w:firstLine="720"/>
        <w:jc w:val="both"/>
        <w:rPr>
          <w:rFonts w:eastAsia="Times New Roman"/>
        </w:rPr>
      </w:pPr>
      <w:r>
        <w:rPr>
          <w:rFonts w:eastAsia="Times New Roman"/>
          <w:color w:val="000000"/>
          <w:sz w:val="20"/>
          <w:szCs w:val="20"/>
        </w:rPr>
        <w:t>In order to enhance the competitive position of certain of our facilit</w:t>
      </w:r>
      <w:r>
        <w:rPr>
          <w:rFonts w:eastAsia="Times New Roman"/>
          <w:color w:val="000000"/>
          <w:sz w:val="20"/>
          <w:szCs w:val="20"/>
        </w:rPr>
        <w:t>ies relative to local competitors (including newly developed facilities) and execute on our climate initiatives and long-term sustainability strategies, we have embarked on our multi-year Property of Tomorrow program to (i) rebrand our properties through m</w:t>
      </w:r>
      <w:r>
        <w:rPr>
          <w:rFonts w:eastAsia="Times New Roman"/>
          <w:color w:val="000000"/>
          <w:sz w:val="20"/>
          <w:szCs w:val="20"/>
        </w:rPr>
        <w:t>ore pronounced, attractive, and clearly identifiable color schemes and signage, (ii) enhance the energy efficiency of our properties, and (iii) upgrade the configuration and layout of the offices and other customer zones to improve the customer experience.</w:t>
      </w:r>
      <w:r>
        <w:rPr>
          <w:rFonts w:eastAsia="Times New Roman"/>
          <w:color w:val="000000"/>
          <w:sz w:val="20"/>
          <w:szCs w:val="20"/>
        </w:rPr>
        <w:t xml:space="preserve"> We expect to complete the program by the end of 2025. We spent approximately $130 million on the program in 2021 and expect to spend approximately $180 million in 2022.</w:t>
      </w:r>
    </w:p>
    <w:p w:rsidR="00000000" w:rsidRDefault="00D04F4B">
      <w:pPr>
        <w:ind w:firstLine="720"/>
        <w:jc w:val="both"/>
        <w:rPr>
          <w:rFonts w:eastAsia="Times New Roman"/>
        </w:rPr>
      </w:pPr>
    </w:p>
    <w:p w:rsidR="00000000" w:rsidRDefault="00D04F4B">
      <w:pPr>
        <w:divId w:val="2125035265"/>
        <w:rPr>
          <w:rFonts w:eastAsia="Times New Roman"/>
        </w:rPr>
      </w:pPr>
    </w:p>
    <w:p w:rsidR="00000000" w:rsidRDefault="00D04F4B">
      <w:pPr>
        <w:jc w:val="center"/>
        <w:divId w:val="217396025"/>
        <w:rPr>
          <w:rFonts w:eastAsia="Times New Roman"/>
        </w:rPr>
      </w:pPr>
      <w:r>
        <w:rPr>
          <w:rFonts w:eastAsia="Times New Roman"/>
          <w:color w:val="000000"/>
          <w:sz w:val="20"/>
          <w:szCs w:val="20"/>
        </w:rPr>
        <w:t>22</w:t>
      </w:r>
    </w:p>
    <w:p w:rsidR="00000000" w:rsidRDefault="00D04F4B">
      <w:pPr>
        <w:rPr>
          <w:rFonts w:eastAsia="Times New Roman"/>
        </w:rPr>
      </w:pPr>
      <w:r>
        <w:rPr>
          <w:rFonts w:eastAsia="Times New Roman"/>
        </w:rPr>
        <w:pict>
          <v:rect id="_x0000_i1047" style="width:0;height:1.5pt" o:hralign="center" o:hrstd="t" o:hr="t" fillcolor="#a0a0a0" stroked="f"/>
        </w:pict>
      </w:r>
    </w:p>
    <w:p w:rsidR="00000000" w:rsidRDefault="00D04F4B">
      <w:pPr>
        <w:divId w:val="742991093"/>
        <w:rPr>
          <w:rFonts w:eastAsia="Times New Roman"/>
        </w:rPr>
      </w:pPr>
    </w:p>
    <w:p w:rsidR="00000000" w:rsidRDefault="00D04F4B">
      <w:pPr>
        <w:divId w:val="1028606318"/>
        <w:rPr>
          <w:rFonts w:eastAsia="Times New Roman"/>
        </w:rPr>
      </w:pPr>
      <w:r>
        <w:rPr>
          <w:rFonts w:eastAsia="Times New Roman"/>
          <w:b/>
          <w:bCs/>
          <w:i/>
          <w:iCs/>
          <w:color w:val="000000"/>
          <w:sz w:val="20"/>
          <w:szCs w:val="20"/>
        </w:rPr>
        <w:t xml:space="preserve">Results of Operations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32380410"/>
        </w:trPr>
        <w:tc>
          <w:tcPr>
            <w:tcW w:w="50" w:type="pct"/>
            <w:vAlign w:val="center"/>
            <w:hideMark/>
          </w:tcPr>
          <w:p w:rsidR="00000000" w:rsidRDefault="00D04F4B">
            <w:pPr>
              <w:rPr>
                <w:rFonts w:eastAsia="Times New Roman"/>
              </w:rPr>
            </w:pPr>
          </w:p>
        </w:tc>
        <w:tc>
          <w:tcPr>
            <w:tcW w:w="494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83238041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bl>
    <w:p w:rsidR="00000000" w:rsidRDefault="00D04F4B">
      <w:pPr>
        <w:jc w:val="both"/>
        <w:rPr>
          <w:rFonts w:eastAsia="Times New Roman"/>
        </w:rPr>
      </w:pPr>
    </w:p>
    <w:p w:rsidR="00000000" w:rsidRDefault="00D04F4B">
      <w:pPr>
        <w:jc w:val="both"/>
        <w:rPr>
          <w:rFonts w:eastAsia="Times New Roman"/>
        </w:rPr>
      </w:pPr>
      <w:r>
        <w:rPr>
          <w:rFonts w:eastAsia="Times New Roman"/>
          <w:b/>
          <w:bCs/>
          <w:color w:val="000000"/>
          <w:sz w:val="20"/>
          <w:szCs w:val="20"/>
          <w:u w:val="single"/>
        </w:rPr>
        <w:t>Operating Results for 2021 and 2020</w:t>
      </w:r>
    </w:p>
    <w:p w:rsidR="00000000" w:rsidRDefault="00D04F4B">
      <w:pPr>
        <w:jc w:val="both"/>
        <w:rPr>
          <w:rFonts w:eastAsia="Times New Roman"/>
        </w:rPr>
      </w:pPr>
    </w:p>
    <w:p w:rsidR="00000000" w:rsidRDefault="00D04F4B">
      <w:pPr>
        <w:ind w:firstLine="720"/>
        <w:jc w:val="both"/>
        <w:rPr>
          <w:rFonts w:eastAsia="Times New Roman"/>
        </w:rPr>
      </w:pPr>
      <w:r>
        <w:rPr>
          <w:rFonts w:eastAsia="Times New Roman"/>
          <w:color w:val="000000"/>
          <w:sz w:val="20"/>
          <w:szCs w:val="20"/>
        </w:rPr>
        <w:t>In 2021, net income allocable to our common shareholders was $1,732.4 million or $9.87 per diluted common share, compared to $1,098.3 million or $6.29 per diluted common share in 2020 representing an increase of $634.1</w:t>
      </w:r>
      <w:r>
        <w:rPr>
          <w:rFonts w:eastAsia="Times New Roman"/>
          <w:color w:val="000000"/>
          <w:sz w:val="20"/>
          <w:szCs w:val="20"/>
        </w:rPr>
        <w:t> million or $3.58 per diluted common share. The increase is due primarily to (i) a $437.4 million increase in self-storage net operating income, (ii) a $209.7 million increase in foreign currency exchange gains associated with our Euro denominated notes pa</w:t>
      </w:r>
      <w:r>
        <w:rPr>
          <w:rFonts w:eastAsia="Times New Roman"/>
          <w:color w:val="000000"/>
          <w:sz w:val="20"/>
          <w:szCs w:val="20"/>
        </w:rPr>
        <w:t xml:space="preserve">yable, and (iii) our $149.0 million equity share of gains on sale of real estate recorded by PS Business Parks in 2021, partially offset by (iv) a $160.2 million increase in depreciation and amortization expense. </w:t>
      </w:r>
    </w:p>
    <w:p w:rsidR="00000000" w:rsidRDefault="00D04F4B">
      <w:pPr>
        <w:ind w:firstLine="720"/>
        <w:jc w:val="both"/>
        <w:rPr>
          <w:rFonts w:eastAsia="Times New Roman"/>
        </w:rPr>
      </w:pPr>
    </w:p>
    <w:p w:rsidR="00000000" w:rsidRDefault="00D04F4B">
      <w:pPr>
        <w:ind w:firstLine="720"/>
        <w:jc w:val="both"/>
        <w:rPr>
          <w:rFonts w:eastAsia="Times New Roman"/>
        </w:rPr>
      </w:pPr>
      <w:r>
        <w:rPr>
          <w:rFonts w:eastAsia="Times New Roman"/>
          <w:color w:val="000000"/>
          <w:sz w:val="20"/>
          <w:szCs w:val="20"/>
        </w:rPr>
        <w:t>The $437.4 million increase in self-stor</w:t>
      </w:r>
      <w:r>
        <w:rPr>
          <w:rFonts w:eastAsia="Times New Roman"/>
          <w:color w:val="000000"/>
          <w:sz w:val="20"/>
          <w:szCs w:val="20"/>
        </w:rPr>
        <w:t xml:space="preserve">age net operating income in 2021 as compared to 2020 is a result of a $276.9 million increase in our Same Store Facilities, and a $160.5 million increase in our Non-Same Store Facilities (as defined below). Revenues for the Same Store Facilities increased </w:t>
      </w:r>
      <w:r>
        <w:rPr>
          <w:rFonts w:eastAsia="Times New Roman"/>
          <w:color w:val="000000"/>
          <w:sz w:val="20"/>
          <w:szCs w:val="20"/>
        </w:rPr>
        <w:t>10.5% or $262.7 million in 2021 as compared to 2020, due primarily to higher realized annual rent per available square foot and weighted average square foot occupancy. Cost of operations for the Same Store Facilities decreased by 2.0% or $14.2 million in 2</w:t>
      </w:r>
      <w:r>
        <w:rPr>
          <w:rFonts w:eastAsia="Times New Roman"/>
          <w:color w:val="000000"/>
          <w:sz w:val="20"/>
          <w:szCs w:val="20"/>
        </w:rPr>
        <w:t>021 as compared to 2020, due primarily to (i) a 36.1% ($22.4 million) decrease in marketing expenses and (ii) an 11.2% ($14.4 million) decrease in on-site property manager payroll. The increase in net operating income of $160.5 million for the Non-Same Sto</w:t>
      </w:r>
      <w:r>
        <w:rPr>
          <w:rFonts w:eastAsia="Times New Roman"/>
          <w:color w:val="000000"/>
          <w:sz w:val="20"/>
          <w:szCs w:val="20"/>
        </w:rPr>
        <w:t>re Facilities is due primarily to the impact of facilities acquired in 2021 and 2020 and the fill-up of recently developed and expanded facilities.</w:t>
      </w:r>
    </w:p>
    <w:p w:rsidR="00000000" w:rsidRDefault="00D04F4B">
      <w:pPr>
        <w:ind w:firstLine="720"/>
        <w:jc w:val="both"/>
        <w:rPr>
          <w:rFonts w:eastAsia="Times New Roman"/>
        </w:rPr>
      </w:pPr>
    </w:p>
    <w:p w:rsidR="00000000" w:rsidRDefault="00D04F4B">
      <w:pPr>
        <w:ind w:firstLine="720"/>
        <w:jc w:val="both"/>
        <w:rPr>
          <w:rFonts w:eastAsia="Times New Roman"/>
        </w:rPr>
      </w:pPr>
    </w:p>
    <w:p w:rsidR="00000000" w:rsidRDefault="00D04F4B">
      <w:pPr>
        <w:jc w:val="both"/>
        <w:rPr>
          <w:rFonts w:eastAsia="Times New Roman"/>
        </w:rPr>
      </w:pPr>
      <w:r>
        <w:rPr>
          <w:rFonts w:eastAsia="Times New Roman"/>
          <w:b/>
          <w:bCs/>
          <w:color w:val="000000"/>
          <w:sz w:val="20"/>
          <w:szCs w:val="20"/>
          <w:u w:val="single"/>
        </w:rPr>
        <w:t>Operating Results for 2020 and 2019</w:t>
      </w:r>
    </w:p>
    <w:p w:rsidR="00000000" w:rsidRDefault="00D04F4B">
      <w:pPr>
        <w:ind w:firstLine="720"/>
        <w:jc w:val="both"/>
        <w:divId w:val="158431065"/>
        <w:rPr>
          <w:rFonts w:eastAsia="Times New Roman"/>
        </w:rPr>
      </w:pPr>
      <w:r>
        <w:rPr>
          <w:rFonts w:eastAsia="Times New Roman"/>
          <w:color w:val="000000"/>
          <w:sz w:val="20"/>
          <w:szCs w:val="20"/>
        </w:rPr>
        <w:t>In 2020, net income allocable to our common shareholders was $1,098.</w:t>
      </w:r>
      <w:r>
        <w:rPr>
          <w:rFonts w:eastAsia="Times New Roman"/>
          <w:color w:val="000000"/>
          <w:sz w:val="20"/>
          <w:szCs w:val="20"/>
        </w:rPr>
        <w:t>3 million or $6.29 per diluted common share, compared to $1,272.8 million or $7.29 per diluted common share in 2019, representing a decrease of $174.4 million or $1.00 per diluted common share. The decrease is due primarily to (i) a $105.8 million increase</w:t>
      </w:r>
      <w:r>
        <w:rPr>
          <w:rFonts w:eastAsia="Times New Roman"/>
          <w:color w:val="000000"/>
          <w:sz w:val="20"/>
          <w:szCs w:val="20"/>
        </w:rPr>
        <w:t xml:space="preserve"> in foreign currency exchange losses associated with our Euro denominated notes payable, (ii) a $40.3 million increase in depreciation and amortization expense, (iii) a $21.1 million increase in general and administrative expense, (iv) a $15.6 million decr</w:t>
      </w:r>
      <w:r>
        <w:rPr>
          <w:rFonts w:eastAsia="Times New Roman"/>
          <w:color w:val="000000"/>
          <w:sz w:val="20"/>
          <w:szCs w:val="20"/>
        </w:rPr>
        <w:t>ease due to the impact of allocations to preferred shareholders with respect to redemption of preferred shares, and (v) a $8.0 million decrease in self-storage net operating income.</w:t>
      </w:r>
    </w:p>
    <w:p w:rsidR="00000000" w:rsidRDefault="00D04F4B">
      <w:pPr>
        <w:ind w:firstLine="720"/>
        <w:jc w:val="both"/>
        <w:divId w:val="949363362"/>
        <w:rPr>
          <w:rFonts w:eastAsia="Times New Roman"/>
        </w:rPr>
      </w:pPr>
      <w:r>
        <w:rPr>
          <w:rFonts w:eastAsia="Times New Roman"/>
          <w:color w:val="000000"/>
          <w:sz w:val="20"/>
          <w:szCs w:val="20"/>
        </w:rPr>
        <w:t>The $8.0 million decrease in self-storage net operating income is a result</w:t>
      </w:r>
      <w:r>
        <w:rPr>
          <w:rFonts w:eastAsia="Times New Roman"/>
          <w:color w:val="000000"/>
          <w:sz w:val="20"/>
          <w:szCs w:val="20"/>
        </w:rPr>
        <w:t xml:space="preserve"> of a $39.4 million decrease in our Same Store Facilities, offset partially by a $31.4 million increase in our non-Same Store Facilities. Revenues for the Same Store Facilities decreased 0.8% or $20.7 million in 2020 as compared to 2019, due primarily to r</w:t>
      </w:r>
      <w:r>
        <w:rPr>
          <w:rFonts w:eastAsia="Times New Roman"/>
          <w:color w:val="000000"/>
          <w:sz w:val="20"/>
          <w:szCs w:val="20"/>
        </w:rPr>
        <w:t>educed late charges and administrative fees. Cost of operations for the Same Store Facilities increased by 2.7% or $18.8 million in 2020 as compared to 2019, due primarily to a 22.6% ($11.4 million) increase in marketing expenses, a 3.0% ($7.6 million) inc</w:t>
      </w:r>
      <w:r>
        <w:rPr>
          <w:rFonts w:eastAsia="Times New Roman"/>
          <w:color w:val="000000"/>
          <w:sz w:val="20"/>
          <w:szCs w:val="20"/>
        </w:rPr>
        <w:t xml:space="preserve">rease in property tax expense, and a 2.3% ($2.9 million) increase in on-site property manager payroll expense. The increase in net operating income of $31.4 million for the non-Same Store Facilities is due primarily to the impact of facilities acquired in </w:t>
      </w:r>
      <w:r>
        <w:rPr>
          <w:rFonts w:eastAsia="Times New Roman"/>
          <w:color w:val="000000"/>
          <w:sz w:val="20"/>
          <w:szCs w:val="20"/>
        </w:rPr>
        <w:t>2020 and 2019 and the fill-up of recently developed and expanded facilities.</w:t>
      </w:r>
    </w:p>
    <w:p w:rsidR="00000000" w:rsidRDefault="00D04F4B">
      <w:pPr>
        <w:ind w:firstLine="720"/>
        <w:jc w:val="both"/>
        <w:rPr>
          <w:rFonts w:eastAsia="Times New Roman"/>
        </w:rPr>
      </w:pPr>
    </w:p>
    <w:p w:rsidR="00000000" w:rsidRDefault="00D04F4B">
      <w:pPr>
        <w:jc w:val="both"/>
        <w:rPr>
          <w:rFonts w:eastAsia="Times New Roman"/>
        </w:rPr>
      </w:pPr>
      <w:r>
        <w:rPr>
          <w:rFonts w:eastAsia="Times New Roman"/>
          <w:b/>
          <w:bCs/>
          <w:color w:val="000000"/>
          <w:sz w:val="20"/>
          <w:szCs w:val="20"/>
          <w:u w:val="single"/>
        </w:rPr>
        <w:t>Funds from Operations and Core Funds from Operations</w:t>
      </w:r>
    </w:p>
    <w:p w:rsidR="00000000" w:rsidRDefault="00D04F4B">
      <w:pPr>
        <w:jc w:val="both"/>
        <w:rPr>
          <w:rFonts w:eastAsia="Times New Roman"/>
        </w:rPr>
      </w:pPr>
    </w:p>
    <w:p w:rsidR="00000000" w:rsidRDefault="00D04F4B">
      <w:pPr>
        <w:ind w:firstLine="720"/>
        <w:jc w:val="both"/>
        <w:divId w:val="1062800439"/>
        <w:rPr>
          <w:rFonts w:eastAsia="Times New Roman"/>
        </w:rPr>
      </w:pPr>
      <w:r>
        <w:rPr>
          <w:rFonts w:eastAsia="Times New Roman"/>
          <w:color w:val="000000"/>
          <w:sz w:val="20"/>
          <w:szCs w:val="20"/>
        </w:rPr>
        <w:t>Funds from Operations (“FFO”</w:t>
      </w:r>
      <w:r>
        <w:rPr>
          <w:rFonts w:eastAsia="Times New Roman"/>
          <w:color w:val="000000"/>
          <w:sz w:val="20"/>
          <w:szCs w:val="20"/>
        </w:rPr>
        <w:t>) and FFO per share are non-GAAP measures defined by the National Association of Real Estate Investment Trusts and are considered helpful measures of REIT performance by REITs and many REIT analysts. FFO represents net income before depreciation and amorti</w:t>
      </w:r>
      <w:r>
        <w:rPr>
          <w:rFonts w:eastAsia="Times New Roman"/>
          <w:color w:val="000000"/>
          <w:sz w:val="20"/>
          <w:szCs w:val="20"/>
        </w:rPr>
        <w:t xml:space="preserve">zation, which is excluded because it is based upon historical costs and assumes that building values diminish ratably over time, while we believe that real estate values fluctuate due to market conditions. FFO also excludes gains or losses on sale of real </w:t>
      </w:r>
      <w:r>
        <w:rPr>
          <w:rFonts w:eastAsia="Times New Roman"/>
          <w:color w:val="000000"/>
          <w:sz w:val="20"/>
          <w:szCs w:val="20"/>
        </w:rPr>
        <w:t xml:space="preserve">estate assets and real estate impairment charges, which are also based upon historical costs and are impacted by historical depreciation. FFO and FFO per share are not a substitute for net income or earnings per share. FFO is not a substitute for net cash </w:t>
      </w:r>
      <w:r>
        <w:rPr>
          <w:rFonts w:eastAsia="Times New Roman"/>
          <w:color w:val="000000"/>
          <w:sz w:val="20"/>
          <w:szCs w:val="20"/>
        </w:rPr>
        <w:t>flow in evaluating our liquidity or ability to pay dividends, because it excludes investing and financing activities presented on our consolidated statements of cash flows. In addition, other REITs may compute these measures differently, so comparisons amo</w:t>
      </w:r>
      <w:r>
        <w:rPr>
          <w:rFonts w:eastAsia="Times New Roman"/>
          <w:color w:val="000000"/>
          <w:sz w:val="20"/>
          <w:szCs w:val="20"/>
        </w:rPr>
        <w:t xml:space="preserve">ng REITs may not be helpful. </w:t>
      </w:r>
    </w:p>
    <w:p w:rsidR="00000000" w:rsidRDefault="00D04F4B">
      <w:pPr>
        <w:ind w:firstLine="720"/>
        <w:jc w:val="both"/>
        <w:divId w:val="502357605"/>
        <w:rPr>
          <w:rFonts w:eastAsia="Times New Roman"/>
        </w:rPr>
      </w:pPr>
      <w:r>
        <w:rPr>
          <w:rFonts w:eastAsia="Times New Roman"/>
          <w:color w:val="000000"/>
          <w:sz w:val="20"/>
          <w:szCs w:val="20"/>
        </w:rPr>
        <w:t xml:space="preserve">For the year ended December 31, 2021, FFO was $13.36 per diluted common share, as compared to $9.75 and $10.58 per diluted common share for the years ended December 31, 2020 and 2019, respectively, representing an increase in </w:t>
      </w:r>
      <w:r>
        <w:rPr>
          <w:rFonts w:eastAsia="Times New Roman"/>
          <w:color w:val="000000"/>
          <w:sz w:val="20"/>
          <w:szCs w:val="20"/>
        </w:rPr>
        <w:t>2021 of 37.0% or $3.61 per diluted common share, as compared to 2020.</w:t>
      </w:r>
    </w:p>
    <w:p w:rsidR="00000000" w:rsidRDefault="00D04F4B">
      <w:pPr>
        <w:jc w:val="center"/>
        <w:divId w:val="1705985887"/>
        <w:rPr>
          <w:rFonts w:eastAsia="Times New Roman"/>
        </w:rPr>
      </w:pPr>
      <w:r>
        <w:rPr>
          <w:rFonts w:eastAsia="Times New Roman"/>
          <w:color w:val="000000"/>
          <w:sz w:val="20"/>
          <w:szCs w:val="20"/>
        </w:rPr>
        <w:t>23</w:t>
      </w:r>
    </w:p>
    <w:p w:rsidR="00000000" w:rsidRDefault="00D04F4B">
      <w:pPr>
        <w:rPr>
          <w:rFonts w:eastAsia="Times New Roman"/>
        </w:rPr>
      </w:pPr>
      <w:r>
        <w:rPr>
          <w:rFonts w:eastAsia="Times New Roman"/>
        </w:rPr>
        <w:pict>
          <v:rect id="_x0000_i1048" style="width:0;height:1.5pt" o:hralign="center" o:hrstd="t" o:hr="t" fillcolor="#a0a0a0" stroked="f"/>
        </w:pict>
      </w:r>
    </w:p>
    <w:p w:rsidR="00000000" w:rsidRDefault="00D04F4B">
      <w:pPr>
        <w:divId w:val="98765347"/>
        <w:rPr>
          <w:rFonts w:eastAsia="Times New Roman"/>
        </w:rPr>
      </w:pPr>
    </w:p>
    <w:p w:rsidR="00000000" w:rsidRDefault="00D04F4B">
      <w:pPr>
        <w:ind w:firstLine="720"/>
        <w:jc w:val="both"/>
        <w:rPr>
          <w:rFonts w:eastAsia="Times New Roman"/>
        </w:rPr>
      </w:pPr>
      <w:r>
        <w:rPr>
          <w:rFonts w:eastAsia="Times New Roman"/>
          <w:color w:val="000000"/>
          <w:sz w:val="20"/>
          <w:szCs w:val="20"/>
        </w:rPr>
        <w:t>The following tables reconcile diluted earnings per share to FFO per share and set forth the computation of FFO per share:</w:t>
      </w:r>
    </w:p>
    <w:p w:rsidR="00000000" w:rsidRDefault="00D04F4B">
      <w:pPr>
        <w:divId w:val="16024071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754"/>
        <w:gridCol w:w="38"/>
        <w:gridCol w:w="120"/>
        <w:gridCol w:w="955"/>
        <w:gridCol w:w="36"/>
        <w:gridCol w:w="36"/>
        <w:gridCol w:w="36"/>
        <w:gridCol w:w="36"/>
        <w:gridCol w:w="120"/>
        <w:gridCol w:w="918"/>
        <w:gridCol w:w="36"/>
        <w:gridCol w:w="36"/>
        <w:gridCol w:w="36"/>
        <w:gridCol w:w="36"/>
        <w:gridCol w:w="120"/>
        <w:gridCol w:w="918"/>
        <w:gridCol w:w="36"/>
      </w:tblGrid>
      <w:tr w:rsidR="00000000">
        <w:trPr>
          <w:divId w:val="1938902041"/>
        </w:trPr>
        <w:tc>
          <w:tcPr>
            <w:tcW w:w="50" w:type="pct"/>
            <w:vAlign w:val="center"/>
            <w:hideMark/>
          </w:tcPr>
          <w:p w:rsidR="00000000" w:rsidRDefault="00D04F4B">
            <w:pPr>
              <w:rPr>
                <w:rFonts w:eastAsia="Times New Roman"/>
              </w:rPr>
            </w:pPr>
          </w:p>
        </w:tc>
        <w:tc>
          <w:tcPr>
            <w:tcW w:w="289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93890204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8"/>
                <w:szCs w:val="28"/>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r>
      <w:tr w:rsidR="00000000">
        <w:trPr>
          <w:divId w:val="1938902041"/>
        </w:trPr>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2019</w:t>
            </w:r>
          </w:p>
        </w:tc>
      </w:tr>
      <w:tr w:rsidR="00000000">
        <w:trPr>
          <w:divId w:val="1938902041"/>
          <w:trHeight w:val="6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38902041"/>
        </w:trPr>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(Amounts in thousands, except per share data)</w:t>
            </w:r>
          </w:p>
        </w:tc>
      </w:tr>
      <w:tr w:rsidR="00000000">
        <w:trPr>
          <w:divId w:val="1938902041"/>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b/>
                <w:bCs/>
                <w:color w:val="000000"/>
                <w:sz w:val="20"/>
                <w:szCs w:val="20"/>
                <w:u w:val="single"/>
              </w:rPr>
              <w:t>Reconciliation of Diluted Earnings per Share to FFO per Share:</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38902041"/>
          <w:trHeight w:val="12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38902041"/>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Diluted Earnings per Share</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938902041"/>
        </w:trPr>
        <w:tc>
          <w:tcPr>
            <w:tcW w:w="0" w:type="auto"/>
            <w:gridSpan w:val="3"/>
            <w:tcMar>
              <w:top w:w="30" w:type="dxa"/>
              <w:left w:w="212"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Eliminate amounts per share excluded from FFO:</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38902041"/>
        </w:trPr>
        <w:tc>
          <w:tcPr>
            <w:tcW w:w="0" w:type="auto"/>
            <w:gridSpan w:val="3"/>
            <w:tcMar>
              <w:top w:w="30" w:type="dxa"/>
              <w:left w:w="47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Depreciation and amortization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938902041"/>
        </w:trPr>
        <w:tc>
          <w:tcPr>
            <w:tcW w:w="0" w:type="auto"/>
            <w:gridSpan w:val="3"/>
            <w:tcMar>
              <w:top w:w="30" w:type="dxa"/>
              <w:left w:w="47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Gains on sale of real estate investments, including our equity share from investments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(0.95)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(0.07)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(0.03)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938902041"/>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FFO per share</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13.36 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9.75 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10.58 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938902041"/>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38902041"/>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b/>
                <w:bCs/>
                <w:color w:val="000000"/>
                <w:sz w:val="20"/>
                <w:szCs w:val="20"/>
                <w:u w:val="single"/>
              </w:rPr>
              <w:t>Computation of FFO per Share:</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38902041"/>
          <w:trHeight w:val="12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38902041"/>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Net income allocable to common shareholders</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1,732,444 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1,098,335 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1,272,767 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938902041"/>
        </w:trPr>
        <w:tc>
          <w:tcPr>
            <w:tcW w:w="0" w:type="auto"/>
            <w:gridSpan w:val="3"/>
            <w:tcMar>
              <w:top w:w="30" w:type="dxa"/>
              <w:left w:w="212"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Eliminate items excluded from FFO:</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38902041"/>
        </w:trPr>
        <w:tc>
          <w:tcPr>
            <w:tcW w:w="0" w:type="auto"/>
            <w:gridSpan w:val="3"/>
            <w:tcMar>
              <w:top w:w="30" w:type="dxa"/>
              <w:left w:w="47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Depreciation and amortization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709,349 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549,975 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511,413 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938902041"/>
        </w:trPr>
        <w:tc>
          <w:tcPr>
            <w:tcW w:w="0" w:type="auto"/>
            <w:gridSpan w:val="3"/>
            <w:tcMar>
              <w:top w:w="30" w:type="dxa"/>
              <w:left w:w="47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Depreciation from unconsolidated real estate investments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73,729 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70,681 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71,725 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938902041"/>
        </w:trPr>
        <w:tc>
          <w:tcPr>
            <w:tcW w:w="0" w:type="auto"/>
            <w:gridSpan w:val="3"/>
            <w:tcMar>
              <w:top w:w="30" w:type="dxa"/>
              <w:left w:w="47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Depreciation allocated to noncontrolling interests and restricted share unitholders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(4,415)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(3,850)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(4,208)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938902041"/>
        </w:trPr>
        <w:tc>
          <w:tcPr>
            <w:tcW w:w="0" w:type="auto"/>
            <w:gridSpan w:val="3"/>
            <w:tcMar>
              <w:top w:w="30" w:type="dxa"/>
              <w:left w:w="47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Gains on sale of real estate investments, including our equity share from investments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(165,272)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(12,791)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(5,896)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938902041"/>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 xml:space="preserve">FFO allocable to common shares </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2,345,835 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1,702,350 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1,845,801 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938902041"/>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 xml:space="preserve">Diluted weighted average common shares </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175,568 </w:t>
            </w:r>
          </w:p>
        </w:tc>
        <w:tc>
          <w:tcPr>
            <w:tcW w:w="0" w:type="auto"/>
            <w:tcBorders>
              <w:top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174,642 </w:t>
            </w:r>
          </w:p>
        </w:tc>
        <w:tc>
          <w:tcPr>
            <w:tcW w:w="0" w:type="auto"/>
            <w:tcBorders>
              <w:top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174,530 </w:t>
            </w:r>
          </w:p>
        </w:tc>
        <w:tc>
          <w:tcPr>
            <w:tcW w:w="0" w:type="auto"/>
            <w:tcBorders>
              <w:top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938902041"/>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FFO per share</w:t>
            </w: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13.36 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9.75 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10.58 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ind w:firstLine="720"/>
        <w:jc w:val="both"/>
        <w:divId w:val="114636783"/>
        <w:rPr>
          <w:rFonts w:eastAsia="Times New Roman"/>
        </w:rPr>
      </w:pPr>
      <w:r>
        <w:rPr>
          <w:rFonts w:eastAsia="Times New Roman"/>
          <w:color w:val="000000"/>
          <w:sz w:val="20"/>
          <w:szCs w:val="20"/>
        </w:rPr>
        <w:t>We also p</w:t>
      </w:r>
      <w:r>
        <w:rPr>
          <w:rFonts w:eastAsia="Times New Roman"/>
          <w:color w:val="000000"/>
          <w:sz w:val="20"/>
          <w:szCs w:val="20"/>
        </w:rPr>
        <w:t>resent "Core FFO" and “Core FFO per share,” non-GAAP measures that represent FFO and FFO per share excluding the impact of (i) foreign currency exchange gains and losses, (ii) charges related to the redemption of preferred securities, and (iii) certain oth</w:t>
      </w:r>
      <w:r>
        <w:rPr>
          <w:rFonts w:eastAsia="Times New Roman"/>
          <w:color w:val="000000"/>
          <w:sz w:val="20"/>
          <w:szCs w:val="20"/>
        </w:rPr>
        <w:t>er non-cash and/or nonrecurring income or expense items primarily representing, with respect to the periods presented below, the impact of loss contingency accruals, casualties, transactional due diligence, and advisory costs</w:t>
      </w:r>
      <w:r>
        <w:rPr>
          <w:rFonts w:eastAsia="Times New Roman"/>
          <w:color w:val="000000"/>
          <w:sz w:val="18"/>
          <w:szCs w:val="18"/>
        </w:rPr>
        <w:t xml:space="preserve">. </w:t>
      </w:r>
      <w:r>
        <w:rPr>
          <w:rFonts w:eastAsia="Times New Roman"/>
          <w:color w:val="000000"/>
          <w:sz w:val="20"/>
          <w:szCs w:val="20"/>
        </w:rPr>
        <w:t>We review Core FFO and Core F</w:t>
      </w:r>
      <w:r>
        <w:rPr>
          <w:rFonts w:eastAsia="Times New Roman"/>
          <w:color w:val="000000"/>
          <w:sz w:val="20"/>
          <w:szCs w:val="20"/>
        </w:rPr>
        <w:t xml:space="preserve">FO per share to evaluate our ongoing operating performance and we believe they are used by investors and REIT analysts in a similar manner. However, Core FFO and Core FFO per share are not substitutes for net income and net income per share. Because other </w:t>
      </w:r>
      <w:r>
        <w:rPr>
          <w:rFonts w:eastAsia="Times New Roman"/>
          <w:color w:val="000000"/>
          <w:sz w:val="20"/>
          <w:szCs w:val="20"/>
        </w:rPr>
        <w:t>REITs may not compute Core FFO or Core FFO per share in the same manner as we do, may not use the same terminology or may not present such measures, Core FFO and Core FFO per share may not be comparable among REITs.</w:t>
      </w:r>
    </w:p>
    <w:p w:rsidR="00000000" w:rsidRDefault="00D04F4B">
      <w:pPr>
        <w:jc w:val="center"/>
        <w:divId w:val="1935236394"/>
        <w:rPr>
          <w:rFonts w:eastAsia="Times New Roman"/>
        </w:rPr>
      </w:pPr>
      <w:r>
        <w:rPr>
          <w:rFonts w:eastAsia="Times New Roman"/>
          <w:color w:val="000000"/>
          <w:sz w:val="20"/>
          <w:szCs w:val="20"/>
        </w:rPr>
        <w:t>24</w:t>
      </w:r>
    </w:p>
    <w:p w:rsidR="00000000" w:rsidRDefault="00D04F4B">
      <w:pPr>
        <w:rPr>
          <w:rFonts w:eastAsia="Times New Roman"/>
        </w:rPr>
      </w:pPr>
      <w:r>
        <w:rPr>
          <w:rFonts w:eastAsia="Times New Roman"/>
        </w:rPr>
        <w:pict>
          <v:rect id="_x0000_i1049" style="width:0;height:1.5pt" o:hralign="center" o:hrstd="t" o:hr="t" fillcolor="#a0a0a0" stroked="f"/>
        </w:pict>
      </w:r>
    </w:p>
    <w:p w:rsidR="00000000" w:rsidRDefault="00D04F4B">
      <w:pPr>
        <w:divId w:val="1373768539"/>
        <w:rPr>
          <w:rFonts w:eastAsia="Times New Roman"/>
        </w:rPr>
      </w:pPr>
    </w:p>
    <w:p w:rsidR="00000000" w:rsidRDefault="00D04F4B">
      <w:pPr>
        <w:ind w:firstLine="720"/>
        <w:jc w:val="both"/>
        <w:divId w:val="1323004981"/>
        <w:rPr>
          <w:rFonts w:eastAsia="Times New Roman"/>
        </w:rPr>
      </w:pPr>
      <w:r>
        <w:rPr>
          <w:rFonts w:eastAsia="Times New Roman"/>
          <w:color w:val="000000"/>
          <w:sz w:val="20"/>
          <w:szCs w:val="20"/>
        </w:rPr>
        <w:t>The following table reconciles FFO per share to Core FFO per share and FFO to Core FFO,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1475"/>
        <w:gridCol w:w="37"/>
        <w:gridCol w:w="120"/>
        <w:gridCol w:w="850"/>
        <w:gridCol w:w="36"/>
        <w:gridCol w:w="36"/>
        <w:gridCol w:w="36"/>
        <w:gridCol w:w="36"/>
        <w:gridCol w:w="120"/>
        <w:gridCol w:w="850"/>
        <w:gridCol w:w="36"/>
        <w:gridCol w:w="36"/>
        <w:gridCol w:w="36"/>
        <w:gridCol w:w="36"/>
        <w:gridCol w:w="91"/>
        <w:gridCol w:w="818"/>
        <w:gridCol w:w="187"/>
        <w:gridCol w:w="36"/>
        <w:gridCol w:w="36"/>
        <w:gridCol w:w="36"/>
        <w:gridCol w:w="120"/>
        <w:gridCol w:w="850"/>
        <w:gridCol w:w="36"/>
        <w:gridCol w:w="36"/>
        <w:gridCol w:w="36"/>
        <w:gridCol w:w="36"/>
        <w:gridCol w:w="120"/>
        <w:gridCol w:w="850"/>
        <w:gridCol w:w="36"/>
        <w:gridCol w:w="36"/>
        <w:gridCol w:w="36"/>
        <w:gridCol w:w="36"/>
        <w:gridCol w:w="91"/>
        <w:gridCol w:w="818"/>
        <w:gridCol w:w="187"/>
      </w:tblGrid>
      <w:tr w:rsidR="00000000">
        <w:trPr>
          <w:divId w:val="1771051353"/>
        </w:trPr>
        <w:tc>
          <w:tcPr>
            <w:tcW w:w="50" w:type="pct"/>
            <w:vAlign w:val="center"/>
            <w:hideMark/>
          </w:tcPr>
          <w:p w:rsidR="00000000" w:rsidRDefault="00D04F4B">
            <w:pPr>
              <w:ind w:firstLine="720"/>
              <w:jc w:val="both"/>
              <w:rPr>
                <w:rFonts w:eastAsia="Times New Roman"/>
              </w:rPr>
            </w:pPr>
          </w:p>
        </w:tc>
        <w:tc>
          <w:tcPr>
            <w:tcW w:w="174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r>
      <w:tr w:rsidR="00000000">
        <w:trPr>
          <w:divId w:val="177105135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Percentage Change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Percentage Change</w:t>
            </w:r>
          </w:p>
        </w:tc>
      </w:tr>
      <w:tr w:rsidR="00000000">
        <w:trPr>
          <w:divId w:val="1771051353"/>
          <w:trHeight w:val="6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(Amounts in thousands, except per share data)</w:t>
            </w:r>
          </w:p>
        </w:tc>
      </w:tr>
      <w:tr w:rsidR="00000000">
        <w:trPr>
          <w:divId w:val="1771051353"/>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b/>
                <w:bCs/>
                <w:color w:val="000000"/>
                <w:sz w:val="20"/>
                <w:szCs w:val="20"/>
                <w:u w:val="single"/>
              </w:rPr>
              <w:t>Reconciliation of FFO per Share to Core FFO per Share:</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Height w:val="16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FFO per share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37.0 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771051353"/>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Eliminate the per share impact of items excluded from Core FFO, including our equity share from investments:</w:t>
            </w:r>
          </w:p>
        </w:tc>
        <w:tc>
          <w:tcPr>
            <w:tcW w:w="0" w:type="auto"/>
            <w:gridSpan w:val="3"/>
            <w:tcMar>
              <w:top w:w="0" w:type="dxa"/>
              <w:left w:w="20" w:type="dxa"/>
              <w:bottom w:w="0" w:type="dxa"/>
              <w:right w:w="20" w:type="dxa"/>
            </w:tcMar>
            <w:vAlign w:val="center"/>
            <w:hideMark/>
          </w:tcPr>
          <w:p w:rsidR="00000000" w:rsidRDefault="00D04F4B">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38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 xml:space="preserve">Foreign currency exchange (gain) loss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(0.64)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(0.04)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38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Preferred share redemption charge (a)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38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Property losses and tenant claims due to casualties (b)</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38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Other items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0.02 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0.02 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Core FFO per share </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12.93 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10.61 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21.9 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10.61 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10.75 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771051353"/>
          <w:trHeight w:val="30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b/>
                <w:bCs/>
                <w:color w:val="000000"/>
                <w:sz w:val="20"/>
                <w:szCs w:val="20"/>
                <w:u w:val="single"/>
              </w:rPr>
              <w:t>Reconciliation of FFO to Core FFO:</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FFO allocable to common shares</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2,345,835 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1,702,350 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37.8 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1,702,350 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1,845,801 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771051353"/>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Eliminate the impact of items excluded from Core FFO, including our equity share from investments:</w:t>
            </w:r>
          </w:p>
        </w:tc>
        <w:tc>
          <w:tcPr>
            <w:tcW w:w="0" w:type="auto"/>
            <w:gridSpan w:val="3"/>
            <w:tcMar>
              <w:top w:w="0" w:type="dxa"/>
              <w:left w:w="20" w:type="dxa"/>
              <w:bottom w:w="0" w:type="dxa"/>
              <w:right w:w="20" w:type="dxa"/>
            </w:tcMar>
            <w:vAlign w:val="center"/>
            <w:hideMark/>
          </w:tcPr>
          <w:p w:rsidR="00000000" w:rsidRDefault="00D04F4B">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38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 xml:space="preserve">Foreign currency exchange (gain) loss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(111,787)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97,953 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97,953 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(7,829)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38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Preferred share redemption charge (a)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31,604 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48,265 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48,265 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37,246 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38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Property losses and tenant claims due to casualties (b)</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4,909 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38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Other items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(543)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4,412 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4,412 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Core FFO allocable to common shares</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2,270,018 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1,852,980 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22.5 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1,852,980 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1,875,473 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771051353"/>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Diluted weighted average common shares</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175,568 </w:t>
            </w:r>
          </w:p>
        </w:tc>
        <w:tc>
          <w:tcPr>
            <w:tcW w:w="0" w:type="auto"/>
            <w:tcBorders>
              <w:top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174,642 </w:t>
            </w:r>
          </w:p>
        </w:tc>
        <w:tc>
          <w:tcPr>
            <w:tcW w:w="0" w:type="auto"/>
            <w:tcBorders>
              <w:top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174,642 </w:t>
            </w:r>
          </w:p>
        </w:tc>
        <w:tc>
          <w:tcPr>
            <w:tcW w:w="0" w:type="auto"/>
            <w:tcBorders>
              <w:top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174,530 </w:t>
            </w:r>
          </w:p>
        </w:tc>
        <w:tc>
          <w:tcPr>
            <w:tcW w:w="0" w:type="auto"/>
            <w:tcBorders>
              <w:top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71051353"/>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Core FFO per share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12.93 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10.61 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10.61 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10.75 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bl>
    <w:p w:rsidR="00000000" w:rsidRDefault="00D04F4B">
      <w:pPr>
        <w:divId w:val="2129856888"/>
        <w:rPr>
          <w:rFonts w:eastAsia="Times New Roman"/>
        </w:rPr>
      </w:pPr>
    </w:p>
    <w:p w:rsidR="00000000" w:rsidRDefault="00D04F4B">
      <w:pPr>
        <w:ind w:hanging="540"/>
        <w:jc w:val="both"/>
        <w:divId w:val="1383794977"/>
        <w:rPr>
          <w:rFonts w:eastAsia="Times New Roman"/>
        </w:rPr>
      </w:pPr>
      <w:r>
        <w:rPr>
          <w:rFonts w:eastAsia="Times New Roman"/>
          <w:color w:val="000000"/>
          <w:sz w:val="18"/>
          <w:szCs w:val="18"/>
        </w:rPr>
        <w:t>(a)Preferred sha</w:t>
      </w:r>
      <w:r>
        <w:rPr>
          <w:rFonts w:eastAsia="Times New Roman"/>
          <w:color w:val="000000"/>
          <w:sz w:val="18"/>
          <w:szCs w:val="18"/>
        </w:rPr>
        <w:t>re redemption charge was presented in allocation of net income to preferred shareholders - redemption and equity in earnings of unconsolidated real estate entities on the Consolidated Statements of Income for the years ended December 31, 2021, 2020, and 20</w:t>
      </w:r>
      <w:r>
        <w:rPr>
          <w:rFonts w:eastAsia="Times New Roman"/>
          <w:color w:val="000000"/>
          <w:sz w:val="18"/>
          <w:szCs w:val="18"/>
        </w:rPr>
        <w:t>19.</w:t>
      </w:r>
    </w:p>
    <w:p w:rsidR="00000000" w:rsidRDefault="00D04F4B">
      <w:pPr>
        <w:ind w:hanging="540"/>
        <w:jc w:val="both"/>
        <w:divId w:val="987436948"/>
        <w:rPr>
          <w:rFonts w:eastAsia="Times New Roman"/>
        </w:rPr>
      </w:pPr>
      <w:r>
        <w:rPr>
          <w:rFonts w:eastAsia="Times New Roman"/>
          <w:color w:val="000000"/>
          <w:sz w:val="18"/>
          <w:szCs w:val="18"/>
        </w:rPr>
        <w:t>(b)Property losses and tenant claims due to casualties was presented in general and administrative expenses and ancillary cost of operations on the Consolidated Statement of Income for the year ended December 31, 2021.</w:t>
      </w:r>
    </w:p>
    <w:p w:rsidR="00000000" w:rsidRDefault="00D04F4B">
      <w:pPr>
        <w:divId w:val="614866497"/>
        <w:rPr>
          <w:rFonts w:eastAsia="Times New Roman"/>
        </w:rPr>
      </w:pPr>
      <w:r>
        <w:rPr>
          <w:rFonts w:eastAsia="Times New Roman"/>
          <w:b/>
          <w:bCs/>
          <w:color w:val="000000"/>
          <w:sz w:val="20"/>
          <w:szCs w:val="20"/>
        </w:rPr>
        <w:t>Analysis of Net Income - Self-Storage Operations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77317853"/>
        </w:trPr>
        <w:tc>
          <w:tcPr>
            <w:tcW w:w="50" w:type="pct"/>
            <w:vAlign w:val="center"/>
            <w:hideMark/>
          </w:tcPr>
          <w:p w:rsidR="00000000" w:rsidRDefault="00D04F4B">
            <w:pPr>
              <w:rPr>
                <w:rFonts w:eastAsia="Times New Roman"/>
              </w:rPr>
            </w:pPr>
          </w:p>
        </w:tc>
        <w:tc>
          <w:tcPr>
            <w:tcW w:w="494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37731785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bl>
    <w:p w:rsidR="00000000" w:rsidRDefault="00D04F4B">
      <w:pPr>
        <w:ind w:firstLine="720"/>
        <w:jc w:val="both"/>
        <w:divId w:val="1697807634"/>
        <w:rPr>
          <w:rFonts w:eastAsia="Times New Roman"/>
        </w:rPr>
      </w:pPr>
      <w:r>
        <w:rPr>
          <w:rFonts w:eastAsia="Times New Roman"/>
          <w:color w:val="000000"/>
          <w:sz w:val="20"/>
          <w:szCs w:val="20"/>
        </w:rPr>
        <w:t xml:space="preserve">Our self-storage operations are analyzed in four groups: (i) the 2,274 facilities that we have owned and operated on a stabilized basis since January 1, 2019 (the “Same Store Facilities”), (ii) 338 </w:t>
      </w:r>
      <w:r>
        <w:rPr>
          <w:rFonts w:eastAsia="Times New Roman"/>
          <w:color w:val="000000"/>
          <w:sz w:val="20"/>
          <w:szCs w:val="20"/>
        </w:rPr>
        <w:t>facilities we acquired after December 31, 2019 (the “Acquired facilities”), (iii) 142 facilities that have been newly developed or expanded, or that had commenced expansion by December 31, 2021 (the “Newly developed and expanded facilities”), and (iv) 33 o</w:t>
      </w:r>
      <w:r>
        <w:rPr>
          <w:rFonts w:eastAsia="Times New Roman"/>
          <w:color w:val="000000"/>
          <w:sz w:val="20"/>
          <w:szCs w:val="20"/>
        </w:rPr>
        <w:t>ther facilities, which are otherwise not stabilized with respect to occupancies or rental rates since January 1, 2019 (the “Other non-same store facilities”). See Note 13 to our December 31, 2021 consolidated financial statements “Segment Information,” for</w:t>
      </w:r>
      <w:r>
        <w:rPr>
          <w:rFonts w:eastAsia="Times New Roman"/>
          <w:color w:val="000000"/>
          <w:sz w:val="20"/>
          <w:szCs w:val="20"/>
        </w:rPr>
        <w:t xml:space="preserve"> a reconciliation of the amounts in the tables below to our total net income.</w:t>
      </w:r>
    </w:p>
    <w:p w:rsidR="00000000" w:rsidRDefault="00D04F4B">
      <w:pPr>
        <w:jc w:val="center"/>
        <w:divId w:val="1464152066"/>
        <w:rPr>
          <w:rFonts w:eastAsia="Times New Roman"/>
        </w:rPr>
      </w:pPr>
      <w:r>
        <w:rPr>
          <w:rFonts w:eastAsia="Times New Roman"/>
          <w:color w:val="000000"/>
          <w:sz w:val="20"/>
          <w:szCs w:val="20"/>
        </w:rPr>
        <w:t>25</w:t>
      </w:r>
    </w:p>
    <w:p w:rsidR="00000000" w:rsidRDefault="00D04F4B">
      <w:pPr>
        <w:rPr>
          <w:rFonts w:eastAsia="Times New Roman"/>
        </w:rPr>
      </w:pPr>
      <w:r>
        <w:rPr>
          <w:rFonts w:eastAsia="Times New Roman"/>
        </w:rPr>
        <w:pict>
          <v:rect id="_x0000_i1050" style="width:0;height:1.5pt" o:hralign="center" o:hrstd="t" o:hr="t" fillcolor="#a0a0a0" stroked="f"/>
        </w:pict>
      </w:r>
    </w:p>
    <w:p w:rsidR="00000000" w:rsidRDefault="00D04F4B">
      <w:pPr>
        <w:divId w:val="1136338698"/>
        <w:rPr>
          <w:rFonts w:eastAsia="Times New Roman"/>
        </w:rPr>
      </w:pPr>
    </w:p>
    <w:tbl>
      <w:tblPr>
        <w:tblW w:w="4984" w:type="pct"/>
        <w:tblCellMar>
          <w:top w:w="15" w:type="dxa"/>
          <w:left w:w="15" w:type="dxa"/>
          <w:bottom w:w="15" w:type="dxa"/>
          <w:right w:w="15" w:type="dxa"/>
        </w:tblCellMar>
        <w:tblLook w:val="04A0" w:firstRow="1" w:lastRow="0" w:firstColumn="1" w:lastColumn="0" w:noHBand="0" w:noVBand="1"/>
      </w:tblPr>
      <w:tblGrid>
        <w:gridCol w:w="43"/>
        <w:gridCol w:w="2030"/>
        <w:gridCol w:w="38"/>
        <w:gridCol w:w="110"/>
        <w:gridCol w:w="765"/>
        <w:gridCol w:w="36"/>
        <w:gridCol w:w="36"/>
        <w:gridCol w:w="36"/>
        <w:gridCol w:w="36"/>
        <w:gridCol w:w="110"/>
        <w:gridCol w:w="765"/>
        <w:gridCol w:w="36"/>
        <w:gridCol w:w="36"/>
        <w:gridCol w:w="36"/>
        <w:gridCol w:w="36"/>
        <w:gridCol w:w="82"/>
        <w:gridCol w:w="740"/>
        <w:gridCol w:w="170"/>
        <w:gridCol w:w="36"/>
        <w:gridCol w:w="36"/>
        <w:gridCol w:w="36"/>
        <w:gridCol w:w="110"/>
        <w:gridCol w:w="765"/>
        <w:gridCol w:w="36"/>
        <w:gridCol w:w="36"/>
        <w:gridCol w:w="36"/>
        <w:gridCol w:w="36"/>
        <w:gridCol w:w="110"/>
        <w:gridCol w:w="765"/>
        <w:gridCol w:w="36"/>
        <w:gridCol w:w="36"/>
        <w:gridCol w:w="36"/>
        <w:gridCol w:w="36"/>
        <w:gridCol w:w="82"/>
        <w:gridCol w:w="740"/>
        <w:gridCol w:w="170"/>
      </w:tblGrid>
      <w:tr w:rsidR="00000000">
        <w:tc>
          <w:tcPr>
            <w:tcW w:w="50" w:type="pct"/>
            <w:vAlign w:val="center"/>
            <w:hideMark/>
          </w:tcPr>
          <w:p w:rsidR="00000000" w:rsidRDefault="00D04F4B">
            <w:pPr>
              <w:rPr>
                <w:rFonts w:eastAsia="Times New Roman"/>
              </w:rPr>
            </w:pPr>
          </w:p>
        </w:tc>
        <w:tc>
          <w:tcPr>
            <w:tcW w:w="171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Self-Storage Operations</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Summary</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Percentage Change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Percentage Change</w:t>
            </w:r>
          </w:p>
        </w:tc>
      </w:tr>
      <w:tr w:rsidR="00000000">
        <w:trPr>
          <w:trHeight w:val="6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(Dollar amounts and square footage in thousands)</w:t>
            </w: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Revenues: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Same Store facilities</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2,767,577 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2,504,919 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2,504,919 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2,525,572 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203,331 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42,699 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376.2 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42,699 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12,704 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205,068 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149,086 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37.6 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149,086 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121,378 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27,590 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24,926 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24,926 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24,898 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3,203,566 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2,721,630 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2,721,630 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2,684,552 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Cost of operations: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697,244 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711,451 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711,451 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692,656 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71,407 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20,065 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20,065 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5,178 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287.5 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73,617 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66,444 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66,444 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55,049 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9,762 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852,030 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807,543 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807,543 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762,416 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Net operating income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2,070,333 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1,793,468 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1,793,468 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1,832,916 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131,924 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22,634 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482.9 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22,634 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7,526 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131,451 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82,642 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82,642 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66,329 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17,828 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15,343 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15,343 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15,365 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38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Total net operating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2,351,536 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1,914,087 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1,914,087 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1,922,136 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(0.4)</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Depreciation and amortization expense:</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(447,599)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(445,756)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(445,756)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(434,150)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(183,086)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(32,939)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455.8 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(32,939)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(12,883)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(61,645)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(53,621)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(53,621)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(46,340)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(21,098)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(20,941)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(20,941)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(19,545)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56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18"/>
                <w:szCs w:val="18"/>
              </w:rPr>
              <w:t>Total depreciation and amortization expense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(713,428)</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(553,257)</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(553,257)</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(512,918)</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Net income (loss):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1,622,734 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1,347,712 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1,347,712 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1,398,766 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(51,162)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(10,305)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396.5 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(10,305)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(5,357)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69,806 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29,021 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140.5 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29,021 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19,989 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(3,270)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(5,598)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(5,598)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(4,180)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38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Total net income</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1,638,108 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1,360,830 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1,360,830 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1,409,218 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Number of facilities at period end:</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2,787 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2,548 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2,548 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2,483 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Net rentable square footage at period end:</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148,695 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148,695 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148,695 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148,695 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30,059 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8,229 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8,229 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3,133 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17,407 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15,891 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15,891 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14,797 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198,319 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175,051 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175,051 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168,908 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bl>
    <w:p w:rsidR="00000000" w:rsidRDefault="00D04F4B">
      <w:pPr>
        <w:jc w:val="center"/>
        <w:divId w:val="295454229"/>
        <w:rPr>
          <w:rFonts w:eastAsia="Times New Roman"/>
        </w:rPr>
      </w:pPr>
      <w:r>
        <w:rPr>
          <w:rFonts w:eastAsia="Times New Roman"/>
          <w:color w:val="000000"/>
          <w:sz w:val="20"/>
          <w:szCs w:val="20"/>
        </w:rPr>
        <w:t>26</w:t>
      </w:r>
    </w:p>
    <w:p w:rsidR="00000000" w:rsidRDefault="00D04F4B">
      <w:pPr>
        <w:rPr>
          <w:rFonts w:eastAsia="Times New Roman"/>
        </w:rPr>
      </w:pPr>
      <w:r>
        <w:rPr>
          <w:rFonts w:eastAsia="Times New Roman"/>
        </w:rPr>
        <w:pict>
          <v:rect id="_x0000_i1051" style="width:0;height:1.5pt" o:hralign="center" o:hrstd="t" o:hr="t" fillcolor="#a0a0a0" stroked="f"/>
        </w:pict>
      </w:r>
    </w:p>
    <w:p w:rsidR="00000000" w:rsidRDefault="00D04F4B">
      <w:pPr>
        <w:divId w:val="1620992829"/>
        <w:rPr>
          <w:rFonts w:eastAsia="Times New Roman"/>
        </w:rPr>
      </w:pPr>
    </w:p>
    <w:p w:rsidR="00000000" w:rsidRDefault="00D04F4B">
      <w:pPr>
        <w:ind w:hanging="360"/>
        <w:jc w:val="both"/>
        <w:divId w:val="378551144"/>
        <w:rPr>
          <w:rFonts w:eastAsia="Times New Roman"/>
        </w:rPr>
      </w:pPr>
      <w:r>
        <w:rPr>
          <w:rFonts w:eastAsia="Times New Roman"/>
          <w:color w:val="000000"/>
          <w:sz w:val="18"/>
          <w:szCs w:val="18"/>
        </w:rPr>
        <w:t>(a)Net operating income or “NOI” is a non-GAAP financial measure that excludes the impact of depreciation and amortization expense, which is based upon historical real estate costs and assumes that building values diminish ratably over ti</w:t>
      </w:r>
      <w:r>
        <w:rPr>
          <w:rFonts w:eastAsia="Times New Roman"/>
          <w:color w:val="000000"/>
          <w:sz w:val="18"/>
          <w:szCs w:val="18"/>
        </w:rPr>
        <w:t>me, while we believe that real estate values fluctuate due to market conditions. We utilize NOI in determining current property values, evaluating property performance, and in evaluating property operating trends. We believe that investors and analysts uti</w:t>
      </w:r>
      <w:r>
        <w:rPr>
          <w:rFonts w:eastAsia="Times New Roman"/>
          <w:color w:val="000000"/>
          <w:sz w:val="18"/>
          <w:szCs w:val="18"/>
        </w:rPr>
        <w:t>lize NOI in a similar manner. NOI is not a substitute for net income, operating cash flow, or other related financial measures, in evaluating our operating results. See Note 13 to our December 31, 2021 consolidated financial statements for a reconciliation</w:t>
      </w:r>
      <w:r>
        <w:rPr>
          <w:rFonts w:eastAsia="Times New Roman"/>
          <w:color w:val="000000"/>
          <w:sz w:val="18"/>
          <w:szCs w:val="18"/>
        </w:rPr>
        <w:t xml:space="preserve"> of NOI to our total net income for all periods presented.</w:t>
      </w:r>
    </w:p>
    <w:p w:rsidR="00000000" w:rsidRDefault="00D04F4B">
      <w:pPr>
        <w:ind w:firstLine="720"/>
        <w:jc w:val="both"/>
        <w:rPr>
          <w:rFonts w:eastAsia="Times New Roman"/>
        </w:rPr>
      </w:pPr>
      <w:r>
        <w:rPr>
          <w:rFonts w:eastAsia="Times New Roman"/>
          <w:i/>
          <w:iCs/>
          <w:color w:val="000000"/>
          <w:sz w:val="20"/>
          <w:szCs w:val="20"/>
        </w:rPr>
        <w:t>Same Store Facilities</w:t>
      </w:r>
    </w:p>
    <w:p w:rsidR="00000000" w:rsidRDefault="00D04F4B">
      <w:pPr>
        <w:ind w:firstLine="720"/>
        <w:jc w:val="both"/>
        <w:rPr>
          <w:rFonts w:eastAsia="Times New Roman"/>
        </w:rPr>
      </w:pPr>
    </w:p>
    <w:p w:rsidR="00000000" w:rsidRDefault="00D04F4B">
      <w:pPr>
        <w:ind w:firstLine="720"/>
        <w:jc w:val="both"/>
        <w:rPr>
          <w:rFonts w:eastAsia="Times New Roman"/>
        </w:rPr>
      </w:pPr>
      <w:r>
        <w:rPr>
          <w:rFonts w:eastAsia="Times New Roman"/>
          <w:color w:val="000000"/>
          <w:sz w:val="20"/>
          <w:szCs w:val="20"/>
        </w:rPr>
        <w:t>The Same Store Facilities consist of facilities we have owned and operated on a stabilized level of occupancy, revenues, and cost of operations since January 1, 2019. The composition of our Same Store Facilities allows us more effectively to evaluate the o</w:t>
      </w:r>
      <w:r>
        <w:rPr>
          <w:rFonts w:eastAsia="Times New Roman"/>
          <w:color w:val="000000"/>
          <w:sz w:val="20"/>
          <w:szCs w:val="20"/>
        </w:rPr>
        <w:t>ngoing performance of our self-storage portfolio in 2019, 2020, and 2021 and exclude the impact of fill-up of unstabilized facilities, which can significantly affect operating trends. We believe investors and analysts use Same Store information in a simila</w:t>
      </w:r>
      <w:r>
        <w:rPr>
          <w:rFonts w:eastAsia="Times New Roman"/>
          <w:color w:val="000000"/>
          <w:sz w:val="20"/>
          <w:szCs w:val="20"/>
        </w:rPr>
        <w:t xml:space="preserve">r manner. However, because other REITs may not compute Same Store Facilities in the same manner as we do, may not use the same terminology or may not present such a measure, Same Store Facilities may not be comparable among REITs. </w:t>
      </w:r>
    </w:p>
    <w:p w:rsidR="00000000" w:rsidRDefault="00D04F4B">
      <w:pPr>
        <w:ind w:firstLine="720"/>
        <w:jc w:val="both"/>
        <w:rPr>
          <w:rFonts w:eastAsia="Times New Roman"/>
        </w:rPr>
      </w:pPr>
    </w:p>
    <w:p w:rsidR="00000000" w:rsidRDefault="00D04F4B">
      <w:pPr>
        <w:ind w:firstLine="720"/>
        <w:jc w:val="both"/>
        <w:rPr>
          <w:rFonts w:eastAsia="Times New Roman"/>
        </w:rPr>
      </w:pPr>
      <w:r>
        <w:rPr>
          <w:rFonts w:eastAsia="Times New Roman"/>
          <w:color w:val="000000"/>
          <w:sz w:val="20"/>
          <w:szCs w:val="20"/>
        </w:rPr>
        <w:t>The following table su</w:t>
      </w:r>
      <w:r>
        <w:rPr>
          <w:rFonts w:eastAsia="Times New Roman"/>
          <w:color w:val="000000"/>
          <w:sz w:val="20"/>
          <w:szCs w:val="20"/>
        </w:rPr>
        <w:t>mmarizes the historical operating results of these 2,274 facilities (148.7 million net rentable square feet) that represent approximately 75% of the aggregate net rentable square feet of our U.S. consolidated self-storage portfolio at December 31, 2021. It</w:t>
      </w:r>
      <w:r>
        <w:rPr>
          <w:rFonts w:eastAsia="Times New Roman"/>
          <w:color w:val="000000"/>
          <w:sz w:val="20"/>
          <w:szCs w:val="20"/>
        </w:rPr>
        <w:t xml:space="preserve"> includes various measures and detail that we do not include in the analysis of the developed, acquired, and other non-same store facilities, due to the relative magnitude and importance of the Same Store Facilities relative to our other self-storage facil</w:t>
      </w:r>
      <w:r>
        <w:rPr>
          <w:rFonts w:eastAsia="Times New Roman"/>
          <w:color w:val="000000"/>
          <w:sz w:val="20"/>
          <w:szCs w:val="20"/>
        </w:rPr>
        <w:t>ities.</w:t>
      </w:r>
    </w:p>
    <w:p w:rsidR="00000000" w:rsidRDefault="00D04F4B">
      <w:pPr>
        <w:ind w:firstLine="720"/>
        <w:jc w:val="both"/>
        <w:rPr>
          <w:rFonts w:eastAsia="Times New Roman"/>
        </w:rPr>
      </w:pPr>
    </w:p>
    <w:p w:rsidR="00000000" w:rsidRDefault="00D04F4B">
      <w:pPr>
        <w:jc w:val="center"/>
        <w:divId w:val="331028840"/>
        <w:rPr>
          <w:rFonts w:eastAsia="Times New Roman"/>
        </w:rPr>
      </w:pPr>
      <w:r>
        <w:rPr>
          <w:rFonts w:eastAsia="Times New Roman"/>
          <w:color w:val="000000"/>
          <w:sz w:val="20"/>
          <w:szCs w:val="20"/>
        </w:rPr>
        <w:t>27</w:t>
      </w:r>
    </w:p>
    <w:p w:rsidR="00000000" w:rsidRDefault="00D04F4B">
      <w:pPr>
        <w:rPr>
          <w:rFonts w:eastAsia="Times New Roman"/>
        </w:rPr>
      </w:pPr>
      <w:r>
        <w:rPr>
          <w:rFonts w:eastAsia="Times New Roman"/>
        </w:rPr>
        <w:pict>
          <v:rect id="_x0000_i1052" style="width:0;height:1.5pt" o:hralign="center" o:hrstd="t" o:hr="t" fillcolor="#a0a0a0" stroked="f"/>
        </w:pict>
      </w:r>
    </w:p>
    <w:p w:rsidR="00000000" w:rsidRDefault="00D04F4B">
      <w:pPr>
        <w:divId w:val="1938978078"/>
        <w:rPr>
          <w:rFonts w:eastAsia="Times New Roman"/>
        </w:rPr>
      </w:pPr>
    </w:p>
    <w:p w:rsidR="00000000" w:rsidRDefault="00D04F4B">
      <w:pPr>
        <w:divId w:val="1017076219"/>
        <w:rPr>
          <w:rFonts w:eastAsia="Times New Roman"/>
        </w:rPr>
      </w:pPr>
      <w:r>
        <w:rPr>
          <w:rFonts w:eastAsia="Times New Roman"/>
          <w:b/>
          <w:bCs/>
          <w:color w:val="000000"/>
          <w:sz w:val="20"/>
          <w:szCs w:val="20"/>
        </w:rPr>
        <w:t>Selected Operating Data for the Same Store Facilities (2,274 facilities)</w:t>
      </w:r>
    </w:p>
    <w:p w:rsidR="00000000" w:rsidRDefault="00D04F4B">
      <w:pPr>
        <w:jc w:val="both"/>
        <w:divId w:val="48774533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951"/>
        <w:gridCol w:w="37"/>
        <w:gridCol w:w="120"/>
        <w:gridCol w:w="850"/>
        <w:gridCol w:w="36"/>
        <w:gridCol w:w="36"/>
        <w:gridCol w:w="36"/>
        <w:gridCol w:w="36"/>
        <w:gridCol w:w="120"/>
        <w:gridCol w:w="850"/>
        <w:gridCol w:w="36"/>
        <w:gridCol w:w="36"/>
        <w:gridCol w:w="36"/>
        <w:gridCol w:w="36"/>
        <w:gridCol w:w="92"/>
        <w:gridCol w:w="729"/>
        <w:gridCol w:w="36"/>
        <w:gridCol w:w="36"/>
        <w:gridCol w:w="36"/>
        <w:gridCol w:w="36"/>
        <w:gridCol w:w="120"/>
        <w:gridCol w:w="850"/>
        <w:gridCol w:w="36"/>
        <w:gridCol w:w="36"/>
        <w:gridCol w:w="36"/>
        <w:gridCol w:w="36"/>
        <w:gridCol w:w="120"/>
        <w:gridCol w:w="850"/>
        <w:gridCol w:w="36"/>
        <w:gridCol w:w="36"/>
        <w:gridCol w:w="36"/>
        <w:gridCol w:w="36"/>
        <w:gridCol w:w="92"/>
        <w:gridCol w:w="729"/>
        <w:gridCol w:w="36"/>
      </w:tblGrid>
      <w:tr w:rsidR="00000000">
        <w:trPr>
          <w:divId w:val="2073888915"/>
        </w:trPr>
        <w:tc>
          <w:tcPr>
            <w:tcW w:w="50" w:type="pct"/>
            <w:vAlign w:val="center"/>
            <w:hideMark/>
          </w:tcPr>
          <w:p w:rsidR="00000000" w:rsidRDefault="00D04F4B">
            <w:pPr>
              <w:jc w:val="both"/>
              <w:rPr>
                <w:rFonts w:eastAsia="Times New Roman"/>
              </w:rPr>
            </w:pPr>
          </w:p>
        </w:tc>
        <w:tc>
          <w:tcPr>
            <w:tcW w:w="151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9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9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r>
      <w:tr w:rsidR="00000000">
        <w:trPr>
          <w:divId w:val="2073888915"/>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Percentage Change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Percentage Change</w:t>
            </w:r>
          </w:p>
        </w:tc>
      </w:tr>
      <w:tr w:rsidR="00000000">
        <w:trPr>
          <w:divId w:val="2073888915"/>
          <w:trHeight w:val="6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hideMark/>
          </w:tcPr>
          <w:p w:rsidR="00000000" w:rsidRDefault="00D04F4B">
            <w:pPr>
              <w:spacing w:after="100"/>
              <w:jc w:val="center"/>
              <w:rPr>
                <w:rFonts w:eastAsia="Times New Roman"/>
              </w:rPr>
            </w:pPr>
            <w:r>
              <w:rPr>
                <w:rFonts w:eastAsia="Times New Roman"/>
                <w:color w:val="000000"/>
                <w:sz w:val="20"/>
                <w:szCs w:val="20"/>
              </w:rPr>
              <w:t>(Dollar amounts in thousands, except for per square foot data)</w:t>
            </w:r>
          </w:p>
        </w:tc>
      </w:tr>
      <w:tr w:rsidR="00000000">
        <w:trPr>
          <w:divId w:val="207388891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Revenues (a):</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Rental income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2,685,532 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2,421,295 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2,421,295 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2,415,746 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0.2%</w:t>
            </w:r>
          </w:p>
        </w:tc>
      </w:tr>
      <w:tr w:rsidR="00000000">
        <w:trPr>
          <w:divId w:val="2073888915"/>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Late charges and administrative fees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82,045 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83,624 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83,624 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109,826 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(23.9)%</w:t>
            </w:r>
          </w:p>
        </w:tc>
      </w:tr>
      <w:tr w:rsidR="00000000">
        <w:trPr>
          <w:divId w:val="207388891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2,767,577 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2,504,919 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2,504,919 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2,525,572 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(0.8)%</w:t>
            </w:r>
          </w:p>
        </w:tc>
      </w:tr>
      <w:tr w:rsidR="00000000">
        <w:trPr>
          <w:divId w:val="2073888915"/>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Direct cost of operations (a):</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Property taxes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266,996 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257,759 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257,759 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250,154 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3.0%</w:t>
            </w:r>
          </w:p>
        </w:tc>
      </w:tr>
      <w:tr w:rsidR="00000000">
        <w:trPr>
          <w:divId w:val="2073888915"/>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On-site property manager payroll</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114,437 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128,879 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128,879 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125,991 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w:t>
            </w:r>
          </w:p>
        </w:tc>
      </w:tr>
      <w:tr w:rsidR="00000000">
        <w:trPr>
          <w:divId w:val="2073888915"/>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Repairs and maintenance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52,619 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50,763 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50,763 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52,985 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(4.2)%</w:t>
            </w:r>
          </w:p>
        </w:tc>
      </w:tr>
      <w:tr w:rsidR="00000000">
        <w:trPr>
          <w:divId w:val="2073888915"/>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Utilities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40,401 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41,201 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41,201 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45,225 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(8.9)%</w:t>
            </w:r>
          </w:p>
        </w:tc>
      </w:tr>
      <w:tr w:rsidR="00000000">
        <w:trPr>
          <w:divId w:val="2073888915"/>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Marketing</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39,639 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62,017 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(36.1)%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62,017 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50,583 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22.6%</w:t>
            </w:r>
          </w:p>
        </w:tc>
      </w:tr>
      <w:tr w:rsidR="00000000">
        <w:trPr>
          <w:divId w:val="2073888915"/>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Other direct property costs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73,621 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68,294 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68,294 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67,083 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w:t>
            </w:r>
          </w:p>
        </w:tc>
      </w:tr>
      <w:tr w:rsidR="00000000">
        <w:trPr>
          <w:divId w:val="207388891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Total direct cost of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587,713 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608,913 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608,913 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592,021 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2.9%</w:t>
            </w:r>
          </w:p>
        </w:tc>
      </w:tr>
      <w:tr w:rsidR="00000000">
        <w:trPr>
          <w:divId w:val="207388891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Direct net operating income (b)</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2,179,864 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1,896,006 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1,896,006 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1,933,551 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w:t>
            </w:r>
          </w:p>
        </w:tc>
      </w:tr>
      <w:tr w:rsidR="00000000">
        <w:trPr>
          <w:divId w:val="2073888915"/>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Indirect cost of operations (a):</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Supervisory payroll</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(36,984)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(40,931)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(40,931)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(39,061)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4.8%</w:t>
            </w:r>
          </w:p>
        </w:tc>
      </w:tr>
      <w:tr w:rsidR="00000000">
        <w:trPr>
          <w:divId w:val="2073888915"/>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Centralized management costs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(55,316)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(49,054)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(49,054)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(50,873)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(3.6)%</w:t>
            </w:r>
          </w:p>
        </w:tc>
      </w:tr>
      <w:tr w:rsidR="00000000">
        <w:trPr>
          <w:divId w:val="2073888915"/>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Share-based compensation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(17,231)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(12,553)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37.3%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(12,553)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(10,701)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17.3%</w:t>
            </w:r>
          </w:p>
        </w:tc>
      </w:tr>
      <w:tr w:rsidR="00000000">
        <w:trPr>
          <w:divId w:val="207388891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2,070,333 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1,793,468 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1,793,468 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1,832,916 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(2.2)%</w:t>
            </w:r>
          </w:p>
        </w:tc>
      </w:tr>
      <w:tr w:rsidR="00000000">
        <w:trPr>
          <w:divId w:val="2073888915"/>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Depreciation and amortization expense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(447,599)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(445,756)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0.4%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(445,756)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(434,150)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2.7%</w:t>
            </w:r>
          </w:p>
        </w:tc>
      </w:tr>
      <w:tr w:rsidR="00000000">
        <w:trPr>
          <w:divId w:val="207388891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1,622,734 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1,347,712 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1,347,712 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1,398,766 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(3.6)%</w:t>
            </w:r>
          </w:p>
        </w:tc>
      </w:tr>
      <w:tr w:rsidR="00000000">
        <w:trPr>
          <w:divId w:val="2073888915"/>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Gross margin (before indirect costs, depreciation and amortization expense)</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78.8%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75.7%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75.7%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76.6%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w:t>
            </w:r>
          </w:p>
        </w:tc>
      </w:tr>
      <w:tr w:rsidR="00000000">
        <w:trPr>
          <w:divId w:val="2073888915"/>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Gross margin (before depreciation and amortization expense)</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74.8%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72.6%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(1.4)%</w:t>
            </w:r>
          </w:p>
        </w:tc>
      </w:tr>
      <w:tr w:rsidR="00000000">
        <w:trPr>
          <w:divId w:val="2073888915"/>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Weighted average for the period:</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159"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Square foot occupancy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96.3%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94.5%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94.5%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93.3%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w:t>
            </w:r>
          </w:p>
        </w:tc>
      </w:tr>
      <w:tr w:rsidR="00000000">
        <w:trPr>
          <w:divId w:val="2073888915"/>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Realized annual rental income per (c):</w:t>
            </w:r>
          </w:p>
        </w:tc>
        <w:tc>
          <w:tcPr>
            <w:tcW w:w="0" w:type="auto"/>
            <w:gridSpan w:val="3"/>
            <w:tcMar>
              <w:top w:w="0" w:type="dxa"/>
              <w:left w:w="20" w:type="dxa"/>
              <w:bottom w:w="0" w:type="dxa"/>
              <w:right w:w="20" w:type="dxa"/>
            </w:tcMar>
            <w:vAlign w:val="center"/>
            <w:hideMark/>
          </w:tcPr>
          <w:p w:rsidR="00000000" w:rsidRDefault="00D04F4B">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Occupied square foot</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18.75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17.24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17.24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17.41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w:t>
            </w:r>
          </w:p>
        </w:tc>
      </w:tr>
      <w:tr w:rsidR="00000000">
        <w:trPr>
          <w:divId w:val="2073888915"/>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Available square foot</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18.06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16.29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16.29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16.25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0.2%</w:t>
            </w:r>
          </w:p>
        </w:tc>
      </w:tr>
      <w:tr w:rsidR="00000000">
        <w:trPr>
          <w:divId w:val="2073888915"/>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20" w:type="dxa"/>
              <w:bottom w:w="30" w:type="dxa"/>
              <w:right w:w="20" w:type="dxa"/>
            </w:tcMar>
            <w:vAlign w:val="bottom"/>
            <w:hideMark/>
          </w:tcPr>
          <w:p w:rsidR="00000000" w:rsidRDefault="00D04F4B">
            <w:pPr>
              <w:spacing w:after="100"/>
              <w:divId w:val="1281523529"/>
              <w:rPr>
                <w:rFonts w:eastAsia="Times New Roman"/>
              </w:rPr>
            </w:pPr>
            <w:r>
              <w:rPr>
                <w:rFonts w:eastAsia="Times New Roman"/>
                <w:color w:val="000000"/>
                <w:sz w:val="20"/>
                <w:szCs w:val="20"/>
              </w:rPr>
              <w:t>At December 31:</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73888915"/>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Square foot occupancy</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94.8%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94.2%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0.6%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94.2%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2.8%</w:t>
            </w:r>
          </w:p>
        </w:tc>
      </w:tr>
      <w:tr w:rsidR="00000000">
        <w:trPr>
          <w:divId w:val="2073888915"/>
        </w:trPr>
        <w:tc>
          <w:tcPr>
            <w:tcW w:w="0" w:type="auto"/>
            <w:gridSpan w:val="3"/>
            <w:tcMar>
              <w:top w:w="30" w:type="dxa"/>
              <w:left w:w="20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Annual contract rent per occupied square foot (d)</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20.02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17.90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17.90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17.95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(0.3)%</w:t>
            </w:r>
          </w:p>
        </w:tc>
      </w:tr>
    </w:tbl>
    <w:p w:rsidR="00000000" w:rsidRDefault="00D04F4B">
      <w:pPr>
        <w:jc w:val="center"/>
        <w:divId w:val="1878733607"/>
        <w:rPr>
          <w:rFonts w:eastAsia="Times New Roman"/>
        </w:rPr>
      </w:pPr>
      <w:r>
        <w:rPr>
          <w:rFonts w:eastAsia="Times New Roman"/>
          <w:color w:val="000000"/>
          <w:sz w:val="20"/>
          <w:szCs w:val="20"/>
        </w:rPr>
        <w:t>28</w:t>
      </w:r>
    </w:p>
    <w:p w:rsidR="00000000" w:rsidRDefault="00D04F4B">
      <w:pPr>
        <w:rPr>
          <w:rFonts w:eastAsia="Times New Roman"/>
        </w:rPr>
      </w:pPr>
      <w:r>
        <w:rPr>
          <w:rFonts w:eastAsia="Times New Roman"/>
        </w:rPr>
        <w:pict>
          <v:rect id="_x0000_i1053" style="width:0;height:1.5pt" o:hralign="center" o:hrstd="t" o:hr="t" fillcolor="#a0a0a0" stroked="f"/>
        </w:pict>
      </w:r>
    </w:p>
    <w:p w:rsidR="00000000" w:rsidRDefault="00D04F4B">
      <w:pPr>
        <w:divId w:val="2030905299"/>
        <w:rPr>
          <w:rFonts w:eastAsia="Times New Roman"/>
        </w:rPr>
      </w:pPr>
    </w:p>
    <w:p w:rsidR="00000000" w:rsidRDefault="00D04F4B">
      <w:pPr>
        <w:ind w:hanging="360"/>
        <w:jc w:val="both"/>
        <w:divId w:val="1152793436"/>
        <w:rPr>
          <w:rFonts w:eastAsia="Times New Roman"/>
        </w:rPr>
      </w:pPr>
      <w:r>
        <w:rPr>
          <w:rFonts w:eastAsia="Times New Roman"/>
          <w:color w:val="000000"/>
          <w:sz w:val="18"/>
          <w:szCs w:val="18"/>
        </w:rPr>
        <w:t xml:space="preserve">(a)Revenues and cost of operations do not include tenant reinsurance and merchandise sale revenues and expenses generated at the facilities. See “Ancillary Operations” </w:t>
      </w:r>
      <w:r>
        <w:rPr>
          <w:rFonts w:eastAsia="Times New Roman"/>
          <w:color w:val="000000"/>
          <w:sz w:val="18"/>
          <w:szCs w:val="18"/>
        </w:rPr>
        <w:t>below for more information.</w:t>
      </w:r>
    </w:p>
    <w:p w:rsidR="00000000" w:rsidRDefault="00D04F4B">
      <w:pPr>
        <w:ind w:hanging="360"/>
        <w:jc w:val="both"/>
        <w:divId w:val="1229727176"/>
        <w:rPr>
          <w:rFonts w:eastAsia="Times New Roman"/>
        </w:rPr>
      </w:pPr>
      <w:r>
        <w:rPr>
          <w:rFonts w:eastAsia="Times New Roman"/>
          <w:color w:val="000000"/>
          <w:sz w:val="18"/>
          <w:szCs w:val="18"/>
        </w:rPr>
        <w:t>(b)Direct net operating income (“Direct NOI”), a subtotal within NOI, is a non-GAAP financial measure that excludes the impact of supervisory payroll, centralized management costs and share-based compensation in addition to depr</w:t>
      </w:r>
      <w:r>
        <w:rPr>
          <w:rFonts w:eastAsia="Times New Roman"/>
          <w:color w:val="000000"/>
          <w:sz w:val="18"/>
          <w:szCs w:val="18"/>
        </w:rPr>
        <w:t xml:space="preserve">eciation and amortization expense. We utilize direct net operating income in evaluating property performance and in evaluating property operating trends as compared to our competitors. </w:t>
      </w:r>
    </w:p>
    <w:p w:rsidR="00000000" w:rsidRDefault="00D04F4B">
      <w:pPr>
        <w:ind w:hanging="360"/>
        <w:jc w:val="both"/>
        <w:divId w:val="1773083535"/>
        <w:rPr>
          <w:rFonts w:eastAsia="Times New Roman"/>
        </w:rPr>
      </w:pPr>
      <w:r>
        <w:rPr>
          <w:rFonts w:eastAsia="Times New Roman"/>
          <w:color w:val="000000"/>
          <w:sz w:val="18"/>
          <w:szCs w:val="18"/>
        </w:rPr>
        <w:t>(c)Realized annual rent per occupied square foot is computed by dividi</w:t>
      </w:r>
      <w:r>
        <w:rPr>
          <w:rFonts w:eastAsia="Times New Roman"/>
          <w:color w:val="000000"/>
          <w:sz w:val="18"/>
          <w:szCs w:val="18"/>
        </w:rPr>
        <w:t>ng rental income, before late charges and administrative fees, by the weighted average occupied square feet for the period. Realized annual rent per available square foot (“REVPAF”) is computed by dividing rental income, before late charges and administrat</w:t>
      </w:r>
      <w:r>
        <w:rPr>
          <w:rFonts w:eastAsia="Times New Roman"/>
          <w:color w:val="000000"/>
          <w:sz w:val="18"/>
          <w:szCs w:val="18"/>
        </w:rPr>
        <w:t>ive fees, by the total available net rentable square feet for the period. These measures exclude late charges and administrative fees in order to provide a better measure of our ongoing level of revenue. Late charges are dependent upon the level of delinqu</w:t>
      </w:r>
      <w:r>
        <w:rPr>
          <w:rFonts w:eastAsia="Times New Roman"/>
          <w:color w:val="000000"/>
          <w:sz w:val="18"/>
          <w:szCs w:val="18"/>
        </w:rPr>
        <w:t>ency and administrative fees are dependent upon the level of move-ins. In addition, the rates charged for late charges and administrative fees can vary independently from rental rates. These measures take into consideration promotional discounts, which red</w:t>
      </w:r>
      <w:r>
        <w:rPr>
          <w:rFonts w:eastAsia="Times New Roman"/>
          <w:color w:val="000000"/>
          <w:sz w:val="18"/>
          <w:szCs w:val="18"/>
        </w:rPr>
        <w:t xml:space="preserve">uce rental income. </w:t>
      </w:r>
    </w:p>
    <w:p w:rsidR="00000000" w:rsidRDefault="00D04F4B">
      <w:pPr>
        <w:ind w:hanging="360"/>
        <w:jc w:val="both"/>
        <w:divId w:val="1007748941"/>
        <w:rPr>
          <w:rFonts w:eastAsia="Times New Roman"/>
        </w:rPr>
      </w:pPr>
      <w:r>
        <w:rPr>
          <w:rFonts w:eastAsia="Times New Roman"/>
          <w:color w:val="000000"/>
          <w:sz w:val="18"/>
          <w:szCs w:val="18"/>
        </w:rPr>
        <w:t>(d)Annual contract rent represents the agreed upon monthly rate that is paid by our tenants in place at the time of measurement. Contract rates are initially set in the lease agreement upon move-in and we adjust them from time to time w</w:t>
      </w:r>
      <w:r>
        <w:rPr>
          <w:rFonts w:eastAsia="Times New Roman"/>
          <w:color w:val="000000"/>
          <w:sz w:val="18"/>
          <w:szCs w:val="18"/>
        </w:rPr>
        <w:t>ith notice. Contract rent excludes other fees that are charged on a per-item basis, such as late charges and administrative fees, does not reflect the impact of promotional discounts, and does not reflect the impact of rents that are written off as uncolle</w:t>
      </w:r>
      <w:r>
        <w:rPr>
          <w:rFonts w:eastAsia="Times New Roman"/>
          <w:color w:val="000000"/>
          <w:sz w:val="18"/>
          <w:szCs w:val="18"/>
        </w:rPr>
        <w:t>ctible.</w:t>
      </w:r>
    </w:p>
    <w:p w:rsidR="00000000" w:rsidRDefault="00D04F4B">
      <w:pPr>
        <w:divId w:val="678392575"/>
        <w:rPr>
          <w:rFonts w:eastAsia="Times New Roman"/>
        </w:rPr>
      </w:pPr>
      <w:r>
        <w:rPr>
          <w:rFonts w:eastAsia="Times New Roman"/>
          <w:i/>
          <w:iCs/>
          <w:color w:val="000000"/>
          <w:sz w:val="20"/>
          <w:szCs w:val="20"/>
        </w:rPr>
        <w:t>Analysis of Same Store Revenue</w:t>
      </w:r>
    </w:p>
    <w:p w:rsidR="00000000" w:rsidRDefault="00D04F4B">
      <w:pPr>
        <w:ind w:firstLine="720"/>
        <w:jc w:val="both"/>
        <w:divId w:val="1271159409"/>
        <w:rPr>
          <w:rFonts w:eastAsia="Times New Roman"/>
        </w:rPr>
      </w:pPr>
      <w:r>
        <w:rPr>
          <w:rFonts w:eastAsia="Times New Roman"/>
          <w:color w:val="000000"/>
          <w:sz w:val="20"/>
          <w:szCs w:val="20"/>
        </w:rPr>
        <w:t xml:space="preserve">We believe a balanced occupancy and rate strategy maximizes our revenues over time. We regularly adjust the rental rates and promotional discounts offered (generally, “$1.00 rent for the first month”), as well as our </w:t>
      </w:r>
      <w:r>
        <w:rPr>
          <w:rFonts w:eastAsia="Times New Roman"/>
          <w:color w:val="000000"/>
          <w:sz w:val="20"/>
          <w:szCs w:val="20"/>
        </w:rPr>
        <w:t xml:space="preserve">marketing efforts to maximize revenue from new tenants to replace tenants that vacate. </w:t>
      </w:r>
    </w:p>
    <w:p w:rsidR="00000000" w:rsidRDefault="00D04F4B">
      <w:pPr>
        <w:ind w:firstLine="720"/>
        <w:jc w:val="both"/>
        <w:divId w:val="958954546"/>
        <w:rPr>
          <w:rFonts w:eastAsia="Times New Roman"/>
        </w:rPr>
      </w:pPr>
      <w:r>
        <w:rPr>
          <w:rFonts w:eastAsia="Times New Roman"/>
          <w:color w:val="000000"/>
          <w:sz w:val="20"/>
          <w:szCs w:val="20"/>
        </w:rPr>
        <w:t>We typically increase rental rates to our long-term tenants (generally, those who have been with us for at least a year) every six to twelve months. As a result, the nu</w:t>
      </w:r>
      <w:r>
        <w:rPr>
          <w:rFonts w:eastAsia="Times New Roman"/>
          <w:color w:val="000000"/>
          <w:sz w:val="20"/>
          <w:szCs w:val="20"/>
        </w:rPr>
        <w:t xml:space="preserve">mber of long-term tenants we have in our facilities is an important factor in our revenue growth. The level of rate increases to long-term tenants is based upon evaluating the additional revenue from the increase against the negative impact of incremental </w:t>
      </w:r>
      <w:r>
        <w:rPr>
          <w:rFonts w:eastAsia="Times New Roman"/>
          <w:color w:val="000000"/>
          <w:sz w:val="20"/>
          <w:szCs w:val="20"/>
        </w:rPr>
        <w:t xml:space="preserve">move-outs, by considering the customer’s in-place rent and prevailing market rents, among other factors. </w:t>
      </w:r>
    </w:p>
    <w:p w:rsidR="00000000" w:rsidRDefault="00D04F4B">
      <w:pPr>
        <w:ind w:firstLine="720"/>
        <w:jc w:val="both"/>
        <w:divId w:val="679746459"/>
        <w:rPr>
          <w:rFonts w:eastAsia="Times New Roman"/>
        </w:rPr>
      </w:pPr>
      <w:r>
        <w:rPr>
          <w:rFonts w:eastAsia="Times New Roman"/>
          <w:color w:val="000000"/>
          <w:sz w:val="20"/>
          <w:szCs w:val="20"/>
        </w:rPr>
        <w:t>Revenues generated by our Same Store Facilities increased 10.5% in 2021 and decreased 0.8% in 2020, in each case as compared to the previous year. The</w:t>
      </w:r>
      <w:r>
        <w:rPr>
          <w:rFonts w:eastAsia="Times New Roman"/>
          <w:color w:val="000000"/>
          <w:sz w:val="20"/>
          <w:szCs w:val="20"/>
        </w:rPr>
        <w:t xml:space="preserve"> increase in 2021 is due primarily to (i) an 8.8% increase in realized annual rent per occupied square foot for 2021 as compared to 2020 and, to a lesser extent, (ii) a 1.9% increase in average occupancy for 2021 as compared to 2020. The decrease in 2020 i</w:t>
      </w:r>
      <w:r>
        <w:rPr>
          <w:rFonts w:eastAsia="Times New Roman"/>
          <w:color w:val="000000"/>
          <w:sz w:val="20"/>
          <w:szCs w:val="20"/>
        </w:rPr>
        <w:t>s due to the negative impact caused by the COVID Pandemic, certain restrictions on rate increases to existing tenants imposed by local governments due to declared state of emergency, reduced late charges and administrative fees, as well as the continued im</w:t>
      </w:r>
      <w:r>
        <w:rPr>
          <w:rFonts w:eastAsia="Times New Roman"/>
          <w:color w:val="000000"/>
          <w:sz w:val="20"/>
          <w:szCs w:val="20"/>
        </w:rPr>
        <w:t xml:space="preserve">pact of increased new supply from new developments. </w:t>
      </w:r>
    </w:p>
    <w:p w:rsidR="00000000" w:rsidRDefault="00D04F4B">
      <w:pPr>
        <w:ind w:firstLine="720"/>
        <w:jc w:val="both"/>
        <w:divId w:val="503907103"/>
        <w:rPr>
          <w:rFonts w:eastAsia="Times New Roman"/>
        </w:rPr>
      </w:pPr>
      <w:r>
        <w:rPr>
          <w:rFonts w:eastAsia="Times New Roman"/>
          <w:color w:val="000000"/>
          <w:sz w:val="20"/>
          <w:szCs w:val="20"/>
        </w:rPr>
        <w:t>Our growth in revenues, weighted average square foot occupancy, realized annual rent per occupied square foot, and REVPAF for 2021 as compared to 2020 was evident in substantially all of our markets incl</w:t>
      </w:r>
      <w:r>
        <w:rPr>
          <w:rFonts w:eastAsia="Times New Roman"/>
          <w:color w:val="000000"/>
          <w:sz w:val="20"/>
          <w:szCs w:val="20"/>
        </w:rPr>
        <w:t>uding each of our top 15 markets.</w:t>
      </w:r>
    </w:p>
    <w:p w:rsidR="00000000" w:rsidRDefault="00D04F4B">
      <w:pPr>
        <w:ind w:firstLine="720"/>
        <w:jc w:val="both"/>
        <w:divId w:val="1328821260"/>
        <w:rPr>
          <w:rFonts w:eastAsia="Times New Roman"/>
        </w:rPr>
      </w:pPr>
      <w:r>
        <w:rPr>
          <w:rFonts w:eastAsia="Times New Roman"/>
          <w:color w:val="000000"/>
          <w:sz w:val="20"/>
          <w:szCs w:val="20"/>
        </w:rPr>
        <w:t>Realized annual rent per occupied square foot increased 8.8% in 2021 as compared to 2020. The increase of realized annual rent per occupied square foot in 2021 as compared to 2020 was due to (i) a 25.8% year over year increase in average rates per square f</w:t>
      </w:r>
      <w:r>
        <w:rPr>
          <w:rFonts w:eastAsia="Times New Roman"/>
          <w:color w:val="000000"/>
          <w:sz w:val="20"/>
          <w:szCs w:val="20"/>
        </w:rPr>
        <w:t>oot charged to new tenants moving in as a result of strong customer demand across all markets, combined with (ii) rate increases to existing tenants in 2021 as compared to the curtailed increases in 2020. At December 31, 2021, annual contract rent per occu</w:t>
      </w:r>
      <w:r>
        <w:rPr>
          <w:rFonts w:eastAsia="Times New Roman"/>
          <w:color w:val="000000"/>
          <w:sz w:val="20"/>
          <w:szCs w:val="20"/>
        </w:rPr>
        <w:t>pied square foot was 11.8% higher as compared to December 31, 2020.</w:t>
      </w:r>
    </w:p>
    <w:p w:rsidR="00000000" w:rsidRDefault="00D04F4B">
      <w:pPr>
        <w:ind w:firstLine="720"/>
        <w:jc w:val="both"/>
        <w:divId w:val="1223129418"/>
        <w:rPr>
          <w:rFonts w:eastAsia="Times New Roman"/>
        </w:rPr>
      </w:pPr>
      <w:r>
        <w:rPr>
          <w:rFonts w:eastAsia="Times New Roman"/>
          <w:color w:val="000000"/>
          <w:sz w:val="20"/>
          <w:szCs w:val="20"/>
        </w:rPr>
        <w:t>We experienced high occupancy levels throughout 2021. Our average square foot occupancy levels increased 1.9% on a year over year basis during 2021 and at December 31, 2021, our square foo</w:t>
      </w:r>
      <w:r>
        <w:rPr>
          <w:rFonts w:eastAsia="Times New Roman"/>
          <w:color w:val="000000"/>
          <w:sz w:val="20"/>
          <w:szCs w:val="20"/>
        </w:rPr>
        <w:t>t occupancy was 94.8%. The improvement in occupancy trends was due primarily to improved trends in move-outs, with year over year move-outs down 7.9% in 2021. This resulted in an increased average length of stay for 2021, which supports revenue growth thro</w:t>
      </w:r>
      <w:r>
        <w:rPr>
          <w:rFonts w:eastAsia="Times New Roman"/>
          <w:color w:val="000000"/>
          <w:sz w:val="20"/>
          <w:szCs w:val="20"/>
        </w:rPr>
        <w:t>ugh rate increases to long-term tenants and a reduced requirement to replace vacating tenants with new tenants, leading to reduced promotional costs and increased pricing leverage. This reduced requirement to replace vacating tenants with new tenants resul</w:t>
      </w:r>
      <w:r>
        <w:rPr>
          <w:rFonts w:eastAsia="Times New Roman"/>
          <w:color w:val="000000"/>
          <w:sz w:val="20"/>
          <w:szCs w:val="20"/>
        </w:rPr>
        <w:t>ted in lower move-in volumes throughout 2021. With higher occupancy and pricing trends, we reduced promotional discounts given to new move-in customers for 2021 by 49.8% as compared to 2020.</w:t>
      </w:r>
    </w:p>
    <w:p w:rsidR="00000000" w:rsidRDefault="00D04F4B">
      <w:pPr>
        <w:ind w:firstLine="720"/>
        <w:jc w:val="both"/>
        <w:divId w:val="883298852"/>
        <w:rPr>
          <w:rFonts w:eastAsia="Times New Roman"/>
        </w:rPr>
      </w:pPr>
      <w:r>
        <w:rPr>
          <w:rFonts w:eastAsia="Times New Roman"/>
          <w:color w:val="000000"/>
          <w:sz w:val="20"/>
          <w:szCs w:val="20"/>
        </w:rPr>
        <w:t xml:space="preserve">Demand historically has been higher in the summer months than in </w:t>
      </w:r>
      <w:r>
        <w:rPr>
          <w:rFonts w:eastAsia="Times New Roman"/>
          <w:color w:val="000000"/>
          <w:sz w:val="20"/>
          <w:szCs w:val="20"/>
        </w:rPr>
        <w:t xml:space="preserve">the winter months and, as a result, rental rates charged to new tenants have typically been higher in the summer months than in the winter months. Demand fluctuates due </w:t>
      </w:r>
    </w:p>
    <w:p w:rsidR="00000000" w:rsidRDefault="00D04F4B">
      <w:pPr>
        <w:jc w:val="center"/>
        <w:divId w:val="79060100"/>
        <w:rPr>
          <w:rFonts w:eastAsia="Times New Roman"/>
        </w:rPr>
      </w:pPr>
      <w:r>
        <w:rPr>
          <w:rFonts w:eastAsia="Times New Roman"/>
          <w:color w:val="000000"/>
          <w:sz w:val="20"/>
          <w:szCs w:val="20"/>
        </w:rPr>
        <w:t>29</w:t>
      </w:r>
    </w:p>
    <w:p w:rsidR="00000000" w:rsidRDefault="00D04F4B">
      <w:pPr>
        <w:rPr>
          <w:rFonts w:eastAsia="Times New Roman"/>
        </w:rPr>
      </w:pPr>
      <w:r>
        <w:rPr>
          <w:rFonts w:eastAsia="Times New Roman"/>
        </w:rPr>
        <w:pict>
          <v:rect id="_x0000_i1054" style="width:0;height:1.5pt" o:hralign="center" o:hrstd="t" o:hr="t" fillcolor="#a0a0a0" stroked="f"/>
        </w:pict>
      </w:r>
    </w:p>
    <w:p w:rsidR="00000000" w:rsidRDefault="00D04F4B">
      <w:pPr>
        <w:divId w:val="500124248"/>
        <w:rPr>
          <w:rFonts w:eastAsia="Times New Roman"/>
        </w:rPr>
      </w:pPr>
    </w:p>
    <w:p w:rsidR="00000000" w:rsidRDefault="00D04F4B">
      <w:pPr>
        <w:jc w:val="both"/>
        <w:divId w:val="1745104981"/>
        <w:rPr>
          <w:rFonts w:eastAsia="Times New Roman"/>
        </w:rPr>
      </w:pPr>
      <w:r>
        <w:rPr>
          <w:rFonts w:eastAsia="Times New Roman"/>
          <w:color w:val="000000"/>
          <w:sz w:val="20"/>
          <w:szCs w:val="20"/>
        </w:rPr>
        <w:t>to various local and regional factors, inclu</w:t>
      </w:r>
      <w:r>
        <w:rPr>
          <w:rFonts w:eastAsia="Times New Roman"/>
          <w:color w:val="000000"/>
          <w:sz w:val="20"/>
          <w:szCs w:val="20"/>
        </w:rPr>
        <w:t>ding the overall economy. Demand into our system is also impacted by new supply of self-storage space as well as alternatives to self-storage.</w:t>
      </w:r>
    </w:p>
    <w:p w:rsidR="00000000" w:rsidRDefault="00D04F4B">
      <w:pPr>
        <w:ind w:firstLine="720"/>
        <w:jc w:val="both"/>
        <w:divId w:val="927807293"/>
        <w:rPr>
          <w:rFonts w:eastAsia="Times New Roman"/>
        </w:rPr>
      </w:pPr>
      <w:r>
        <w:rPr>
          <w:rFonts w:eastAsia="Times New Roman"/>
          <w:color w:val="000000"/>
          <w:sz w:val="20"/>
          <w:szCs w:val="20"/>
        </w:rPr>
        <w:t>We expect continued revenue growth in 2022 supported by consistently high customer demand and a stable tenant bas</w:t>
      </w:r>
      <w:r>
        <w:rPr>
          <w:rFonts w:eastAsia="Times New Roman"/>
          <w:color w:val="000000"/>
          <w:sz w:val="20"/>
          <w:szCs w:val="20"/>
        </w:rPr>
        <w:t xml:space="preserve">e that will enable us to continue to raise rates to our existing tenants while maintaining a high level of occupancy. </w:t>
      </w:r>
    </w:p>
    <w:p w:rsidR="00000000" w:rsidRDefault="00D04F4B">
      <w:pPr>
        <w:ind w:firstLine="720"/>
        <w:jc w:val="both"/>
        <w:divId w:val="658382593"/>
        <w:rPr>
          <w:rFonts w:eastAsia="Times New Roman"/>
        </w:rPr>
      </w:pPr>
      <w:r>
        <w:rPr>
          <w:rFonts w:eastAsia="Times New Roman"/>
          <w:color w:val="000000"/>
          <w:sz w:val="20"/>
          <w:szCs w:val="20"/>
          <w:u w:val="single"/>
        </w:rPr>
        <w:t>Late Charges and Administrative Fees</w:t>
      </w:r>
    </w:p>
    <w:p w:rsidR="00000000" w:rsidRDefault="00D04F4B">
      <w:pPr>
        <w:ind w:firstLine="720"/>
        <w:jc w:val="both"/>
        <w:divId w:val="1913814781"/>
        <w:rPr>
          <w:rFonts w:eastAsia="Times New Roman"/>
        </w:rPr>
      </w:pPr>
      <w:r>
        <w:rPr>
          <w:rFonts w:eastAsia="Times New Roman"/>
          <w:color w:val="000000"/>
          <w:sz w:val="20"/>
          <w:szCs w:val="20"/>
        </w:rPr>
        <w:t>Late charges and administrative fees decreased 1.9% year over year for 2021, due to (i) an accelerat</w:t>
      </w:r>
      <w:r>
        <w:rPr>
          <w:rFonts w:eastAsia="Times New Roman"/>
          <w:color w:val="000000"/>
          <w:sz w:val="20"/>
          <w:szCs w:val="20"/>
        </w:rPr>
        <w:t xml:space="preserve">ion in average collections whereby a greater percentage of tenants paid their monthly rent promptly to avoid the incurrence of such fees and (ii) reduced move-in administrative fees due to lower move-ins. </w:t>
      </w:r>
    </w:p>
    <w:p w:rsidR="00000000" w:rsidRDefault="00D04F4B">
      <w:pPr>
        <w:ind w:firstLine="720"/>
        <w:jc w:val="both"/>
        <w:divId w:val="1611275793"/>
        <w:rPr>
          <w:rFonts w:eastAsia="Times New Roman"/>
        </w:rPr>
      </w:pPr>
      <w:r>
        <w:rPr>
          <w:rFonts w:eastAsia="Times New Roman"/>
          <w:color w:val="000000"/>
          <w:sz w:val="20"/>
          <w:szCs w:val="20"/>
          <w:u w:val="single"/>
        </w:rPr>
        <w:t>Selected Key Statistical Data</w:t>
      </w:r>
    </w:p>
    <w:p w:rsidR="00000000" w:rsidRDefault="00D04F4B">
      <w:pPr>
        <w:ind w:firstLine="720"/>
        <w:jc w:val="both"/>
        <w:divId w:val="254438133"/>
        <w:rPr>
          <w:rFonts w:eastAsia="Times New Roman"/>
        </w:rPr>
      </w:pPr>
      <w:r>
        <w:rPr>
          <w:rFonts w:eastAsia="Times New Roman"/>
          <w:color w:val="000000"/>
          <w:sz w:val="20"/>
          <w:szCs w:val="20"/>
        </w:rPr>
        <w:t xml:space="preserve">The following table </w:t>
      </w:r>
      <w:r>
        <w:rPr>
          <w:rFonts w:eastAsia="Times New Roman"/>
          <w:color w:val="000000"/>
          <w:sz w:val="20"/>
          <w:szCs w:val="20"/>
        </w:rPr>
        <w:t>sets forth average annual contract rent per square foot and total square footage for tenants moving in and moving out during the years ended December 31, 2021, 2020, and 2019. It also includes promotional discounts, which vary based upon the move-in contra</w:t>
      </w:r>
      <w:r>
        <w:rPr>
          <w:rFonts w:eastAsia="Times New Roman"/>
          <w:color w:val="000000"/>
          <w:sz w:val="20"/>
          <w:szCs w:val="20"/>
        </w:rPr>
        <w:t xml:space="preserve">ctual rates, move-in volume, and percentage of tenants moving in who receive the discount. </w:t>
      </w:r>
    </w:p>
    <w:tbl>
      <w:tblPr>
        <w:tblW w:w="5000" w:type="pct"/>
        <w:tblCellMar>
          <w:top w:w="15" w:type="dxa"/>
          <w:left w:w="15" w:type="dxa"/>
          <w:bottom w:w="15" w:type="dxa"/>
          <w:right w:w="15" w:type="dxa"/>
        </w:tblCellMar>
        <w:tblLook w:val="04A0" w:firstRow="1" w:lastRow="0" w:firstColumn="1" w:lastColumn="0" w:noHBand="0" w:noVBand="1"/>
      </w:tblPr>
      <w:tblGrid>
        <w:gridCol w:w="39"/>
        <w:gridCol w:w="2286"/>
        <w:gridCol w:w="38"/>
        <w:gridCol w:w="120"/>
        <w:gridCol w:w="850"/>
        <w:gridCol w:w="36"/>
        <w:gridCol w:w="36"/>
        <w:gridCol w:w="36"/>
        <w:gridCol w:w="36"/>
        <w:gridCol w:w="120"/>
        <w:gridCol w:w="850"/>
        <w:gridCol w:w="36"/>
        <w:gridCol w:w="36"/>
        <w:gridCol w:w="36"/>
        <w:gridCol w:w="36"/>
        <w:gridCol w:w="78"/>
        <w:gridCol w:w="623"/>
        <w:gridCol w:w="37"/>
        <w:gridCol w:w="36"/>
        <w:gridCol w:w="36"/>
        <w:gridCol w:w="36"/>
        <w:gridCol w:w="120"/>
        <w:gridCol w:w="850"/>
        <w:gridCol w:w="36"/>
        <w:gridCol w:w="36"/>
        <w:gridCol w:w="36"/>
        <w:gridCol w:w="36"/>
        <w:gridCol w:w="120"/>
        <w:gridCol w:w="850"/>
        <w:gridCol w:w="36"/>
        <w:gridCol w:w="36"/>
        <w:gridCol w:w="36"/>
        <w:gridCol w:w="36"/>
        <w:gridCol w:w="68"/>
        <w:gridCol w:w="536"/>
        <w:gridCol w:w="37"/>
      </w:tblGrid>
      <w:tr w:rsidR="00000000">
        <w:trPr>
          <w:divId w:val="314337711"/>
        </w:trPr>
        <w:tc>
          <w:tcPr>
            <w:tcW w:w="50" w:type="pct"/>
            <w:vAlign w:val="center"/>
            <w:hideMark/>
          </w:tcPr>
          <w:p w:rsidR="00000000" w:rsidRDefault="00D04F4B">
            <w:pPr>
              <w:ind w:firstLine="720"/>
              <w:jc w:val="both"/>
              <w:rPr>
                <w:rFonts w:eastAsia="Times New Roman"/>
              </w:rPr>
            </w:pPr>
          </w:p>
        </w:tc>
        <w:tc>
          <w:tcPr>
            <w:tcW w:w="17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7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7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9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8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8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9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314337711"/>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r>
      <w:tr w:rsidR="00000000">
        <w:trPr>
          <w:divId w:val="314337711"/>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ind w:hanging="9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D04F4B">
            <w:pPr>
              <w:spacing w:after="100"/>
              <w:ind w:hanging="9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ind w:hanging="90"/>
              <w:jc w:val="center"/>
              <w:rPr>
                <w:rFonts w:eastAsia="Times New Roman"/>
              </w:rPr>
            </w:pPr>
            <w:r>
              <w:rPr>
                <w:rFonts w:eastAsia="Times New Roman"/>
                <w:color w:val="000000"/>
                <w:sz w:val="20"/>
                <w:szCs w:val="20"/>
              </w:rPr>
              <w:t>Change</w:t>
            </w:r>
          </w:p>
        </w:tc>
      </w:tr>
      <w:tr w:rsidR="00000000">
        <w:trPr>
          <w:divId w:val="314337711"/>
          <w:trHeight w:val="60"/>
        </w:trPr>
        <w:tc>
          <w:tcPr>
            <w:tcW w:w="0" w:type="auto"/>
            <w:gridSpan w:val="3"/>
            <w:tcMar>
              <w:top w:w="0" w:type="dxa"/>
              <w:left w:w="20" w:type="dxa"/>
              <w:bottom w:w="0" w:type="dxa"/>
              <w:right w:w="20" w:type="dxa"/>
            </w:tcMar>
            <w:vAlign w:val="center"/>
            <w:hideMark/>
          </w:tcPr>
          <w:p w:rsidR="00000000" w:rsidRDefault="00D04F4B">
            <w:pPr>
              <w:spacing w:after="100"/>
              <w:ind w:hanging="9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314337711"/>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(Amounts in thousands, except for per square foot amounts)</w:t>
            </w:r>
          </w:p>
        </w:tc>
      </w:tr>
      <w:tr w:rsidR="00000000">
        <w:trPr>
          <w:divId w:val="314337711"/>
          <w:trHeight w:val="12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15"/>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15"/>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314337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20"/>
                <w:szCs w:val="20"/>
              </w:rPr>
              <w:t>Tenants moving in during the period:</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314337711"/>
        </w:trPr>
        <w:tc>
          <w:tcPr>
            <w:tcW w:w="0" w:type="auto"/>
            <w:gridSpan w:val="3"/>
            <w:tcMar>
              <w:top w:w="30" w:type="dxa"/>
              <w:left w:w="20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Average annual contract rent per square foot</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25.8%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0.1%</w:t>
            </w:r>
          </w:p>
        </w:tc>
      </w:tr>
      <w:tr w:rsidR="00000000">
        <w:trPr>
          <w:divId w:val="314337711"/>
        </w:trPr>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Square footage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93,684 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104,426 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104,426 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109,173 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(4.3)%</w:t>
            </w:r>
          </w:p>
        </w:tc>
      </w:tr>
      <w:tr w:rsidR="00000000">
        <w:trPr>
          <w:divId w:val="314337711"/>
        </w:trPr>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Contract rents gained from move-ins</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1,600,123 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1,418,105 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1,418,105 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1,481,478 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(4.3)%</w:t>
            </w:r>
          </w:p>
        </w:tc>
      </w:tr>
      <w:tr w:rsidR="00000000">
        <w:trPr>
          <w:divId w:val="314337711"/>
        </w:trPr>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Promotional discounts given</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37,950 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75,568 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(49.8)%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75,568 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82,144 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(8.0)%</w:t>
            </w:r>
          </w:p>
        </w:tc>
      </w:tr>
      <w:tr w:rsidR="00000000">
        <w:trPr>
          <w:divId w:val="314337711"/>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314337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20"/>
                <w:szCs w:val="20"/>
              </w:rPr>
              <w:t>Tenants moving out during the period:</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314337711"/>
        </w:trPr>
        <w:tc>
          <w:tcPr>
            <w:tcW w:w="0" w:type="auto"/>
            <w:gridSpan w:val="3"/>
            <w:tcMar>
              <w:top w:w="30" w:type="dxa"/>
              <w:left w:w="20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Average annual contract rent per square foot</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15.58 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15.58 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(2.7)%</w:t>
            </w:r>
          </w:p>
        </w:tc>
      </w:tr>
      <w:tr w:rsidR="00000000">
        <w:trPr>
          <w:divId w:val="314337711"/>
        </w:trPr>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Square footage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92,585 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100,548 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100,548 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108,434 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(7.3)%</w:t>
            </w:r>
          </w:p>
        </w:tc>
      </w:tr>
      <w:tr w:rsidR="00000000">
        <w:trPr>
          <w:divId w:val="314337711"/>
        </w:trPr>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Contract rents lost from move-outs</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1,625,793 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1,566,538 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1,566,538 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1,736,028 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(9.8)%</w:t>
            </w:r>
          </w:p>
        </w:tc>
      </w:tr>
    </w:tbl>
    <w:p w:rsidR="00000000" w:rsidRDefault="00D04F4B">
      <w:pPr>
        <w:ind w:firstLine="720"/>
        <w:jc w:val="both"/>
        <w:rPr>
          <w:rFonts w:eastAsia="Times New Roman"/>
        </w:rPr>
      </w:pPr>
    </w:p>
    <w:p w:rsidR="00000000" w:rsidRDefault="00D04F4B">
      <w:pPr>
        <w:divId w:val="237130390"/>
        <w:rPr>
          <w:rFonts w:eastAsia="Times New Roman"/>
        </w:rPr>
      </w:pPr>
      <w:r>
        <w:rPr>
          <w:rFonts w:eastAsia="Times New Roman"/>
          <w:i/>
          <w:iCs/>
          <w:color w:val="000000"/>
          <w:sz w:val="20"/>
          <w:szCs w:val="20"/>
        </w:rPr>
        <w:t xml:space="preserve">Analysis of Same Store Cost of Operations </w:t>
      </w:r>
    </w:p>
    <w:p w:rsidR="00000000" w:rsidRDefault="00D04F4B">
      <w:pPr>
        <w:ind w:firstLine="720"/>
        <w:jc w:val="both"/>
        <w:divId w:val="1505899701"/>
        <w:rPr>
          <w:rFonts w:eastAsia="Times New Roman"/>
        </w:rPr>
      </w:pPr>
      <w:r>
        <w:rPr>
          <w:rFonts w:eastAsia="Times New Roman"/>
          <w:color w:val="000000"/>
          <w:sz w:val="20"/>
          <w:szCs w:val="20"/>
        </w:rPr>
        <w:t>Cost of operations (excluding depreciation and amortization) decreased 2.0% in 2021 as compared to 2020 due primarily to decreased marketing and on-site property manager payroll expense. Cost of operations (excluding depreciation and amortization) increase</w:t>
      </w:r>
      <w:r>
        <w:rPr>
          <w:rFonts w:eastAsia="Times New Roman"/>
          <w:color w:val="000000"/>
          <w:sz w:val="20"/>
          <w:szCs w:val="20"/>
        </w:rPr>
        <w:t xml:space="preserve">d 2.7% in 2020 as compared to 2019 due primarily to increased marketing and property tax expense. </w:t>
      </w:r>
    </w:p>
    <w:p w:rsidR="00000000" w:rsidRDefault="00D04F4B">
      <w:pPr>
        <w:ind w:firstLine="720"/>
        <w:jc w:val="both"/>
        <w:rPr>
          <w:rFonts w:eastAsia="Times New Roman"/>
        </w:rPr>
      </w:pPr>
      <w:r>
        <w:rPr>
          <w:rFonts w:eastAsia="Times New Roman"/>
          <w:color w:val="000000"/>
          <w:sz w:val="20"/>
          <w:szCs w:val="20"/>
        </w:rPr>
        <w:t>Property tax expense increased 3.6% in 2021 as compared to 2020 and increased 3.0% in 2020 as compared to 2019 as a result of higher assessed values. We expe</w:t>
      </w:r>
      <w:r>
        <w:rPr>
          <w:rFonts w:eastAsia="Times New Roman"/>
          <w:color w:val="000000"/>
          <w:sz w:val="20"/>
          <w:szCs w:val="20"/>
        </w:rPr>
        <w:t xml:space="preserve">ct property tax expense growth of approximately 5.0% in 2022 due primarily to higher assessed values and, to a lesser extent, increased tax rates. </w:t>
      </w:r>
    </w:p>
    <w:p w:rsidR="00000000" w:rsidRDefault="00D04F4B">
      <w:pPr>
        <w:ind w:firstLine="720"/>
        <w:jc w:val="both"/>
        <w:divId w:val="149562823"/>
        <w:rPr>
          <w:rFonts w:eastAsia="Times New Roman"/>
        </w:rPr>
      </w:pPr>
      <w:r>
        <w:rPr>
          <w:rFonts w:eastAsia="Times New Roman"/>
          <w:color w:val="000000"/>
          <w:sz w:val="20"/>
          <w:szCs w:val="20"/>
        </w:rPr>
        <w:t>On-site property manager payroll expense decreased 11.2% in 2021 as compared to 2020 and increased 2.3% in 2</w:t>
      </w:r>
      <w:r>
        <w:rPr>
          <w:rFonts w:eastAsia="Times New Roman"/>
          <w:color w:val="000000"/>
          <w:sz w:val="20"/>
          <w:szCs w:val="20"/>
        </w:rPr>
        <w:t>020 as compared to 2019. The decrease in 2021 is primarily due to (i) a year-over-year decline in hours worked due to staffing reductions from reduced move-in and move-out activity and revisions to other operational processes and (ii) a temporary $3.00 hou</w:t>
      </w:r>
      <w:r>
        <w:rPr>
          <w:rFonts w:eastAsia="Times New Roman"/>
          <w:color w:val="000000"/>
          <w:sz w:val="20"/>
          <w:szCs w:val="20"/>
        </w:rPr>
        <w:t>rly incentive increase and enhancement of paid time off benefits to all of our property managers between April 1, 2020 and June 30, 2020 in response to the COVID Pandemic, partially offset by wage increases in response to competitive labor conditions exper</w:t>
      </w:r>
      <w:r>
        <w:rPr>
          <w:rFonts w:eastAsia="Times New Roman"/>
          <w:color w:val="000000"/>
          <w:sz w:val="20"/>
          <w:szCs w:val="20"/>
        </w:rPr>
        <w:t xml:space="preserve">ienced in most geographical markets since the second quarter of 2021. On October 1, 2021, we increased the wages of all of our property employees by an average of 7.5%, bringing our average pay for non-resident property employees (i.e. those not receiving </w:t>
      </w:r>
      <w:r>
        <w:rPr>
          <w:rFonts w:eastAsia="Times New Roman"/>
          <w:color w:val="000000"/>
          <w:sz w:val="20"/>
          <w:szCs w:val="20"/>
        </w:rPr>
        <w:t>rent and utility free housing) to $15 per hour. We expect on-</w:t>
      </w:r>
    </w:p>
    <w:p w:rsidR="00000000" w:rsidRDefault="00D04F4B">
      <w:pPr>
        <w:jc w:val="center"/>
        <w:divId w:val="1530296050"/>
        <w:rPr>
          <w:rFonts w:eastAsia="Times New Roman"/>
        </w:rPr>
      </w:pPr>
      <w:r>
        <w:rPr>
          <w:rFonts w:eastAsia="Times New Roman"/>
          <w:color w:val="000000"/>
          <w:sz w:val="20"/>
          <w:szCs w:val="20"/>
        </w:rPr>
        <w:t>30</w:t>
      </w:r>
    </w:p>
    <w:p w:rsidR="00000000" w:rsidRDefault="00D04F4B">
      <w:pPr>
        <w:rPr>
          <w:rFonts w:eastAsia="Times New Roman"/>
        </w:rPr>
      </w:pPr>
      <w:r>
        <w:rPr>
          <w:rFonts w:eastAsia="Times New Roman"/>
        </w:rPr>
        <w:pict>
          <v:rect id="_x0000_i1055" style="width:0;height:1.5pt" o:hralign="center" o:hrstd="t" o:hr="t" fillcolor="#a0a0a0" stroked="f"/>
        </w:pict>
      </w:r>
    </w:p>
    <w:p w:rsidR="00000000" w:rsidRDefault="00D04F4B">
      <w:pPr>
        <w:divId w:val="146552299"/>
        <w:rPr>
          <w:rFonts w:eastAsia="Times New Roman"/>
        </w:rPr>
      </w:pPr>
    </w:p>
    <w:p w:rsidR="00000000" w:rsidRDefault="00D04F4B">
      <w:pPr>
        <w:jc w:val="both"/>
        <w:divId w:val="51585717"/>
        <w:rPr>
          <w:rFonts w:eastAsia="Times New Roman"/>
        </w:rPr>
      </w:pPr>
      <w:r>
        <w:rPr>
          <w:rFonts w:eastAsia="Times New Roman"/>
          <w:color w:val="000000"/>
          <w:sz w:val="20"/>
          <w:szCs w:val="20"/>
        </w:rPr>
        <w:t>site property manager payroll expense to increase in 2022 driven by increased wage rates, partially offset by expected reduction in labor hours.</w:t>
      </w:r>
    </w:p>
    <w:p w:rsidR="00000000" w:rsidRDefault="00D04F4B">
      <w:pPr>
        <w:ind w:firstLine="634"/>
        <w:jc w:val="both"/>
        <w:divId w:val="515923781"/>
        <w:rPr>
          <w:rFonts w:eastAsia="Times New Roman"/>
        </w:rPr>
      </w:pPr>
      <w:r>
        <w:rPr>
          <w:rFonts w:eastAsia="Times New Roman"/>
          <w:color w:val="000000"/>
          <w:sz w:val="20"/>
          <w:szCs w:val="20"/>
        </w:rPr>
        <w:t>Our uti</w:t>
      </w:r>
      <w:r>
        <w:rPr>
          <w:rFonts w:eastAsia="Times New Roman"/>
          <w:color w:val="000000"/>
          <w:sz w:val="20"/>
          <w:szCs w:val="20"/>
        </w:rPr>
        <w:t>lity expenses consist primarily of electricity costs, which are dependent upon energy prices, subject to fluctuations due to market conditions, and usage levels. Changes in usage levels are driven primarily by weather and temperature. Utility expense decre</w:t>
      </w:r>
      <w:r>
        <w:rPr>
          <w:rFonts w:eastAsia="Times New Roman"/>
          <w:color w:val="000000"/>
          <w:sz w:val="20"/>
          <w:szCs w:val="20"/>
        </w:rPr>
        <w:t>ased 1.9% in 2021 as compared to 2020 and 8.9% in 2020 as compared to 2019. The decreases experienced in 2021 and 2020 are due primarily to investments we are making in energy saving technology such as solar power and LED lights, which generate favorable r</w:t>
      </w:r>
      <w:r>
        <w:rPr>
          <w:rFonts w:eastAsia="Times New Roman"/>
          <w:color w:val="000000"/>
          <w:sz w:val="20"/>
          <w:szCs w:val="20"/>
        </w:rPr>
        <w:t>eturns on investment in the form of lower utility usage.</w:t>
      </w:r>
    </w:p>
    <w:p w:rsidR="00000000" w:rsidRDefault="00D04F4B">
      <w:pPr>
        <w:ind w:firstLine="634"/>
        <w:jc w:val="both"/>
        <w:divId w:val="2024550629"/>
        <w:rPr>
          <w:rFonts w:eastAsia="Times New Roman"/>
        </w:rPr>
      </w:pPr>
      <w:r>
        <w:rPr>
          <w:rFonts w:eastAsia="Times New Roman"/>
          <w:color w:val="000000"/>
          <w:sz w:val="20"/>
          <w:szCs w:val="20"/>
        </w:rPr>
        <w:t>Marketing expense includes Internet advertising and the operating costs of our telephone reservation center. Internet advertising expense, comprising keyword search fees assessed on a “per click” bas</w:t>
      </w:r>
      <w:r>
        <w:rPr>
          <w:rFonts w:eastAsia="Times New Roman"/>
          <w:color w:val="000000"/>
          <w:sz w:val="20"/>
          <w:szCs w:val="20"/>
        </w:rPr>
        <w:t>is, varies based upon demand for self-storage space, the quantity of people inquiring about self-storage through online search, occupancy levels, the number and aggressiveness of bidding competitors, and other factors. These factors are volatile; according</w:t>
      </w:r>
      <w:r>
        <w:rPr>
          <w:rFonts w:eastAsia="Times New Roman"/>
          <w:color w:val="000000"/>
          <w:sz w:val="20"/>
          <w:szCs w:val="20"/>
        </w:rPr>
        <w:t>ly, Internet advertising can increase or decrease significantly in the short-term. We decreased marketing expense by 36.1% in 2021 as compared to 2020 due primarily to lower volume of paid search programs we utilized in 2021 given strong demand and high oc</w:t>
      </w:r>
      <w:r>
        <w:rPr>
          <w:rFonts w:eastAsia="Times New Roman"/>
          <w:color w:val="000000"/>
          <w:sz w:val="20"/>
          <w:szCs w:val="20"/>
        </w:rPr>
        <w:t>cupancies in many of our same store properties. Marketing expense increased 22.6% in 2020 as compared to 2019, due primarily to both higher volume of paid search programs we utilized to attract more customers for our space, and cost per click for keyword s</w:t>
      </w:r>
      <w:r>
        <w:rPr>
          <w:rFonts w:eastAsia="Times New Roman"/>
          <w:color w:val="000000"/>
          <w:sz w:val="20"/>
          <w:szCs w:val="20"/>
        </w:rPr>
        <w:t xml:space="preserve">earch terms increased due to more keyword bidding competition from existing self-storage owners and operators, including owners of newly developed facilities and nontraditional storage providers. </w:t>
      </w:r>
    </w:p>
    <w:p w:rsidR="00000000" w:rsidRDefault="00D04F4B">
      <w:pPr>
        <w:ind w:firstLine="634"/>
        <w:jc w:val="both"/>
        <w:divId w:val="1686856338"/>
        <w:rPr>
          <w:rFonts w:eastAsia="Times New Roman"/>
        </w:rPr>
      </w:pPr>
      <w:r>
        <w:rPr>
          <w:rFonts w:eastAsia="Times New Roman"/>
          <w:color w:val="000000"/>
          <w:sz w:val="20"/>
          <w:szCs w:val="20"/>
        </w:rPr>
        <w:t>Other direct property costs include administrative expenses</w:t>
      </w:r>
      <w:r>
        <w:rPr>
          <w:rFonts w:eastAsia="Times New Roman"/>
          <w:color w:val="000000"/>
          <w:sz w:val="20"/>
          <w:szCs w:val="20"/>
        </w:rPr>
        <w:t xml:space="preserve"> specific to each self-storage facility, such as property insurance, telephone and data communication lines, business license costs, bank charges related to processing the facilities’ cash receipts, tenant mailings, credit card fees, eviction costs, and th</w:t>
      </w:r>
      <w:r>
        <w:rPr>
          <w:rFonts w:eastAsia="Times New Roman"/>
          <w:color w:val="000000"/>
          <w:sz w:val="20"/>
          <w:szCs w:val="20"/>
        </w:rPr>
        <w:t>e cost of operating each property’s rental office. These costs increased 7.8% in 2021 as compared to 2020 and 1.8% in 2020 as compared to 2019. We continue to experience increased credit card fees due to a long-term trend of more customers paying with cred</w:t>
      </w:r>
      <w:r>
        <w:rPr>
          <w:rFonts w:eastAsia="Times New Roman"/>
          <w:color w:val="000000"/>
          <w:sz w:val="20"/>
          <w:szCs w:val="20"/>
        </w:rPr>
        <w:t xml:space="preserve">it cards rather than cash, checks, or other methods of payment with lower transaction costs. </w:t>
      </w:r>
    </w:p>
    <w:p w:rsidR="00000000" w:rsidRDefault="00D04F4B">
      <w:pPr>
        <w:ind w:firstLine="634"/>
        <w:jc w:val="both"/>
        <w:divId w:val="355815603"/>
        <w:rPr>
          <w:rFonts w:eastAsia="Times New Roman"/>
        </w:rPr>
      </w:pPr>
      <w:r>
        <w:rPr>
          <w:rFonts w:eastAsia="Times New Roman"/>
          <w:color w:val="000000"/>
          <w:sz w:val="20"/>
          <w:szCs w:val="20"/>
        </w:rPr>
        <w:t>Supervisory payroll expense, which represents cash compensation paid to the management personnel who directly and indirectly supervise the on-site property manage</w:t>
      </w:r>
      <w:r>
        <w:rPr>
          <w:rFonts w:eastAsia="Times New Roman"/>
          <w:color w:val="000000"/>
          <w:sz w:val="20"/>
          <w:szCs w:val="20"/>
        </w:rPr>
        <w:t>rs, decreased 9.6% in 2021 as compared to 2020, due primarily to lower headcount in 2021 and incentives related to the COVID Pandemic in 2020. Supervisory payroll increased 4.8% in 2020 as compared to 2019 due to higher headcount.</w:t>
      </w:r>
    </w:p>
    <w:p w:rsidR="00000000" w:rsidRDefault="00D04F4B">
      <w:pPr>
        <w:ind w:firstLine="634"/>
        <w:jc w:val="both"/>
        <w:divId w:val="189997843"/>
        <w:rPr>
          <w:rFonts w:eastAsia="Times New Roman"/>
        </w:rPr>
      </w:pPr>
      <w:r>
        <w:rPr>
          <w:rFonts w:eastAsia="Times New Roman"/>
          <w:color w:val="000000"/>
          <w:sz w:val="20"/>
          <w:szCs w:val="20"/>
        </w:rPr>
        <w:t>Centralized management co</w:t>
      </w:r>
      <w:r>
        <w:rPr>
          <w:rFonts w:eastAsia="Times New Roman"/>
          <w:color w:val="000000"/>
          <w:sz w:val="20"/>
          <w:szCs w:val="20"/>
        </w:rPr>
        <w:t>sts represents administrative and cash compensation expenses for shared general corporate functions to the extent their efforts are devoted to self-storage operations. Such functions include information technology support, hardware, and software, as well a</w:t>
      </w:r>
      <w:r>
        <w:rPr>
          <w:rFonts w:eastAsia="Times New Roman"/>
          <w:color w:val="000000"/>
          <w:sz w:val="20"/>
          <w:szCs w:val="20"/>
        </w:rPr>
        <w:t>s centralized administration of payroll, benefits, training, repairs and maintenance, customer service, pricing and marketing, operational accounting and finance, and legal costs. Centralized management costs increased 12.8% in 2021 as compared to 2020 and</w:t>
      </w:r>
      <w:r>
        <w:rPr>
          <w:rFonts w:eastAsia="Times New Roman"/>
          <w:color w:val="000000"/>
          <w:sz w:val="20"/>
          <w:szCs w:val="20"/>
        </w:rPr>
        <w:t xml:space="preserve"> decreased 3.6% in 2020 as compared to 2019. The increase in 2021 was due primarily to an increase in technology and data team costs that support property operations. We expect increases in centralized management costs in 2022 due to continued investment i</w:t>
      </w:r>
      <w:r>
        <w:rPr>
          <w:rFonts w:eastAsia="Times New Roman"/>
          <w:color w:val="000000"/>
          <w:sz w:val="20"/>
          <w:szCs w:val="20"/>
        </w:rPr>
        <w:t xml:space="preserve">n our technology and data platforms that support our property operations. </w:t>
      </w:r>
    </w:p>
    <w:p w:rsidR="00000000" w:rsidRDefault="00D04F4B">
      <w:pPr>
        <w:ind w:firstLine="720"/>
        <w:jc w:val="both"/>
        <w:divId w:val="491408340"/>
        <w:rPr>
          <w:rFonts w:eastAsia="Times New Roman"/>
        </w:rPr>
      </w:pPr>
      <w:r>
        <w:rPr>
          <w:rFonts w:eastAsia="Times New Roman"/>
          <w:color w:val="000000"/>
          <w:sz w:val="20"/>
          <w:szCs w:val="20"/>
        </w:rPr>
        <w:t>Share-based compensation expense includes the amortization of restricted share units and stock options granted to management personnel who directly and indirectly supervise the on-s</w:t>
      </w:r>
      <w:r>
        <w:rPr>
          <w:rFonts w:eastAsia="Times New Roman"/>
          <w:color w:val="000000"/>
          <w:sz w:val="20"/>
          <w:szCs w:val="20"/>
        </w:rPr>
        <w:t>ite property managers, as well as those employees responsible for providing shared general corporate functions to the extent their efforts are devoted to self-storage operations. Such functions are listed above under centralized management costs. Share-bas</w:t>
      </w:r>
      <w:r>
        <w:rPr>
          <w:rFonts w:eastAsia="Times New Roman"/>
          <w:color w:val="000000"/>
          <w:sz w:val="20"/>
          <w:szCs w:val="20"/>
        </w:rPr>
        <w:t>ed compensation expense varies based upon the level of grants and their related vesting and amortization periods, forfeitures, as well as the Company’s common share price on the date of each grant. Share-based compensation expense increased 37.3% in 2021 a</w:t>
      </w:r>
      <w:r>
        <w:rPr>
          <w:rFonts w:eastAsia="Times New Roman"/>
          <w:color w:val="000000"/>
          <w:sz w:val="20"/>
          <w:szCs w:val="20"/>
        </w:rPr>
        <w:t>s compared to 2020 and 17.3% in 2020 as compared to 2019. The increase in 2021 is due primarily to the absence of comparable performance-based share-based compensation expense in 2020 and the accelerated compensation costs recognized in 2021 associated wit</w:t>
      </w:r>
      <w:r>
        <w:rPr>
          <w:rFonts w:eastAsia="Times New Roman"/>
          <w:color w:val="000000"/>
          <w:sz w:val="20"/>
          <w:szCs w:val="20"/>
        </w:rPr>
        <w:t xml:space="preserve">h modifying our share-based compensation plans in July 2020, to allow immediate vesting upon retirement. </w:t>
      </w:r>
    </w:p>
    <w:p w:rsidR="00000000" w:rsidRDefault="00D04F4B">
      <w:pPr>
        <w:jc w:val="both"/>
        <w:divId w:val="607662871"/>
        <w:rPr>
          <w:rFonts w:eastAsia="Times New Roman"/>
        </w:rPr>
      </w:pPr>
    </w:p>
    <w:p w:rsidR="00000000" w:rsidRDefault="00D04F4B">
      <w:pPr>
        <w:jc w:val="center"/>
        <w:divId w:val="406076980"/>
        <w:rPr>
          <w:rFonts w:eastAsia="Times New Roman"/>
        </w:rPr>
      </w:pPr>
      <w:r>
        <w:rPr>
          <w:rFonts w:eastAsia="Times New Roman"/>
          <w:color w:val="000000"/>
          <w:sz w:val="20"/>
          <w:szCs w:val="20"/>
        </w:rPr>
        <w:t>31</w:t>
      </w:r>
    </w:p>
    <w:p w:rsidR="00000000" w:rsidRDefault="00D04F4B">
      <w:pPr>
        <w:rPr>
          <w:rFonts w:eastAsia="Times New Roman"/>
        </w:rPr>
      </w:pPr>
      <w:r>
        <w:rPr>
          <w:rFonts w:eastAsia="Times New Roman"/>
        </w:rPr>
        <w:pict>
          <v:rect id="_x0000_i1056" style="width:0;height:1.5pt" o:hralign="center" o:hrstd="t" o:hr="t" fillcolor="#a0a0a0" stroked="f"/>
        </w:pict>
      </w:r>
    </w:p>
    <w:p w:rsidR="00000000" w:rsidRDefault="00D04F4B">
      <w:pPr>
        <w:divId w:val="1132286822"/>
        <w:rPr>
          <w:rFonts w:eastAsia="Times New Roman"/>
        </w:rPr>
      </w:pPr>
    </w:p>
    <w:p w:rsidR="00000000" w:rsidRDefault="00D04F4B">
      <w:pPr>
        <w:jc w:val="both"/>
        <w:divId w:val="892424922"/>
        <w:rPr>
          <w:rFonts w:eastAsia="Times New Roman"/>
        </w:rPr>
      </w:pPr>
      <w:r>
        <w:rPr>
          <w:rFonts w:eastAsia="Times New Roman"/>
          <w:b/>
          <w:bCs/>
          <w:color w:val="000000"/>
          <w:sz w:val="20"/>
          <w:szCs w:val="20"/>
          <w:u w:val="single"/>
        </w:rPr>
        <w:t>Analysis of Market Trends</w:t>
      </w:r>
    </w:p>
    <w:p w:rsidR="00000000" w:rsidRDefault="00D04F4B">
      <w:pPr>
        <w:ind w:firstLine="720"/>
        <w:jc w:val="both"/>
        <w:divId w:val="117185578"/>
        <w:rPr>
          <w:rFonts w:eastAsia="Times New Roman"/>
        </w:rPr>
      </w:pPr>
      <w:r>
        <w:rPr>
          <w:rFonts w:eastAsia="Times New Roman"/>
          <w:color w:val="000000"/>
          <w:sz w:val="20"/>
          <w:szCs w:val="20"/>
        </w:rPr>
        <w:t>The following tables set forth selected market trends in our Same Store Faciliti</w:t>
      </w:r>
      <w:r>
        <w:rPr>
          <w:rFonts w:eastAsia="Times New Roman"/>
          <w:color w:val="000000"/>
          <w:sz w:val="20"/>
          <w:szCs w:val="20"/>
        </w:rPr>
        <w:t>es:</w:t>
      </w:r>
    </w:p>
    <w:p w:rsidR="00000000" w:rsidRDefault="00D04F4B">
      <w:pPr>
        <w:divId w:val="1970281519"/>
        <w:rPr>
          <w:rFonts w:eastAsia="Times New Roman"/>
        </w:rPr>
      </w:pPr>
      <w:r>
        <w:rPr>
          <w:rFonts w:eastAsia="Times New Roman"/>
          <w:b/>
          <w:bCs/>
          <w:color w:val="000000"/>
          <w:sz w:val="20"/>
          <w:szCs w:val="20"/>
        </w:rPr>
        <w:t>Same Store Facilities Operating Trends by Market</w:t>
      </w:r>
    </w:p>
    <w:p w:rsidR="00000000" w:rsidRDefault="00D04F4B">
      <w:pPr>
        <w:divId w:val="1184587599"/>
        <w:rPr>
          <w:rFonts w:eastAsia="Times New Roman"/>
        </w:rPr>
      </w:pPr>
    </w:p>
    <w:p w:rsidR="00000000" w:rsidRDefault="00D04F4B">
      <w:pPr>
        <w:divId w:val="184000265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1309"/>
        <w:gridCol w:w="38"/>
        <w:gridCol w:w="89"/>
        <w:gridCol w:w="530"/>
        <w:gridCol w:w="37"/>
        <w:gridCol w:w="95"/>
        <w:gridCol w:w="568"/>
        <w:gridCol w:w="37"/>
        <w:gridCol w:w="110"/>
        <w:gridCol w:w="450"/>
        <w:gridCol w:w="36"/>
        <w:gridCol w:w="110"/>
        <w:gridCol w:w="450"/>
        <w:gridCol w:w="36"/>
        <w:gridCol w:w="75"/>
        <w:gridCol w:w="447"/>
        <w:gridCol w:w="170"/>
        <w:gridCol w:w="55"/>
        <w:gridCol w:w="325"/>
        <w:gridCol w:w="171"/>
        <w:gridCol w:w="55"/>
        <w:gridCol w:w="325"/>
        <w:gridCol w:w="170"/>
        <w:gridCol w:w="75"/>
        <w:gridCol w:w="447"/>
        <w:gridCol w:w="170"/>
        <w:gridCol w:w="110"/>
        <w:gridCol w:w="450"/>
        <w:gridCol w:w="36"/>
        <w:gridCol w:w="110"/>
        <w:gridCol w:w="450"/>
        <w:gridCol w:w="36"/>
        <w:gridCol w:w="75"/>
        <w:gridCol w:w="447"/>
        <w:gridCol w:w="170"/>
      </w:tblGrid>
      <w:tr w:rsidR="00000000">
        <w:trPr>
          <w:divId w:val="530342339"/>
        </w:trPr>
        <w:tc>
          <w:tcPr>
            <w:tcW w:w="50" w:type="pct"/>
            <w:vAlign w:val="center"/>
            <w:hideMark/>
          </w:tcPr>
          <w:p w:rsidR="00000000" w:rsidRDefault="00D04F4B">
            <w:pPr>
              <w:rPr>
                <w:rFonts w:eastAsia="Times New Roman"/>
              </w:rPr>
            </w:pPr>
          </w:p>
        </w:tc>
        <w:tc>
          <w:tcPr>
            <w:tcW w:w="103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530342339"/>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16"/>
                <w:szCs w:val="16"/>
              </w:rPr>
              <w:t> </w:t>
            </w:r>
          </w:p>
        </w:tc>
        <w:tc>
          <w:tcPr>
            <w:tcW w:w="0" w:type="auto"/>
            <w:gridSpan w:val="6"/>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As of December 31, 2021</w:t>
            </w:r>
          </w:p>
        </w:tc>
        <w:tc>
          <w:tcPr>
            <w:tcW w:w="0" w:type="auto"/>
            <w:gridSpan w:val="27"/>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Year Ended December 31,</w:t>
            </w:r>
          </w:p>
        </w:tc>
      </w:tr>
      <w:tr w:rsidR="00000000">
        <w:trPr>
          <w:divId w:val="530342339"/>
          <w:trHeight w:val="420"/>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6"/>
                <w:szCs w:val="16"/>
              </w:rPr>
              <w:t> </w:t>
            </w:r>
          </w:p>
        </w:tc>
        <w:tc>
          <w:tcPr>
            <w:tcW w:w="0" w:type="auto"/>
            <w:gridSpan w:val="3"/>
            <w:vMerge w:val="restart"/>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Number</w:t>
            </w:r>
            <w:r>
              <w:rPr>
                <w:rFonts w:eastAsia="Times New Roman"/>
                <w:color w:val="000000"/>
                <w:sz w:val="16"/>
                <w:szCs w:val="16"/>
              </w:rPr>
              <w:br/>
              <w:t xml:space="preserve">of </w:t>
            </w:r>
            <w:r>
              <w:rPr>
                <w:rFonts w:eastAsia="Times New Roman"/>
                <w:color w:val="000000"/>
                <w:sz w:val="16"/>
                <w:szCs w:val="16"/>
              </w:rPr>
              <w:br/>
              <w:t>Facilities</w:t>
            </w:r>
          </w:p>
        </w:tc>
        <w:tc>
          <w:tcPr>
            <w:tcW w:w="0" w:type="auto"/>
            <w:gridSpan w:val="3"/>
            <w:vMerge w:val="restart"/>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Square</w:t>
            </w:r>
            <w:r>
              <w:rPr>
                <w:rFonts w:eastAsia="Times New Roman"/>
                <w:color w:val="000000"/>
                <w:sz w:val="16"/>
                <w:szCs w:val="16"/>
              </w:rPr>
              <w:br/>
              <w:t>Feet</w:t>
            </w:r>
            <w:r>
              <w:rPr>
                <w:rFonts w:eastAsia="Times New Roman"/>
                <w:color w:val="000000"/>
                <w:sz w:val="16"/>
                <w:szCs w:val="16"/>
              </w:rPr>
              <w:br/>
              <w:t>(millions)</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Occupied Square Foot</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Average Occupancy</w:t>
            </w:r>
          </w:p>
        </w:tc>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Available Square Foot</w:t>
            </w:r>
          </w:p>
        </w:tc>
      </w:tr>
      <w:tr w:rsidR="00000000">
        <w:trPr>
          <w:divId w:val="530342339"/>
          <w:trHeight w:val="240"/>
        </w:trPr>
        <w:tc>
          <w:tcPr>
            <w:tcW w:w="0" w:type="auto"/>
            <w:gridSpan w:val="3"/>
            <w:tcBorders>
              <w:right w:val="single" w:sz="8"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6"/>
                <w:szCs w:val="16"/>
              </w:rPr>
              <w:t> </w:t>
            </w:r>
          </w:p>
        </w:tc>
        <w:tc>
          <w:tcPr>
            <w:tcW w:w="0" w:type="auto"/>
            <w:gridSpan w:val="3"/>
            <w:vMerge/>
            <w:tcBorders>
              <w:top w:val="single" w:sz="8" w:space="0" w:color="000000"/>
              <w:left w:val="single" w:sz="8" w:space="0" w:color="000000"/>
              <w:right w:val="single" w:sz="8" w:space="0" w:color="000000"/>
            </w:tcBorders>
            <w:vAlign w:val="center"/>
            <w:hideMark/>
          </w:tcPr>
          <w:p w:rsidR="00000000" w:rsidRDefault="00D04F4B">
            <w:pPr>
              <w:spacing w:after="100"/>
              <w:rPr>
                <w:rFonts w:eastAsia="Times New Roman"/>
              </w:rPr>
            </w:pPr>
          </w:p>
        </w:tc>
        <w:tc>
          <w:tcPr>
            <w:tcW w:w="0" w:type="auto"/>
            <w:gridSpan w:val="3"/>
            <w:vMerge/>
            <w:tcBorders>
              <w:top w:val="single" w:sz="8" w:space="0" w:color="000000"/>
              <w:left w:val="single" w:sz="8" w:space="0" w:color="000000"/>
            </w:tcBorders>
            <w:vAlign w:val="center"/>
            <w:hideMark/>
          </w:tcPr>
          <w:p w:rsidR="00000000" w:rsidRDefault="00D04F4B">
            <w:pPr>
              <w:spacing w:after="100"/>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Los Angeles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213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15.2</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27.48 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25.98 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98.2 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26.99 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25.10 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San Francisco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130</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New York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Miami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83</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5.8</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Seattle-Tacoma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87</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5.9</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22.02 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Washington DC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89</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5.5</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22.70 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Chicago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129</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16.63 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Atlanta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98</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Dallas-Ft. Worth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102</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6.6</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Houston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92</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Orlando-Daytona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70</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4.5</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Philadelphia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56</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18.02 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West Palm Beach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40</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2.9</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Tampa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52</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13.70 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Charlotte</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50</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3.8</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All other markets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893</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56.1</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530342339"/>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Totals</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2,274</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148.7</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18.75 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17.24 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16.29 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bl>
    <w:p w:rsidR="00000000" w:rsidRDefault="00D04F4B">
      <w:pPr>
        <w:divId w:val="401949880"/>
        <w:rPr>
          <w:rFonts w:eastAsia="Times New Roman"/>
        </w:rPr>
      </w:pPr>
    </w:p>
    <w:p w:rsidR="00000000" w:rsidRDefault="00D04F4B">
      <w:pPr>
        <w:jc w:val="center"/>
        <w:divId w:val="1866091652"/>
        <w:rPr>
          <w:rFonts w:eastAsia="Times New Roman"/>
        </w:rPr>
      </w:pPr>
      <w:r>
        <w:rPr>
          <w:rFonts w:eastAsia="Times New Roman"/>
          <w:color w:val="000000"/>
          <w:sz w:val="20"/>
          <w:szCs w:val="20"/>
        </w:rPr>
        <w:t>32</w:t>
      </w:r>
    </w:p>
    <w:p w:rsidR="00000000" w:rsidRDefault="00D04F4B">
      <w:pPr>
        <w:rPr>
          <w:rFonts w:eastAsia="Times New Roman"/>
        </w:rPr>
      </w:pPr>
      <w:r>
        <w:rPr>
          <w:rFonts w:eastAsia="Times New Roman"/>
        </w:rPr>
        <w:pict>
          <v:rect id="_x0000_i1057" style="width:0;height:1.5pt" o:hralign="center" o:hrstd="t" o:hr="t" fillcolor="#a0a0a0" stroked="f"/>
        </w:pict>
      </w:r>
    </w:p>
    <w:p w:rsidR="00000000" w:rsidRDefault="00D04F4B">
      <w:pPr>
        <w:divId w:val="583337575"/>
        <w:rPr>
          <w:rFonts w:eastAsia="Times New Roman"/>
        </w:rPr>
      </w:pPr>
    </w:p>
    <w:p w:rsidR="00000000" w:rsidRDefault="00D04F4B">
      <w:pPr>
        <w:divId w:val="1199975338"/>
        <w:rPr>
          <w:rFonts w:eastAsia="Times New Roman"/>
        </w:rPr>
      </w:pPr>
      <w:r>
        <w:rPr>
          <w:rFonts w:eastAsia="Times New Roman"/>
          <w:b/>
          <w:bCs/>
          <w:color w:val="000000"/>
          <w:sz w:val="20"/>
          <w:szCs w:val="20"/>
        </w:rPr>
        <w:t>Same Store Facilities Operating Trends by Market (Contin</w:t>
      </w:r>
      <w:r>
        <w:rPr>
          <w:rFonts w:eastAsia="Times New Roman"/>
          <w:b/>
          <w:bCs/>
          <w:color w:val="000000"/>
          <w:sz w:val="20"/>
          <w:szCs w:val="20"/>
        </w:rPr>
        <w:t>ued)</w:t>
      </w:r>
    </w:p>
    <w:p w:rsidR="00000000" w:rsidRDefault="00D04F4B">
      <w:pPr>
        <w:divId w:val="67364915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3"/>
        <w:gridCol w:w="842"/>
        <w:gridCol w:w="38"/>
        <w:gridCol w:w="110"/>
        <w:gridCol w:w="765"/>
        <w:gridCol w:w="36"/>
        <w:gridCol w:w="110"/>
        <w:gridCol w:w="765"/>
        <w:gridCol w:w="36"/>
        <w:gridCol w:w="75"/>
        <w:gridCol w:w="447"/>
        <w:gridCol w:w="170"/>
        <w:gridCol w:w="110"/>
        <w:gridCol w:w="630"/>
        <w:gridCol w:w="36"/>
        <w:gridCol w:w="110"/>
        <w:gridCol w:w="630"/>
        <w:gridCol w:w="36"/>
        <w:gridCol w:w="75"/>
        <w:gridCol w:w="447"/>
        <w:gridCol w:w="170"/>
        <w:gridCol w:w="110"/>
        <w:gridCol w:w="630"/>
        <w:gridCol w:w="36"/>
        <w:gridCol w:w="110"/>
        <w:gridCol w:w="630"/>
        <w:gridCol w:w="36"/>
        <w:gridCol w:w="75"/>
        <w:gridCol w:w="447"/>
        <w:gridCol w:w="170"/>
        <w:gridCol w:w="110"/>
        <w:gridCol w:w="765"/>
        <w:gridCol w:w="36"/>
        <w:gridCol w:w="110"/>
        <w:gridCol w:w="765"/>
        <w:gridCol w:w="36"/>
        <w:gridCol w:w="75"/>
        <w:gridCol w:w="447"/>
        <w:gridCol w:w="170"/>
      </w:tblGrid>
      <w:tr w:rsidR="00000000">
        <w:trPr>
          <w:divId w:val="1293291711"/>
        </w:trPr>
        <w:tc>
          <w:tcPr>
            <w:tcW w:w="50" w:type="pct"/>
            <w:vAlign w:val="center"/>
            <w:hideMark/>
          </w:tcPr>
          <w:p w:rsidR="00000000" w:rsidRDefault="00D04F4B">
            <w:pPr>
              <w:rPr>
                <w:rFonts w:eastAsia="Times New Roman"/>
              </w:rPr>
            </w:pPr>
          </w:p>
        </w:tc>
        <w:tc>
          <w:tcPr>
            <w:tcW w:w="67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29329171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16"/>
                <w:szCs w:val="16"/>
              </w:rPr>
              <w:t> </w:t>
            </w:r>
          </w:p>
        </w:tc>
        <w:tc>
          <w:tcPr>
            <w:tcW w:w="0" w:type="auto"/>
            <w:gridSpan w:val="36"/>
            <w:tcBorders>
              <w:top w:val="single" w:sz="8" w:space="0" w:color="000000"/>
              <w:left w:val="single" w:sz="8" w:space="0" w:color="000000"/>
              <w:bottom w:val="single" w:sz="8" w:space="0" w:color="000000"/>
              <w:right w:val="single" w:sz="8" w:space="0" w:color="000000"/>
            </w:tcBorders>
            <w:tcMar>
              <w:top w:w="30" w:type="dxa"/>
              <w:left w:w="48" w:type="dxa"/>
              <w:bottom w:w="30" w:type="dxa"/>
              <w:right w:w="48" w:type="dxa"/>
            </w:tcMar>
            <w:hideMark/>
          </w:tcPr>
          <w:p w:rsidR="00000000" w:rsidRDefault="00D04F4B">
            <w:pPr>
              <w:spacing w:after="100"/>
              <w:jc w:val="center"/>
              <w:rPr>
                <w:rFonts w:eastAsia="Times New Roman"/>
              </w:rPr>
            </w:pPr>
            <w:r>
              <w:rPr>
                <w:rFonts w:eastAsia="Times New Roman"/>
                <w:color w:val="000000"/>
                <w:sz w:val="16"/>
                <w:szCs w:val="16"/>
              </w:rPr>
              <w:t>Year Ended December 31,</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6"/>
                <w:szCs w:val="16"/>
              </w:rPr>
              <w:t> </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D04F4B">
            <w:pPr>
              <w:spacing w:after="100"/>
              <w:jc w:val="center"/>
              <w:rPr>
                <w:rFonts w:eastAsia="Times New Roman"/>
              </w:rPr>
            </w:pPr>
            <w:r>
              <w:rPr>
                <w:rFonts w:eastAsia="Times New Roman"/>
                <w:color w:val="000000"/>
                <w:sz w:val="16"/>
                <w:szCs w:val="16"/>
              </w:rPr>
              <w:t>Revenues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D04F4B">
            <w:pPr>
              <w:spacing w:after="100"/>
              <w:jc w:val="center"/>
              <w:rPr>
                <w:rFonts w:eastAsia="Times New Roman"/>
              </w:rPr>
            </w:pPr>
            <w:r>
              <w:rPr>
                <w:rFonts w:eastAsia="Times New Roman"/>
                <w:color w:val="000000"/>
                <w:sz w:val="16"/>
                <w:szCs w:val="16"/>
              </w:rPr>
              <w:t>Direct Expenses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D04F4B">
            <w:pPr>
              <w:spacing w:after="100"/>
              <w:jc w:val="center"/>
              <w:rPr>
                <w:rFonts w:eastAsia="Times New Roman"/>
              </w:rPr>
            </w:pPr>
            <w:r>
              <w:rPr>
                <w:rFonts w:eastAsia="Times New Roman"/>
                <w:color w:val="000000"/>
                <w:sz w:val="16"/>
                <w:szCs w:val="16"/>
              </w:rPr>
              <w:t>Indirect Expenses ($000's)</w:t>
            </w:r>
          </w:p>
        </w:tc>
        <w:tc>
          <w:tcPr>
            <w:tcW w:w="0" w:type="auto"/>
            <w:gridSpan w:val="9"/>
            <w:tcBorders>
              <w:top w:val="single" w:sz="8" w:space="0" w:color="000000"/>
              <w:left w:val="single" w:sz="8" w:space="0" w:color="000000"/>
              <w:right w:val="single" w:sz="8" w:space="0" w:color="000000"/>
            </w:tcBorders>
            <w:tcMar>
              <w:top w:w="30" w:type="dxa"/>
              <w:left w:w="48" w:type="dxa"/>
              <w:bottom w:w="30" w:type="dxa"/>
              <w:right w:w="48" w:type="dxa"/>
            </w:tcMar>
            <w:vAlign w:val="center"/>
            <w:hideMark/>
          </w:tcPr>
          <w:p w:rsidR="00000000" w:rsidRDefault="00D04F4B">
            <w:pPr>
              <w:spacing w:after="100"/>
              <w:jc w:val="center"/>
              <w:rPr>
                <w:rFonts w:eastAsia="Times New Roman"/>
              </w:rPr>
            </w:pPr>
            <w:r>
              <w:rPr>
                <w:rFonts w:eastAsia="Times New Roman"/>
                <w:color w:val="000000"/>
                <w:sz w:val="16"/>
                <w:szCs w:val="16"/>
              </w:rPr>
              <w:t>Net Operating Income ($000's)</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Los Angeles </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416,955 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388,613 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58,558 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62,562 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(6.4)</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11,022 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10,365 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347,375 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315,686 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San Francisco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224,439 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209,941 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34,926 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36,094 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6,847 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6,496 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182,666 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167,351 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New York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174,251 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162,637 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42,982 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43,849 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4,881 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125,819 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113,907 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Miami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130,210 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112,128 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25,863 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26,173 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100,174 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81,842 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Seattle-Tacoma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126,925 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116,054 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23,138 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23,917 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99,627 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87,983 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Washington DC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121,757 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112,739 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26,287 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26,695 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4,033 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3,629 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91,437 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82,415 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Chicago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133,771 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118,560 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51,764 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50,338 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76,210 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62,749 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Atlanta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94,159 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83,120 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18,466 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19,080 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4,731 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4,236 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70,962 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59,804 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Dallas-Ft. Worth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96,392 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85,545 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22,521 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23,884 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4,425 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69,446 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57,515 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Houston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85,436 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77,318 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26,034 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26,737 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4,238 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3,988 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55,164 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46,593 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Orlando-Daytona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65,864 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59,573 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13,708 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14,779 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48,826 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41,840 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Philadelphia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66,000 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59,666 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15,105 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15,461 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48,165 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41,572 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West Palm Beach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59,466 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50,623 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12,523 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12,549 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44,775 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36,017 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Tampa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53,608 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46,216 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12,070 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12,723 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39,084 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31,290 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Charlotte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47,411 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41,106 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9,113 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36,090 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29,452 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All other markets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870,933 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781,080 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194,655 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204,445 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41,765 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39,183 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634,513 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537,452 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29329171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Totals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2,767,577 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2,504,919 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587,713 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608,913 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(3.5)</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109,531 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102,538 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2,070,333 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1,793,468 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bl>
    <w:p w:rsidR="00000000" w:rsidRDefault="00D04F4B">
      <w:pPr>
        <w:divId w:val="103424400"/>
        <w:rPr>
          <w:rFonts w:eastAsia="Times New Roman"/>
        </w:rPr>
      </w:pPr>
    </w:p>
    <w:p w:rsidR="00000000" w:rsidRDefault="00D04F4B">
      <w:pPr>
        <w:divId w:val="828178813"/>
        <w:rPr>
          <w:rFonts w:eastAsia="Times New Roman"/>
        </w:rPr>
      </w:pPr>
    </w:p>
    <w:p w:rsidR="00000000" w:rsidRDefault="00D04F4B">
      <w:pPr>
        <w:divId w:val="277685512"/>
        <w:rPr>
          <w:rFonts w:eastAsia="Times New Roman"/>
        </w:rPr>
      </w:pPr>
    </w:p>
    <w:p w:rsidR="00000000" w:rsidRDefault="00D04F4B">
      <w:pPr>
        <w:divId w:val="1116825642"/>
        <w:rPr>
          <w:rFonts w:eastAsia="Times New Roman"/>
        </w:rPr>
      </w:pPr>
    </w:p>
    <w:p w:rsidR="00000000" w:rsidRDefault="00D04F4B">
      <w:pPr>
        <w:divId w:val="861359391"/>
        <w:rPr>
          <w:rFonts w:eastAsia="Times New Roman"/>
        </w:rPr>
      </w:pPr>
    </w:p>
    <w:p w:rsidR="00000000" w:rsidRDefault="00D04F4B">
      <w:pPr>
        <w:divId w:val="1058241888"/>
        <w:rPr>
          <w:rFonts w:eastAsia="Times New Roman"/>
        </w:rPr>
      </w:pPr>
    </w:p>
    <w:p w:rsidR="00000000" w:rsidRDefault="00D04F4B">
      <w:pPr>
        <w:divId w:val="168906412"/>
        <w:rPr>
          <w:rFonts w:eastAsia="Times New Roman"/>
        </w:rPr>
      </w:pPr>
    </w:p>
    <w:p w:rsidR="00000000" w:rsidRDefault="00D04F4B">
      <w:pPr>
        <w:divId w:val="892815177"/>
        <w:rPr>
          <w:rFonts w:eastAsia="Times New Roman"/>
        </w:rPr>
      </w:pPr>
    </w:p>
    <w:p w:rsidR="00000000" w:rsidRDefault="00D04F4B">
      <w:pPr>
        <w:divId w:val="1415708859"/>
        <w:rPr>
          <w:rFonts w:eastAsia="Times New Roman"/>
        </w:rPr>
      </w:pPr>
    </w:p>
    <w:p w:rsidR="00000000" w:rsidRDefault="00D04F4B">
      <w:pPr>
        <w:divId w:val="419642992"/>
        <w:rPr>
          <w:rFonts w:eastAsia="Times New Roman"/>
        </w:rPr>
      </w:pPr>
    </w:p>
    <w:p w:rsidR="00000000" w:rsidRDefault="00D04F4B">
      <w:pPr>
        <w:divId w:val="1623463411"/>
        <w:rPr>
          <w:rFonts w:eastAsia="Times New Roman"/>
        </w:rPr>
      </w:pPr>
    </w:p>
    <w:p w:rsidR="00000000" w:rsidRDefault="00D04F4B">
      <w:pPr>
        <w:divId w:val="144782184"/>
        <w:rPr>
          <w:rFonts w:eastAsia="Times New Roman"/>
        </w:rPr>
      </w:pPr>
    </w:p>
    <w:p w:rsidR="00000000" w:rsidRDefault="00D04F4B">
      <w:pPr>
        <w:jc w:val="center"/>
        <w:divId w:val="866792956"/>
        <w:rPr>
          <w:rFonts w:eastAsia="Times New Roman"/>
        </w:rPr>
      </w:pPr>
      <w:r>
        <w:rPr>
          <w:rFonts w:eastAsia="Times New Roman"/>
          <w:color w:val="000000"/>
          <w:sz w:val="20"/>
          <w:szCs w:val="20"/>
        </w:rPr>
        <w:t>33</w:t>
      </w:r>
    </w:p>
    <w:p w:rsidR="00000000" w:rsidRDefault="00D04F4B">
      <w:pPr>
        <w:rPr>
          <w:rFonts w:eastAsia="Times New Roman"/>
        </w:rPr>
      </w:pPr>
      <w:r>
        <w:rPr>
          <w:rFonts w:eastAsia="Times New Roman"/>
        </w:rPr>
        <w:pict>
          <v:rect id="_x0000_i1058" style="width:0;height:1.5pt" o:hralign="center" o:hrstd="t" o:hr="t" fillcolor="#a0a0a0" stroked="f"/>
        </w:pict>
      </w:r>
    </w:p>
    <w:p w:rsidR="00000000" w:rsidRDefault="00D04F4B">
      <w:pPr>
        <w:divId w:val="105974926"/>
        <w:rPr>
          <w:rFonts w:eastAsia="Times New Roman"/>
        </w:rPr>
      </w:pPr>
    </w:p>
    <w:p w:rsidR="00000000" w:rsidRDefault="00D04F4B">
      <w:pPr>
        <w:divId w:val="1701206402"/>
        <w:rPr>
          <w:rFonts w:eastAsia="Times New Roman"/>
        </w:rPr>
      </w:pPr>
      <w:r>
        <w:rPr>
          <w:rFonts w:eastAsia="Times New Roman"/>
          <w:b/>
          <w:bCs/>
          <w:color w:val="000000"/>
          <w:sz w:val="20"/>
          <w:szCs w:val="20"/>
        </w:rPr>
        <w:t>Same Store Facilities Operating Trends by Market (Continued)</w:t>
      </w:r>
    </w:p>
    <w:p w:rsidR="00000000" w:rsidRDefault="00D04F4B">
      <w:pPr>
        <w:divId w:val="205685394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1309"/>
        <w:gridCol w:w="38"/>
        <w:gridCol w:w="89"/>
        <w:gridCol w:w="530"/>
        <w:gridCol w:w="37"/>
        <w:gridCol w:w="95"/>
        <w:gridCol w:w="568"/>
        <w:gridCol w:w="37"/>
        <w:gridCol w:w="110"/>
        <w:gridCol w:w="450"/>
        <w:gridCol w:w="36"/>
        <w:gridCol w:w="110"/>
        <w:gridCol w:w="450"/>
        <w:gridCol w:w="36"/>
        <w:gridCol w:w="75"/>
        <w:gridCol w:w="447"/>
        <w:gridCol w:w="170"/>
        <w:gridCol w:w="55"/>
        <w:gridCol w:w="325"/>
        <w:gridCol w:w="171"/>
        <w:gridCol w:w="55"/>
        <w:gridCol w:w="325"/>
        <w:gridCol w:w="170"/>
        <w:gridCol w:w="75"/>
        <w:gridCol w:w="447"/>
        <w:gridCol w:w="170"/>
        <w:gridCol w:w="110"/>
        <w:gridCol w:w="450"/>
        <w:gridCol w:w="36"/>
        <w:gridCol w:w="110"/>
        <w:gridCol w:w="450"/>
        <w:gridCol w:w="36"/>
        <w:gridCol w:w="75"/>
        <w:gridCol w:w="447"/>
        <w:gridCol w:w="170"/>
      </w:tblGrid>
      <w:tr w:rsidR="00000000">
        <w:trPr>
          <w:divId w:val="1879581583"/>
        </w:trPr>
        <w:tc>
          <w:tcPr>
            <w:tcW w:w="50" w:type="pct"/>
            <w:vAlign w:val="center"/>
            <w:hideMark/>
          </w:tcPr>
          <w:p w:rsidR="00000000" w:rsidRDefault="00D04F4B">
            <w:pPr>
              <w:rPr>
                <w:rFonts w:eastAsia="Times New Roman"/>
              </w:rPr>
            </w:pPr>
          </w:p>
        </w:tc>
        <w:tc>
          <w:tcPr>
            <w:tcW w:w="103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879581583"/>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16"/>
                <w:szCs w:val="16"/>
              </w:rPr>
              <w:t> </w:t>
            </w:r>
          </w:p>
        </w:tc>
        <w:tc>
          <w:tcPr>
            <w:tcW w:w="0" w:type="auto"/>
            <w:gridSpan w:val="6"/>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As of December 31, 2021</w:t>
            </w:r>
          </w:p>
        </w:tc>
        <w:tc>
          <w:tcPr>
            <w:tcW w:w="0" w:type="auto"/>
            <w:gridSpan w:val="27"/>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Year Ended December 31,</w:t>
            </w:r>
          </w:p>
        </w:tc>
      </w:tr>
      <w:tr w:rsidR="00000000">
        <w:trPr>
          <w:divId w:val="1879581583"/>
          <w:trHeight w:val="420"/>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6"/>
                <w:szCs w:val="16"/>
              </w:rPr>
              <w:t> </w:t>
            </w:r>
          </w:p>
        </w:tc>
        <w:tc>
          <w:tcPr>
            <w:tcW w:w="0" w:type="auto"/>
            <w:gridSpan w:val="3"/>
            <w:vMerge w:val="restart"/>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Number</w:t>
            </w:r>
            <w:r>
              <w:rPr>
                <w:rFonts w:eastAsia="Times New Roman"/>
                <w:color w:val="000000"/>
                <w:sz w:val="16"/>
                <w:szCs w:val="16"/>
              </w:rPr>
              <w:br/>
              <w:t xml:space="preserve">of </w:t>
            </w:r>
            <w:r>
              <w:rPr>
                <w:rFonts w:eastAsia="Times New Roman"/>
                <w:color w:val="000000"/>
                <w:sz w:val="16"/>
                <w:szCs w:val="16"/>
              </w:rPr>
              <w:br/>
            </w:r>
            <w:r>
              <w:rPr>
                <w:rFonts w:eastAsia="Times New Roman"/>
                <w:color w:val="000000"/>
                <w:sz w:val="16"/>
                <w:szCs w:val="16"/>
              </w:rPr>
              <w:t>Facilities</w:t>
            </w:r>
          </w:p>
        </w:tc>
        <w:tc>
          <w:tcPr>
            <w:tcW w:w="0" w:type="auto"/>
            <w:gridSpan w:val="3"/>
            <w:vMerge w:val="restart"/>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Square</w:t>
            </w:r>
            <w:r>
              <w:rPr>
                <w:rFonts w:eastAsia="Times New Roman"/>
                <w:color w:val="000000"/>
                <w:sz w:val="16"/>
                <w:szCs w:val="16"/>
              </w:rPr>
              <w:br/>
              <w:t>Feet</w:t>
            </w:r>
            <w:r>
              <w:rPr>
                <w:rFonts w:eastAsia="Times New Roman"/>
                <w:color w:val="000000"/>
                <w:sz w:val="16"/>
                <w:szCs w:val="16"/>
              </w:rPr>
              <w:br/>
              <w:t>(millions)</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Occupied Square Foot</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Average Occupancy</w:t>
            </w:r>
          </w:p>
        </w:tc>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Available Square Foot</w:t>
            </w:r>
          </w:p>
        </w:tc>
      </w:tr>
      <w:tr w:rsidR="00000000">
        <w:trPr>
          <w:divId w:val="1879581583"/>
          <w:trHeight w:val="240"/>
        </w:trPr>
        <w:tc>
          <w:tcPr>
            <w:tcW w:w="0" w:type="auto"/>
            <w:gridSpan w:val="3"/>
            <w:tcBorders>
              <w:right w:val="single" w:sz="8"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6"/>
                <w:szCs w:val="16"/>
              </w:rPr>
              <w:t> </w:t>
            </w:r>
          </w:p>
        </w:tc>
        <w:tc>
          <w:tcPr>
            <w:tcW w:w="0" w:type="auto"/>
            <w:gridSpan w:val="3"/>
            <w:vMerge/>
            <w:tcBorders>
              <w:top w:val="single" w:sz="8" w:space="0" w:color="000000"/>
              <w:left w:val="single" w:sz="8" w:space="0" w:color="000000"/>
              <w:right w:val="single" w:sz="8" w:space="0" w:color="000000"/>
            </w:tcBorders>
            <w:vAlign w:val="center"/>
            <w:hideMark/>
          </w:tcPr>
          <w:p w:rsidR="00000000" w:rsidRDefault="00D04F4B">
            <w:pPr>
              <w:spacing w:after="100"/>
              <w:rPr>
                <w:rFonts w:eastAsia="Times New Roman"/>
              </w:rPr>
            </w:pPr>
          </w:p>
        </w:tc>
        <w:tc>
          <w:tcPr>
            <w:tcW w:w="0" w:type="auto"/>
            <w:gridSpan w:val="3"/>
            <w:vMerge/>
            <w:tcBorders>
              <w:top w:val="single" w:sz="8" w:space="0" w:color="000000"/>
              <w:left w:val="single" w:sz="8" w:space="0" w:color="000000"/>
            </w:tcBorders>
            <w:vAlign w:val="center"/>
            <w:hideMark/>
          </w:tcPr>
          <w:p w:rsidR="00000000" w:rsidRDefault="00D04F4B">
            <w:pPr>
              <w:spacing w:after="100"/>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2019</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Los Angeles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213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15.2</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25.98 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25.95 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25.10 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24.67 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San Francisco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130</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New York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24.67 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Miami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83</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5.8</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Seattle-Tacoma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87</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5.9</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Washington DC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89</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5.5</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Chicago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129</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Atlanta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98</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Dallas-Ft. Worth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102</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6.6</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Houston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92</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89.9 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Orlando-Daytona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70</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4.5</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Philadelphia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56</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West Palm Beach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40</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2.9</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Tampa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52</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13.70 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Charlotte</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50</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3.8</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All other markets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893</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56.1</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87958158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Totals</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2,274</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148.7</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17.24 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17.41 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94.5 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16.29 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16.25 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bl>
    <w:p w:rsidR="00000000" w:rsidRDefault="00D04F4B">
      <w:pPr>
        <w:divId w:val="942692995"/>
        <w:rPr>
          <w:rFonts w:eastAsia="Times New Roman"/>
        </w:rPr>
      </w:pPr>
    </w:p>
    <w:p w:rsidR="00000000" w:rsidRDefault="00D04F4B">
      <w:pPr>
        <w:divId w:val="1967466945"/>
        <w:rPr>
          <w:rFonts w:eastAsia="Times New Roman"/>
        </w:rPr>
      </w:pPr>
    </w:p>
    <w:p w:rsidR="00000000" w:rsidRDefault="00D04F4B">
      <w:pPr>
        <w:divId w:val="1744259644"/>
        <w:rPr>
          <w:rFonts w:eastAsia="Times New Roman"/>
        </w:rPr>
      </w:pPr>
    </w:p>
    <w:p w:rsidR="00000000" w:rsidRDefault="00D04F4B">
      <w:pPr>
        <w:divId w:val="1840925064"/>
        <w:rPr>
          <w:rFonts w:eastAsia="Times New Roman"/>
        </w:rPr>
      </w:pPr>
    </w:p>
    <w:p w:rsidR="00000000" w:rsidRDefault="00D04F4B">
      <w:pPr>
        <w:divId w:val="60257945"/>
        <w:rPr>
          <w:rFonts w:eastAsia="Times New Roman"/>
        </w:rPr>
      </w:pPr>
    </w:p>
    <w:p w:rsidR="00000000" w:rsidRDefault="00D04F4B">
      <w:pPr>
        <w:divId w:val="2116710353"/>
        <w:rPr>
          <w:rFonts w:eastAsia="Times New Roman"/>
        </w:rPr>
      </w:pPr>
    </w:p>
    <w:p w:rsidR="00000000" w:rsidRDefault="00D04F4B">
      <w:pPr>
        <w:divId w:val="1028338796"/>
        <w:rPr>
          <w:rFonts w:eastAsia="Times New Roman"/>
        </w:rPr>
      </w:pPr>
    </w:p>
    <w:p w:rsidR="00000000" w:rsidRDefault="00D04F4B">
      <w:pPr>
        <w:divId w:val="661851908"/>
        <w:rPr>
          <w:rFonts w:eastAsia="Times New Roman"/>
        </w:rPr>
      </w:pPr>
    </w:p>
    <w:p w:rsidR="00000000" w:rsidRDefault="00D04F4B">
      <w:pPr>
        <w:divId w:val="267857173"/>
        <w:rPr>
          <w:rFonts w:eastAsia="Times New Roman"/>
        </w:rPr>
      </w:pPr>
    </w:p>
    <w:p w:rsidR="00000000" w:rsidRDefault="00D04F4B">
      <w:pPr>
        <w:divId w:val="339044451"/>
        <w:rPr>
          <w:rFonts w:eastAsia="Times New Roman"/>
        </w:rPr>
      </w:pPr>
    </w:p>
    <w:p w:rsidR="00000000" w:rsidRDefault="00D04F4B">
      <w:pPr>
        <w:divId w:val="971834990"/>
        <w:rPr>
          <w:rFonts w:eastAsia="Times New Roman"/>
        </w:rPr>
      </w:pPr>
    </w:p>
    <w:p w:rsidR="00000000" w:rsidRDefault="00D04F4B">
      <w:pPr>
        <w:jc w:val="center"/>
        <w:divId w:val="719404078"/>
        <w:rPr>
          <w:rFonts w:eastAsia="Times New Roman"/>
        </w:rPr>
      </w:pPr>
      <w:r>
        <w:rPr>
          <w:rFonts w:eastAsia="Times New Roman"/>
          <w:color w:val="000000"/>
          <w:sz w:val="20"/>
          <w:szCs w:val="20"/>
        </w:rPr>
        <w:t>34</w:t>
      </w:r>
    </w:p>
    <w:p w:rsidR="00000000" w:rsidRDefault="00D04F4B">
      <w:pPr>
        <w:rPr>
          <w:rFonts w:eastAsia="Times New Roman"/>
        </w:rPr>
      </w:pPr>
      <w:r>
        <w:rPr>
          <w:rFonts w:eastAsia="Times New Roman"/>
        </w:rPr>
        <w:pict>
          <v:rect id="_x0000_i1059" style="width:0;height:1.5pt" o:hralign="center" o:hrstd="t" o:hr="t" fillcolor="#a0a0a0" stroked="f"/>
        </w:pict>
      </w:r>
    </w:p>
    <w:p w:rsidR="00000000" w:rsidRDefault="00D04F4B">
      <w:pPr>
        <w:divId w:val="1728725365"/>
        <w:rPr>
          <w:rFonts w:eastAsia="Times New Roman"/>
        </w:rPr>
      </w:pPr>
    </w:p>
    <w:p w:rsidR="00000000" w:rsidRDefault="00D04F4B">
      <w:pPr>
        <w:divId w:val="1237470739"/>
        <w:rPr>
          <w:rFonts w:eastAsia="Times New Roman"/>
        </w:rPr>
      </w:pPr>
      <w:r>
        <w:rPr>
          <w:rFonts w:eastAsia="Times New Roman"/>
          <w:b/>
          <w:bCs/>
          <w:color w:val="000000"/>
          <w:sz w:val="20"/>
          <w:szCs w:val="20"/>
        </w:rPr>
        <w:t>Same Store Facilities Operating Trends by Market (Continued)</w:t>
      </w:r>
    </w:p>
    <w:p w:rsidR="00000000" w:rsidRDefault="00D04F4B">
      <w:pPr>
        <w:divId w:val="134332142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3"/>
        <w:gridCol w:w="842"/>
        <w:gridCol w:w="38"/>
        <w:gridCol w:w="110"/>
        <w:gridCol w:w="765"/>
        <w:gridCol w:w="36"/>
        <w:gridCol w:w="110"/>
        <w:gridCol w:w="765"/>
        <w:gridCol w:w="36"/>
        <w:gridCol w:w="75"/>
        <w:gridCol w:w="447"/>
        <w:gridCol w:w="170"/>
        <w:gridCol w:w="110"/>
        <w:gridCol w:w="630"/>
        <w:gridCol w:w="36"/>
        <w:gridCol w:w="110"/>
        <w:gridCol w:w="630"/>
        <w:gridCol w:w="36"/>
        <w:gridCol w:w="75"/>
        <w:gridCol w:w="447"/>
        <w:gridCol w:w="170"/>
        <w:gridCol w:w="110"/>
        <w:gridCol w:w="630"/>
        <w:gridCol w:w="36"/>
        <w:gridCol w:w="110"/>
        <w:gridCol w:w="630"/>
        <w:gridCol w:w="36"/>
        <w:gridCol w:w="75"/>
        <w:gridCol w:w="447"/>
        <w:gridCol w:w="170"/>
        <w:gridCol w:w="110"/>
        <w:gridCol w:w="765"/>
        <w:gridCol w:w="36"/>
        <w:gridCol w:w="110"/>
        <w:gridCol w:w="765"/>
        <w:gridCol w:w="36"/>
        <w:gridCol w:w="75"/>
        <w:gridCol w:w="447"/>
        <w:gridCol w:w="170"/>
      </w:tblGrid>
      <w:tr w:rsidR="00000000">
        <w:trPr>
          <w:divId w:val="1083408222"/>
        </w:trPr>
        <w:tc>
          <w:tcPr>
            <w:tcW w:w="50" w:type="pct"/>
            <w:vAlign w:val="center"/>
            <w:hideMark/>
          </w:tcPr>
          <w:p w:rsidR="00000000" w:rsidRDefault="00D04F4B">
            <w:pPr>
              <w:rPr>
                <w:rFonts w:eastAsia="Times New Roman"/>
              </w:rPr>
            </w:pPr>
          </w:p>
        </w:tc>
        <w:tc>
          <w:tcPr>
            <w:tcW w:w="67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0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08340822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16"/>
                <w:szCs w:val="16"/>
              </w:rPr>
              <w:t> </w:t>
            </w:r>
          </w:p>
        </w:tc>
        <w:tc>
          <w:tcPr>
            <w:tcW w:w="0" w:type="auto"/>
            <w:gridSpan w:val="36"/>
            <w:tcBorders>
              <w:top w:val="single" w:sz="8" w:space="0" w:color="000000"/>
              <w:left w:val="single" w:sz="8" w:space="0" w:color="000000"/>
              <w:bottom w:val="single" w:sz="8" w:space="0" w:color="000000"/>
              <w:right w:val="single" w:sz="8" w:space="0" w:color="000000"/>
            </w:tcBorders>
            <w:tcMar>
              <w:top w:w="30" w:type="dxa"/>
              <w:left w:w="48" w:type="dxa"/>
              <w:bottom w:w="30" w:type="dxa"/>
              <w:right w:w="48" w:type="dxa"/>
            </w:tcMar>
            <w:hideMark/>
          </w:tcPr>
          <w:p w:rsidR="00000000" w:rsidRDefault="00D04F4B">
            <w:pPr>
              <w:spacing w:after="100"/>
              <w:jc w:val="center"/>
              <w:rPr>
                <w:rFonts w:eastAsia="Times New Roman"/>
              </w:rPr>
            </w:pPr>
            <w:r>
              <w:rPr>
                <w:rFonts w:eastAsia="Times New Roman"/>
                <w:color w:val="000000"/>
                <w:sz w:val="16"/>
                <w:szCs w:val="16"/>
              </w:rPr>
              <w:t>Year Ended December 31,</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6"/>
                <w:szCs w:val="16"/>
              </w:rPr>
              <w:t> </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D04F4B">
            <w:pPr>
              <w:spacing w:after="100"/>
              <w:jc w:val="center"/>
              <w:rPr>
                <w:rFonts w:eastAsia="Times New Roman"/>
              </w:rPr>
            </w:pPr>
            <w:r>
              <w:rPr>
                <w:rFonts w:eastAsia="Times New Roman"/>
                <w:color w:val="000000"/>
                <w:sz w:val="16"/>
                <w:szCs w:val="16"/>
              </w:rPr>
              <w:t>Revenues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D04F4B">
            <w:pPr>
              <w:spacing w:after="100"/>
              <w:jc w:val="center"/>
              <w:rPr>
                <w:rFonts w:eastAsia="Times New Roman"/>
              </w:rPr>
            </w:pPr>
            <w:r>
              <w:rPr>
                <w:rFonts w:eastAsia="Times New Roman"/>
                <w:color w:val="000000"/>
                <w:sz w:val="16"/>
                <w:szCs w:val="16"/>
              </w:rPr>
              <w:t>Direct Expenses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D04F4B">
            <w:pPr>
              <w:spacing w:after="100"/>
              <w:jc w:val="center"/>
              <w:rPr>
                <w:rFonts w:eastAsia="Times New Roman"/>
              </w:rPr>
            </w:pPr>
            <w:r>
              <w:rPr>
                <w:rFonts w:eastAsia="Times New Roman"/>
                <w:color w:val="000000"/>
                <w:sz w:val="16"/>
                <w:szCs w:val="16"/>
              </w:rPr>
              <w:t>Indirect Expenses ($000's)</w:t>
            </w:r>
          </w:p>
        </w:tc>
        <w:tc>
          <w:tcPr>
            <w:tcW w:w="0" w:type="auto"/>
            <w:gridSpan w:val="9"/>
            <w:tcBorders>
              <w:top w:val="single" w:sz="8" w:space="0" w:color="000000"/>
              <w:left w:val="single" w:sz="8" w:space="0" w:color="000000"/>
              <w:right w:val="single" w:sz="8" w:space="0" w:color="000000"/>
            </w:tcBorders>
            <w:tcMar>
              <w:top w:w="30" w:type="dxa"/>
              <w:left w:w="48" w:type="dxa"/>
              <w:bottom w:w="30" w:type="dxa"/>
              <w:right w:w="48" w:type="dxa"/>
            </w:tcMar>
            <w:vAlign w:val="center"/>
            <w:hideMark/>
          </w:tcPr>
          <w:p w:rsidR="00000000" w:rsidRDefault="00D04F4B">
            <w:pPr>
              <w:spacing w:after="100"/>
              <w:jc w:val="center"/>
              <w:rPr>
                <w:rFonts w:eastAsia="Times New Roman"/>
              </w:rPr>
            </w:pPr>
            <w:r>
              <w:rPr>
                <w:rFonts w:eastAsia="Times New Roman"/>
                <w:color w:val="000000"/>
                <w:sz w:val="16"/>
                <w:szCs w:val="16"/>
              </w:rPr>
              <w:t>Net Operating Income ($000's)</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2019</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6"/>
                <w:szCs w:val="16"/>
              </w:rPr>
              <w:t>Change</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Los Angeles </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388,613 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385,426 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62,562 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59,487 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10,365 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9,969 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315,686 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315,970 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(0.1)</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San Francisco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209,941 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206,860 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36,094 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34,881 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6,496 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6,041 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167,351 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165,938 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New York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162,637 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165,230 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43,849 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43,341 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4,881 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5,076 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113,907 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116,813 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Miami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112,128 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114,980 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26,173 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25,755 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3,888 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81,842 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85,337 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Seattle-Tacoma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116,054 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116,133 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23,917 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21,723 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3,921 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87,983 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90,489 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Washington DC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112,739 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114,483 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26,695 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26,130 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3,629 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3,649 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82,415 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84,704 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Chicago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118,560 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119,281 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50,338 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50,295 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5,667 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62,749 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63,319 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Atlanta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83,120 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87,134 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19,080 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18,550 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4,236 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4,327 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59,804 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64,257 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Dallas-Ft. Worth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85,545 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87,157 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23,884 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23,404 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4,177 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57,515 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59,576 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Houston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77,318 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79,969 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26,737 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26,799 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3,988 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3,927 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46,593 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49,243 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Orlando-Daytona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59,573 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61,654 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14,779 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14,226 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41,840 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44,501 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Philadelphia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59,666 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59,120 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15,461 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14,782 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41,572 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41,592 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West Palm Beach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50,623 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51,213 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12,549 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11,954 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36,017 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37,447 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Tampa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46,216 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47,706 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12,723 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12,141 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31,290 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33,421 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Charlotte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41,106 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41,880 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9,627 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9,740 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2,098 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29,452 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30,042 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All other markets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781,080 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787,346 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204,445 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198,813 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39,183 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38,266 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537,452 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550,267 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108340822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Totals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2,504,919 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2,525,572 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(0.8)</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608,913 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592,021 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102,538 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100,635 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1,793,468 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1,832,916 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bl>
    <w:p w:rsidR="00000000" w:rsidRDefault="00D04F4B">
      <w:pPr>
        <w:divId w:val="1526869990"/>
        <w:rPr>
          <w:rFonts w:eastAsia="Times New Roman"/>
        </w:rPr>
      </w:pPr>
    </w:p>
    <w:p w:rsidR="00000000" w:rsidRDefault="00D04F4B">
      <w:pPr>
        <w:divId w:val="797407707"/>
        <w:rPr>
          <w:rFonts w:eastAsia="Times New Roman"/>
        </w:rPr>
      </w:pPr>
    </w:p>
    <w:p w:rsidR="00000000" w:rsidRDefault="00D04F4B">
      <w:pPr>
        <w:divId w:val="1609006319"/>
        <w:rPr>
          <w:rFonts w:eastAsia="Times New Roman"/>
        </w:rPr>
      </w:pPr>
    </w:p>
    <w:p w:rsidR="00000000" w:rsidRDefault="00D04F4B">
      <w:pPr>
        <w:divId w:val="394553995"/>
        <w:rPr>
          <w:rFonts w:eastAsia="Times New Roman"/>
        </w:rPr>
      </w:pPr>
    </w:p>
    <w:p w:rsidR="00000000" w:rsidRDefault="00D04F4B">
      <w:pPr>
        <w:divId w:val="190337002"/>
        <w:rPr>
          <w:rFonts w:eastAsia="Times New Roman"/>
        </w:rPr>
      </w:pPr>
    </w:p>
    <w:p w:rsidR="00000000" w:rsidRDefault="00D04F4B">
      <w:pPr>
        <w:divId w:val="1594511606"/>
        <w:rPr>
          <w:rFonts w:eastAsia="Times New Roman"/>
        </w:rPr>
      </w:pPr>
    </w:p>
    <w:p w:rsidR="00000000" w:rsidRDefault="00D04F4B">
      <w:pPr>
        <w:divId w:val="19479447"/>
        <w:rPr>
          <w:rFonts w:eastAsia="Times New Roman"/>
        </w:rPr>
      </w:pPr>
    </w:p>
    <w:p w:rsidR="00000000" w:rsidRDefault="00D04F4B">
      <w:pPr>
        <w:divId w:val="564410604"/>
        <w:rPr>
          <w:rFonts w:eastAsia="Times New Roman"/>
        </w:rPr>
      </w:pPr>
    </w:p>
    <w:p w:rsidR="00000000" w:rsidRDefault="00D04F4B">
      <w:pPr>
        <w:divId w:val="1030648255"/>
        <w:rPr>
          <w:rFonts w:eastAsia="Times New Roman"/>
        </w:rPr>
      </w:pPr>
    </w:p>
    <w:p w:rsidR="00000000" w:rsidRDefault="00D04F4B">
      <w:pPr>
        <w:divId w:val="1315643969"/>
        <w:rPr>
          <w:rFonts w:eastAsia="Times New Roman"/>
        </w:rPr>
      </w:pPr>
    </w:p>
    <w:p w:rsidR="00000000" w:rsidRDefault="00D04F4B">
      <w:pPr>
        <w:divId w:val="653683790"/>
        <w:rPr>
          <w:rFonts w:eastAsia="Times New Roman"/>
        </w:rPr>
      </w:pPr>
    </w:p>
    <w:p w:rsidR="00000000" w:rsidRDefault="00D04F4B">
      <w:pPr>
        <w:divId w:val="358942509"/>
        <w:rPr>
          <w:rFonts w:eastAsia="Times New Roman"/>
        </w:rPr>
      </w:pPr>
    </w:p>
    <w:p w:rsidR="00000000" w:rsidRDefault="00D04F4B">
      <w:pPr>
        <w:jc w:val="center"/>
        <w:divId w:val="1362701705"/>
        <w:rPr>
          <w:rFonts w:eastAsia="Times New Roman"/>
        </w:rPr>
      </w:pPr>
      <w:r>
        <w:rPr>
          <w:rFonts w:eastAsia="Times New Roman"/>
          <w:color w:val="000000"/>
          <w:sz w:val="20"/>
          <w:szCs w:val="20"/>
        </w:rPr>
        <w:t>35</w:t>
      </w:r>
    </w:p>
    <w:p w:rsidR="00000000" w:rsidRDefault="00D04F4B">
      <w:pPr>
        <w:rPr>
          <w:rFonts w:eastAsia="Times New Roman"/>
        </w:rPr>
      </w:pPr>
      <w:r>
        <w:rPr>
          <w:rFonts w:eastAsia="Times New Roman"/>
        </w:rPr>
        <w:pict>
          <v:rect id="_x0000_i1060" style="width:0;height:1.5pt" o:hralign="center" o:hrstd="t" o:hr="t" fillcolor="#a0a0a0" stroked="f"/>
        </w:pict>
      </w:r>
    </w:p>
    <w:p w:rsidR="00000000" w:rsidRDefault="00D04F4B">
      <w:pPr>
        <w:divId w:val="574895611"/>
        <w:rPr>
          <w:rFonts w:eastAsia="Times New Roman"/>
        </w:rPr>
      </w:pPr>
    </w:p>
    <w:p w:rsidR="00000000" w:rsidRDefault="00D04F4B">
      <w:pPr>
        <w:ind w:firstLine="720"/>
        <w:jc w:val="both"/>
        <w:divId w:val="653874790"/>
        <w:rPr>
          <w:rFonts w:eastAsia="Times New Roman"/>
        </w:rPr>
      </w:pPr>
      <w:r>
        <w:rPr>
          <w:rFonts w:eastAsia="Times New Roman"/>
          <w:b/>
          <w:bCs/>
          <w:i/>
          <w:iCs/>
          <w:color w:val="000000"/>
          <w:sz w:val="20"/>
          <w:szCs w:val="20"/>
          <w:u w:val="single"/>
        </w:rPr>
        <w:t>Acquired Facilities</w:t>
      </w:r>
    </w:p>
    <w:p w:rsidR="00000000" w:rsidRDefault="00D04F4B">
      <w:pPr>
        <w:ind w:firstLine="720"/>
        <w:jc w:val="both"/>
        <w:divId w:val="667369349"/>
        <w:rPr>
          <w:rFonts w:eastAsia="Times New Roman"/>
        </w:rPr>
      </w:pPr>
      <w:r>
        <w:rPr>
          <w:rFonts w:eastAsia="Times New Roman"/>
          <w:color w:val="000000"/>
          <w:sz w:val="20"/>
          <w:szCs w:val="20"/>
        </w:rPr>
        <w:t>The Acquired Facilities represent 338 facilities that we acquired in 2019, 2020, and 2021. As a result of the stabilization process and timing of when these facilities were acquired (and resulting r</w:t>
      </w:r>
      <w:r>
        <w:rPr>
          <w:rFonts w:eastAsia="Times New Roman"/>
          <w:color w:val="000000"/>
          <w:sz w:val="20"/>
          <w:szCs w:val="20"/>
        </w:rPr>
        <w:t>eclassification to Same-Store Facilities), year-over-year changes can be significant. The following table summarizes operating data with respect to the Acquired Facilities: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2386"/>
        <w:gridCol w:w="36"/>
        <w:gridCol w:w="123"/>
        <w:gridCol w:w="751"/>
        <w:gridCol w:w="38"/>
        <w:gridCol w:w="37"/>
        <w:gridCol w:w="37"/>
        <w:gridCol w:w="37"/>
        <w:gridCol w:w="122"/>
        <w:gridCol w:w="716"/>
        <w:gridCol w:w="38"/>
        <w:gridCol w:w="36"/>
        <w:gridCol w:w="36"/>
        <w:gridCol w:w="36"/>
        <w:gridCol w:w="122"/>
        <w:gridCol w:w="751"/>
        <w:gridCol w:w="37"/>
        <w:gridCol w:w="36"/>
        <w:gridCol w:w="36"/>
        <w:gridCol w:w="36"/>
        <w:gridCol w:w="122"/>
        <w:gridCol w:w="716"/>
        <w:gridCol w:w="38"/>
        <w:gridCol w:w="37"/>
        <w:gridCol w:w="37"/>
        <w:gridCol w:w="37"/>
        <w:gridCol w:w="122"/>
        <w:gridCol w:w="616"/>
        <w:gridCol w:w="39"/>
        <w:gridCol w:w="36"/>
        <w:gridCol w:w="36"/>
        <w:gridCol w:w="36"/>
        <w:gridCol w:w="123"/>
        <w:gridCol w:w="789"/>
        <w:gridCol w:w="38"/>
      </w:tblGrid>
      <w:tr w:rsidR="00000000">
        <w:trPr>
          <w:divId w:val="1658219326"/>
        </w:trPr>
        <w:tc>
          <w:tcPr>
            <w:tcW w:w="50" w:type="pct"/>
            <w:vAlign w:val="center"/>
            <w:hideMark/>
          </w:tcPr>
          <w:p w:rsidR="00000000" w:rsidRDefault="00D04F4B">
            <w:pPr>
              <w:ind w:firstLine="720"/>
              <w:jc w:val="both"/>
              <w:rPr>
                <w:rFonts w:eastAsia="Times New Roman"/>
              </w:rPr>
            </w:pPr>
          </w:p>
        </w:tc>
        <w:tc>
          <w:tcPr>
            <w:tcW w:w="174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20"/>
                <w:szCs w:val="20"/>
              </w:rPr>
              <w:t xml:space="preserve">ACQUIRED FACILITIES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r>
      <w:tr w:rsidR="00000000">
        <w:trPr>
          <w:divId w:val="1658219326"/>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Change (a)</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Change (a)</w:t>
            </w:r>
          </w:p>
        </w:tc>
      </w:tr>
      <w:tr w:rsidR="00000000">
        <w:trPr>
          <w:divId w:val="1658219326"/>
          <w:trHeight w:val="6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 xml:space="preserve">($ amounts in </w:t>
            </w:r>
            <w:r>
              <w:rPr>
                <w:rFonts w:eastAsia="Times New Roman"/>
                <w:color w:val="000000"/>
                <w:sz w:val="20"/>
                <w:szCs w:val="20"/>
              </w:rPr>
              <w:t>thousands, except for per square foot amounts)</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20"/>
                <w:szCs w:val="20"/>
              </w:rPr>
              <w:t>Revenues (b):</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1789160552"/>
              <w:rPr>
                <w:rFonts w:eastAsia="Times New Roman"/>
              </w:rPr>
            </w:pPr>
            <w:r>
              <w:rPr>
                <w:rFonts w:eastAsia="Times New Roman"/>
                <w:color w:val="000000"/>
                <w:sz w:val="20"/>
                <w:szCs w:val="20"/>
              </w:rPr>
              <w:t>2019 Acquisitions</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41,967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31,334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10,633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31,334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12,704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18,630</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201795377"/>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54,890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11,365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43,525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11,365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11,365</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476997310"/>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106,474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106,474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658219326"/>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    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203,331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42,699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160,632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42,699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12,704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29,995</w:t>
            </w:r>
          </w:p>
        </w:tc>
      </w:tr>
      <w:tr w:rsidR="00000000">
        <w:trPr>
          <w:divId w:val="1658219326"/>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14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14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140" w:type="dxa"/>
            </w:tcMar>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20"/>
                <w:szCs w:val="20"/>
              </w:rPr>
              <w:t xml:space="preserve">Cost of operations (b):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39"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663434477"/>
              <w:rPr>
                <w:rFonts w:eastAsia="Times New Roman"/>
              </w:rPr>
            </w:pPr>
            <w:r>
              <w:rPr>
                <w:rFonts w:eastAsia="Times New Roman"/>
                <w:color w:val="000000"/>
                <w:sz w:val="20"/>
                <w:szCs w:val="20"/>
              </w:rPr>
              <w:t>2019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13,486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13,323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13,323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5,178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8,145</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1979915852"/>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25,216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6,742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18,474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6,742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6,742</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1208444783"/>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32,705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32,705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658219326"/>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    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71,407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20,065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51,342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20,065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5,178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14,887</w:t>
            </w:r>
          </w:p>
        </w:tc>
      </w:tr>
      <w:tr w:rsidR="00000000">
        <w:trPr>
          <w:divId w:val="1658219326"/>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39"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39"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39" w:type="dxa"/>
            </w:tcMar>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20"/>
                <w:szCs w:val="20"/>
              </w:rPr>
              <w:t>Net operating income:</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39"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39"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39" w:type="dxa"/>
            </w:tcMar>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732630421"/>
              <w:rPr>
                <w:rFonts w:eastAsia="Times New Roman"/>
              </w:rPr>
            </w:pPr>
            <w:r>
              <w:rPr>
                <w:rFonts w:eastAsia="Times New Roman"/>
                <w:color w:val="000000"/>
                <w:sz w:val="20"/>
                <w:szCs w:val="20"/>
              </w:rPr>
              <w:t>2019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28,481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18,011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10,470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18,011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7,526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10,485</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697125769"/>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29,674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4,623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25,051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4,623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4,623</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1890221918"/>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73,769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73,769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658219326"/>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    Net operating income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131,924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22,634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109,290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22,634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7,526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15,108</w:t>
            </w:r>
          </w:p>
        </w:tc>
      </w:tr>
      <w:tr w:rsidR="00000000">
        <w:trPr>
          <w:divId w:val="1658219326"/>
        </w:trPr>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Depreciation and amortization expense</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(183,086)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(32,939)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(150,147)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(32,939)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(12,883)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(20,056)</w:t>
            </w:r>
          </w:p>
        </w:tc>
      </w:tr>
      <w:tr w:rsidR="00000000">
        <w:trPr>
          <w:divId w:val="1658219326"/>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Net loss</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(51,162)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(10,305)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(40,857)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(10,305)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(5,357)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(4,948)</w:t>
            </w:r>
          </w:p>
        </w:tc>
      </w:tr>
      <w:tr w:rsidR="00000000">
        <w:trPr>
          <w:divId w:val="1658219326"/>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1699622685"/>
              <w:rPr>
                <w:rFonts w:eastAsia="Times New Roman"/>
              </w:rPr>
            </w:pPr>
            <w:r>
              <w:rPr>
                <w:rFonts w:eastAsia="Times New Roman"/>
                <w:color w:val="000000"/>
                <w:sz w:val="20"/>
                <w:szCs w:val="20"/>
                <w:u w:val="single"/>
              </w:rPr>
              <w:t>At December 31:</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Square foot occupancy:</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237524436"/>
              <w:rPr>
                <w:rFonts w:eastAsia="Times New Roman"/>
              </w:rPr>
            </w:pPr>
            <w:r>
              <w:rPr>
                <w:rFonts w:eastAsia="Times New Roman"/>
                <w:color w:val="000000"/>
                <w:sz w:val="20"/>
                <w:szCs w:val="20"/>
              </w:rPr>
              <w:t>2019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92.4%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91.7%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0.8%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91.7%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73.6%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24.6%</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1116212374"/>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88.2%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63.5%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38.9%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63.5%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1418403793"/>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79.9%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658219326"/>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82.6%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74.4%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74.4%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73.6%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w:t>
            </w:r>
          </w:p>
        </w:tc>
      </w:tr>
      <w:tr w:rsidR="00000000">
        <w:trPr>
          <w:divId w:val="1658219326"/>
        </w:trPr>
        <w:tc>
          <w:tcPr>
            <w:tcW w:w="0" w:type="auto"/>
            <w:gridSpan w:val="3"/>
            <w:tcMar>
              <w:top w:w="30" w:type="dxa"/>
              <w:left w:w="8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20"/>
                <w:szCs w:val="20"/>
              </w:rPr>
              <w:t>Annual contract rent per occupied square foot:</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827669460"/>
              <w:rPr>
                <w:rFonts w:eastAsia="Times New Roman"/>
              </w:rPr>
            </w:pPr>
            <w:r>
              <w:rPr>
                <w:rFonts w:eastAsia="Times New Roman"/>
                <w:color w:val="000000"/>
                <w:sz w:val="20"/>
                <w:szCs w:val="20"/>
              </w:rPr>
              <w:t>2019 Acquisitions</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15.65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11.93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11.93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12.27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(2.8)%</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1350450513"/>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14.82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12.50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12.50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1457945320"/>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15.62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658219326"/>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15.48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12.23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26.6%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12.23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12.27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(0.3)%</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Number of facilities: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1283734492"/>
              <w:rPr>
                <w:rFonts w:eastAsia="Times New Roman"/>
              </w:rPr>
            </w:pPr>
            <w:r>
              <w:rPr>
                <w:rFonts w:eastAsia="Times New Roman"/>
                <w:color w:val="000000"/>
                <w:sz w:val="20"/>
                <w:szCs w:val="20"/>
              </w:rPr>
              <w:t>2019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225605011"/>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62</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559286679"/>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658219326"/>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338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62</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Net rentable square feet (in thousands):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14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14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860" w:type="dxa"/>
            </w:tcMar>
            <w:vAlign w:val="center"/>
            <w:hideMark/>
          </w:tcPr>
          <w:p w:rsidR="00000000" w:rsidRDefault="00D04F4B">
            <w:pPr>
              <w:spacing w:after="100"/>
              <w:rPr>
                <w:rFonts w:eastAsia="Times New Roman"/>
                <w:sz w:val="20"/>
                <w:szCs w:val="20"/>
              </w:rPr>
            </w:pP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1734086039"/>
              <w:rPr>
                <w:rFonts w:eastAsia="Times New Roman"/>
              </w:rPr>
            </w:pPr>
            <w:r>
              <w:rPr>
                <w:rFonts w:eastAsia="Times New Roman"/>
                <w:color w:val="000000"/>
                <w:sz w:val="20"/>
                <w:szCs w:val="20"/>
              </w:rPr>
              <w:t>2019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3,154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3,154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3,154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3,133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21</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1609004715"/>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5,075</w:t>
            </w:r>
          </w:p>
        </w:tc>
      </w:tr>
      <w:tr w:rsidR="00000000">
        <w:trPr>
          <w:divId w:val="1658219326"/>
        </w:trPr>
        <w:tc>
          <w:tcPr>
            <w:tcW w:w="0" w:type="auto"/>
            <w:gridSpan w:val="3"/>
            <w:tcMar>
              <w:top w:w="30" w:type="dxa"/>
              <w:left w:w="20" w:type="dxa"/>
              <w:bottom w:w="30" w:type="dxa"/>
              <w:right w:w="20" w:type="dxa"/>
            </w:tcMar>
            <w:vAlign w:val="bottom"/>
            <w:hideMark/>
          </w:tcPr>
          <w:p w:rsidR="00000000" w:rsidRDefault="00D04F4B">
            <w:pPr>
              <w:spacing w:after="100"/>
              <w:divId w:val="437602152"/>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21,830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21,830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658219326"/>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30,059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8,229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21,830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8,229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3,133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5,096</w:t>
            </w:r>
          </w:p>
        </w:tc>
      </w:tr>
    </w:tbl>
    <w:p w:rsidR="00000000" w:rsidRDefault="00D04F4B">
      <w:pPr>
        <w:jc w:val="center"/>
        <w:divId w:val="1639801069"/>
        <w:rPr>
          <w:rFonts w:eastAsia="Times New Roman"/>
        </w:rPr>
      </w:pPr>
      <w:r>
        <w:rPr>
          <w:rFonts w:eastAsia="Times New Roman"/>
          <w:color w:val="000000"/>
          <w:sz w:val="20"/>
          <w:szCs w:val="20"/>
        </w:rPr>
        <w:t>36</w:t>
      </w:r>
    </w:p>
    <w:p w:rsidR="00000000" w:rsidRDefault="00D04F4B">
      <w:pPr>
        <w:rPr>
          <w:rFonts w:eastAsia="Times New Roman"/>
        </w:rPr>
      </w:pPr>
      <w:r>
        <w:rPr>
          <w:rFonts w:eastAsia="Times New Roman"/>
        </w:rPr>
        <w:pict>
          <v:rect id="_x0000_i1061" style="width:0;height:1.5pt" o:hralign="center" o:hrstd="t" o:hr="t" fillcolor="#a0a0a0" stroked="f"/>
        </w:pict>
      </w:r>
    </w:p>
    <w:p w:rsidR="00000000" w:rsidRDefault="00D04F4B">
      <w:pPr>
        <w:divId w:val="266232711"/>
        <w:rPr>
          <w:rFonts w:eastAsia="Times New Roman"/>
        </w:rPr>
      </w:pPr>
    </w:p>
    <w:p w:rsidR="00000000" w:rsidRDefault="00D04F4B">
      <w:pPr>
        <w:divId w:val="1835487335"/>
        <w:rPr>
          <w:rFonts w:eastAsia="Times New Roman"/>
        </w:rPr>
      </w:pPr>
      <w:r>
        <w:rPr>
          <w:rFonts w:eastAsia="Times New Roman"/>
          <w:b/>
          <w:bCs/>
          <w:color w:val="000000"/>
          <w:sz w:val="20"/>
          <w:szCs w:val="20"/>
        </w:rPr>
        <w:t xml:space="preserve">ACQUIRED FACILITIES (Continued) </w:t>
      </w:r>
    </w:p>
    <w:tbl>
      <w:tblPr>
        <w:tblW w:w="4287" w:type="pct"/>
        <w:tblCellMar>
          <w:top w:w="15" w:type="dxa"/>
          <w:left w:w="15" w:type="dxa"/>
          <w:bottom w:w="15" w:type="dxa"/>
          <w:right w:w="15" w:type="dxa"/>
        </w:tblCellMar>
        <w:tblLook w:val="04A0" w:firstRow="1" w:lastRow="0" w:firstColumn="1" w:lastColumn="0" w:noHBand="0" w:noVBand="1"/>
      </w:tblPr>
      <w:tblGrid>
        <w:gridCol w:w="38"/>
        <w:gridCol w:w="5559"/>
        <w:gridCol w:w="37"/>
        <w:gridCol w:w="121"/>
        <w:gridCol w:w="1331"/>
        <w:gridCol w:w="36"/>
      </w:tblGrid>
      <w:tr w:rsidR="00000000">
        <w:trPr>
          <w:divId w:val="1959752281"/>
        </w:trPr>
        <w:tc>
          <w:tcPr>
            <w:tcW w:w="50" w:type="pct"/>
            <w:vAlign w:val="center"/>
            <w:hideMark/>
          </w:tcPr>
          <w:p w:rsidR="00000000" w:rsidRDefault="00D04F4B">
            <w:pPr>
              <w:rPr>
                <w:rFonts w:eastAsia="Times New Roman"/>
              </w:rPr>
            </w:pPr>
          </w:p>
        </w:tc>
        <w:tc>
          <w:tcPr>
            <w:tcW w:w="39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96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959752281"/>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 xml:space="preserve">As of </w:t>
            </w:r>
          </w:p>
          <w:p w:rsidR="00000000" w:rsidRDefault="00D04F4B">
            <w:pPr>
              <w:spacing w:after="100"/>
              <w:jc w:val="center"/>
              <w:rPr>
                <w:rFonts w:eastAsia="Times New Roman"/>
              </w:rPr>
            </w:pPr>
            <w:r>
              <w:rPr>
                <w:rFonts w:eastAsia="Times New Roman"/>
                <w:color w:val="000000"/>
                <w:sz w:val="20"/>
                <w:szCs w:val="20"/>
              </w:rPr>
              <w:t>December 31, 2021</w:t>
            </w:r>
          </w:p>
        </w:tc>
      </w:tr>
      <w:tr w:rsidR="00000000">
        <w:trPr>
          <w:divId w:val="195975228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Costs to acquire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r>
      <w:tr w:rsidR="00000000">
        <w:trPr>
          <w:divId w:val="1959752281"/>
        </w:trPr>
        <w:tc>
          <w:tcPr>
            <w:tcW w:w="0" w:type="auto"/>
            <w:gridSpan w:val="3"/>
            <w:tcMar>
              <w:top w:w="30" w:type="dxa"/>
              <w:left w:w="20" w:type="dxa"/>
              <w:bottom w:w="30" w:type="dxa"/>
              <w:right w:w="20" w:type="dxa"/>
            </w:tcMar>
            <w:vAlign w:val="bottom"/>
            <w:hideMark/>
          </w:tcPr>
          <w:p w:rsidR="00000000" w:rsidRDefault="00D04F4B">
            <w:pPr>
              <w:spacing w:after="100"/>
              <w:divId w:val="798375223"/>
              <w:rPr>
                <w:rFonts w:eastAsia="Times New Roman"/>
              </w:rPr>
            </w:pPr>
            <w:r>
              <w:rPr>
                <w:rFonts w:eastAsia="Times New Roman"/>
                <w:color w:val="000000"/>
                <w:sz w:val="20"/>
                <w:szCs w:val="20"/>
              </w:rPr>
              <w:t>2019 Acquisitions</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429,850</w:t>
            </w:r>
          </w:p>
        </w:tc>
      </w:tr>
      <w:tr w:rsidR="00000000">
        <w:trPr>
          <w:divId w:val="1959752281"/>
        </w:trPr>
        <w:tc>
          <w:tcPr>
            <w:tcW w:w="0" w:type="auto"/>
            <w:gridSpan w:val="3"/>
            <w:tcMar>
              <w:top w:w="30" w:type="dxa"/>
              <w:left w:w="20" w:type="dxa"/>
              <w:bottom w:w="30" w:type="dxa"/>
              <w:right w:w="20" w:type="dxa"/>
            </w:tcMar>
            <w:vAlign w:val="bottom"/>
            <w:hideMark/>
          </w:tcPr>
          <w:p w:rsidR="00000000" w:rsidRDefault="00D04F4B">
            <w:pPr>
              <w:spacing w:after="100"/>
              <w:divId w:val="325018766"/>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796,065</w:t>
            </w:r>
          </w:p>
        </w:tc>
      </w:tr>
      <w:tr w:rsidR="00000000">
        <w:trPr>
          <w:divId w:val="1959752281"/>
        </w:trPr>
        <w:tc>
          <w:tcPr>
            <w:tcW w:w="0" w:type="auto"/>
            <w:gridSpan w:val="3"/>
            <w:tcMar>
              <w:top w:w="30" w:type="dxa"/>
              <w:left w:w="20" w:type="dxa"/>
              <w:bottom w:w="30" w:type="dxa"/>
              <w:right w:w="20" w:type="dxa"/>
            </w:tcMar>
            <w:vAlign w:val="bottom"/>
            <w:hideMark/>
          </w:tcPr>
          <w:p w:rsidR="00000000" w:rsidRDefault="00D04F4B">
            <w:pPr>
              <w:spacing w:after="100"/>
              <w:divId w:val="1212881339"/>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5,115,276</w:t>
            </w:r>
          </w:p>
        </w:tc>
      </w:tr>
      <w:tr w:rsidR="00000000">
        <w:trPr>
          <w:divId w:val="195975228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6,341,191</w:t>
            </w:r>
          </w:p>
        </w:tc>
      </w:tr>
    </w:tbl>
    <w:p w:rsidR="00000000" w:rsidRDefault="00D04F4B">
      <w:pPr>
        <w:ind w:hanging="360"/>
        <w:jc w:val="both"/>
        <w:divId w:val="1893617659"/>
        <w:rPr>
          <w:rFonts w:eastAsia="Times New Roman"/>
        </w:rPr>
      </w:pPr>
      <w:r>
        <w:rPr>
          <w:rFonts w:eastAsia="Times New Roman"/>
          <w:color w:val="000000"/>
          <w:sz w:val="18"/>
          <w:szCs w:val="18"/>
        </w:rPr>
        <w:t>(a)</w:t>
      </w:r>
      <w:r>
        <w:rPr>
          <w:rFonts w:eastAsia="Times New Roman"/>
          <w:color w:val="000000"/>
          <w:sz w:val="18"/>
          <w:szCs w:val="18"/>
        </w:rPr>
        <w:t xml:space="preserve">Represents the percentage change with respect to square foot occupancy and annual contract rent per occupied square foot, and the absolute nominal change with respect to all other items. </w:t>
      </w:r>
    </w:p>
    <w:p w:rsidR="00000000" w:rsidRDefault="00D04F4B">
      <w:pPr>
        <w:ind w:hanging="360"/>
        <w:jc w:val="both"/>
        <w:divId w:val="1636106916"/>
        <w:rPr>
          <w:rFonts w:eastAsia="Times New Roman"/>
        </w:rPr>
      </w:pPr>
      <w:r>
        <w:rPr>
          <w:rFonts w:eastAsia="Times New Roman"/>
          <w:color w:val="000000"/>
          <w:sz w:val="18"/>
          <w:szCs w:val="18"/>
        </w:rPr>
        <w:t>(b)Revenues and cost of operations do not include tenant reinsurance</w:t>
      </w:r>
      <w:r>
        <w:rPr>
          <w:rFonts w:eastAsia="Times New Roman"/>
          <w:color w:val="000000"/>
          <w:sz w:val="18"/>
          <w:szCs w:val="18"/>
        </w:rPr>
        <w:t xml:space="preserve"> and merchandise sale revenues and expenses generated at the facilities. See “Ancillary Operations” below for more information.</w:t>
      </w:r>
    </w:p>
    <w:p w:rsidR="00000000" w:rsidRDefault="00D04F4B">
      <w:pPr>
        <w:ind w:firstLine="720"/>
        <w:jc w:val="both"/>
        <w:divId w:val="1402365401"/>
        <w:rPr>
          <w:rFonts w:eastAsia="Times New Roman"/>
        </w:rPr>
      </w:pPr>
      <w:r>
        <w:rPr>
          <w:rFonts w:eastAsia="Times New Roman"/>
          <w:color w:val="000000"/>
          <w:sz w:val="20"/>
          <w:szCs w:val="20"/>
        </w:rPr>
        <w:t>During 2021, we acquired the ezStorage portfolio, consisting of 48 properties (4.1 million net rentable square feet) for acquisi</w:t>
      </w:r>
      <w:r>
        <w:rPr>
          <w:rFonts w:eastAsia="Times New Roman"/>
          <w:color w:val="000000"/>
          <w:sz w:val="20"/>
          <w:szCs w:val="20"/>
        </w:rPr>
        <w:t>tion cost of $1.8 billion, which includes 47 self-storage facilities and one property that is under construction. Included in the 2021 Acquisition results in the table above are revenues of $61.7 million, NOI of $48.5 million (including Direct NOI of $50.2</w:t>
      </w:r>
      <w:r>
        <w:rPr>
          <w:rFonts w:eastAsia="Times New Roman"/>
          <w:color w:val="000000"/>
          <w:sz w:val="20"/>
          <w:szCs w:val="20"/>
        </w:rPr>
        <w:t xml:space="preserve"> million) and square footage occupancy of 92.2% for 2021 since the acquisition on April 28, 2021. </w:t>
      </w:r>
    </w:p>
    <w:p w:rsidR="00000000" w:rsidRDefault="00D04F4B">
      <w:pPr>
        <w:ind w:firstLine="720"/>
        <w:jc w:val="both"/>
        <w:divId w:val="1640920541"/>
        <w:rPr>
          <w:rFonts w:eastAsia="Times New Roman"/>
        </w:rPr>
      </w:pPr>
      <w:r>
        <w:rPr>
          <w:rFonts w:eastAsia="Times New Roman"/>
          <w:color w:val="000000"/>
          <w:sz w:val="20"/>
          <w:szCs w:val="20"/>
        </w:rPr>
        <w:t>During 2021, we acquired the All Storage portfolio consisting of 56 properties (7.5 million net rentable square feet) for $1.5 billion, with 55 properties cl</w:t>
      </w:r>
      <w:r>
        <w:rPr>
          <w:rFonts w:eastAsia="Times New Roman"/>
          <w:color w:val="000000"/>
          <w:sz w:val="20"/>
          <w:szCs w:val="20"/>
        </w:rPr>
        <w:t>osed in the fourth quarter of 2021 and one property expected to close in early 2022.</w:t>
      </w:r>
    </w:p>
    <w:p w:rsidR="00000000" w:rsidRDefault="00D04F4B">
      <w:pPr>
        <w:ind w:firstLine="720"/>
        <w:jc w:val="both"/>
        <w:rPr>
          <w:rFonts w:eastAsia="Times New Roman"/>
        </w:rPr>
      </w:pPr>
      <w:r>
        <w:rPr>
          <w:rFonts w:eastAsia="Times New Roman"/>
          <w:color w:val="000000"/>
          <w:sz w:val="20"/>
          <w:szCs w:val="20"/>
        </w:rPr>
        <w:t>Subsequent to December 31, 2021, we are under contract to acquire 15 self-storage facilities across 10 states with 1.2 million net rentable square feet, for $212.4 million</w:t>
      </w:r>
      <w:r>
        <w:rPr>
          <w:rFonts w:eastAsia="Times New Roman"/>
          <w:color w:val="000000"/>
          <w:sz w:val="20"/>
          <w:szCs w:val="20"/>
        </w:rPr>
        <w:t xml:space="preserve">. </w:t>
      </w:r>
    </w:p>
    <w:p w:rsidR="00000000" w:rsidRDefault="00D04F4B">
      <w:pPr>
        <w:ind w:firstLine="720"/>
        <w:jc w:val="both"/>
        <w:rPr>
          <w:rFonts w:eastAsia="Times New Roman"/>
        </w:rPr>
      </w:pPr>
    </w:p>
    <w:p w:rsidR="00000000" w:rsidRDefault="00D04F4B">
      <w:pPr>
        <w:divId w:val="1553224830"/>
        <w:rPr>
          <w:rFonts w:eastAsia="Times New Roman"/>
        </w:rPr>
      </w:pPr>
    </w:p>
    <w:p w:rsidR="00000000" w:rsidRDefault="00D04F4B">
      <w:pPr>
        <w:jc w:val="center"/>
        <w:divId w:val="5984958"/>
        <w:rPr>
          <w:rFonts w:eastAsia="Times New Roman"/>
        </w:rPr>
      </w:pPr>
      <w:r>
        <w:rPr>
          <w:rFonts w:eastAsia="Times New Roman"/>
          <w:color w:val="000000"/>
          <w:sz w:val="20"/>
          <w:szCs w:val="20"/>
        </w:rPr>
        <w:t>37</w:t>
      </w:r>
    </w:p>
    <w:p w:rsidR="00000000" w:rsidRDefault="00D04F4B">
      <w:pPr>
        <w:rPr>
          <w:rFonts w:eastAsia="Times New Roman"/>
        </w:rPr>
      </w:pPr>
      <w:r>
        <w:rPr>
          <w:rFonts w:eastAsia="Times New Roman"/>
        </w:rPr>
        <w:pict>
          <v:rect id="_x0000_i1062" style="width:0;height:1.5pt" o:hralign="center" o:hrstd="t" o:hr="t" fillcolor="#a0a0a0" stroked="f"/>
        </w:pict>
      </w:r>
    </w:p>
    <w:p w:rsidR="00000000" w:rsidRDefault="00D04F4B">
      <w:pPr>
        <w:divId w:val="1323505477"/>
        <w:rPr>
          <w:rFonts w:eastAsia="Times New Roman"/>
        </w:rPr>
      </w:pPr>
    </w:p>
    <w:p w:rsidR="00000000" w:rsidRDefault="00D04F4B">
      <w:pPr>
        <w:divId w:val="1728256785"/>
        <w:rPr>
          <w:rFonts w:eastAsia="Times New Roman"/>
        </w:rPr>
      </w:pPr>
      <w:r>
        <w:rPr>
          <w:rFonts w:eastAsia="Times New Roman"/>
          <w:b/>
          <w:bCs/>
          <w:i/>
          <w:iCs/>
          <w:color w:val="000000"/>
          <w:sz w:val="20"/>
          <w:szCs w:val="20"/>
          <w:u w:val="single"/>
        </w:rPr>
        <w:t>Developed and Expanded Facilities</w:t>
      </w:r>
    </w:p>
    <w:p w:rsidR="00000000" w:rsidRDefault="00D04F4B">
      <w:pPr>
        <w:ind w:firstLine="720"/>
        <w:jc w:val="both"/>
        <w:divId w:val="1621109082"/>
        <w:rPr>
          <w:rFonts w:eastAsia="Times New Roman"/>
        </w:rPr>
      </w:pPr>
      <w:r>
        <w:rPr>
          <w:rFonts w:eastAsia="Times New Roman"/>
          <w:color w:val="000000"/>
          <w:sz w:val="20"/>
          <w:szCs w:val="20"/>
        </w:rPr>
        <w:t>The developed and expanded facilities include 70 facilities that were developed on new sites since January 1, 2016, and 72 facilities subject to expansion of their net rentab</w:t>
      </w:r>
      <w:r>
        <w:rPr>
          <w:rFonts w:eastAsia="Times New Roman"/>
          <w:color w:val="000000"/>
          <w:sz w:val="20"/>
          <w:szCs w:val="20"/>
        </w:rPr>
        <w:t>le square footage. Of these expansions, 43 were completed at January 1, 2020, 23 were completed in the 24 months ended December 31, 2021, and 6 are currently in process at December 31, 2021. The following table summarizes operating data with respect to the</w:t>
      </w:r>
      <w:r>
        <w:rPr>
          <w:rFonts w:eastAsia="Times New Roman"/>
          <w:color w:val="000000"/>
          <w:sz w:val="20"/>
          <w:szCs w:val="20"/>
        </w:rPr>
        <w:t xml:space="preserve"> Developed and Expanded Facilities: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2782"/>
        <w:gridCol w:w="36"/>
        <w:gridCol w:w="122"/>
        <w:gridCol w:w="699"/>
        <w:gridCol w:w="37"/>
        <w:gridCol w:w="36"/>
        <w:gridCol w:w="36"/>
        <w:gridCol w:w="36"/>
        <w:gridCol w:w="120"/>
        <w:gridCol w:w="654"/>
        <w:gridCol w:w="36"/>
        <w:gridCol w:w="36"/>
        <w:gridCol w:w="36"/>
        <w:gridCol w:w="36"/>
        <w:gridCol w:w="120"/>
        <w:gridCol w:w="654"/>
        <w:gridCol w:w="36"/>
        <w:gridCol w:w="36"/>
        <w:gridCol w:w="36"/>
        <w:gridCol w:w="36"/>
        <w:gridCol w:w="122"/>
        <w:gridCol w:w="662"/>
        <w:gridCol w:w="37"/>
        <w:gridCol w:w="36"/>
        <w:gridCol w:w="36"/>
        <w:gridCol w:w="36"/>
        <w:gridCol w:w="120"/>
        <w:gridCol w:w="646"/>
        <w:gridCol w:w="36"/>
        <w:gridCol w:w="36"/>
        <w:gridCol w:w="36"/>
        <w:gridCol w:w="36"/>
        <w:gridCol w:w="120"/>
        <w:gridCol w:w="654"/>
        <w:gridCol w:w="36"/>
      </w:tblGrid>
      <w:tr w:rsidR="00000000">
        <w:trPr>
          <w:divId w:val="1823306932"/>
        </w:trPr>
        <w:tc>
          <w:tcPr>
            <w:tcW w:w="50" w:type="pct"/>
            <w:vAlign w:val="center"/>
            <w:hideMark/>
          </w:tcPr>
          <w:p w:rsidR="00000000" w:rsidRDefault="00D04F4B">
            <w:pPr>
              <w:ind w:firstLine="720"/>
              <w:jc w:val="both"/>
              <w:rPr>
                <w:rFonts w:eastAsia="Times New Roman"/>
              </w:rPr>
            </w:pPr>
          </w:p>
        </w:tc>
        <w:tc>
          <w:tcPr>
            <w:tcW w:w="17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823306932"/>
        </w:trPr>
        <w:tc>
          <w:tcPr>
            <w:tcW w:w="0" w:type="auto"/>
            <w:gridSpan w:val="18"/>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20"/>
                <w:szCs w:val="20"/>
              </w:rPr>
              <w:t>DEVELOPED AND EXPANDED</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82330693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20"/>
                <w:szCs w:val="20"/>
              </w:rPr>
              <w:t xml:space="preserve">FACILITIES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r>
      <w:tr w:rsidR="00000000">
        <w:trPr>
          <w:divId w:val="1823306932"/>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Change (a)</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Change (a)</w:t>
            </w:r>
          </w:p>
        </w:tc>
      </w:tr>
      <w:tr w:rsidR="00000000">
        <w:trPr>
          <w:divId w:val="1823306932"/>
          <w:trHeight w:val="6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823306932"/>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 amounts in thousands, except for per square foot amounts)</w:t>
            </w:r>
          </w:p>
        </w:tc>
      </w:tr>
      <w:tr w:rsidR="00000000">
        <w:trPr>
          <w:divId w:val="182330693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20"/>
                <w:szCs w:val="20"/>
              </w:rPr>
              <w:t>Revenues (b):</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2016</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35,016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28,476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6,540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28,476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25,532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2,944</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27,593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21,541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6,052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21,541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17,826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3,715</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28,308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20,163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8,145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20,163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13,510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6,653</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11,921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6,455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5,466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6,455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1,720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4,735</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3,405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301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3,104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301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301</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1,602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1,602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Expansions completed before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59,465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41,311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18,154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41,311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30,766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10,545</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Expansions completed in 2020 or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32,922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23,649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9,273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23,649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24,294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(645)</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4,836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7,190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(2,354)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7,190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7,730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(540)</w:t>
            </w:r>
          </w:p>
        </w:tc>
      </w:tr>
      <w:tr w:rsidR="00000000">
        <w:trPr>
          <w:divId w:val="1823306932"/>
        </w:trPr>
        <w:tc>
          <w:tcPr>
            <w:tcW w:w="0" w:type="auto"/>
            <w:gridSpan w:val="3"/>
            <w:tcMar>
              <w:top w:w="30" w:type="dxa"/>
              <w:left w:w="32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     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205,068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149,086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55,982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149,086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121,378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27,708</w:t>
            </w:r>
          </w:p>
        </w:tc>
      </w:tr>
      <w:tr w:rsidR="00000000">
        <w:trPr>
          <w:divId w:val="1823306932"/>
          <w:trHeight w:val="18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82330693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20"/>
                <w:szCs w:val="20"/>
              </w:rPr>
              <w:t xml:space="preserve">Cost of operations (b):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2016</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9,358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9,739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(381)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9,739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9,163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576</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9,932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9,625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307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9,625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9,164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461</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9,983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10,364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(381)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10,364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9,367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997</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5,240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4,685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555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4,685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1,915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2,770</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1,679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383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1,296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383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383</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1,546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1,546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Expansions completed before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23,277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22,052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1,225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22,052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17,103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4,949</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Expansions completed in 2020 or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11,300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7,897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3,403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7,897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6,729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1,168</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1,302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1,699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(397)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1,699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1,608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91</w:t>
            </w:r>
          </w:p>
        </w:tc>
      </w:tr>
      <w:tr w:rsidR="00000000">
        <w:trPr>
          <w:divId w:val="1823306932"/>
        </w:trPr>
        <w:tc>
          <w:tcPr>
            <w:tcW w:w="0" w:type="auto"/>
            <w:gridSpan w:val="3"/>
            <w:tcMar>
              <w:top w:w="30" w:type="dxa"/>
              <w:left w:w="32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     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73,617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66,444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7,173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66,444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55,049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11,395</w:t>
            </w:r>
          </w:p>
        </w:tc>
      </w:tr>
      <w:tr w:rsidR="00000000">
        <w:trPr>
          <w:divId w:val="1823306932"/>
          <w:trHeight w:val="18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82330693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20"/>
                <w:szCs w:val="20"/>
              </w:rPr>
              <w:t>Net operating income (loss):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39"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2016</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25,658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18,737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6,921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18,737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16,369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2,368</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17,661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11,916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5,745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11,916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8,662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3,254</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18,325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9,799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8,526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9,799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4,143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5,656</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6,681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1,770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4,911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1,770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1,965</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1,726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1,808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(82)</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Expansions completed before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36,188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19,259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16,929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19,259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13,663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5,596</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Expansions completed in 2020 or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21,622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15,752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5,870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15,752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17,565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(1,813)</w:t>
            </w:r>
          </w:p>
        </w:tc>
      </w:tr>
      <w:tr w:rsidR="00000000">
        <w:trPr>
          <w:divId w:val="1823306932"/>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3,534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5,491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(1,957)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5,491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6,122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(631)</w:t>
            </w:r>
          </w:p>
        </w:tc>
      </w:tr>
      <w:tr w:rsidR="00000000">
        <w:trPr>
          <w:divId w:val="1823306932"/>
        </w:trPr>
        <w:tc>
          <w:tcPr>
            <w:tcW w:w="0" w:type="auto"/>
            <w:gridSpan w:val="3"/>
            <w:tcMar>
              <w:top w:w="30" w:type="dxa"/>
              <w:left w:w="32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     Net operating income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131,451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82,642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48,809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82,642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66,329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16,313</w:t>
            </w:r>
          </w:p>
        </w:tc>
      </w:tr>
      <w:tr w:rsidR="00000000">
        <w:trPr>
          <w:divId w:val="1823306932"/>
        </w:trPr>
        <w:tc>
          <w:tcPr>
            <w:tcW w:w="0" w:type="auto"/>
            <w:gridSpan w:val="3"/>
            <w:tcMar>
              <w:top w:w="30" w:type="dxa"/>
              <w:left w:w="14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Depreciation and amortization expense</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(61,645)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(53,621)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(8,024)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(53,621)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(46,340)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(7,281)</w:t>
            </w:r>
          </w:p>
        </w:tc>
      </w:tr>
      <w:tr w:rsidR="00000000">
        <w:trPr>
          <w:divId w:val="1823306932"/>
        </w:trPr>
        <w:tc>
          <w:tcPr>
            <w:tcW w:w="0" w:type="auto"/>
            <w:gridSpan w:val="3"/>
            <w:tcMar>
              <w:top w:w="30" w:type="dxa"/>
              <w:left w:w="32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Net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69,806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29,021 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40,785 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29,021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19,989 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9,032 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divId w:val="1495607505"/>
        <w:rPr>
          <w:rFonts w:eastAsia="Times New Roman"/>
        </w:rPr>
      </w:pPr>
    </w:p>
    <w:p w:rsidR="00000000" w:rsidRDefault="00D04F4B">
      <w:pPr>
        <w:divId w:val="1988976645"/>
        <w:rPr>
          <w:rFonts w:eastAsia="Times New Roman"/>
        </w:rPr>
      </w:pPr>
    </w:p>
    <w:p w:rsidR="00000000" w:rsidRDefault="00D04F4B">
      <w:pPr>
        <w:jc w:val="both"/>
        <w:rPr>
          <w:rFonts w:eastAsia="Times New Roman"/>
        </w:rPr>
      </w:pPr>
    </w:p>
    <w:p w:rsidR="00000000" w:rsidRDefault="00D04F4B">
      <w:pPr>
        <w:jc w:val="center"/>
        <w:divId w:val="1324697405"/>
        <w:rPr>
          <w:rFonts w:eastAsia="Times New Roman"/>
        </w:rPr>
      </w:pPr>
      <w:r>
        <w:rPr>
          <w:rFonts w:eastAsia="Times New Roman"/>
          <w:color w:val="000000"/>
          <w:sz w:val="20"/>
          <w:szCs w:val="20"/>
        </w:rPr>
        <w:t>38</w:t>
      </w:r>
    </w:p>
    <w:p w:rsidR="00000000" w:rsidRDefault="00D04F4B">
      <w:pPr>
        <w:rPr>
          <w:rFonts w:eastAsia="Times New Roman"/>
        </w:rPr>
      </w:pPr>
      <w:r>
        <w:rPr>
          <w:rFonts w:eastAsia="Times New Roman"/>
        </w:rPr>
        <w:pict>
          <v:rect id="_x0000_i1063" style="width:0;height:1.5pt" o:hralign="center" o:hrstd="t" o:hr="t" fillcolor="#a0a0a0" stroked="f"/>
        </w:pict>
      </w:r>
    </w:p>
    <w:p w:rsidR="00000000" w:rsidRDefault="00D04F4B">
      <w:pPr>
        <w:divId w:val="28458453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7"/>
        <w:gridCol w:w="2820"/>
        <w:gridCol w:w="36"/>
        <w:gridCol w:w="57"/>
        <w:gridCol w:w="727"/>
        <w:gridCol w:w="38"/>
        <w:gridCol w:w="37"/>
        <w:gridCol w:w="37"/>
        <w:gridCol w:w="36"/>
        <w:gridCol w:w="52"/>
        <w:gridCol w:w="714"/>
        <w:gridCol w:w="37"/>
        <w:gridCol w:w="36"/>
        <w:gridCol w:w="36"/>
        <w:gridCol w:w="36"/>
        <w:gridCol w:w="64"/>
        <w:gridCol w:w="703"/>
        <w:gridCol w:w="37"/>
        <w:gridCol w:w="36"/>
        <w:gridCol w:w="36"/>
        <w:gridCol w:w="36"/>
        <w:gridCol w:w="52"/>
        <w:gridCol w:w="717"/>
        <w:gridCol w:w="38"/>
        <w:gridCol w:w="37"/>
        <w:gridCol w:w="37"/>
        <w:gridCol w:w="36"/>
        <w:gridCol w:w="52"/>
        <w:gridCol w:w="717"/>
        <w:gridCol w:w="37"/>
        <w:gridCol w:w="36"/>
        <w:gridCol w:w="36"/>
        <w:gridCol w:w="36"/>
        <w:gridCol w:w="64"/>
        <w:gridCol w:w="706"/>
        <w:gridCol w:w="37"/>
      </w:tblGrid>
      <w:tr w:rsidR="00000000">
        <w:trPr>
          <w:divId w:val="790978803"/>
        </w:trPr>
        <w:tc>
          <w:tcPr>
            <w:tcW w:w="50" w:type="pct"/>
            <w:vAlign w:val="center"/>
            <w:hideMark/>
          </w:tcPr>
          <w:p w:rsidR="00000000" w:rsidRDefault="00D04F4B">
            <w:pPr>
              <w:rPr>
                <w:rFonts w:eastAsia="Times New Roman"/>
              </w:rPr>
            </w:pPr>
          </w:p>
        </w:tc>
        <w:tc>
          <w:tcPr>
            <w:tcW w:w="17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5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7909788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DEVELOPED AND EXPANDED FACILITIES (Continued)</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7909788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As of December 31,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As of December 31,</w:t>
            </w:r>
          </w:p>
        </w:tc>
      </w:tr>
      <w:tr w:rsidR="00000000">
        <w:trPr>
          <w:divId w:val="790978803"/>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Change (a)</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Change (a)</w:t>
            </w:r>
          </w:p>
        </w:tc>
      </w:tr>
      <w:tr w:rsidR="00000000">
        <w:trPr>
          <w:divId w:val="790978803"/>
          <w:trHeight w:val="6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790978803"/>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18"/>
                <w:szCs w:val="18"/>
              </w:rPr>
              <w:t> </w:t>
            </w:r>
          </w:p>
        </w:tc>
        <w:tc>
          <w:tcPr>
            <w:tcW w:w="0" w:type="auto"/>
            <w:gridSpan w:val="3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 amounts in thousands, except for per square foot amounts)</w:t>
            </w:r>
          </w:p>
        </w:tc>
      </w:tr>
      <w:tr w:rsidR="00000000">
        <w:trPr>
          <w:divId w:val="7909788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Square foot occupancy:</w:t>
            </w: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2016</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91.6%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90.4%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90.4%</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79.6%</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13.6%</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2017</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91.4%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88.7%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88.7%</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77.3%</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14.7%</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2018</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88.6%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86.5%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86.5%</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65.4%</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32.3%</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2019</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87.3%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84.6%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84.6%</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38.1%</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122.0%</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88.9%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34.0%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161.5%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34.0%</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48.8%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Expansions completed before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88.9%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81.8%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81.8%</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57.8%</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41.5%</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Expansions completed in 2020 or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78.6%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66.1%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18.9%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66.1%</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87.3%</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(24.3)%</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Expansions in process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59.2%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79.3%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(25.3)%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79.3%</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88.6%</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(10.5)%</w:t>
            </w:r>
          </w:p>
        </w:tc>
      </w:tr>
      <w:tr w:rsidR="00000000">
        <w:trPr>
          <w:divId w:val="790978803"/>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85.5%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81.4%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5.0%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81.4%</w:t>
            </w:r>
          </w:p>
        </w:tc>
        <w:tc>
          <w:tcPr>
            <w:tcW w:w="0" w:type="auto"/>
            <w:gridSpan w:val="3"/>
            <w:tcBorders>
              <w:top w:val="single" w:sz="8" w:space="0" w:color="000000"/>
            </w:tcBorders>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67.2%</w:t>
            </w:r>
          </w:p>
        </w:tc>
        <w:tc>
          <w:tcPr>
            <w:tcW w:w="0" w:type="auto"/>
            <w:gridSpan w:val="3"/>
            <w:tcBorders>
              <w:top w:val="single" w:sz="8" w:space="0" w:color="000000"/>
            </w:tcBorders>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21.1%</w:t>
            </w:r>
          </w:p>
        </w:tc>
      </w:tr>
      <w:tr w:rsidR="00000000">
        <w:trPr>
          <w:divId w:val="790978803"/>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18"/>
                <w:szCs w:val="18"/>
              </w:rPr>
              <w:t>Annual contract rent per occupied square foot:</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ind w:hanging="18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2016</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19.00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15.22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24.8%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15.22</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15.18</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0.3%</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2017</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16.03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12.64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26.8%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12.64</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12.11</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4.4%</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2018</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17.08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12.73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34.2%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12.73</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12.54</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1.5%</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2019</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14.58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9.69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50.5%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9.69</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10.13</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(4.3)%</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17.67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10.08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75.3%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10.08</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15.41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ascii="Calibri" w:eastAsia="Times New Roman" w:hAnsi="Calibri" w:cs="Calibri"/>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Expansions completed before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13.47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10.05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34.0%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10.05</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10.80</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(6.9)%</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Expansions completed in 2020 or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17.65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16.86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4.7%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16.86</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17.70</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(4.7)%</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Expansions in process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20.33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21.14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21.14</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22.81</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(7.3)%</w:t>
            </w:r>
          </w:p>
        </w:tc>
      </w:tr>
      <w:tr w:rsidR="00000000">
        <w:trPr>
          <w:divId w:val="7909788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15.94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12.56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26.9%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12.56</w:t>
            </w:r>
          </w:p>
        </w:tc>
        <w:tc>
          <w:tcPr>
            <w:tcW w:w="0" w:type="auto"/>
            <w:gridSpan w:val="3"/>
            <w:tcBorders>
              <w:top w:val="single" w:sz="8" w:space="0" w:color="000000"/>
            </w:tcBorders>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13.29</w:t>
            </w:r>
          </w:p>
        </w:tc>
        <w:tc>
          <w:tcPr>
            <w:tcW w:w="0" w:type="auto"/>
            <w:gridSpan w:val="3"/>
            <w:tcBorders>
              <w:top w:val="single" w:sz="8" w:space="0" w:color="000000"/>
            </w:tcBorders>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(5.5)%</w:t>
            </w:r>
          </w:p>
        </w:tc>
      </w:tr>
      <w:tr w:rsidR="00000000">
        <w:trPr>
          <w:divId w:val="7909788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Number of facilities: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2016</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2017</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2018</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2019</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Expansions completed before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43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43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43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43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Expansions completed in 2020 or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Expansions in process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142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134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134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w:t>
            </w:r>
          </w:p>
        </w:tc>
      </w:tr>
      <w:tr w:rsidR="00000000">
        <w:trPr>
          <w:divId w:val="790978803"/>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18"/>
                <w:szCs w:val="18"/>
              </w:rPr>
              <w:t>Net rentable square feet (in thousands) (c):</w:t>
            </w: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2016</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2,141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2,141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2,141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2,141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2017</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2018</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2019</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347</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Developed in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681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681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Expansions completed before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5,629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5,629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5,629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5,627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Expansions completed in 2020 or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3,156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2,232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924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2,232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1,487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745</w:t>
            </w:r>
          </w:p>
        </w:tc>
      </w:tr>
      <w:tr w:rsidR="00000000">
        <w:trPr>
          <w:divId w:val="79097880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Expansions in process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287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376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(89)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376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376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w:t>
            </w:r>
          </w:p>
        </w:tc>
      </w:tr>
      <w:tr w:rsidR="00000000">
        <w:trPr>
          <w:divId w:val="79097880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17,407</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15,891</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1,516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15,891</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14,797</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18"/>
                <w:szCs w:val="18"/>
              </w:rPr>
              <w:t>1,094</w:t>
            </w:r>
          </w:p>
        </w:tc>
      </w:tr>
    </w:tbl>
    <w:p w:rsidR="00000000" w:rsidRDefault="00D04F4B">
      <w:pPr>
        <w:jc w:val="center"/>
        <w:divId w:val="1783301352"/>
        <w:rPr>
          <w:rFonts w:eastAsia="Times New Roman"/>
        </w:rPr>
      </w:pPr>
      <w:r>
        <w:rPr>
          <w:rFonts w:eastAsia="Times New Roman"/>
          <w:color w:val="000000"/>
          <w:sz w:val="20"/>
          <w:szCs w:val="20"/>
        </w:rPr>
        <w:t>39</w:t>
      </w:r>
    </w:p>
    <w:p w:rsidR="00000000" w:rsidRDefault="00D04F4B">
      <w:pPr>
        <w:rPr>
          <w:rFonts w:eastAsia="Times New Roman"/>
        </w:rPr>
      </w:pPr>
      <w:r>
        <w:rPr>
          <w:rFonts w:eastAsia="Times New Roman"/>
        </w:rPr>
        <w:pict>
          <v:rect id="_x0000_i1064" style="width:0;height:1.5pt" o:hralign="center" o:hrstd="t" o:hr="t" fillcolor="#a0a0a0" stroked="f"/>
        </w:pict>
      </w:r>
    </w:p>
    <w:p w:rsidR="00000000" w:rsidRDefault="00D04F4B">
      <w:pPr>
        <w:divId w:val="863202845"/>
        <w:rPr>
          <w:rFonts w:eastAsia="Times New Roman"/>
        </w:rPr>
      </w:pPr>
    </w:p>
    <w:tbl>
      <w:tblPr>
        <w:tblW w:w="3818" w:type="pct"/>
        <w:tblCellMar>
          <w:top w:w="15" w:type="dxa"/>
          <w:left w:w="15" w:type="dxa"/>
          <w:bottom w:w="15" w:type="dxa"/>
          <w:right w:w="15" w:type="dxa"/>
        </w:tblCellMar>
        <w:tblLook w:val="04A0" w:firstRow="1" w:lastRow="0" w:firstColumn="1" w:lastColumn="0" w:noHBand="0" w:noVBand="1"/>
      </w:tblPr>
      <w:tblGrid>
        <w:gridCol w:w="38"/>
        <w:gridCol w:w="4773"/>
        <w:gridCol w:w="37"/>
        <w:gridCol w:w="121"/>
        <w:gridCol w:w="1337"/>
        <w:gridCol w:w="36"/>
      </w:tblGrid>
      <w:tr w:rsidR="00000000">
        <w:trPr>
          <w:divId w:val="495728546"/>
        </w:trPr>
        <w:tc>
          <w:tcPr>
            <w:tcW w:w="50" w:type="pct"/>
            <w:vAlign w:val="center"/>
            <w:hideMark/>
          </w:tcPr>
          <w:p w:rsidR="00000000" w:rsidRDefault="00D04F4B">
            <w:pPr>
              <w:rPr>
                <w:rFonts w:eastAsia="Times New Roman"/>
              </w:rPr>
            </w:pPr>
          </w:p>
        </w:tc>
        <w:tc>
          <w:tcPr>
            <w:tcW w:w="38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08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495728546"/>
        </w:trPr>
        <w:tc>
          <w:tcPr>
            <w:tcW w:w="0" w:type="auto"/>
            <w:gridSpan w:val="3"/>
            <w:tcMar>
              <w:top w:w="30" w:type="dxa"/>
              <w:left w:w="20" w:type="dxa"/>
              <w:bottom w:w="30" w:type="dxa"/>
              <w:right w:w="20" w:type="dxa"/>
            </w:tcMar>
            <w:vAlign w:val="bottom"/>
            <w:hideMark/>
          </w:tcPr>
          <w:p w:rsidR="00000000" w:rsidRDefault="00D04F4B">
            <w:pPr>
              <w:spacing w:after="100"/>
              <w:divId w:val="309402433"/>
              <w:rPr>
                <w:rFonts w:eastAsia="Times New Roman"/>
              </w:rPr>
            </w:pPr>
          </w:p>
          <w:p w:rsidR="00000000" w:rsidRDefault="00D04F4B">
            <w:pPr>
              <w:spacing w:after="100"/>
              <w:divId w:val="228687263"/>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 xml:space="preserve">As of </w:t>
            </w:r>
          </w:p>
          <w:p w:rsidR="00000000" w:rsidRDefault="00D04F4B">
            <w:pPr>
              <w:spacing w:after="100"/>
              <w:jc w:val="center"/>
              <w:rPr>
                <w:rFonts w:eastAsia="Times New Roman"/>
              </w:rPr>
            </w:pPr>
            <w:r>
              <w:rPr>
                <w:rFonts w:eastAsia="Times New Roman"/>
                <w:color w:val="000000"/>
                <w:sz w:val="20"/>
                <w:szCs w:val="20"/>
              </w:rPr>
              <w:t>December 31, 2021</w:t>
            </w:r>
          </w:p>
        </w:tc>
      </w:tr>
      <w:tr w:rsidR="00000000">
        <w:trPr>
          <w:divId w:val="4957285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Costs to develop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r>
      <w:tr w:rsidR="00000000">
        <w:trPr>
          <w:divId w:val="495728546"/>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2016</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257,585</w:t>
            </w:r>
          </w:p>
        </w:tc>
      </w:tr>
      <w:tr w:rsidR="00000000">
        <w:trPr>
          <w:divId w:val="495728546"/>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239,871</w:t>
            </w:r>
          </w:p>
        </w:tc>
      </w:tr>
      <w:tr w:rsidR="00000000">
        <w:trPr>
          <w:divId w:val="495728546"/>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262,187</w:t>
            </w:r>
          </w:p>
        </w:tc>
      </w:tr>
      <w:tr w:rsidR="00000000">
        <w:trPr>
          <w:divId w:val="495728546"/>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150,387</w:t>
            </w:r>
          </w:p>
        </w:tc>
      </w:tr>
      <w:tr w:rsidR="00000000">
        <w:trPr>
          <w:divId w:val="495728546"/>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42,063</w:t>
            </w:r>
          </w:p>
        </w:tc>
      </w:tr>
      <w:tr w:rsidR="00000000">
        <w:trPr>
          <w:divId w:val="495728546"/>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115,632</w:t>
            </w:r>
          </w:p>
        </w:tc>
      </w:tr>
      <w:tr w:rsidR="00000000">
        <w:trPr>
          <w:divId w:val="495728546"/>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Expansions completed before 2020 (d)</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381,940</w:t>
            </w:r>
          </w:p>
        </w:tc>
      </w:tr>
      <w:tr w:rsidR="00000000">
        <w:trPr>
          <w:divId w:val="495728546"/>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Expansions completed in 2020 or 2021 (d)</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200,839</w:t>
            </w:r>
          </w:p>
        </w:tc>
      </w:tr>
      <w:tr w:rsidR="00000000">
        <w:trPr>
          <w:divId w:val="4957285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1,650,504</w:t>
            </w:r>
          </w:p>
        </w:tc>
      </w:tr>
    </w:tbl>
    <w:p w:rsidR="00000000" w:rsidRDefault="00D04F4B">
      <w:pPr>
        <w:ind w:hanging="360"/>
        <w:jc w:val="both"/>
        <w:divId w:val="1219321311"/>
        <w:rPr>
          <w:rFonts w:eastAsia="Times New Roman"/>
        </w:rPr>
      </w:pPr>
      <w:r>
        <w:rPr>
          <w:rFonts w:eastAsia="Times New Roman"/>
          <w:color w:val="000000"/>
          <w:sz w:val="18"/>
          <w:szCs w:val="18"/>
        </w:rPr>
        <w:t>(a)</w:t>
      </w:r>
      <w:r>
        <w:rPr>
          <w:rFonts w:eastAsia="Times New Roman"/>
          <w:color w:val="000000"/>
          <w:sz w:val="18"/>
          <w:szCs w:val="18"/>
        </w:rPr>
        <w:t xml:space="preserve">Represents the percentage change with respect to square foot occupancy and annual contract rent per occupied square foot, and the absolute nominal change with respect to all other items. </w:t>
      </w:r>
    </w:p>
    <w:p w:rsidR="00000000" w:rsidRDefault="00D04F4B">
      <w:pPr>
        <w:ind w:hanging="360"/>
        <w:jc w:val="both"/>
        <w:divId w:val="1244873192"/>
        <w:rPr>
          <w:rFonts w:eastAsia="Times New Roman"/>
        </w:rPr>
      </w:pPr>
      <w:r>
        <w:rPr>
          <w:rFonts w:eastAsia="Times New Roman"/>
          <w:color w:val="000000"/>
          <w:sz w:val="18"/>
          <w:szCs w:val="18"/>
        </w:rPr>
        <w:t>(b)Revenues and cost of operations do not include tenant reinsurance</w:t>
      </w:r>
      <w:r>
        <w:rPr>
          <w:rFonts w:eastAsia="Times New Roman"/>
          <w:color w:val="000000"/>
          <w:sz w:val="18"/>
          <w:szCs w:val="18"/>
        </w:rPr>
        <w:t xml:space="preserve"> and merchandise sales generated at the facilities. See “Ancillary Operations” below for more information.</w:t>
      </w:r>
    </w:p>
    <w:p w:rsidR="00000000" w:rsidRDefault="00D04F4B">
      <w:pPr>
        <w:ind w:hanging="360"/>
        <w:jc w:val="both"/>
        <w:divId w:val="2019963859"/>
        <w:rPr>
          <w:rFonts w:eastAsia="Times New Roman"/>
        </w:rPr>
      </w:pPr>
      <w:r>
        <w:rPr>
          <w:rFonts w:eastAsia="Times New Roman"/>
          <w:color w:val="000000"/>
          <w:sz w:val="18"/>
          <w:szCs w:val="18"/>
        </w:rPr>
        <w:t>(c)The facilities included above have an aggregate of approximately 17.4 million net rentable square feet at December 31, 2021, including 6.0 million</w:t>
      </w:r>
      <w:r>
        <w:rPr>
          <w:rFonts w:eastAsia="Times New Roman"/>
          <w:color w:val="000000"/>
          <w:sz w:val="18"/>
          <w:szCs w:val="18"/>
        </w:rPr>
        <w:t xml:space="preserve"> in Texas, 2.6 million in Florida, 2.2 million in California, 1.5 million in Colorado, 1.1 million in Minnesota, 0.9 million in North Carolina, 0.6 million in Washington, 0.4 million in each of Missouri and Virginia, 0.3 million in each of Georgia, Michiga</w:t>
      </w:r>
      <w:r>
        <w:rPr>
          <w:rFonts w:eastAsia="Times New Roman"/>
          <w:color w:val="000000"/>
          <w:sz w:val="18"/>
          <w:szCs w:val="18"/>
        </w:rPr>
        <w:t>n, New Jersey and South Carolina and 0.5 million in other states.</w:t>
      </w:r>
    </w:p>
    <w:p w:rsidR="00000000" w:rsidRDefault="00D04F4B">
      <w:pPr>
        <w:ind w:hanging="360"/>
        <w:jc w:val="both"/>
        <w:divId w:val="962154613"/>
        <w:rPr>
          <w:rFonts w:eastAsia="Times New Roman"/>
        </w:rPr>
      </w:pPr>
      <w:r>
        <w:rPr>
          <w:rFonts w:eastAsia="Times New Roman"/>
          <w:color w:val="000000"/>
          <w:sz w:val="18"/>
          <w:szCs w:val="18"/>
        </w:rPr>
        <w:t>(d)These amounts only include the direct cost incurred to expand and renovate these facilities, and do not include (i) the original cost to develop or acquire the facility or (ii) the lost r</w:t>
      </w:r>
      <w:r>
        <w:rPr>
          <w:rFonts w:eastAsia="Times New Roman"/>
          <w:color w:val="000000"/>
          <w:sz w:val="18"/>
          <w:szCs w:val="18"/>
        </w:rPr>
        <w:t xml:space="preserve">evenue on space demolished during the construction and fill-up period. </w:t>
      </w:r>
    </w:p>
    <w:p w:rsidR="00000000" w:rsidRDefault="00D04F4B">
      <w:pPr>
        <w:ind w:firstLine="720"/>
        <w:jc w:val="both"/>
        <w:divId w:val="877202612"/>
        <w:rPr>
          <w:rFonts w:eastAsia="Times New Roman"/>
        </w:rPr>
      </w:pPr>
      <w:r>
        <w:rPr>
          <w:rFonts w:eastAsia="Times New Roman"/>
          <w:color w:val="000000"/>
          <w:sz w:val="20"/>
          <w:szCs w:val="20"/>
        </w:rPr>
        <w:t>It typically takes at least three to four years for a newly developed or expanded self-storage facility to stabilize with respect to revenues. Physical occupancy can be achieved as ear</w:t>
      </w:r>
      <w:r>
        <w:rPr>
          <w:rFonts w:eastAsia="Times New Roman"/>
          <w:color w:val="000000"/>
          <w:sz w:val="20"/>
          <w:szCs w:val="20"/>
        </w:rPr>
        <w:t>ly as two to three years following completion of the development or expansion, through offering lower rental rates during fill-up. As a result, even after achieving high occupancy, there can still be a period of elevated revenue growth as the tenant base m</w:t>
      </w:r>
      <w:r>
        <w:rPr>
          <w:rFonts w:eastAsia="Times New Roman"/>
          <w:color w:val="000000"/>
          <w:sz w:val="20"/>
          <w:szCs w:val="20"/>
        </w:rPr>
        <w:t xml:space="preserve">atures and higher rental rates are achieved. </w:t>
      </w:r>
    </w:p>
    <w:p w:rsidR="00000000" w:rsidRDefault="00D04F4B">
      <w:pPr>
        <w:ind w:firstLine="720"/>
        <w:jc w:val="both"/>
        <w:divId w:val="1591044135"/>
        <w:rPr>
          <w:rFonts w:eastAsia="Times New Roman"/>
        </w:rPr>
      </w:pPr>
      <w:r>
        <w:rPr>
          <w:rFonts w:eastAsia="Times New Roman"/>
          <w:color w:val="000000"/>
          <w:sz w:val="20"/>
          <w:szCs w:val="20"/>
        </w:rPr>
        <w:t>We believe that our development and redevelopment activities generate favorable risk-adjusted returns over the long run. However, in the short run, our earnings are diluted during the construction and stabiliza</w:t>
      </w:r>
      <w:r>
        <w:rPr>
          <w:rFonts w:eastAsia="Times New Roman"/>
          <w:color w:val="000000"/>
          <w:sz w:val="20"/>
          <w:szCs w:val="20"/>
        </w:rPr>
        <w:t xml:space="preserve">tion period due to the cost of capital to fund the development cost, as well as the related construction and development overhead expenses included in general and administrative expense. </w:t>
      </w:r>
    </w:p>
    <w:p w:rsidR="00000000" w:rsidRDefault="00D04F4B">
      <w:pPr>
        <w:ind w:firstLine="720"/>
        <w:jc w:val="both"/>
        <w:divId w:val="1291285065"/>
        <w:rPr>
          <w:rFonts w:eastAsia="Times New Roman"/>
        </w:rPr>
      </w:pPr>
      <w:r>
        <w:rPr>
          <w:rFonts w:eastAsia="Times New Roman"/>
          <w:color w:val="000000"/>
          <w:sz w:val="20"/>
          <w:szCs w:val="20"/>
        </w:rPr>
        <w:t>We typically underwrite new developments to stabilize at approximate</w:t>
      </w:r>
      <w:r>
        <w:rPr>
          <w:rFonts w:eastAsia="Times New Roman"/>
          <w:color w:val="000000"/>
          <w:sz w:val="20"/>
          <w:szCs w:val="20"/>
        </w:rPr>
        <w:t>ly an 8.0% NOI yield on cost. Our developed facilities have thus far leased-up as expected and are at various stages of their revenue stabilization periods. The actual annualized yields that we may achieve on these facilities upon stabilization will depend</w:t>
      </w:r>
      <w:r>
        <w:rPr>
          <w:rFonts w:eastAsia="Times New Roman"/>
          <w:color w:val="000000"/>
          <w:sz w:val="20"/>
          <w:szCs w:val="20"/>
        </w:rPr>
        <w:t xml:space="preserve"> on many factors, including local and current market conditions in the vicinity of each property and the level of new and existing supply.</w:t>
      </w:r>
    </w:p>
    <w:p w:rsidR="00000000" w:rsidRDefault="00D04F4B">
      <w:pPr>
        <w:ind w:firstLine="720"/>
        <w:jc w:val="both"/>
        <w:divId w:val="94637301"/>
        <w:rPr>
          <w:rFonts w:eastAsia="Times New Roman"/>
        </w:rPr>
      </w:pPr>
      <w:r>
        <w:rPr>
          <w:rFonts w:eastAsia="Times New Roman"/>
          <w:color w:val="000000"/>
          <w:sz w:val="20"/>
          <w:szCs w:val="20"/>
        </w:rPr>
        <w:t>At December 31, 2021, we had 22 additional facilities in development, which will have a total of 1.8 million net rent</w:t>
      </w:r>
      <w:r>
        <w:rPr>
          <w:rFonts w:eastAsia="Times New Roman"/>
          <w:color w:val="000000"/>
          <w:sz w:val="20"/>
          <w:szCs w:val="20"/>
        </w:rPr>
        <w:t xml:space="preserve">able square feet of storage space and have an aggregate development cost totaling approximately $331.0 million. We expect these facilities to open over the next 18 to 24 months. </w:t>
      </w:r>
    </w:p>
    <w:p w:rsidR="00000000" w:rsidRDefault="00D04F4B">
      <w:pPr>
        <w:ind w:firstLine="720"/>
        <w:jc w:val="both"/>
        <w:divId w:val="462969693"/>
        <w:rPr>
          <w:rFonts w:eastAsia="Times New Roman"/>
        </w:rPr>
      </w:pPr>
      <w:r>
        <w:rPr>
          <w:rFonts w:eastAsia="Times New Roman"/>
          <w:color w:val="000000"/>
          <w:sz w:val="20"/>
          <w:szCs w:val="20"/>
        </w:rPr>
        <w:t xml:space="preserve">The facilities under “expansions completed” represent those facilities where </w:t>
      </w:r>
      <w:r>
        <w:rPr>
          <w:rFonts w:eastAsia="Times New Roman"/>
          <w:color w:val="000000"/>
          <w:sz w:val="20"/>
          <w:szCs w:val="20"/>
        </w:rPr>
        <w:t>the expansions have been completed at December 31, 2021. We incurred a total of $582.8 million in direct cost to expand these facilities, demolished a total of 1.1 million net rentable square feet of storage space, and built a total of 5.6 million net rent</w:t>
      </w:r>
      <w:r>
        <w:rPr>
          <w:rFonts w:eastAsia="Times New Roman"/>
          <w:color w:val="000000"/>
          <w:sz w:val="20"/>
          <w:szCs w:val="20"/>
        </w:rPr>
        <w:t xml:space="preserve">able square feet of new storage space. </w:t>
      </w:r>
    </w:p>
    <w:p w:rsidR="00000000" w:rsidRDefault="00D04F4B">
      <w:pPr>
        <w:ind w:firstLine="720"/>
        <w:jc w:val="both"/>
        <w:divId w:val="528641456"/>
        <w:rPr>
          <w:rFonts w:eastAsia="Times New Roman"/>
        </w:rPr>
      </w:pPr>
      <w:r>
        <w:rPr>
          <w:rFonts w:eastAsia="Times New Roman"/>
          <w:color w:val="000000"/>
          <w:sz w:val="20"/>
          <w:szCs w:val="20"/>
        </w:rPr>
        <w:t>The facilities under "expansion in process" represent those facilities where construction is in process at December 31, 2021, and together with additional expansion activities primarily related to our Same Store Faci</w:t>
      </w:r>
      <w:r>
        <w:rPr>
          <w:rFonts w:eastAsia="Times New Roman"/>
          <w:color w:val="000000"/>
          <w:sz w:val="20"/>
          <w:szCs w:val="20"/>
        </w:rPr>
        <w:t xml:space="preserve">lities at December 31, 2021, we expect to add a total of 2.8 million net rentable square feet of storage space by expanding existing self-storage facilities for an aggregate direct development cost of $469.0 million. </w:t>
      </w:r>
    </w:p>
    <w:p w:rsidR="00000000" w:rsidRDefault="00D04F4B">
      <w:pPr>
        <w:jc w:val="both"/>
        <w:divId w:val="769348592"/>
        <w:rPr>
          <w:rFonts w:eastAsia="Times New Roman"/>
        </w:rPr>
      </w:pPr>
    </w:p>
    <w:p w:rsidR="00000000" w:rsidRDefault="00D04F4B">
      <w:pPr>
        <w:jc w:val="center"/>
        <w:divId w:val="1154760657"/>
        <w:rPr>
          <w:rFonts w:eastAsia="Times New Roman"/>
        </w:rPr>
      </w:pPr>
      <w:r>
        <w:rPr>
          <w:rFonts w:eastAsia="Times New Roman"/>
          <w:color w:val="000000"/>
          <w:sz w:val="20"/>
          <w:szCs w:val="20"/>
        </w:rPr>
        <w:t>40</w:t>
      </w:r>
    </w:p>
    <w:p w:rsidR="00000000" w:rsidRDefault="00D04F4B">
      <w:pPr>
        <w:rPr>
          <w:rFonts w:eastAsia="Times New Roman"/>
        </w:rPr>
      </w:pPr>
      <w:r>
        <w:rPr>
          <w:rFonts w:eastAsia="Times New Roman"/>
        </w:rPr>
        <w:pict>
          <v:rect id="_x0000_i1065" style="width:0;height:1.5pt" o:hralign="center" o:hrstd="t" o:hr="t" fillcolor="#a0a0a0" stroked="f"/>
        </w:pict>
      </w:r>
    </w:p>
    <w:p w:rsidR="00000000" w:rsidRDefault="00D04F4B">
      <w:pPr>
        <w:divId w:val="846863591"/>
        <w:rPr>
          <w:rFonts w:eastAsia="Times New Roman"/>
        </w:rPr>
      </w:pPr>
    </w:p>
    <w:p w:rsidR="00000000" w:rsidRDefault="00D04F4B">
      <w:pPr>
        <w:jc w:val="both"/>
        <w:divId w:val="1695614655"/>
        <w:rPr>
          <w:rFonts w:eastAsia="Times New Roman"/>
        </w:rPr>
      </w:pPr>
      <w:r>
        <w:rPr>
          <w:rFonts w:eastAsia="Times New Roman"/>
          <w:b/>
          <w:bCs/>
          <w:i/>
          <w:iCs/>
          <w:color w:val="000000"/>
          <w:sz w:val="20"/>
          <w:szCs w:val="20"/>
          <w:u w:val="single"/>
        </w:rPr>
        <w:t>Other non-same store facilities</w:t>
      </w:r>
    </w:p>
    <w:p w:rsidR="00000000" w:rsidRDefault="00D04F4B">
      <w:pPr>
        <w:ind w:firstLine="720"/>
        <w:jc w:val="both"/>
        <w:divId w:val="1698044056"/>
        <w:rPr>
          <w:rFonts w:eastAsia="Times New Roman"/>
        </w:rPr>
      </w:pPr>
      <w:r>
        <w:rPr>
          <w:rFonts w:eastAsia="Times New Roman"/>
          <w:color w:val="000000"/>
          <w:sz w:val="20"/>
          <w:szCs w:val="20"/>
        </w:rPr>
        <w:t xml:space="preserve">The “other non-same store facilities” </w:t>
      </w:r>
      <w:r>
        <w:rPr>
          <w:rFonts w:eastAsia="Times New Roman"/>
          <w:color w:val="000000"/>
          <w:sz w:val="20"/>
          <w:szCs w:val="20"/>
        </w:rPr>
        <w:t xml:space="preserve">represent facilities which, while not newly acquired, developed, or expanded, are not fully stabilized since January 1, 2019, due primarily to casualty events such as hurricanes, floods, and fires. </w:t>
      </w:r>
    </w:p>
    <w:p w:rsidR="00000000" w:rsidRDefault="00D04F4B">
      <w:pPr>
        <w:ind w:firstLine="720"/>
        <w:jc w:val="both"/>
        <w:divId w:val="459298952"/>
        <w:rPr>
          <w:rFonts w:eastAsia="Times New Roman"/>
        </w:rPr>
      </w:pPr>
      <w:r>
        <w:rPr>
          <w:rFonts w:eastAsia="Times New Roman"/>
          <w:color w:val="000000"/>
          <w:sz w:val="20"/>
          <w:szCs w:val="20"/>
        </w:rPr>
        <w:t xml:space="preserve">The other non-same store facilities have an aggregate of </w:t>
      </w:r>
      <w:r>
        <w:rPr>
          <w:rFonts w:eastAsia="Times New Roman"/>
          <w:color w:val="000000"/>
          <w:sz w:val="20"/>
          <w:szCs w:val="20"/>
        </w:rPr>
        <w:t xml:space="preserve">2.2 million net rentable square feet, including 0.6 million in Texas, 0.3 million in California, 0.2 million in each of Georgia, Ohio and Tennessee, and 0.7 million in other states. </w:t>
      </w:r>
    </w:p>
    <w:p w:rsidR="00000000" w:rsidRDefault="00D04F4B">
      <w:pPr>
        <w:jc w:val="both"/>
        <w:divId w:val="133915139"/>
        <w:rPr>
          <w:rFonts w:eastAsia="Times New Roman"/>
        </w:rPr>
      </w:pPr>
      <w:r>
        <w:rPr>
          <w:rFonts w:eastAsia="Times New Roman"/>
          <w:b/>
          <w:bCs/>
          <w:i/>
          <w:iCs/>
          <w:color w:val="000000"/>
          <w:sz w:val="20"/>
          <w:szCs w:val="20"/>
          <w:u w:val="single"/>
        </w:rPr>
        <w:t>Depreciation and amortization expense</w:t>
      </w:r>
    </w:p>
    <w:p w:rsidR="00000000" w:rsidRDefault="00D04F4B">
      <w:pPr>
        <w:ind w:firstLine="720"/>
        <w:jc w:val="both"/>
        <w:divId w:val="884871709"/>
        <w:rPr>
          <w:rFonts w:eastAsia="Times New Roman"/>
        </w:rPr>
      </w:pPr>
      <w:r>
        <w:rPr>
          <w:rFonts w:eastAsia="Times New Roman"/>
          <w:color w:val="000000"/>
          <w:sz w:val="20"/>
          <w:szCs w:val="20"/>
        </w:rPr>
        <w:t>Depreciation and amortization expen</w:t>
      </w:r>
      <w:r>
        <w:rPr>
          <w:rFonts w:eastAsia="Times New Roman"/>
          <w:color w:val="000000"/>
          <w:sz w:val="20"/>
          <w:szCs w:val="20"/>
        </w:rPr>
        <w:t>se for Self-Storage Operations increased $160.2 million in 2021 as compared to 2020 and increased $40.3 million in 2020 as compared to 2019, primarily due to acquired, developed and expanded facilities. We expect continued increases in depreciation expense</w:t>
      </w:r>
      <w:r>
        <w:rPr>
          <w:rFonts w:eastAsia="Times New Roman"/>
          <w:color w:val="000000"/>
          <w:sz w:val="20"/>
          <w:szCs w:val="20"/>
        </w:rPr>
        <w:t xml:space="preserve"> in 2022 as a result of elevated levels of capital expenditures and new facilities that are acquired, developed or expanded in 2022.</w:t>
      </w:r>
    </w:p>
    <w:p w:rsidR="00000000" w:rsidRDefault="00D04F4B">
      <w:pPr>
        <w:jc w:val="center"/>
        <w:divId w:val="1949577786"/>
        <w:rPr>
          <w:rFonts w:eastAsia="Times New Roman"/>
        </w:rPr>
      </w:pPr>
      <w:r>
        <w:rPr>
          <w:rFonts w:eastAsia="Times New Roman"/>
          <w:color w:val="000000"/>
          <w:sz w:val="20"/>
          <w:szCs w:val="20"/>
        </w:rPr>
        <w:t>41</w:t>
      </w:r>
    </w:p>
    <w:p w:rsidR="00000000" w:rsidRDefault="00D04F4B">
      <w:pPr>
        <w:rPr>
          <w:rFonts w:eastAsia="Times New Roman"/>
        </w:rPr>
      </w:pPr>
      <w:r>
        <w:rPr>
          <w:rFonts w:eastAsia="Times New Roman"/>
        </w:rPr>
        <w:pict>
          <v:rect id="_x0000_i1066" style="width:0;height:1.5pt" o:hralign="center" o:hrstd="t" o:hr="t" fillcolor="#a0a0a0" stroked="f"/>
        </w:pict>
      </w:r>
    </w:p>
    <w:p w:rsidR="00000000" w:rsidRDefault="00D04F4B">
      <w:pPr>
        <w:divId w:val="712270622"/>
        <w:rPr>
          <w:rFonts w:eastAsia="Times New Roman"/>
        </w:rPr>
      </w:pPr>
    </w:p>
    <w:p w:rsidR="00000000" w:rsidRDefault="00D04F4B">
      <w:pPr>
        <w:ind w:firstLine="720"/>
        <w:jc w:val="both"/>
        <w:divId w:val="1308392821"/>
        <w:rPr>
          <w:rFonts w:eastAsia="Times New Roman"/>
        </w:rPr>
      </w:pPr>
      <w:r>
        <w:rPr>
          <w:rFonts w:eastAsia="Times New Roman"/>
          <w:color w:val="000000"/>
          <w:sz w:val="20"/>
          <w:szCs w:val="20"/>
        </w:rPr>
        <w:t>The following discussion and analysis of the components of net income present a co</w:t>
      </w:r>
      <w:r>
        <w:rPr>
          <w:rFonts w:eastAsia="Times New Roman"/>
          <w:color w:val="000000"/>
          <w:sz w:val="20"/>
          <w:szCs w:val="20"/>
        </w:rPr>
        <w:t>mparison for the year ended December 31, 2021 to the year ended December 31, 2020. The results of these components for the years ended December 31, 2020 compared to December 31, 2019 was included in our Annual Report on Form 10-K for the year ended Decembe</w:t>
      </w:r>
      <w:r>
        <w:rPr>
          <w:rFonts w:eastAsia="Times New Roman"/>
          <w:color w:val="000000"/>
          <w:sz w:val="20"/>
          <w:szCs w:val="20"/>
        </w:rPr>
        <w:t>r 31, 2020 on page 24, under Part II, Item 7, “Management’s Discussion and Analysis of Financial Condition and Results of Operations,” which was filed with the SEC on February 24, 2021.</w:t>
      </w:r>
    </w:p>
    <w:p w:rsidR="00000000" w:rsidRDefault="00D04F4B">
      <w:pPr>
        <w:jc w:val="both"/>
        <w:rPr>
          <w:rFonts w:eastAsia="Times New Roman"/>
        </w:rPr>
      </w:pPr>
      <w:r>
        <w:rPr>
          <w:rFonts w:eastAsia="Times New Roman"/>
          <w:b/>
          <w:bCs/>
          <w:color w:val="000000"/>
          <w:sz w:val="20"/>
          <w:szCs w:val="20"/>
          <w:u w:val="single"/>
        </w:rPr>
        <w:t>Ancillary Operations</w:t>
      </w:r>
    </w:p>
    <w:p w:rsidR="00000000" w:rsidRDefault="00D04F4B">
      <w:pPr>
        <w:ind w:firstLine="720"/>
        <w:jc w:val="both"/>
        <w:divId w:val="664820225"/>
        <w:rPr>
          <w:rFonts w:eastAsia="Times New Roman"/>
        </w:rPr>
      </w:pPr>
      <w:r>
        <w:rPr>
          <w:rFonts w:eastAsia="Times New Roman"/>
          <w:color w:val="000000"/>
          <w:sz w:val="20"/>
          <w:szCs w:val="20"/>
        </w:rPr>
        <w:t>Ancillary revenues and expenses include amounts a</w:t>
      </w:r>
      <w:r>
        <w:rPr>
          <w:rFonts w:eastAsia="Times New Roman"/>
          <w:color w:val="000000"/>
          <w:sz w:val="20"/>
          <w:szCs w:val="20"/>
        </w:rPr>
        <w:t>ssociated with the reinsurance of policies against losses to goods stored by tenants in our self-storage facilities, sale of merchandise at our self-storage facilities, and management of property owned by unrelated third parties. The following table sets f</w:t>
      </w:r>
      <w:r>
        <w:rPr>
          <w:rFonts w:eastAsia="Times New Roman"/>
          <w:color w:val="000000"/>
          <w:sz w:val="20"/>
          <w:szCs w:val="20"/>
        </w:rPr>
        <w:t>orth our ancillary operations:</w:t>
      </w:r>
      <w:r>
        <w:rPr>
          <w:rFonts w:eastAsia="Times New Roman"/>
          <w:color w:val="000000"/>
          <w:sz w:val="2"/>
          <w:szCs w:val="2"/>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239"/>
        <w:gridCol w:w="37"/>
        <w:gridCol w:w="122"/>
        <w:gridCol w:w="1459"/>
        <w:gridCol w:w="38"/>
        <w:gridCol w:w="37"/>
        <w:gridCol w:w="37"/>
        <w:gridCol w:w="37"/>
        <w:gridCol w:w="122"/>
        <w:gridCol w:w="1418"/>
        <w:gridCol w:w="37"/>
        <w:gridCol w:w="36"/>
        <w:gridCol w:w="36"/>
        <w:gridCol w:w="36"/>
        <w:gridCol w:w="121"/>
        <w:gridCol w:w="1419"/>
        <w:gridCol w:w="36"/>
      </w:tblGrid>
      <w:tr w:rsidR="00000000">
        <w:trPr>
          <w:jc w:val="center"/>
        </w:trPr>
        <w:tc>
          <w:tcPr>
            <w:tcW w:w="50" w:type="pct"/>
            <w:vAlign w:val="center"/>
            <w:hideMark/>
          </w:tcPr>
          <w:p w:rsidR="00000000" w:rsidRDefault="00D04F4B">
            <w:pPr>
              <w:ind w:firstLine="720"/>
              <w:jc w:val="both"/>
              <w:rPr>
                <w:rFonts w:eastAsia="Times New Roman"/>
              </w:rPr>
            </w:pPr>
          </w:p>
        </w:tc>
        <w:tc>
          <w:tcPr>
            <w:tcW w:w="198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90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90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90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(Amounts in thousands)</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Revenues: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Tenant reinsurance premiums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166,585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149,286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17,299</w:t>
            </w: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28,466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29,702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(1,236)</w:t>
            </w: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17,207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14,450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2,757</w:t>
            </w: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212,258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193,438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18,820</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Cost of operations: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Tenant reinsurance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33,932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28,486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5,446</w:t>
            </w: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17,274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17,609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(335)</w:t>
            </w: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17,362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13,824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3,538</w:t>
            </w: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68,568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59,919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8,649</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Net operating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Tenant reinsurance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132,653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120,800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11,853</w:t>
            </w: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11,192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12,093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(901)</w:t>
            </w: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626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(781)</w:t>
            </w:r>
          </w:p>
        </w:tc>
      </w:tr>
      <w:tr w:rsidR="00000000">
        <w:trPr>
          <w:jc w:val="center"/>
        </w:trPr>
        <w:tc>
          <w:tcPr>
            <w:tcW w:w="0" w:type="auto"/>
            <w:gridSpan w:val="3"/>
            <w:tcMar>
              <w:top w:w="30" w:type="dxa"/>
              <w:left w:w="44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Total net operating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143,690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133,519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10,171</w:t>
            </w:r>
          </w:p>
        </w:tc>
      </w:tr>
    </w:tbl>
    <w:p w:rsidR="00000000" w:rsidRDefault="00D04F4B">
      <w:pPr>
        <w:ind w:firstLine="720"/>
        <w:jc w:val="both"/>
        <w:divId w:val="1393508020"/>
        <w:rPr>
          <w:rFonts w:eastAsia="Times New Roman"/>
        </w:rPr>
      </w:pPr>
      <w:r>
        <w:rPr>
          <w:rFonts w:eastAsia="Times New Roman"/>
          <w:b/>
          <w:bCs/>
          <w:i/>
          <w:iCs/>
          <w:color w:val="000000"/>
          <w:sz w:val="20"/>
          <w:szCs w:val="20"/>
        </w:rPr>
        <w:t xml:space="preserve">Tenant reinsurance operations: </w:t>
      </w:r>
      <w:r>
        <w:rPr>
          <w:rFonts w:eastAsia="Times New Roman"/>
          <w:color w:val="000000"/>
          <w:sz w:val="20"/>
          <w:szCs w:val="20"/>
        </w:rPr>
        <w:t>Tenant reinsurance premium revenue increased $17.3 </w:t>
      </w:r>
      <w:r>
        <w:rPr>
          <w:rFonts w:eastAsia="Times New Roman"/>
          <w:color w:val="000000"/>
          <w:sz w:val="20"/>
          <w:szCs w:val="20"/>
        </w:rPr>
        <w:t>million or 11.6% in 2021 over 2020 as a result of higher average premiums and an increase in our tenant base with respect to acquired, newly developed, and expanded facilities and the third party properties we manage. Tenant reinsurance premium revenue gen</w:t>
      </w:r>
      <w:r>
        <w:rPr>
          <w:rFonts w:eastAsia="Times New Roman"/>
          <w:color w:val="000000"/>
          <w:sz w:val="20"/>
          <w:szCs w:val="20"/>
        </w:rPr>
        <w:t>erated from tenants at our Same-Store Facilities were $133.8 million and $128.0 million in 2021 and 2020, respectively, representing a 4.5% year over year increase in 2021.</w:t>
      </w:r>
    </w:p>
    <w:p w:rsidR="00000000" w:rsidRDefault="00D04F4B">
      <w:pPr>
        <w:ind w:firstLine="720"/>
        <w:jc w:val="both"/>
        <w:divId w:val="684212243"/>
        <w:rPr>
          <w:rFonts w:eastAsia="Times New Roman"/>
        </w:rPr>
      </w:pPr>
      <w:r>
        <w:rPr>
          <w:rFonts w:eastAsia="Times New Roman"/>
          <w:color w:val="000000"/>
          <w:sz w:val="20"/>
          <w:szCs w:val="20"/>
        </w:rPr>
        <w:t>We expect future growth will come primarily from customers of newly acquired and developed facilities, as well as additional tenants at our existing unstabilized self-storage facilities.</w:t>
      </w:r>
    </w:p>
    <w:p w:rsidR="00000000" w:rsidRDefault="00D04F4B">
      <w:pPr>
        <w:ind w:firstLine="720"/>
        <w:jc w:val="both"/>
        <w:divId w:val="773743236"/>
        <w:rPr>
          <w:rFonts w:eastAsia="Times New Roman"/>
        </w:rPr>
      </w:pPr>
      <w:r>
        <w:rPr>
          <w:rFonts w:eastAsia="Times New Roman"/>
          <w:color w:val="000000"/>
          <w:sz w:val="20"/>
          <w:szCs w:val="20"/>
        </w:rPr>
        <w:t>Cost of operations primarily includes claims paid as well as claims a</w:t>
      </w:r>
      <w:r>
        <w:rPr>
          <w:rFonts w:eastAsia="Times New Roman"/>
          <w:color w:val="000000"/>
          <w:sz w:val="20"/>
          <w:szCs w:val="20"/>
        </w:rPr>
        <w:t>djustment expenses. Claims expenses vary based upon the number of insured tenants and the volume of events which drive covered customer losses, such as burglary, as well as catastrophic weather events affecting multiple properties such as hurricanes and fl</w:t>
      </w:r>
      <w:r>
        <w:rPr>
          <w:rFonts w:eastAsia="Times New Roman"/>
          <w:color w:val="000000"/>
          <w:sz w:val="20"/>
          <w:szCs w:val="20"/>
        </w:rPr>
        <w:t>oods.</w:t>
      </w:r>
    </w:p>
    <w:p w:rsidR="00000000" w:rsidRDefault="00D04F4B">
      <w:pPr>
        <w:ind w:firstLine="720"/>
        <w:jc w:val="both"/>
        <w:divId w:val="55662419"/>
        <w:rPr>
          <w:rFonts w:eastAsia="Times New Roman"/>
        </w:rPr>
      </w:pPr>
      <w:r>
        <w:rPr>
          <w:rFonts w:eastAsia="Times New Roman"/>
          <w:b/>
          <w:bCs/>
          <w:i/>
          <w:iCs/>
          <w:color w:val="000000"/>
          <w:sz w:val="20"/>
          <w:szCs w:val="20"/>
        </w:rPr>
        <w:t>Merchandise sales:</w:t>
      </w:r>
      <w:r>
        <w:rPr>
          <w:rFonts w:eastAsia="Times New Roman"/>
          <w:i/>
          <w:iCs/>
          <w:color w:val="000000"/>
          <w:sz w:val="20"/>
          <w:szCs w:val="20"/>
        </w:rPr>
        <w:t xml:space="preserve"> </w:t>
      </w:r>
      <w:r>
        <w:rPr>
          <w:rFonts w:eastAsia="Times New Roman"/>
          <w:color w:val="000000"/>
          <w:sz w:val="20"/>
          <w:szCs w:val="20"/>
        </w:rPr>
        <w:t>Sales of locks, boxes, and packing supplies at our self-storage facilities are primarily impacted by the level of move-ins and other customer traffic at our self-storage facilities. We do not expect any significant changes in reven</w:t>
      </w:r>
      <w:r>
        <w:rPr>
          <w:rFonts w:eastAsia="Times New Roman"/>
          <w:color w:val="000000"/>
          <w:sz w:val="20"/>
          <w:szCs w:val="20"/>
        </w:rPr>
        <w:t>ues or profitability from our merchandise sales in 2022.</w:t>
      </w:r>
    </w:p>
    <w:p w:rsidR="00000000" w:rsidRDefault="00D04F4B">
      <w:pPr>
        <w:ind w:firstLine="720"/>
        <w:jc w:val="both"/>
        <w:divId w:val="525946198"/>
        <w:rPr>
          <w:rFonts w:eastAsia="Times New Roman"/>
        </w:rPr>
      </w:pPr>
      <w:r>
        <w:rPr>
          <w:rFonts w:eastAsia="Times New Roman"/>
          <w:b/>
          <w:bCs/>
          <w:i/>
          <w:iCs/>
          <w:color w:val="000000"/>
          <w:sz w:val="20"/>
          <w:szCs w:val="20"/>
        </w:rPr>
        <w:t xml:space="preserve">Third-party property management: </w:t>
      </w:r>
      <w:r>
        <w:rPr>
          <w:rFonts w:eastAsia="Times New Roman"/>
          <w:color w:val="000000"/>
          <w:sz w:val="20"/>
          <w:szCs w:val="20"/>
        </w:rPr>
        <w:t>At December 31, 2021, we managed 93 facilities for unrelated third parties, and were under contract to manage 59 additional facilities including 54 facilities that ar</w:t>
      </w:r>
      <w:r>
        <w:rPr>
          <w:rFonts w:eastAsia="Times New Roman"/>
          <w:color w:val="000000"/>
          <w:sz w:val="20"/>
          <w:szCs w:val="20"/>
        </w:rPr>
        <w:t>e currently under construction. During 2021, we added 79 facilities to the program, acquired 25 facilities from the program, and had 19 properties exit the program due to sales to other buyers. While we expect this business to increase in scope and size, w</w:t>
      </w:r>
      <w:r>
        <w:rPr>
          <w:rFonts w:eastAsia="Times New Roman"/>
          <w:color w:val="000000"/>
          <w:sz w:val="20"/>
          <w:szCs w:val="20"/>
        </w:rPr>
        <w:t xml:space="preserve">e do not expect any </w:t>
      </w:r>
    </w:p>
    <w:p w:rsidR="00000000" w:rsidRDefault="00D04F4B">
      <w:pPr>
        <w:jc w:val="center"/>
        <w:divId w:val="1970357785"/>
        <w:rPr>
          <w:rFonts w:eastAsia="Times New Roman"/>
        </w:rPr>
      </w:pPr>
      <w:r>
        <w:rPr>
          <w:rFonts w:eastAsia="Times New Roman"/>
          <w:color w:val="000000"/>
          <w:sz w:val="20"/>
          <w:szCs w:val="20"/>
        </w:rPr>
        <w:t>42</w:t>
      </w:r>
    </w:p>
    <w:p w:rsidR="00000000" w:rsidRDefault="00D04F4B">
      <w:pPr>
        <w:rPr>
          <w:rFonts w:eastAsia="Times New Roman"/>
        </w:rPr>
      </w:pPr>
      <w:r>
        <w:rPr>
          <w:rFonts w:eastAsia="Times New Roman"/>
        </w:rPr>
        <w:pict>
          <v:rect id="_x0000_i1067" style="width:0;height:1.5pt" o:hralign="center" o:hrstd="t" o:hr="t" fillcolor="#a0a0a0" stroked="f"/>
        </w:pict>
      </w:r>
    </w:p>
    <w:p w:rsidR="00000000" w:rsidRDefault="00D04F4B">
      <w:pPr>
        <w:divId w:val="1007249414"/>
        <w:rPr>
          <w:rFonts w:eastAsia="Times New Roman"/>
        </w:rPr>
      </w:pPr>
    </w:p>
    <w:p w:rsidR="00000000" w:rsidRDefault="00D04F4B">
      <w:pPr>
        <w:jc w:val="both"/>
        <w:divId w:val="338192006"/>
        <w:rPr>
          <w:rFonts w:eastAsia="Times New Roman"/>
        </w:rPr>
      </w:pPr>
      <w:r>
        <w:rPr>
          <w:rFonts w:eastAsia="Times New Roman"/>
          <w:color w:val="000000"/>
          <w:sz w:val="20"/>
          <w:szCs w:val="20"/>
        </w:rPr>
        <w:t>significant changes in overall profitability of this business in the near term as we seek new properties to manage and are in the earlier stages of lease-up for newly managed properties.</w:t>
      </w:r>
    </w:p>
    <w:p w:rsidR="00000000" w:rsidRDefault="00D04F4B">
      <w:pPr>
        <w:divId w:val="1094284226"/>
        <w:rPr>
          <w:rFonts w:eastAsia="Times New Roman"/>
        </w:rPr>
      </w:pPr>
      <w:r>
        <w:rPr>
          <w:rFonts w:eastAsia="Times New Roman"/>
          <w:b/>
          <w:bCs/>
          <w:color w:val="000000"/>
          <w:sz w:val="20"/>
          <w:szCs w:val="20"/>
        </w:rPr>
        <w:t>Analysi</w:t>
      </w:r>
      <w:r>
        <w:rPr>
          <w:rFonts w:eastAsia="Times New Roman"/>
          <w:b/>
          <w:bCs/>
          <w:color w:val="000000"/>
          <w:sz w:val="20"/>
          <w:szCs w:val="20"/>
        </w:rPr>
        <w:t>s of items not allocated to our Reportable Segments</w:t>
      </w:r>
    </w:p>
    <w:p w:rsidR="00000000" w:rsidRDefault="00D04F4B">
      <w:pPr>
        <w:jc w:val="both"/>
        <w:divId w:val="2031183115"/>
        <w:rPr>
          <w:rFonts w:eastAsia="Times New Roman"/>
        </w:rPr>
      </w:pPr>
      <w:r>
        <w:rPr>
          <w:rFonts w:eastAsia="Times New Roman"/>
          <w:b/>
          <w:bCs/>
          <w:i/>
          <w:iCs/>
          <w:color w:val="000000"/>
          <w:sz w:val="20"/>
          <w:szCs w:val="20"/>
        </w:rPr>
        <w:t>Equity in earnings of unconsolidated real estate entities</w:t>
      </w:r>
    </w:p>
    <w:p w:rsidR="00000000" w:rsidRDefault="00D04F4B">
      <w:pPr>
        <w:ind w:firstLine="720"/>
        <w:jc w:val="both"/>
        <w:divId w:val="2061636979"/>
        <w:rPr>
          <w:rFonts w:eastAsia="Times New Roman"/>
        </w:rPr>
      </w:pPr>
      <w:r>
        <w:rPr>
          <w:rFonts w:eastAsia="Times New Roman"/>
          <w:color w:val="000000"/>
          <w:sz w:val="20"/>
          <w:szCs w:val="20"/>
        </w:rPr>
        <w:t>For all periods presented, we have equity investments in PSB and Shurgard, which we account for using the equity method and record our pro-rata sh</w:t>
      </w:r>
      <w:r>
        <w:rPr>
          <w:rFonts w:eastAsia="Times New Roman"/>
          <w:color w:val="000000"/>
          <w:sz w:val="20"/>
          <w:szCs w:val="20"/>
        </w:rPr>
        <w:t>are of the net income of these entities. The following table, and the discussion below, sets forth our equity in earnings of unconsolidated real estate entities:</w:t>
      </w:r>
    </w:p>
    <w:tbl>
      <w:tblPr>
        <w:tblW w:w="4621" w:type="pct"/>
        <w:jc w:val="center"/>
        <w:tblCellMar>
          <w:top w:w="15" w:type="dxa"/>
          <w:left w:w="15" w:type="dxa"/>
          <w:bottom w:w="15" w:type="dxa"/>
          <w:right w:w="15" w:type="dxa"/>
        </w:tblCellMar>
        <w:tblLook w:val="04A0" w:firstRow="1" w:lastRow="0" w:firstColumn="1" w:lastColumn="0" w:noHBand="0" w:noVBand="1"/>
      </w:tblPr>
      <w:tblGrid>
        <w:gridCol w:w="38"/>
        <w:gridCol w:w="3060"/>
        <w:gridCol w:w="37"/>
        <w:gridCol w:w="122"/>
        <w:gridCol w:w="1310"/>
        <w:gridCol w:w="38"/>
        <w:gridCol w:w="37"/>
        <w:gridCol w:w="37"/>
        <w:gridCol w:w="37"/>
        <w:gridCol w:w="122"/>
        <w:gridCol w:w="1267"/>
        <w:gridCol w:w="37"/>
        <w:gridCol w:w="36"/>
        <w:gridCol w:w="36"/>
        <w:gridCol w:w="36"/>
        <w:gridCol w:w="121"/>
        <w:gridCol w:w="1269"/>
        <w:gridCol w:w="36"/>
      </w:tblGrid>
      <w:tr w:rsidR="00000000">
        <w:trPr>
          <w:jc w:val="center"/>
        </w:trPr>
        <w:tc>
          <w:tcPr>
            <w:tcW w:w="50" w:type="pct"/>
            <w:vAlign w:val="center"/>
            <w:hideMark/>
          </w:tcPr>
          <w:p w:rsidR="00000000" w:rsidRDefault="00D04F4B">
            <w:pPr>
              <w:ind w:firstLine="720"/>
              <w:jc w:val="both"/>
              <w:rPr>
                <w:rFonts w:eastAsia="Times New Roman"/>
              </w:rPr>
            </w:pPr>
          </w:p>
        </w:tc>
        <w:tc>
          <w:tcPr>
            <w:tcW w:w="203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88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88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88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(Amounts in thousands)</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Equity in earnings: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207,722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64,835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142,887</w:t>
            </w: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24,371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15,662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8,709</w:t>
            </w: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Total equity in earnings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232,093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80,497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151,596</w:t>
            </w:r>
          </w:p>
        </w:tc>
      </w:tr>
    </w:tbl>
    <w:p w:rsidR="00000000" w:rsidRDefault="00D04F4B">
      <w:pPr>
        <w:ind w:firstLine="720"/>
        <w:jc w:val="both"/>
        <w:divId w:val="2077824088"/>
        <w:rPr>
          <w:rFonts w:eastAsia="Times New Roman"/>
        </w:rPr>
      </w:pPr>
      <w:r>
        <w:rPr>
          <w:rFonts w:eastAsia="Times New Roman"/>
          <w:b/>
          <w:bCs/>
          <w:i/>
          <w:iCs/>
          <w:color w:val="000000"/>
          <w:sz w:val="20"/>
          <w:szCs w:val="20"/>
        </w:rPr>
        <w:t>Investment in PSB:</w:t>
      </w:r>
      <w:r>
        <w:rPr>
          <w:rFonts w:eastAsia="Times New Roman"/>
          <w:i/>
          <w:iCs/>
          <w:color w:val="000000"/>
          <w:sz w:val="20"/>
          <w:szCs w:val="20"/>
        </w:rPr>
        <w:t xml:space="preserve"> </w:t>
      </w:r>
      <w:r>
        <w:rPr>
          <w:rFonts w:eastAsia="Times New Roman"/>
          <w:color w:val="000000"/>
          <w:sz w:val="20"/>
          <w:szCs w:val="20"/>
        </w:rPr>
        <w:t>Throughout all periods presented, we owned 7,158,354 shares of PS Business Parks, Inc. (“PSB”</w:t>
      </w:r>
      <w:r>
        <w:rPr>
          <w:rFonts w:eastAsia="Times New Roman"/>
          <w:color w:val="000000"/>
          <w:sz w:val="20"/>
          <w:szCs w:val="20"/>
        </w:rPr>
        <w:t>) common stock and 7,305,355 limited partnership units in an operating partnership controlled by PSB, representing an approximate 41% common equity interest as of December 31, 2021 (42% as of December 31, 2020). The limited partnership units are convertibl</w:t>
      </w:r>
      <w:r>
        <w:rPr>
          <w:rFonts w:eastAsia="Times New Roman"/>
          <w:color w:val="000000"/>
          <w:sz w:val="20"/>
          <w:szCs w:val="20"/>
        </w:rPr>
        <w:t>e at our option, subject to certain conditions, on a one-for-one basis into PSB common stock.</w:t>
      </w:r>
    </w:p>
    <w:p w:rsidR="00000000" w:rsidRDefault="00D04F4B">
      <w:pPr>
        <w:ind w:firstLine="720"/>
        <w:jc w:val="both"/>
        <w:divId w:val="1862742129"/>
        <w:rPr>
          <w:rFonts w:eastAsia="Times New Roman"/>
        </w:rPr>
      </w:pPr>
      <w:r>
        <w:rPr>
          <w:rFonts w:eastAsia="Times New Roman"/>
          <w:color w:val="000000"/>
          <w:sz w:val="20"/>
          <w:szCs w:val="20"/>
        </w:rPr>
        <w:t>At December </w:t>
      </w:r>
      <w:r>
        <w:rPr>
          <w:rFonts w:eastAsia="Times New Roman"/>
          <w:color w:val="000000"/>
          <w:sz w:val="20"/>
          <w:szCs w:val="20"/>
        </w:rPr>
        <w:t>31, 2021, PSB wholly-owned approximately 28 million rentable square feet of commercial space and had a 95% interest in a 395-unit apartment complex. PSB also manages commercial space that we own pursuant to property management agreements.</w:t>
      </w:r>
    </w:p>
    <w:p w:rsidR="00000000" w:rsidRDefault="00D04F4B">
      <w:pPr>
        <w:ind w:firstLine="720"/>
        <w:jc w:val="both"/>
        <w:divId w:val="1785809249"/>
        <w:rPr>
          <w:rFonts w:eastAsia="Times New Roman"/>
        </w:rPr>
      </w:pPr>
      <w:r>
        <w:rPr>
          <w:rFonts w:eastAsia="Times New Roman"/>
          <w:color w:val="000000"/>
          <w:sz w:val="20"/>
          <w:szCs w:val="20"/>
        </w:rPr>
        <w:t>Included in our e</w:t>
      </w:r>
      <w:r>
        <w:rPr>
          <w:rFonts w:eastAsia="Times New Roman"/>
          <w:color w:val="000000"/>
          <w:sz w:val="20"/>
          <w:szCs w:val="20"/>
        </w:rPr>
        <w:t>quity earnings from PSB is our equity share of gains on sale of real estate totaling $149.0 million and $11.3 million in 2021 and 2020, respectively. PSB’s filings and selected financial information, including discussion of the factors that affect its earn</w:t>
      </w:r>
      <w:r>
        <w:rPr>
          <w:rFonts w:eastAsia="Times New Roman"/>
          <w:color w:val="000000"/>
          <w:sz w:val="20"/>
          <w:szCs w:val="20"/>
        </w:rPr>
        <w:t xml:space="preserve">ings, can be accessed through the SEC, and on PSB’s website, www.psbusinessparks.com. Information on this website is not incorporated by reference herein and is not a part of this Annual Report on Form 10-K. </w:t>
      </w:r>
    </w:p>
    <w:p w:rsidR="00000000" w:rsidRDefault="00D04F4B">
      <w:pPr>
        <w:ind w:firstLine="720"/>
        <w:jc w:val="both"/>
        <w:divId w:val="931548568"/>
        <w:rPr>
          <w:rFonts w:eastAsia="Times New Roman"/>
        </w:rPr>
      </w:pPr>
      <w:r>
        <w:rPr>
          <w:rFonts w:eastAsia="Times New Roman"/>
          <w:b/>
          <w:bCs/>
          <w:i/>
          <w:iCs/>
          <w:color w:val="000000"/>
          <w:sz w:val="20"/>
          <w:szCs w:val="20"/>
        </w:rPr>
        <w:t>Investment in Shurgard:</w:t>
      </w:r>
      <w:r>
        <w:rPr>
          <w:rFonts w:eastAsia="Times New Roman"/>
          <w:i/>
          <w:iCs/>
          <w:color w:val="000000"/>
          <w:sz w:val="20"/>
          <w:szCs w:val="20"/>
        </w:rPr>
        <w:t xml:space="preserve"> </w:t>
      </w:r>
      <w:r>
        <w:rPr>
          <w:rFonts w:eastAsia="Times New Roman"/>
          <w:color w:val="000000"/>
          <w:sz w:val="20"/>
          <w:szCs w:val="20"/>
        </w:rPr>
        <w:t xml:space="preserve">Throughout all periods </w:t>
      </w:r>
      <w:r>
        <w:rPr>
          <w:rFonts w:eastAsia="Times New Roman"/>
          <w:color w:val="000000"/>
          <w:sz w:val="20"/>
          <w:szCs w:val="20"/>
        </w:rPr>
        <w:t xml:space="preserve">presented, we effectively owned, directly and indirectly, 31,268,459 Shurgard common shares, representing an approximate 35% equity interest in Shurgard. Shurgard’s common shares trade on Euronext Brussels under the “SHUR” symbol. </w:t>
      </w:r>
    </w:p>
    <w:p w:rsidR="00000000" w:rsidRDefault="00D04F4B">
      <w:pPr>
        <w:ind w:firstLine="720"/>
        <w:jc w:val="both"/>
        <w:divId w:val="1703282635"/>
        <w:rPr>
          <w:rFonts w:eastAsia="Times New Roman"/>
        </w:rPr>
      </w:pPr>
      <w:r>
        <w:rPr>
          <w:rFonts w:eastAsia="Times New Roman"/>
          <w:color w:val="000000"/>
          <w:sz w:val="20"/>
          <w:szCs w:val="20"/>
        </w:rPr>
        <w:t>At December 31, 2021, Sh</w:t>
      </w:r>
      <w:r>
        <w:rPr>
          <w:rFonts w:eastAsia="Times New Roman"/>
          <w:color w:val="000000"/>
          <w:sz w:val="20"/>
          <w:szCs w:val="20"/>
        </w:rPr>
        <w:t>urgard owned 253 self-storage facilities with approximately 14 million net rentable square feet. Shurgard pays us license fees for use of the Shurgard® trademark, as described in more detail in Note 4 to our December 31, 2021 consolidated financial stateme</w:t>
      </w:r>
      <w:r>
        <w:rPr>
          <w:rFonts w:eastAsia="Times New Roman"/>
          <w:color w:val="000000"/>
          <w:sz w:val="20"/>
          <w:szCs w:val="20"/>
        </w:rPr>
        <w:t xml:space="preserve">nts. </w:t>
      </w:r>
    </w:p>
    <w:p w:rsidR="00000000" w:rsidRDefault="00D04F4B">
      <w:pPr>
        <w:ind w:firstLine="720"/>
        <w:jc w:val="both"/>
        <w:divId w:val="52583283"/>
        <w:rPr>
          <w:rFonts w:eastAsia="Times New Roman"/>
        </w:rPr>
      </w:pPr>
      <w:r>
        <w:rPr>
          <w:rFonts w:eastAsia="Times New Roman"/>
          <w:color w:val="000000"/>
          <w:sz w:val="20"/>
          <w:szCs w:val="20"/>
        </w:rPr>
        <w:t>Equity in earnings from Shurgard increased $8.7 million in 2021 as compared to 2020, primarily due to the impact of improved same store operating income. Shurgard’s public filings and publicly reported information, including discussion of the factors</w:t>
      </w:r>
      <w:r>
        <w:rPr>
          <w:rFonts w:eastAsia="Times New Roman"/>
          <w:color w:val="000000"/>
          <w:sz w:val="20"/>
          <w:szCs w:val="20"/>
        </w:rPr>
        <w:t xml:space="preserve"> that affect its earnings, can be obtained on its website, https://corporate.shurgard.eu and on the website of the Luxembourg Stock Exchange, http://www.bourse.lu. Information on these websites is not incorporated by reference herein and is not a part of t</w:t>
      </w:r>
      <w:r>
        <w:rPr>
          <w:rFonts w:eastAsia="Times New Roman"/>
          <w:color w:val="000000"/>
          <w:sz w:val="20"/>
          <w:szCs w:val="20"/>
        </w:rPr>
        <w:t>his Annual Report on Form 10-K.</w:t>
      </w:r>
    </w:p>
    <w:p w:rsidR="00000000" w:rsidRDefault="00D04F4B">
      <w:pPr>
        <w:ind w:firstLine="720"/>
        <w:jc w:val="both"/>
        <w:divId w:val="2018728286"/>
        <w:rPr>
          <w:rFonts w:eastAsia="Times New Roman"/>
        </w:rPr>
      </w:pPr>
      <w:r>
        <w:rPr>
          <w:rFonts w:eastAsia="Times New Roman"/>
          <w:color w:val="000000"/>
          <w:sz w:val="20"/>
          <w:szCs w:val="20"/>
        </w:rPr>
        <w:t>For purposes of recording our equity in earnings from Shurgard, the Euro was translated at exchange rates of approximately 1.134 U.S. Dollars per Euro at December 31, 2021 (1.226 at December 31, 2020), and average exchange r</w:t>
      </w:r>
      <w:r>
        <w:rPr>
          <w:rFonts w:eastAsia="Times New Roman"/>
          <w:color w:val="000000"/>
          <w:sz w:val="20"/>
          <w:szCs w:val="20"/>
        </w:rPr>
        <w:t>ates of 1.183 for 2021 and 1.141 for 2020.</w:t>
      </w:r>
    </w:p>
    <w:p w:rsidR="00000000" w:rsidRDefault="00D04F4B">
      <w:pPr>
        <w:ind w:firstLine="720"/>
        <w:jc w:val="both"/>
        <w:divId w:val="540290539"/>
        <w:rPr>
          <w:rFonts w:eastAsia="Times New Roman"/>
        </w:rPr>
      </w:pPr>
    </w:p>
    <w:p w:rsidR="00000000" w:rsidRDefault="00D04F4B">
      <w:pPr>
        <w:jc w:val="center"/>
        <w:divId w:val="479735215"/>
        <w:rPr>
          <w:rFonts w:eastAsia="Times New Roman"/>
        </w:rPr>
      </w:pPr>
      <w:r>
        <w:rPr>
          <w:rFonts w:eastAsia="Times New Roman"/>
          <w:color w:val="000000"/>
          <w:sz w:val="20"/>
          <w:szCs w:val="20"/>
        </w:rPr>
        <w:t>43</w:t>
      </w:r>
    </w:p>
    <w:p w:rsidR="00000000" w:rsidRDefault="00D04F4B">
      <w:pPr>
        <w:rPr>
          <w:rFonts w:eastAsia="Times New Roman"/>
        </w:rPr>
      </w:pPr>
      <w:r>
        <w:rPr>
          <w:rFonts w:eastAsia="Times New Roman"/>
        </w:rPr>
        <w:pict>
          <v:rect id="_x0000_i1068" style="width:0;height:1.5pt" o:hralign="center" o:hrstd="t" o:hr="t" fillcolor="#a0a0a0" stroked="f"/>
        </w:pict>
      </w:r>
    </w:p>
    <w:p w:rsidR="00000000" w:rsidRDefault="00D04F4B">
      <w:pPr>
        <w:divId w:val="583298665"/>
        <w:rPr>
          <w:rFonts w:eastAsia="Times New Roman"/>
        </w:rPr>
      </w:pPr>
    </w:p>
    <w:p w:rsidR="00000000" w:rsidRDefault="00D04F4B">
      <w:pPr>
        <w:ind w:firstLine="720"/>
        <w:jc w:val="both"/>
        <w:rPr>
          <w:rFonts w:eastAsia="Times New Roman"/>
        </w:rPr>
      </w:pPr>
      <w:r>
        <w:rPr>
          <w:rFonts w:eastAsia="Times New Roman"/>
          <w:b/>
          <w:bCs/>
          <w:i/>
          <w:iCs/>
          <w:color w:val="000000"/>
          <w:sz w:val="20"/>
          <w:szCs w:val="20"/>
        </w:rPr>
        <w:t>General and administrative expense:</w:t>
      </w:r>
      <w:r>
        <w:rPr>
          <w:rFonts w:eastAsia="Times New Roman"/>
          <w:color w:val="000000"/>
          <w:sz w:val="20"/>
          <w:szCs w:val="20"/>
        </w:rPr>
        <w:t xml:space="preserve"> The following table sets forth our general and administrative expense: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092"/>
        <w:gridCol w:w="36"/>
        <w:gridCol w:w="122"/>
        <w:gridCol w:w="1509"/>
        <w:gridCol w:w="38"/>
        <w:gridCol w:w="37"/>
        <w:gridCol w:w="37"/>
        <w:gridCol w:w="37"/>
        <w:gridCol w:w="122"/>
        <w:gridCol w:w="1468"/>
        <w:gridCol w:w="37"/>
        <w:gridCol w:w="36"/>
        <w:gridCol w:w="36"/>
        <w:gridCol w:w="36"/>
        <w:gridCol w:w="121"/>
        <w:gridCol w:w="1469"/>
        <w:gridCol w:w="36"/>
      </w:tblGrid>
      <w:tr w:rsidR="00000000">
        <w:trPr>
          <w:jc w:val="center"/>
        </w:trPr>
        <w:tc>
          <w:tcPr>
            <w:tcW w:w="50" w:type="pct"/>
            <w:vAlign w:val="center"/>
            <w:hideMark/>
          </w:tcPr>
          <w:p w:rsidR="00000000" w:rsidRDefault="00D04F4B">
            <w:pPr>
              <w:ind w:firstLine="720"/>
              <w:jc w:val="both"/>
              <w:rPr>
                <w:rFonts w:eastAsia="Times New Roman"/>
              </w:rPr>
            </w:pPr>
          </w:p>
        </w:tc>
        <w:tc>
          <w:tcPr>
            <w:tcW w:w="189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93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93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93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 Ended December 31,</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(Amounts in thousands)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Share-based compensation expense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37,760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18,586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19,174</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Development and acquisition costs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8,403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10,839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(2,436)</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Tax compliance costs and taxes paid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11,530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8,317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3,213</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Legal costs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6,194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8,063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(1,869)</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Corporate management costs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19,189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18,088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1,101</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Other costs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18,178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19,306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(1,128)</w:t>
            </w: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101,254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83,199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18,055</w:t>
            </w:r>
          </w:p>
        </w:tc>
      </w:tr>
    </w:tbl>
    <w:p w:rsidR="00000000" w:rsidRDefault="00D04F4B">
      <w:pPr>
        <w:ind w:firstLine="720"/>
        <w:jc w:val="both"/>
        <w:divId w:val="1684936690"/>
        <w:rPr>
          <w:rFonts w:eastAsia="Times New Roman"/>
        </w:rPr>
      </w:pPr>
      <w:r>
        <w:rPr>
          <w:rFonts w:eastAsia="Times New Roman"/>
          <w:color w:val="000000"/>
          <w:sz w:val="20"/>
          <w:szCs w:val="20"/>
        </w:rPr>
        <w:t>Share-based compensation expense includes the amortization of restricted share units and stock options granted to certain corporate employees and trustees.</w:t>
      </w:r>
    </w:p>
    <w:p w:rsidR="00000000" w:rsidRDefault="00D04F4B">
      <w:pPr>
        <w:ind w:firstLine="720"/>
        <w:jc w:val="both"/>
        <w:divId w:val="643700480"/>
        <w:rPr>
          <w:rFonts w:eastAsia="Times New Roman"/>
        </w:rPr>
      </w:pPr>
      <w:r>
        <w:rPr>
          <w:rFonts w:eastAsia="Times New Roman"/>
          <w:color w:val="000000"/>
          <w:sz w:val="20"/>
          <w:szCs w:val="20"/>
        </w:rPr>
        <w:t>Share-based compensation expense for management personnel who directly and indirectly supervise the on-site property managers, as well as those employees responsible for providing shared general corporate functions to the extent their efforts are devoted t</w:t>
      </w:r>
      <w:r>
        <w:rPr>
          <w:rFonts w:eastAsia="Times New Roman"/>
          <w:color w:val="000000"/>
          <w:sz w:val="20"/>
          <w:szCs w:val="20"/>
        </w:rPr>
        <w:t>o self-storage operations, are included as self-storage cost of operations. See “Same Store Facilities” for further information. Share-based compensation expense varies based upon the level of grants and their related vesting and amortization periods, forf</w:t>
      </w:r>
      <w:r>
        <w:rPr>
          <w:rFonts w:eastAsia="Times New Roman"/>
          <w:color w:val="000000"/>
          <w:sz w:val="20"/>
          <w:szCs w:val="20"/>
        </w:rPr>
        <w:t xml:space="preserve">eitures, as well as the Company’s common share price on the date of each grant. </w:t>
      </w:r>
    </w:p>
    <w:p w:rsidR="00000000" w:rsidRDefault="00D04F4B">
      <w:pPr>
        <w:ind w:firstLine="720"/>
        <w:jc w:val="both"/>
        <w:divId w:val="1810322578"/>
        <w:rPr>
          <w:rFonts w:eastAsia="Times New Roman"/>
        </w:rPr>
      </w:pPr>
      <w:r>
        <w:rPr>
          <w:rFonts w:eastAsia="Times New Roman"/>
          <w:color w:val="000000"/>
          <w:sz w:val="20"/>
          <w:szCs w:val="20"/>
        </w:rPr>
        <w:t>In July 2020, our share-based compensation plans were modified to allow immediate vesting upon retirement (“Retirement Acceleration”), and to extend the exercisability of outs</w:t>
      </w:r>
      <w:r>
        <w:rPr>
          <w:rFonts w:eastAsia="Times New Roman"/>
          <w:color w:val="000000"/>
          <w:sz w:val="20"/>
          <w:szCs w:val="20"/>
        </w:rPr>
        <w:t>tanding stock options up to a year after retirement, for currently outstanding and future grants. Employees are eligible for Retirement Acceleration if they meet certain conditions including length of service, age, notice of intent to retire, and facilitat</w:t>
      </w:r>
      <w:r>
        <w:rPr>
          <w:rFonts w:eastAsia="Times New Roman"/>
          <w:color w:val="000000"/>
          <w:sz w:val="20"/>
          <w:szCs w:val="20"/>
        </w:rPr>
        <w:t xml:space="preserve">ion of succession for their role. </w:t>
      </w:r>
    </w:p>
    <w:p w:rsidR="00000000" w:rsidRDefault="00D04F4B">
      <w:pPr>
        <w:ind w:firstLine="720"/>
        <w:jc w:val="both"/>
        <w:divId w:val="417950209"/>
        <w:rPr>
          <w:rFonts w:eastAsia="Times New Roman"/>
        </w:rPr>
      </w:pPr>
      <w:r>
        <w:rPr>
          <w:rFonts w:eastAsia="Times New Roman"/>
          <w:color w:val="000000"/>
          <w:sz w:val="20"/>
          <w:szCs w:val="20"/>
        </w:rPr>
        <w:t>In 2021, share-based compensation expense increased $19.2 million as compared to 2020, primarily due to (i) the absence of comparable performance-based share-based compensation expense in 2020 and (ii) the accelerated com</w:t>
      </w:r>
      <w:r>
        <w:rPr>
          <w:rFonts w:eastAsia="Times New Roman"/>
          <w:color w:val="000000"/>
          <w:sz w:val="20"/>
          <w:szCs w:val="20"/>
        </w:rPr>
        <w:t>pensation costs recognized in 2021 associated with modifying our share-based compensation plans in July 2020, to allow immediate vesting upon retirement.</w:t>
      </w:r>
    </w:p>
    <w:p w:rsidR="00000000" w:rsidRDefault="00D04F4B">
      <w:pPr>
        <w:ind w:firstLine="720"/>
        <w:jc w:val="both"/>
        <w:divId w:val="1063523683"/>
        <w:rPr>
          <w:rFonts w:eastAsia="Times New Roman"/>
        </w:rPr>
      </w:pPr>
      <w:r>
        <w:rPr>
          <w:rFonts w:eastAsia="Times New Roman"/>
          <w:color w:val="000000"/>
          <w:sz w:val="20"/>
          <w:szCs w:val="20"/>
        </w:rPr>
        <w:t>Development and acquisition costs primarily represent internal and external expenses related to our de</w:t>
      </w:r>
      <w:r>
        <w:rPr>
          <w:rFonts w:eastAsia="Times New Roman"/>
          <w:color w:val="000000"/>
          <w:sz w:val="20"/>
          <w:szCs w:val="20"/>
        </w:rPr>
        <w:t>velopment and acquisition of real estate facilities and varies primarily based upon the level of activities. The amounts in the above table are net of $14.6 million and $11.8 million in 2021 and 2020, respectively, in development costs that were capitalize</w:t>
      </w:r>
      <w:r>
        <w:rPr>
          <w:rFonts w:eastAsia="Times New Roman"/>
          <w:color w:val="000000"/>
          <w:sz w:val="20"/>
          <w:szCs w:val="20"/>
        </w:rPr>
        <w:t xml:space="preserve">d to newly developed and redeveloped self-storage facilities. During 2020, we incurred $3.2 million in costs associated with the write-off of cancelled development projects. </w:t>
      </w:r>
    </w:p>
    <w:p w:rsidR="00000000" w:rsidRDefault="00D04F4B">
      <w:pPr>
        <w:ind w:firstLine="720"/>
        <w:jc w:val="both"/>
        <w:divId w:val="1917470571"/>
        <w:rPr>
          <w:rFonts w:eastAsia="Times New Roman"/>
        </w:rPr>
      </w:pPr>
      <w:r>
        <w:rPr>
          <w:rFonts w:eastAsia="Times New Roman"/>
          <w:color w:val="000000"/>
          <w:sz w:val="20"/>
          <w:szCs w:val="20"/>
        </w:rPr>
        <w:t>Tax compliance costs and taxes paid include taxes paid to various state and local</w:t>
      </w:r>
      <w:r>
        <w:rPr>
          <w:rFonts w:eastAsia="Times New Roman"/>
          <w:color w:val="000000"/>
          <w:sz w:val="20"/>
          <w:szCs w:val="20"/>
        </w:rPr>
        <w:t xml:space="preserve"> authorities, the costs of filing tax returns, and other costs associated with complying with federal and state tax laws. Such costs vary primarily based upon the tax rates and the level of our operations in the various states in which we do business. Stat</w:t>
      </w:r>
      <w:r>
        <w:rPr>
          <w:rFonts w:eastAsia="Times New Roman"/>
          <w:color w:val="000000"/>
          <w:sz w:val="20"/>
          <w:szCs w:val="20"/>
        </w:rPr>
        <w:t xml:space="preserve">e income tax increased $2.9 million from 2020 to 2021, due to rising taxable income in certain states where there are differences between federal and state tax laws. </w:t>
      </w:r>
    </w:p>
    <w:p w:rsidR="00000000" w:rsidRDefault="00D04F4B">
      <w:pPr>
        <w:jc w:val="both"/>
        <w:rPr>
          <w:rFonts w:eastAsia="Times New Roman"/>
        </w:rPr>
      </w:pPr>
    </w:p>
    <w:p w:rsidR="00000000" w:rsidRDefault="00D04F4B">
      <w:pPr>
        <w:ind w:firstLine="720"/>
        <w:jc w:val="both"/>
        <w:divId w:val="1822576688"/>
        <w:rPr>
          <w:rFonts w:eastAsia="Times New Roman"/>
        </w:rPr>
      </w:pPr>
      <w:r>
        <w:rPr>
          <w:rFonts w:eastAsia="Times New Roman"/>
          <w:b/>
          <w:bCs/>
          <w:i/>
          <w:iCs/>
          <w:color w:val="000000"/>
          <w:sz w:val="20"/>
          <w:szCs w:val="20"/>
        </w:rPr>
        <w:t>Interest and other income:</w:t>
      </w:r>
      <w:r>
        <w:rPr>
          <w:rFonts w:eastAsia="Times New Roman"/>
          <w:color w:val="000000"/>
          <w:sz w:val="20"/>
          <w:szCs w:val="20"/>
        </w:rPr>
        <w:t xml:space="preserve"> Interest and other income is comprised of the revenue and co</w:t>
      </w:r>
      <w:r>
        <w:rPr>
          <w:rFonts w:eastAsia="Times New Roman"/>
          <w:color w:val="000000"/>
          <w:sz w:val="20"/>
          <w:szCs w:val="20"/>
        </w:rPr>
        <w:t>st associated with our commercial operations, interest earned on cash balances, and trademark license fees received from Shurgard, as well as sundry other income items that are received from time to time in varying amounts. For 2021 and 2020, we recognized</w:t>
      </w:r>
      <w:r>
        <w:rPr>
          <w:rFonts w:eastAsia="Times New Roman"/>
          <w:color w:val="000000"/>
          <w:sz w:val="20"/>
          <w:szCs w:val="20"/>
        </w:rPr>
        <w:t xml:space="preserve"> $12.3 million and $22.3 million interest and other income, respectively. Amounts attributable to commercial operations was $8.1 million and $8.6 million in 2021 and 2020, respectively. Excluding the aforementioned amounts attributable to our commercial op</w:t>
      </w:r>
      <w:r>
        <w:rPr>
          <w:rFonts w:eastAsia="Times New Roman"/>
          <w:color w:val="000000"/>
          <w:sz w:val="20"/>
          <w:szCs w:val="20"/>
        </w:rPr>
        <w:t>erations, interest and other income decreased $9.5 million from 2020 to 2021, primarily due to $5.5 million other income recognized in 2020 related to litigation settlements and early repayment of notes receivable and $3.4 million decrease of interest earn</w:t>
      </w:r>
      <w:r>
        <w:rPr>
          <w:rFonts w:eastAsia="Times New Roman"/>
          <w:color w:val="000000"/>
          <w:sz w:val="20"/>
          <w:szCs w:val="20"/>
        </w:rPr>
        <w:t>ed on cash balances from 2020 to 2021.</w:t>
      </w:r>
    </w:p>
    <w:p w:rsidR="00000000" w:rsidRDefault="00D04F4B">
      <w:pPr>
        <w:jc w:val="center"/>
        <w:divId w:val="1734235691"/>
        <w:rPr>
          <w:rFonts w:eastAsia="Times New Roman"/>
        </w:rPr>
      </w:pPr>
      <w:r>
        <w:rPr>
          <w:rFonts w:eastAsia="Times New Roman"/>
          <w:color w:val="000000"/>
          <w:sz w:val="20"/>
          <w:szCs w:val="20"/>
        </w:rPr>
        <w:t>44</w:t>
      </w:r>
    </w:p>
    <w:p w:rsidR="00000000" w:rsidRDefault="00D04F4B">
      <w:pPr>
        <w:rPr>
          <w:rFonts w:eastAsia="Times New Roman"/>
        </w:rPr>
      </w:pPr>
      <w:r>
        <w:rPr>
          <w:rFonts w:eastAsia="Times New Roman"/>
        </w:rPr>
        <w:pict>
          <v:rect id="_x0000_i1069" style="width:0;height:1.5pt" o:hralign="center" o:hrstd="t" o:hr="t" fillcolor="#a0a0a0" stroked="f"/>
        </w:pict>
      </w:r>
    </w:p>
    <w:p w:rsidR="00000000" w:rsidRDefault="00D04F4B">
      <w:pPr>
        <w:divId w:val="2039044413"/>
        <w:rPr>
          <w:rFonts w:eastAsia="Times New Roman"/>
        </w:rPr>
      </w:pPr>
    </w:p>
    <w:p w:rsidR="00000000" w:rsidRDefault="00D04F4B">
      <w:pPr>
        <w:ind w:firstLine="720"/>
        <w:jc w:val="both"/>
        <w:divId w:val="986281557"/>
        <w:rPr>
          <w:rFonts w:eastAsia="Times New Roman"/>
        </w:rPr>
      </w:pPr>
      <w:r>
        <w:rPr>
          <w:rFonts w:eastAsia="Times New Roman"/>
          <w:b/>
          <w:bCs/>
          <w:i/>
          <w:iCs/>
          <w:color w:val="000000"/>
          <w:sz w:val="20"/>
          <w:szCs w:val="20"/>
        </w:rPr>
        <w:t>Interest expense:</w:t>
      </w:r>
      <w:r>
        <w:rPr>
          <w:rFonts w:eastAsia="Times New Roman"/>
          <w:color w:val="000000"/>
          <w:sz w:val="20"/>
          <w:szCs w:val="20"/>
        </w:rPr>
        <w:t xml:space="preserve"> For 2021 and 2020, we incurred $94.3 million and $59.7 million, respectively, of interest on our outstanding notes payable. In determining interest expense, t</w:t>
      </w:r>
      <w:r>
        <w:rPr>
          <w:rFonts w:eastAsia="Times New Roman"/>
          <w:color w:val="000000"/>
          <w:sz w:val="20"/>
          <w:szCs w:val="20"/>
        </w:rPr>
        <w:t xml:space="preserve">hese amounts were offset by capitalized interest of $3.5 million and $3.4 million during 2021 and 2020, respectively, associated with our development activities. The increase of interest expense in 2021 as compared to 2020 is due to our issuances of debt. </w:t>
      </w:r>
      <w:r>
        <w:rPr>
          <w:rFonts w:eastAsia="Times New Roman"/>
          <w:color w:val="000000"/>
          <w:sz w:val="20"/>
          <w:szCs w:val="20"/>
        </w:rPr>
        <w:t xml:space="preserve">At December 31, 2021, we had $7.5 billion of notes payable outstanding, with a weighted average interest rate of approximately 1.8%, compared to $2.5 billion of notes payable outstanding at December 31, 2020. </w:t>
      </w:r>
    </w:p>
    <w:p w:rsidR="00000000" w:rsidRDefault="00D04F4B">
      <w:pPr>
        <w:ind w:firstLine="720"/>
        <w:jc w:val="both"/>
        <w:divId w:val="892934808"/>
        <w:rPr>
          <w:rFonts w:eastAsia="Times New Roman"/>
        </w:rPr>
      </w:pPr>
      <w:r>
        <w:rPr>
          <w:rFonts w:eastAsia="Times New Roman"/>
          <w:b/>
          <w:bCs/>
          <w:i/>
          <w:iCs/>
          <w:color w:val="000000"/>
          <w:sz w:val="20"/>
          <w:szCs w:val="20"/>
        </w:rPr>
        <w:t>Foreign Currency Exchange Gain (Loss):</w:t>
      </w:r>
      <w:r>
        <w:rPr>
          <w:rFonts w:eastAsia="Times New Roman"/>
          <w:color w:val="000000"/>
          <w:sz w:val="20"/>
          <w:szCs w:val="20"/>
        </w:rPr>
        <w:t xml:space="preserve"> For 202</w:t>
      </w:r>
      <w:r>
        <w:rPr>
          <w:rFonts w:eastAsia="Times New Roman"/>
          <w:color w:val="000000"/>
          <w:sz w:val="20"/>
          <w:szCs w:val="20"/>
        </w:rPr>
        <w:t>1, we recorded foreign currency gains of $111.8 million representing the changes in the U.S. Dollar equivalent of our Euro-denominated unsecured notes due to fluctuations in exchange rates (losses of $98.0 million for 2020). The Euro was translated at exch</w:t>
      </w:r>
      <w:r>
        <w:rPr>
          <w:rFonts w:eastAsia="Times New Roman"/>
          <w:color w:val="000000"/>
          <w:sz w:val="20"/>
          <w:szCs w:val="20"/>
        </w:rPr>
        <w:t>ange rates of approximately 1.134 U.S. Dollars per Euro at December 31, 2021 and 1.226 at December 31, 2020. Future gains and losses on foreign currency will be dependent upon changes in the relative value of the Euro to the U.S. Dollar and the level of Eu</w:t>
      </w:r>
      <w:r>
        <w:rPr>
          <w:rFonts w:eastAsia="Times New Roman"/>
          <w:color w:val="000000"/>
          <w:sz w:val="20"/>
          <w:szCs w:val="20"/>
        </w:rPr>
        <w:t xml:space="preserve">ro-denominated notes payable outstanding. </w:t>
      </w:r>
    </w:p>
    <w:p w:rsidR="00000000" w:rsidRDefault="00D04F4B">
      <w:pPr>
        <w:ind w:firstLine="720"/>
        <w:jc w:val="both"/>
        <w:divId w:val="1131173756"/>
        <w:rPr>
          <w:rFonts w:eastAsia="Times New Roman"/>
        </w:rPr>
      </w:pPr>
      <w:r>
        <w:rPr>
          <w:rFonts w:eastAsia="Times New Roman"/>
          <w:b/>
          <w:bCs/>
          <w:i/>
          <w:iCs/>
          <w:color w:val="000000"/>
          <w:sz w:val="20"/>
          <w:szCs w:val="20"/>
        </w:rPr>
        <w:t>Gain on Sale of Real Estate:</w:t>
      </w:r>
      <w:r>
        <w:rPr>
          <w:rFonts w:eastAsia="Times New Roman"/>
          <w:color w:val="000000"/>
          <w:sz w:val="20"/>
          <w:szCs w:val="20"/>
        </w:rPr>
        <w:t xml:space="preserve"> In 2021 and 2020, we recorded gains on sale of real estate totaling $13.7 million, and $1.5 million, respectively, primarily in connection with the partial or complete sale of real est</w:t>
      </w:r>
      <w:r>
        <w:rPr>
          <w:rFonts w:eastAsia="Times New Roman"/>
          <w:color w:val="000000"/>
          <w:sz w:val="20"/>
          <w:szCs w:val="20"/>
        </w:rPr>
        <w:t>ate facilities pursuant to eminent domain proceedings.</w:t>
      </w:r>
    </w:p>
    <w:p w:rsidR="00000000" w:rsidRDefault="00D04F4B">
      <w:pPr>
        <w:jc w:val="center"/>
        <w:divId w:val="1270968886"/>
        <w:rPr>
          <w:rFonts w:eastAsia="Times New Roman"/>
        </w:rPr>
      </w:pPr>
      <w:r>
        <w:rPr>
          <w:rFonts w:eastAsia="Times New Roman"/>
          <w:color w:val="000000"/>
          <w:sz w:val="20"/>
          <w:szCs w:val="20"/>
        </w:rPr>
        <w:t>45</w:t>
      </w:r>
    </w:p>
    <w:p w:rsidR="00000000" w:rsidRDefault="00D04F4B">
      <w:pPr>
        <w:rPr>
          <w:rFonts w:eastAsia="Times New Roman"/>
        </w:rPr>
      </w:pPr>
      <w:r>
        <w:rPr>
          <w:rFonts w:eastAsia="Times New Roman"/>
        </w:rPr>
        <w:pict>
          <v:rect id="_x0000_i1070" style="width:0;height:1.5pt" o:hralign="center" o:hrstd="t" o:hr="t" fillcolor="#a0a0a0" stroked="f"/>
        </w:pict>
      </w:r>
    </w:p>
    <w:p w:rsidR="00000000" w:rsidRDefault="00D04F4B">
      <w:pPr>
        <w:divId w:val="295837225"/>
        <w:rPr>
          <w:rFonts w:eastAsia="Times New Roman"/>
        </w:rPr>
      </w:pPr>
    </w:p>
    <w:p w:rsidR="00000000" w:rsidRDefault="00D04F4B">
      <w:pPr>
        <w:divId w:val="1480728074"/>
        <w:rPr>
          <w:rFonts w:eastAsia="Times New Roman"/>
        </w:rPr>
      </w:pPr>
      <w:r>
        <w:rPr>
          <w:rFonts w:eastAsia="Times New Roman"/>
          <w:b/>
          <w:bCs/>
          <w:color w:val="000000"/>
          <w:sz w:val="20"/>
          <w:szCs w:val="20"/>
        </w:rPr>
        <w:t>Liquidity and Capital Resources</w:t>
      </w:r>
    </w:p>
    <w:p w:rsidR="00000000" w:rsidRDefault="00D04F4B">
      <w:pPr>
        <w:ind w:firstLine="720"/>
        <w:divId w:val="1682051435"/>
        <w:rPr>
          <w:rFonts w:eastAsia="Times New Roman"/>
        </w:rPr>
      </w:pPr>
      <w:r>
        <w:rPr>
          <w:rFonts w:eastAsia="Times New Roman"/>
          <w:color w:val="000000"/>
          <w:sz w:val="20"/>
          <w:szCs w:val="20"/>
          <w:u w:val="single"/>
        </w:rPr>
        <w:t>Overview</w:t>
      </w:r>
    </w:p>
    <w:p w:rsidR="00000000" w:rsidRDefault="00D04F4B">
      <w:pPr>
        <w:divId w:val="1195927501"/>
        <w:rPr>
          <w:rFonts w:eastAsia="Times New Roman"/>
        </w:rPr>
      </w:pPr>
    </w:p>
    <w:p w:rsidR="00000000" w:rsidRDefault="00D04F4B">
      <w:pPr>
        <w:ind w:firstLine="720"/>
        <w:jc w:val="both"/>
        <w:divId w:val="1366251100"/>
        <w:rPr>
          <w:rFonts w:eastAsia="Times New Roman"/>
        </w:rPr>
      </w:pPr>
      <w:r>
        <w:rPr>
          <w:rFonts w:eastAsia="Times New Roman"/>
          <w:color w:val="000000"/>
          <w:sz w:val="20"/>
          <w:szCs w:val="20"/>
        </w:rPr>
        <w:t>Our expected material cash requirements for the twelve months ended December 31, 2022 and thereafter comprised (i) co</w:t>
      </w:r>
      <w:r>
        <w:rPr>
          <w:rFonts w:eastAsia="Times New Roman"/>
          <w:color w:val="000000"/>
          <w:sz w:val="20"/>
          <w:szCs w:val="20"/>
        </w:rPr>
        <w:t>ntractually obligated expenditures, including payments of principal and interest; (ii) other essential expenditures, including property operating expenses, maintenance capital expenditures and dividends paid in accordance with REIT distribution requirement</w:t>
      </w:r>
      <w:r>
        <w:rPr>
          <w:rFonts w:eastAsia="Times New Roman"/>
          <w:color w:val="000000"/>
          <w:sz w:val="20"/>
          <w:szCs w:val="20"/>
        </w:rPr>
        <w:t>s; and (iii) opportunistic expenditures, including acquisitions and developments and repurchases of our securities. We expect to satisfy these cash requirements through operating cash flow and opportunistic debt and equity financing.</w:t>
      </w:r>
    </w:p>
    <w:p w:rsidR="00000000" w:rsidRDefault="00D04F4B">
      <w:pPr>
        <w:ind w:firstLine="720"/>
        <w:divId w:val="878007046"/>
        <w:rPr>
          <w:rFonts w:eastAsia="Times New Roman"/>
        </w:rPr>
      </w:pPr>
      <w:r>
        <w:rPr>
          <w:rFonts w:eastAsia="Times New Roman"/>
          <w:color w:val="000000"/>
          <w:sz w:val="20"/>
          <w:szCs w:val="20"/>
          <w:u w:val="single"/>
        </w:rPr>
        <w:t>Sources of Capital</w:t>
      </w:r>
    </w:p>
    <w:p w:rsidR="00000000" w:rsidRDefault="00D04F4B">
      <w:pPr>
        <w:ind w:firstLine="720"/>
        <w:divId w:val="963388887"/>
        <w:rPr>
          <w:rFonts w:eastAsia="Times New Roman"/>
        </w:rPr>
      </w:pPr>
    </w:p>
    <w:p w:rsidR="00000000" w:rsidRDefault="00D04F4B">
      <w:pPr>
        <w:ind w:firstLine="720"/>
        <w:jc w:val="both"/>
        <w:divId w:val="916861483"/>
        <w:rPr>
          <w:rFonts w:eastAsia="Times New Roman"/>
        </w:rPr>
      </w:pPr>
      <w:r>
        <w:rPr>
          <w:rFonts w:eastAsia="Times New Roman"/>
          <w:color w:val="000000"/>
          <w:sz w:val="20"/>
          <w:szCs w:val="20"/>
        </w:rPr>
        <w:t>W</w:t>
      </w:r>
      <w:r>
        <w:rPr>
          <w:rFonts w:eastAsia="Times New Roman"/>
          <w:color w:val="000000"/>
          <w:sz w:val="20"/>
          <w:szCs w:val="20"/>
        </w:rPr>
        <w:t>hile operating as a REIT allows us to minimize the payment of U.S. federal corporate income tax expense, we are required to distribute at least 90% of our taxable income to our shareholders. Notwithstanding this requirement, we are nonetheless able to reta</w:t>
      </w:r>
      <w:r>
        <w:rPr>
          <w:rFonts w:eastAsia="Times New Roman"/>
          <w:color w:val="000000"/>
          <w:sz w:val="20"/>
          <w:szCs w:val="20"/>
        </w:rPr>
        <w:t>in operating cash flow to the extent that our tax depreciation exceeds our maintenance capital expenditures. Retained operating cash flow represents our expected cash flow provided by operating activities, less shareholder distributions and capital expendi</w:t>
      </w:r>
      <w:r>
        <w:rPr>
          <w:rFonts w:eastAsia="Times New Roman"/>
          <w:color w:val="000000"/>
          <w:sz w:val="20"/>
          <w:szCs w:val="20"/>
        </w:rPr>
        <w:t>tures. Our annual operating retained cash flow increased from $200 million to $300 million per year in recent years to approximately $700 million in 2021. We anticipate retained operating cash flow will remain similar in 2022 as compared to 2021.</w:t>
      </w:r>
    </w:p>
    <w:p w:rsidR="00000000" w:rsidRDefault="00D04F4B">
      <w:pPr>
        <w:ind w:firstLine="720"/>
        <w:jc w:val="both"/>
        <w:divId w:val="668406180"/>
        <w:rPr>
          <w:rFonts w:eastAsia="Times New Roman"/>
        </w:rPr>
      </w:pPr>
      <w:r>
        <w:rPr>
          <w:rFonts w:eastAsia="Times New Roman"/>
          <w:color w:val="000000"/>
          <w:sz w:val="20"/>
          <w:szCs w:val="20"/>
        </w:rPr>
        <w:t xml:space="preserve">The REIT </w:t>
      </w:r>
      <w:r>
        <w:rPr>
          <w:rFonts w:eastAsia="Times New Roman"/>
          <w:color w:val="000000"/>
          <w:sz w:val="20"/>
          <w:szCs w:val="20"/>
        </w:rPr>
        <w:t>distribution requirement limits cash flow from operations that can be retained and reinvested in the business, increasing our reliance upon raising capital to fund growth. Capital needs in excess of retained cash flow are met with: (i) medium and long-term</w:t>
      </w:r>
      <w:r>
        <w:rPr>
          <w:rFonts w:eastAsia="Times New Roman"/>
          <w:color w:val="000000"/>
          <w:sz w:val="20"/>
          <w:szCs w:val="20"/>
        </w:rPr>
        <w:t xml:space="preserve"> debt, (ii) preferred equity, and (iii) common equity. We select among these sources of capital based upon relative cost, availability, the desire for leverage, and considering potential constraints caused by certain features of capital sources, such as de</w:t>
      </w:r>
      <w:r>
        <w:rPr>
          <w:rFonts w:eastAsia="Times New Roman"/>
          <w:color w:val="000000"/>
          <w:sz w:val="20"/>
          <w:szCs w:val="20"/>
        </w:rPr>
        <w:t xml:space="preserve">bt covenants. We view our line of credit, as well as any short-term bank loans, as bridge financing. </w:t>
      </w:r>
    </w:p>
    <w:p w:rsidR="00000000" w:rsidRDefault="00D04F4B">
      <w:pPr>
        <w:ind w:firstLine="720"/>
        <w:jc w:val="both"/>
        <w:divId w:val="1354114188"/>
        <w:rPr>
          <w:rFonts w:eastAsia="Times New Roman"/>
        </w:rPr>
      </w:pPr>
      <w:r>
        <w:rPr>
          <w:rFonts w:eastAsia="Times New Roman"/>
          <w:color w:val="000000"/>
          <w:sz w:val="20"/>
          <w:szCs w:val="20"/>
        </w:rPr>
        <w:t>Because raising capital is important to our growth, we endeavor to maintain a strong financial profile characterized by strong credit metrics, including l</w:t>
      </w:r>
      <w:r>
        <w:rPr>
          <w:rFonts w:eastAsia="Times New Roman"/>
          <w:color w:val="000000"/>
          <w:sz w:val="20"/>
          <w:szCs w:val="20"/>
        </w:rPr>
        <w:t>ow leverage relative to our total capitalization and operating cash flows. We are one of the highest rated REITs, as rated by major rating agencies Moody’s and Standard &amp; Poor’s. Our senior notes payable has an “A” credit rating by Standard &amp; Poor’s and “A</w:t>
      </w:r>
      <w:r>
        <w:rPr>
          <w:rFonts w:eastAsia="Times New Roman"/>
          <w:color w:val="000000"/>
          <w:sz w:val="20"/>
          <w:szCs w:val="20"/>
        </w:rPr>
        <w:t>2” by Moody’s. Our credit ratings on each of our series of preferred shares are “A3” by Moody’s and “BBB+” by Standard &amp; Poor’s. Our credit profile enable us to effectively access both the public and private capital markets to raise capital.</w:t>
      </w:r>
    </w:p>
    <w:p w:rsidR="00000000" w:rsidRDefault="00D04F4B">
      <w:pPr>
        <w:ind w:firstLine="720"/>
        <w:jc w:val="both"/>
        <w:divId w:val="434905981"/>
        <w:rPr>
          <w:rFonts w:eastAsia="Times New Roman"/>
        </w:rPr>
      </w:pPr>
      <w:r>
        <w:rPr>
          <w:rFonts w:eastAsia="Times New Roman"/>
          <w:color w:val="000000"/>
          <w:sz w:val="20"/>
          <w:szCs w:val="20"/>
        </w:rPr>
        <w:t>We have a $500</w:t>
      </w:r>
      <w:r>
        <w:rPr>
          <w:rFonts w:eastAsia="Times New Roman"/>
          <w:color w:val="000000"/>
          <w:sz w:val="20"/>
          <w:szCs w:val="20"/>
        </w:rPr>
        <w:t>.0 million revolving line of credit which we are able to use as temporary “bridge” financing until we are able to raise longer term capital. As of December 31, 2021 and February 22, 2022, there were no borrowings outstanding on the revolving line of credit</w:t>
      </w:r>
      <w:r>
        <w:rPr>
          <w:rFonts w:eastAsia="Times New Roman"/>
          <w:color w:val="000000"/>
          <w:sz w:val="20"/>
          <w:szCs w:val="20"/>
        </w:rPr>
        <w:t xml:space="preserve">; however, we do have approximately $21.2 million of outstanding letters of credit which limits our borrowing capacity to $478.8 million. Our line of credit matures on April 19, 2024. </w:t>
      </w:r>
    </w:p>
    <w:p w:rsidR="00000000" w:rsidRDefault="00D04F4B">
      <w:pPr>
        <w:ind w:firstLine="720"/>
        <w:jc w:val="both"/>
        <w:divId w:val="232399942"/>
        <w:rPr>
          <w:rFonts w:eastAsia="Times New Roman"/>
        </w:rPr>
      </w:pPr>
      <w:r>
        <w:rPr>
          <w:rFonts w:eastAsia="Times New Roman"/>
          <w:color w:val="000000"/>
          <w:sz w:val="20"/>
          <w:szCs w:val="20"/>
        </w:rPr>
        <w:t>We believe that we have significant financial flexibility to adapt to changing conditions and opportunities. Currently, market rates of interest for our debt, and market coupon rates for our preferred equity, are at historically low levels and we have sign</w:t>
      </w:r>
      <w:r>
        <w:rPr>
          <w:rFonts w:eastAsia="Times New Roman"/>
          <w:color w:val="000000"/>
          <w:sz w:val="20"/>
          <w:szCs w:val="20"/>
        </w:rPr>
        <w:t>ificant access to these sources of capital. Based upon our substantial current liquidity relative to our capital requirements noted below, we would not expect any potential capital market dislocations to have a material impact upon our expected capital and</w:t>
      </w:r>
      <w:r>
        <w:rPr>
          <w:rFonts w:eastAsia="Times New Roman"/>
          <w:color w:val="000000"/>
          <w:sz w:val="20"/>
          <w:szCs w:val="20"/>
        </w:rPr>
        <w:t xml:space="preserve"> growth plans over the next 12 months. However, if capital market conditions were to change significantly in the long run, our access to or cost of debt and preferred equity capital could be negatively impacted and potentially affect future investment acti</w:t>
      </w:r>
      <w:r>
        <w:rPr>
          <w:rFonts w:eastAsia="Times New Roman"/>
          <w:color w:val="000000"/>
          <w:sz w:val="20"/>
          <w:szCs w:val="20"/>
        </w:rPr>
        <w:t>vities.</w:t>
      </w:r>
    </w:p>
    <w:p w:rsidR="00000000" w:rsidRDefault="00D04F4B">
      <w:pPr>
        <w:ind w:firstLine="720"/>
        <w:jc w:val="both"/>
        <w:divId w:val="728499244"/>
        <w:rPr>
          <w:rFonts w:eastAsia="Times New Roman"/>
        </w:rPr>
      </w:pPr>
      <w:r>
        <w:rPr>
          <w:rFonts w:eastAsia="Times New Roman"/>
          <w:color w:val="000000"/>
          <w:sz w:val="20"/>
          <w:szCs w:val="20"/>
        </w:rPr>
        <w:t>We believe that our cash provided by our operating activities will continue to be sufficient to enable us to meet our ongoing cash requirements for interest payments on debt, maintenance capital expenditures and distributions to our shareholders fo</w:t>
      </w:r>
      <w:r>
        <w:rPr>
          <w:rFonts w:eastAsia="Times New Roman"/>
          <w:color w:val="000000"/>
          <w:sz w:val="20"/>
          <w:szCs w:val="20"/>
        </w:rPr>
        <w:t xml:space="preserve">r the foreseeable future. </w:t>
      </w:r>
    </w:p>
    <w:p w:rsidR="00000000" w:rsidRDefault="00D04F4B">
      <w:pPr>
        <w:ind w:firstLine="720"/>
        <w:jc w:val="both"/>
        <w:divId w:val="347876934"/>
        <w:rPr>
          <w:rFonts w:eastAsia="Times New Roman"/>
        </w:rPr>
      </w:pPr>
      <w:r>
        <w:rPr>
          <w:rFonts w:eastAsia="Times New Roman"/>
          <w:color w:val="000000"/>
          <w:sz w:val="20"/>
          <w:szCs w:val="20"/>
        </w:rPr>
        <w:t>Our expected capital resources include: (i) $734.6 million of cash as of December 31, 2021, (ii) $242.8 million in net proceeds from the issuance of our Series S Preferred Shares on January 13, 2022 and (iii) approximately $700.0</w:t>
      </w:r>
      <w:r>
        <w:rPr>
          <w:rFonts w:eastAsia="Times New Roman"/>
          <w:color w:val="000000"/>
          <w:sz w:val="20"/>
          <w:szCs w:val="20"/>
        </w:rPr>
        <w:t> million of expected retained operating cash flow over the next twelve months. Over the long term, to the extent that our capital needs exceed our capital resources, we believe we have a variety of possibilities to raise additional capital including issuin</w:t>
      </w:r>
      <w:r>
        <w:rPr>
          <w:rFonts w:eastAsia="Times New Roman"/>
          <w:color w:val="000000"/>
          <w:sz w:val="20"/>
          <w:szCs w:val="20"/>
        </w:rPr>
        <w:t>g common or preferred securities, issuing debt, or entering into joint venture arrangements to acquire or develop facilities.</w:t>
      </w:r>
    </w:p>
    <w:p w:rsidR="00000000" w:rsidRDefault="00D04F4B">
      <w:pPr>
        <w:jc w:val="center"/>
        <w:divId w:val="965695510"/>
        <w:rPr>
          <w:rFonts w:eastAsia="Times New Roman"/>
        </w:rPr>
      </w:pPr>
      <w:r>
        <w:rPr>
          <w:rFonts w:eastAsia="Times New Roman"/>
          <w:color w:val="000000"/>
          <w:sz w:val="20"/>
          <w:szCs w:val="20"/>
        </w:rPr>
        <w:t>46</w:t>
      </w:r>
    </w:p>
    <w:p w:rsidR="00000000" w:rsidRDefault="00D04F4B">
      <w:pPr>
        <w:rPr>
          <w:rFonts w:eastAsia="Times New Roman"/>
        </w:rPr>
      </w:pPr>
      <w:r>
        <w:rPr>
          <w:rFonts w:eastAsia="Times New Roman"/>
        </w:rPr>
        <w:pict>
          <v:rect id="_x0000_i1071" style="width:0;height:1.5pt" o:hralign="center" o:hrstd="t" o:hr="t" fillcolor="#a0a0a0" stroked="f"/>
        </w:pict>
      </w:r>
    </w:p>
    <w:p w:rsidR="00000000" w:rsidRDefault="00D04F4B">
      <w:pPr>
        <w:divId w:val="840507845"/>
        <w:rPr>
          <w:rFonts w:eastAsia="Times New Roman"/>
        </w:rPr>
      </w:pPr>
    </w:p>
    <w:p w:rsidR="00000000" w:rsidRDefault="00D04F4B">
      <w:pPr>
        <w:ind w:firstLine="720"/>
        <w:jc w:val="both"/>
        <w:divId w:val="1900245257"/>
        <w:rPr>
          <w:rFonts w:eastAsia="Times New Roman"/>
        </w:rPr>
      </w:pPr>
      <w:r>
        <w:rPr>
          <w:rFonts w:eastAsia="Times New Roman"/>
          <w:color w:val="000000"/>
          <w:sz w:val="20"/>
          <w:szCs w:val="20"/>
          <w:u w:val="single"/>
        </w:rPr>
        <w:t>Cash Requirements</w:t>
      </w:r>
    </w:p>
    <w:p w:rsidR="00000000" w:rsidRDefault="00D04F4B">
      <w:pPr>
        <w:ind w:firstLine="720"/>
        <w:jc w:val="both"/>
        <w:divId w:val="517737485"/>
        <w:rPr>
          <w:rFonts w:eastAsia="Times New Roman"/>
        </w:rPr>
      </w:pPr>
      <w:r>
        <w:rPr>
          <w:rFonts w:eastAsia="Times New Roman"/>
          <w:color w:val="000000"/>
          <w:sz w:val="20"/>
          <w:szCs w:val="20"/>
        </w:rPr>
        <w:t>The following summarizes our expected material cash requirements which</w:t>
      </w:r>
      <w:r>
        <w:rPr>
          <w:rFonts w:eastAsia="Times New Roman"/>
          <w:color w:val="000000"/>
          <w:sz w:val="20"/>
          <w:szCs w:val="20"/>
        </w:rPr>
        <w:t xml:space="preserve"> comprise (i) contractually obligated expenditures, (ii) other essential expenditures, and (iii) opportunistic expenditures. We expect our capital needs to increase over the next year as we add projects to our development pipeline and acquire additional pr</w:t>
      </w:r>
      <w:r>
        <w:rPr>
          <w:rFonts w:eastAsia="Times New Roman"/>
          <w:color w:val="000000"/>
          <w:sz w:val="20"/>
          <w:szCs w:val="20"/>
        </w:rPr>
        <w:t>operties.</w:t>
      </w:r>
    </w:p>
    <w:p w:rsidR="00000000" w:rsidRDefault="00D04F4B">
      <w:pPr>
        <w:ind w:firstLine="720"/>
        <w:jc w:val="both"/>
        <w:divId w:val="1310091043"/>
        <w:rPr>
          <w:rFonts w:eastAsia="Times New Roman"/>
        </w:rPr>
      </w:pPr>
      <w:r>
        <w:rPr>
          <w:rFonts w:eastAsia="Times New Roman"/>
          <w:b/>
          <w:bCs/>
          <w:i/>
          <w:iCs/>
          <w:color w:val="000000"/>
          <w:sz w:val="20"/>
          <w:szCs w:val="20"/>
        </w:rPr>
        <w:t>Required Debt Repayments:</w:t>
      </w:r>
      <w:r>
        <w:rPr>
          <w:rFonts w:eastAsia="Times New Roman"/>
          <w:b/>
          <w:bCs/>
          <w:color w:val="000000"/>
          <w:sz w:val="20"/>
          <w:szCs w:val="20"/>
        </w:rPr>
        <w:t xml:space="preserve"> </w:t>
      </w:r>
      <w:r>
        <w:rPr>
          <w:rFonts w:eastAsia="Times New Roman"/>
          <w:color w:val="000000"/>
          <w:sz w:val="20"/>
          <w:szCs w:val="20"/>
        </w:rPr>
        <w:t>As of December 31, 2021, the principal outstanding on our debt totaled approximately $7.5 billion, consisting of $23.3 million of secured notes payable, $1.7 </w:t>
      </w:r>
      <w:r>
        <w:rPr>
          <w:rFonts w:eastAsia="Times New Roman"/>
          <w:color w:val="000000"/>
          <w:sz w:val="20"/>
          <w:szCs w:val="20"/>
        </w:rPr>
        <w:t>billion of Euro-denominated unsecured notes payable and $5.8 billion of U.S. Dollar denominated unsecured notes payable. Approximate principal maturities and interest payments are as follows (amounts in thousands):</w:t>
      </w:r>
    </w:p>
    <w:tbl>
      <w:tblPr>
        <w:tblW w:w="5595" w:type="dxa"/>
        <w:jc w:val="center"/>
        <w:tblCellMar>
          <w:top w:w="15" w:type="dxa"/>
          <w:left w:w="15" w:type="dxa"/>
          <w:bottom w:w="15" w:type="dxa"/>
          <w:right w:w="15" w:type="dxa"/>
        </w:tblCellMar>
        <w:tblLook w:val="04A0" w:firstRow="1" w:lastRow="0" w:firstColumn="1" w:lastColumn="0" w:noHBand="0" w:noVBand="1"/>
      </w:tblPr>
      <w:tblGrid>
        <w:gridCol w:w="36"/>
        <w:gridCol w:w="4033"/>
        <w:gridCol w:w="36"/>
        <w:gridCol w:w="120"/>
        <w:gridCol w:w="1334"/>
        <w:gridCol w:w="36"/>
      </w:tblGrid>
      <w:tr w:rsidR="00000000">
        <w:trPr>
          <w:jc w:val="center"/>
        </w:trPr>
        <w:tc>
          <w:tcPr>
            <w:tcW w:w="20" w:type="dxa"/>
            <w:vAlign w:val="center"/>
            <w:hideMark/>
          </w:tcPr>
          <w:p w:rsidR="00000000" w:rsidRDefault="00D04F4B">
            <w:pPr>
              <w:ind w:firstLine="720"/>
              <w:jc w:val="both"/>
              <w:rPr>
                <w:rFonts w:eastAsia="Times New Roman"/>
              </w:rPr>
            </w:pPr>
          </w:p>
        </w:tc>
        <w:tc>
          <w:tcPr>
            <w:tcW w:w="4160" w:type="dxa"/>
            <w:vAlign w:val="center"/>
            <w:hideMark/>
          </w:tcPr>
          <w:p w:rsidR="00000000" w:rsidRDefault="00D04F4B">
            <w:pPr>
              <w:spacing w:after="100"/>
              <w:rPr>
                <w:rFonts w:eastAsia="Times New Roman"/>
                <w:sz w:val="20"/>
                <w:szCs w:val="20"/>
              </w:rPr>
            </w:pPr>
          </w:p>
        </w:tc>
        <w:tc>
          <w:tcPr>
            <w:tcW w:w="20" w:type="dxa"/>
            <w:vAlign w:val="center"/>
            <w:hideMark/>
          </w:tcPr>
          <w:p w:rsidR="00000000" w:rsidRDefault="00D04F4B">
            <w:pPr>
              <w:spacing w:after="100"/>
              <w:rPr>
                <w:rFonts w:eastAsia="Times New Roman"/>
                <w:sz w:val="20"/>
                <w:szCs w:val="20"/>
              </w:rPr>
            </w:pPr>
          </w:p>
        </w:tc>
        <w:tc>
          <w:tcPr>
            <w:tcW w:w="20" w:type="dxa"/>
            <w:vAlign w:val="center"/>
            <w:hideMark/>
          </w:tcPr>
          <w:p w:rsidR="00000000" w:rsidRDefault="00D04F4B">
            <w:pPr>
              <w:spacing w:after="100"/>
              <w:rPr>
                <w:rFonts w:eastAsia="Times New Roman"/>
                <w:sz w:val="20"/>
                <w:szCs w:val="20"/>
              </w:rPr>
            </w:pPr>
          </w:p>
        </w:tc>
        <w:tc>
          <w:tcPr>
            <w:tcW w:w="1355" w:type="dxa"/>
            <w:vAlign w:val="center"/>
            <w:hideMark/>
          </w:tcPr>
          <w:p w:rsidR="00000000" w:rsidRDefault="00D04F4B">
            <w:pPr>
              <w:spacing w:after="100"/>
              <w:rPr>
                <w:rFonts w:eastAsia="Times New Roman"/>
                <w:sz w:val="20"/>
                <w:szCs w:val="20"/>
              </w:rPr>
            </w:pPr>
          </w:p>
        </w:tc>
        <w:tc>
          <w:tcPr>
            <w:tcW w:w="20" w:type="dxa"/>
            <w:vAlign w:val="center"/>
            <w:hideMark/>
          </w:tcPr>
          <w:p w:rsidR="00000000" w:rsidRDefault="00D04F4B">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2022</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628,764</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136,588</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2024</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927,178</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383,740</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2026</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1,251,908</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Thereafter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5,015,478</w:t>
            </w:r>
          </w:p>
        </w:tc>
      </w:tr>
      <w:tr w:rsidR="00000000">
        <w:trPr>
          <w:trHeight w:val="300"/>
          <w:jc w:val="center"/>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8,343,656</w:t>
            </w:r>
          </w:p>
        </w:tc>
      </w:tr>
    </w:tbl>
    <w:p w:rsidR="00000000" w:rsidRDefault="00D04F4B">
      <w:pPr>
        <w:ind w:firstLine="720"/>
        <w:jc w:val="both"/>
        <w:divId w:val="1217469623"/>
        <w:rPr>
          <w:rFonts w:eastAsia="Times New Roman"/>
        </w:rPr>
      </w:pPr>
      <w:r>
        <w:rPr>
          <w:rFonts w:eastAsia="Times New Roman"/>
          <w:color w:val="000000"/>
          <w:sz w:val="20"/>
          <w:szCs w:val="20"/>
        </w:rPr>
        <w:t>We plan to refinance our 2022 unsecured notes when they come due in September 2022.</w:t>
      </w:r>
    </w:p>
    <w:p w:rsidR="00000000" w:rsidRDefault="00D04F4B">
      <w:pPr>
        <w:ind w:firstLine="720"/>
        <w:jc w:val="both"/>
        <w:divId w:val="892231959"/>
        <w:rPr>
          <w:rFonts w:eastAsia="Times New Roman"/>
        </w:rPr>
      </w:pPr>
      <w:r>
        <w:rPr>
          <w:rFonts w:eastAsia="Times New Roman"/>
          <w:b/>
          <w:bCs/>
          <w:i/>
          <w:iCs/>
          <w:color w:val="000000"/>
          <w:sz w:val="20"/>
          <w:szCs w:val="20"/>
        </w:rPr>
        <w:t>Capital Expenditure Requirements:</w:t>
      </w:r>
      <w:r>
        <w:rPr>
          <w:rFonts w:eastAsia="Times New Roman"/>
          <w:color w:val="000000"/>
          <w:sz w:val="20"/>
          <w:szCs w:val="20"/>
        </w:rPr>
        <w:t xml:space="preserve"> Capital expenditures include general maintenance, major repairs or replacements to elements of our facilities to keep our facilities in go</w:t>
      </w:r>
      <w:r>
        <w:rPr>
          <w:rFonts w:eastAsia="Times New Roman"/>
          <w:color w:val="000000"/>
          <w:sz w:val="20"/>
          <w:szCs w:val="20"/>
        </w:rPr>
        <w:t xml:space="preserve">od operating condition and maintain their visual appeal. Capital expenditures do not include costs relating to the development of new facilities or redevelopment of existing facilities to increase their available rentable square footage. </w:t>
      </w:r>
    </w:p>
    <w:p w:rsidR="00000000" w:rsidRDefault="00D04F4B">
      <w:pPr>
        <w:ind w:firstLine="720"/>
        <w:jc w:val="both"/>
        <w:divId w:val="1594708689"/>
        <w:rPr>
          <w:rFonts w:eastAsia="Times New Roman"/>
        </w:rPr>
      </w:pPr>
      <w:r>
        <w:rPr>
          <w:rFonts w:eastAsia="Times New Roman"/>
          <w:color w:val="000000"/>
          <w:sz w:val="20"/>
          <w:szCs w:val="20"/>
        </w:rPr>
        <w:t>Capital expenditu</w:t>
      </w:r>
      <w:r>
        <w:rPr>
          <w:rFonts w:eastAsia="Times New Roman"/>
          <w:color w:val="000000"/>
          <w:sz w:val="20"/>
          <w:szCs w:val="20"/>
        </w:rPr>
        <w:t>res totaled $284.2 million in 2021 and are expected to approximate $300 million in 2022. In addition to standard capital repairs of building elements reaching the end of their useful lives, our capital expenditures in recent years have included incremental</w:t>
      </w:r>
      <w:r>
        <w:rPr>
          <w:rFonts w:eastAsia="Times New Roman"/>
          <w:color w:val="000000"/>
          <w:sz w:val="20"/>
          <w:szCs w:val="20"/>
        </w:rPr>
        <w:t xml:space="preserve"> expenditures to enhance the competitive position of certain of our facilities relative to local competitors pursuant to a multi-year program. Such investments include development of more pronounced, attractive, and clearly identifiable color schemes and s</w:t>
      </w:r>
      <w:r>
        <w:rPr>
          <w:rFonts w:eastAsia="Times New Roman"/>
          <w:color w:val="000000"/>
          <w:sz w:val="20"/>
          <w:szCs w:val="20"/>
        </w:rPr>
        <w:t>ignage, upgrades to the configuration and layout of the offices and other customer zones to improve the customer experience. We spent approximately $130 million in 2021 and expect to spend $180 million in 2022 on this effort. In addition, we have made inve</w:t>
      </w:r>
      <w:r>
        <w:rPr>
          <w:rFonts w:eastAsia="Times New Roman"/>
          <w:color w:val="000000"/>
          <w:sz w:val="20"/>
          <w:szCs w:val="20"/>
        </w:rPr>
        <w:t>stments in LED lighting and the installation of solar panels, which approximated $41 million for the year ended December 31, 2021 and we expect to spend $30 million in 2022.</w:t>
      </w:r>
    </w:p>
    <w:p w:rsidR="00000000" w:rsidRDefault="00D04F4B">
      <w:pPr>
        <w:ind w:firstLine="720"/>
        <w:jc w:val="both"/>
        <w:divId w:val="1087265826"/>
        <w:rPr>
          <w:rFonts w:eastAsia="Times New Roman"/>
        </w:rPr>
      </w:pPr>
      <w:r>
        <w:rPr>
          <w:rFonts w:eastAsia="Times New Roman"/>
          <w:color w:val="000000"/>
          <w:sz w:val="20"/>
          <w:szCs w:val="20"/>
        </w:rPr>
        <w:t>We believe that these incremental investments improve customer satisfaction, the a</w:t>
      </w:r>
      <w:r>
        <w:rPr>
          <w:rFonts w:eastAsia="Times New Roman"/>
          <w:color w:val="000000"/>
          <w:sz w:val="20"/>
          <w:szCs w:val="20"/>
        </w:rPr>
        <w:t xml:space="preserve">ttractiveness and competitiveness of our facilities to new and existing customers and, in the case of LED lighting and solar panels, reduce operating costs. </w:t>
      </w:r>
    </w:p>
    <w:p w:rsidR="00000000" w:rsidRDefault="00D04F4B">
      <w:pPr>
        <w:ind w:firstLine="720"/>
        <w:jc w:val="both"/>
        <w:divId w:val="988755309"/>
        <w:rPr>
          <w:rFonts w:eastAsia="Times New Roman"/>
        </w:rPr>
      </w:pPr>
      <w:r>
        <w:rPr>
          <w:rFonts w:eastAsia="Times New Roman"/>
          <w:b/>
          <w:bCs/>
          <w:i/>
          <w:iCs/>
          <w:color w:val="000000"/>
          <w:sz w:val="20"/>
          <w:szCs w:val="20"/>
        </w:rPr>
        <w:t>Requirement to Pay Distributions:</w:t>
      </w:r>
      <w:r>
        <w:rPr>
          <w:rFonts w:eastAsia="Times New Roman"/>
          <w:color w:val="000000"/>
          <w:sz w:val="20"/>
          <w:szCs w:val="20"/>
        </w:rPr>
        <w:t xml:space="preserve"> For all periods presented herein, we have elected to be treated </w:t>
      </w:r>
      <w:r>
        <w:rPr>
          <w:rFonts w:eastAsia="Times New Roman"/>
          <w:color w:val="000000"/>
          <w:sz w:val="20"/>
          <w:szCs w:val="20"/>
        </w:rPr>
        <w:t>as a REIT, as defined in the Code. For each taxable year in which we qualify for taxation as a REIT, we will not be subject to U.S. federal corporate income tax on our “REIT taxable income” (generally, taxable income subject to specified adjustments, inclu</w:t>
      </w:r>
      <w:r>
        <w:rPr>
          <w:rFonts w:eastAsia="Times New Roman"/>
          <w:color w:val="000000"/>
          <w:sz w:val="20"/>
          <w:szCs w:val="20"/>
        </w:rPr>
        <w:t>ding a deduction for dividends paid and excluding our net capital gain) that is distributed to our shareholders. We believe we have met these requirements in all periods presented herein, and we expect to continue to qualify as a REIT.</w:t>
      </w:r>
      <w:r>
        <w:rPr>
          <w:rFonts w:eastAsia="Times New Roman"/>
          <w:color w:val="000000"/>
        </w:rPr>
        <w:t xml:space="preserve"> </w:t>
      </w:r>
    </w:p>
    <w:p w:rsidR="00000000" w:rsidRDefault="00D04F4B">
      <w:pPr>
        <w:ind w:firstLine="720"/>
        <w:jc w:val="both"/>
        <w:divId w:val="1025062569"/>
        <w:rPr>
          <w:rFonts w:eastAsia="Times New Roman"/>
        </w:rPr>
      </w:pPr>
      <w:r>
        <w:rPr>
          <w:rFonts w:eastAsia="Times New Roman"/>
          <w:color w:val="000000"/>
          <w:sz w:val="20"/>
          <w:szCs w:val="20"/>
        </w:rPr>
        <w:t>On February 18, 202</w:t>
      </w:r>
      <w:r>
        <w:rPr>
          <w:rFonts w:eastAsia="Times New Roman"/>
          <w:color w:val="000000"/>
          <w:sz w:val="20"/>
          <w:szCs w:val="20"/>
        </w:rPr>
        <w:t>2, our Board declared a regular common quarterly dividend of $2.00 per common share totaling approximately $350 million, which will be paid at the end of March 2022. Our consistent, long-term dividend policy has been to distribute our taxable income. Futur</w:t>
      </w:r>
      <w:r>
        <w:rPr>
          <w:rFonts w:eastAsia="Times New Roman"/>
          <w:color w:val="000000"/>
          <w:sz w:val="20"/>
          <w:szCs w:val="20"/>
        </w:rPr>
        <w:t>e quarterly distributions with respect to the common shares will continue to be determined based upon our REIT distribution requirements after taking into consideration distributions to the preferred shareholders and will be funded with cash flows from ope</w:t>
      </w:r>
      <w:r>
        <w:rPr>
          <w:rFonts w:eastAsia="Times New Roman"/>
          <w:color w:val="000000"/>
          <w:sz w:val="20"/>
          <w:szCs w:val="20"/>
        </w:rPr>
        <w:t xml:space="preserve">rating activities. </w:t>
      </w:r>
    </w:p>
    <w:p w:rsidR="00000000" w:rsidRDefault="00D04F4B">
      <w:pPr>
        <w:ind w:firstLine="720"/>
        <w:jc w:val="both"/>
        <w:divId w:val="306790545"/>
        <w:rPr>
          <w:rFonts w:eastAsia="Times New Roman"/>
        </w:rPr>
      </w:pPr>
      <w:r>
        <w:rPr>
          <w:rFonts w:eastAsia="Times New Roman"/>
          <w:color w:val="000000"/>
          <w:sz w:val="20"/>
          <w:szCs w:val="20"/>
        </w:rPr>
        <w:t xml:space="preserve">The annual distribution requirement with respect to our Preferred Shares outstanding at December 31, 2021 and our Series S Preferred Shares issued on January 13, 2022 is approximately $194.7 million per year. </w:t>
      </w:r>
    </w:p>
    <w:p w:rsidR="00000000" w:rsidRDefault="00D04F4B">
      <w:pPr>
        <w:jc w:val="center"/>
        <w:divId w:val="245699162"/>
        <w:rPr>
          <w:rFonts w:eastAsia="Times New Roman"/>
        </w:rPr>
      </w:pPr>
      <w:r>
        <w:rPr>
          <w:rFonts w:eastAsia="Times New Roman"/>
          <w:color w:val="000000"/>
          <w:sz w:val="20"/>
          <w:szCs w:val="20"/>
        </w:rPr>
        <w:t>47</w:t>
      </w:r>
    </w:p>
    <w:p w:rsidR="00000000" w:rsidRDefault="00D04F4B">
      <w:pPr>
        <w:rPr>
          <w:rFonts w:eastAsia="Times New Roman"/>
        </w:rPr>
      </w:pPr>
      <w:r>
        <w:rPr>
          <w:rFonts w:eastAsia="Times New Roman"/>
        </w:rPr>
        <w:pict>
          <v:rect id="_x0000_i1072" style="width:0;height:1.5pt" o:hralign="center" o:hrstd="t" o:hr="t" fillcolor="#a0a0a0" stroked="f"/>
        </w:pict>
      </w:r>
    </w:p>
    <w:p w:rsidR="00000000" w:rsidRDefault="00D04F4B">
      <w:pPr>
        <w:divId w:val="1088623952"/>
        <w:rPr>
          <w:rFonts w:eastAsia="Times New Roman"/>
        </w:rPr>
      </w:pPr>
    </w:p>
    <w:p w:rsidR="00000000" w:rsidRDefault="00D04F4B">
      <w:pPr>
        <w:ind w:firstLine="720"/>
        <w:jc w:val="both"/>
        <w:divId w:val="2102873484"/>
        <w:rPr>
          <w:rFonts w:eastAsia="Times New Roman"/>
        </w:rPr>
      </w:pPr>
      <w:r>
        <w:rPr>
          <w:rFonts w:eastAsia="Times New Roman"/>
          <w:b/>
          <w:bCs/>
          <w:i/>
          <w:iCs/>
          <w:color w:val="000000"/>
          <w:sz w:val="20"/>
          <w:szCs w:val="20"/>
        </w:rPr>
        <w:t>Real Estate Investment Activities:</w:t>
      </w:r>
      <w:r>
        <w:rPr>
          <w:rFonts w:eastAsia="Times New Roman"/>
          <w:b/>
          <w:bCs/>
          <w:color w:val="000000"/>
          <w:sz w:val="20"/>
          <w:szCs w:val="20"/>
        </w:rPr>
        <w:t xml:space="preserve"> </w:t>
      </w:r>
      <w:r>
        <w:rPr>
          <w:rFonts w:eastAsia="Times New Roman"/>
          <w:color w:val="000000"/>
          <w:sz w:val="20"/>
          <w:szCs w:val="20"/>
        </w:rPr>
        <w:t>We continue to seek to acquire additional self-storage facilities from third parties. Subsequent to December 31, 2021, we acquired or were under contract to acquire 15 self-storage facilities for a total purchase price of $212.4 million. Seven of these pro</w:t>
      </w:r>
      <w:r>
        <w:rPr>
          <w:rFonts w:eastAsia="Times New Roman"/>
          <w:color w:val="000000"/>
          <w:sz w:val="20"/>
          <w:szCs w:val="20"/>
        </w:rPr>
        <w:t xml:space="preserve">perties are under construction and expected to close as they are completed in 2022. </w:t>
      </w:r>
    </w:p>
    <w:p w:rsidR="00000000" w:rsidRDefault="00D04F4B">
      <w:pPr>
        <w:ind w:firstLine="720"/>
        <w:jc w:val="both"/>
        <w:divId w:val="525025671"/>
        <w:rPr>
          <w:rFonts w:eastAsia="Times New Roman"/>
        </w:rPr>
      </w:pPr>
      <w:r>
        <w:rPr>
          <w:rFonts w:eastAsia="Times New Roman"/>
          <w:color w:val="000000"/>
          <w:sz w:val="20"/>
          <w:szCs w:val="20"/>
        </w:rPr>
        <w:t>We are actively seeking to acquire additional facilities. However, future acquisition volume will depend upon whether additional owners will be motivated to market their f</w:t>
      </w:r>
      <w:r>
        <w:rPr>
          <w:rFonts w:eastAsia="Times New Roman"/>
          <w:color w:val="000000"/>
          <w:sz w:val="20"/>
          <w:szCs w:val="20"/>
        </w:rPr>
        <w:t xml:space="preserve">acilities, which will in turn depend upon factors such as economic conditions and the level of seller confidence. </w:t>
      </w:r>
    </w:p>
    <w:p w:rsidR="00000000" w:rsidRDefault="00D04F4B">
      <w:pPr>
        <w:ind w:firstLine="720"/>
        <w:jc w:val="both"/>
        <w:divId w:val="1974947256"/>
        <w:rPr>
          <w:rFonts w:eastAsia="Times New Roman"/>
        </w:rPr>
      </w:pPr>
      <w:r>
        <w:rPr>
          <w:rFonts w:eastAsia="Times New Roman"/>
          <w:color w:val="000000"/>
          <w:sz w:val="20"/>
          <w:szCs w:val="20"/>
        </w:rPr>
        <w:t>As of December 31, 2021, we had development and expansion projects at a total cost of approximately $800.0 million. Costs incurred through De</w:t>
      </w:r>
      <w:r>
        <w:rPr>
          <w:rFonts w:eastAsia="Times New Roman"/>
          <w:color w:val="000000"/>
          <w:sz w:val="20"/>
          <w:szCs w:val="20"/>
        </w:rPr>
        <w:t>cember 31, 2021 were $272.5 million, with the remaining cost to complete of $527.5 million expected to be incurred primarily in the next 18 to 24 months. Some of these projects are subject to contingencies such as entitlement approval. We expect to continu</w:t>
      </w:r>
      <w:r>
        <w:rPr>
          <w:rFonts w:eastAsia="Times New Roman"/>
          <w:color w:val="000000"/>
          <w:sz w:val="20"/>
          <w:szCs w:val="20"/>
        </w:rPr>
        <w:t>e to seek to add projects to maintain and increase our robust pipeline. Our ability to do so continues to be challenged by various constraints such as difficulty in finding projects that meet our risk-adjusted yield expectations, and challenges in obtainin</w:t>
      </w:r>
      <w:r>
        <w:rPr>
          <w:rFonts w:eastAsia="Times New Roman"/>
          <w:color w:val="000000"/>
          <w:sz w:val="20"/>
          <w:szCs w:val="20"/>
        </w:rPr>
        <w:t>g building permits for self-storage facilities in certain municipalities.</w:t>
      </w:r>
    </w:p>
    <w:p w:rsidR="00000000" w:rsidRDefault="00D04F4B">
      <w:pPr>
        <w:ind w:firstLine="720"/>
        <w:jc w:val="both"/>
        <w:divId w:val="721487302"/>
        <w:rPr>
          <w:rFonts w:eastAsia="Times New Roman"/>
        </w:rPr>
      </w:pPr>
      <w:r>
        <w:rPr>
          <w:rFonts w:eastAsia="Times New Roman"/>
          <w:b/>
          <w:bCs/>
          <w:i/>
          <w:iCs/>
          <w:color w:val="000000"/>
          <w:sz w:val="20"/>
          <w:szCs w:val="20"/>
        </w:rPr>
        <w:t>Property Operating Expenses:</w:t>
      </w:r>
      <w:r>
        <w:rPr>
          <w:rFonts w:eastAsia="Times New Roman"/>
          <w:color w:val="000000"/>
          <w:sz w:val="20"/>
          <w:szCs w:val="20"/>
        </w:rPr>
        <w:t xml:space="preserve"> The direct and indirect cost of our operations impose significant cash requirements. Direct operating costs include property taxes, on-site property mana</w:t>
      </w:r>
      <w:r>
        <w:rPr>
          <w:rFonts w:eastAsia="Times New Roman"/>
          <w:color w:val="000000"/>
          <w:sz w:val="20"/>
          <w:szCs w:val="20"/>
        </w:rPr>
        <w:t>ger payroll, repairs and maintenance, utilities and marketing. Indirect operating costs include supervisory payroll and centralized management costs. The cash requirements from these operating costs will vary year to year based on, among other things, chan</w:t>
      </w:r>
      <w:r>
        <w:rPr>
          <w:rFonts w:eastAsia="Times New Roman"/>
          <w:color w:val="000000"/>
          <w:sz w:val="20"/>
          <w:szCs w:val="20"/>
        </w:rPr>
        <w:t>ges in the size of our portfolio and changes in property tax rates and assessed values, wage rates and marketing costs in our markets.</w:t>
      </w:r>
    </w:p>
    <w:p w:rsidR="00000000" w:rsidRDefault="00D04F4B">
      <w:pPr>
        <w:ind w:firstLine="720"/>
        <w:jc w:val="both"/>
        <w:divId w:val="199560275"/>
        <w:rPr>
          <w:rFonts w:eastAsia="Times New Roman"/>
        </w:rPr>
      </w:pPr>
      <w:r>
        <w:rPr>
          <w:rFonts w:eastAsia="Times New Roman"/>
          <w:b/>
          <w:bCs/>
          <w:i/>
          <w:iCs/>
          <w:color w:val="000000"/>
          <w:sz w:val="20"/>
          <w:szCs w:val="20"/>
        </w:rPr>
        <w:t>Redemption of Preferred Securities</w:t>
      </w:r>
      <w:r>
        <w:rPr>
          <w:rFonts w:eastAsia="Times New Roman"/>
          <w:color w:val="000000"/>
          <w:sz w:val="20"/>
          <w:szCs w:val="20"/>
        </w:rPr>
        <w:t>: Historically, we have taken advantage of refinancing higher coupon preferred securiti</w:t>
      </w:r>
      <w:r>
        <w:rPr>
          <w:rFonts w:eastAsia="Times New Roman"/>
          <w:color w:val="000000"/>
          <w:sz w:val="20"/>
          <w:szCs w:val="20"/>
        </w:rPr>
        <w:t xml:space="preserve">es with lower coupon preferred securities. In the future, we may also elect to finance the redemption of preferred securities with proceeds from the issuance of debt. As of February 22, 2022, we have no series of preferred securities that are eligible for </w:t>
      </w:r>
      <w:r>
        <w:rPr>
          <w:rFonts w:eastAsia="Times New Roman"/>
          <w:color w:val="000000"/>
          <w:sz w:val="20"/>
          <w:szCs w:val="20"/>
        </w:rPr>
        <w:t xml:space="preserve">redemption, at our option and with 30 days’ notice. See Note 9 to our December 31, 2021 consolidated financial statements for the redemption dates of all of our series of preferred shares. Redemption of such preferred shares will depend upon many factors, </w:t>
      </w:r>
      <w:r>
        <w:rPr>
          <w:rFonts w:eastAsia="Times New Roman"/>
          <w:color w:val="000000"/>
          <w:sz w:val="20"/>
          <w:szCs w:val="20"/>
        </w:rPr>
        <w:t xml:space="preserve">including the rate at which we could issue replacement preferred securities. None of our preferred securities are redeemable at the option of the holders. </w:t>
      </w:r>
    </w:p>
    <w:p w:rsidR="00000000" w:rsidRDefault="00D04F4B">
      <w:pPr>
        <w:ind w:firstLine="720"/>
        <w:jc w:val="both"/>
        <w:divId w:val="1476600229"/>
        <w:rPr>
          <w:rFonts w:eastAsia="Times New Roman"/>
        </w:rPr>
      </w:pPr>
      <w:r>
        <w:rPr>
          <w:rFonts w:eastAsia="Times New Roman"/>
          <w:b/>
          <w:bCs/>
          <w:i/>
          <w:iCs/>
          <w:color w:val="000000"/>
          <w:sz w:val="20"/>
          <w:szCs w:val="20"/>
        </w:rPr>
        <w:t>Repurchases of Common Shares</w:t>
      </w:r>
      <w:r>
        <w:rPr>
          <w:rFonts w:eastAsia="Times New Roman"/>
          <w:color w:val="000000"/>
          <w:sz w:val="20"/>
          <w:szCs w:val="20"/>
        </w:rPr>
        <w:t xml:space="preserve">: Our Board has authorized management to repurchase up to 35,000,000 of our common shares on the open market or in privately negotiated transactions. During 2021, we did not repurchase any of our common shares. From the inception of the repurchase program </w:t>
      </w:r>
      <w:r>
        <w:rPr>
          <w:rFonts w:eastAsia="Times New Roman"/>
          <w:color w:val="000000"/>
          <w:sz w:val="20"/>
          <w:szCs w:val="20"/>
        </w:rPr>
        <w:t>through February 22, 2022, we have repurchased a total of 23,721,916 common shares at an aggregate cost of approximately $679.1 million. Future levels of common share repurchases will be dependent upon our available capital, investment alternatives and the</w:t>
      </w:r>
      <w:r>
        <w:rPr>
          <w:rFonts w:eastAsia="Times New Roman"/>
          <w:color w:val="000000"/>
          <w:sz w:val="20"/>
          <w:szCs w:val="20"/>
        </w:rPr>
        <w:t xml:space="preserve"> trading price of our common shares.</w:t>
      </w:r>
    </w:p>
    <w:p w:rsidR="00000000" w:rsidRDefault="00D04F4B">
      <w:pPr>
        <w:jc w:val="center"/>
        <w:divId w:val="1228341388"/>
        <w:rPr>
          <w:rFonts w:eastAsia="Times New Roman"/>
        </w:rPr>
      </w:pPr>
      <w:r>
        <w:rPr>
          <w:rFonts w:eastAsia="Times New Roman"/>
          <w:color w:val="000000"/>
          <w:sz w:val="20"/>
          <w:szCs w:val="20"/>
        </w:rPr>
        <w:t>48</w:t>
      </w:r>
    </w:p>
    <w:p w:rsidR="00000000" w:rsidRDefault="00D04F4B">
      <w:pPr>
        <w:rPr>
          <w:rFonts w:eastAsia="Times New Roman"/>
        </w:rPr>
      </w:pPr>
      <w:r>
        <w:rPr>
          <w:rFonts w:eastAsia="Times New Roman"/>
        </w:rPr>
        <w:pict>
          <v:rect id="_x0000_i1073" style="width:0;height:1.5pt" o:hralign="center" o:hrstd="t" o:hr="t" fillcolor="#a0a0a0" stroked="f"/>
        </w:pict>
      </w:r>
    </w:p>
    <w:p w:rsidR="00000000" w:rsidRDefault="00D04F4B">
      <w:pPr>
        <w:divId w:val="1066878694"/>
        <w:rPr>
          <w:rFonts w:eastAsia="Times New Roman"/>
        </w:rPr>
      </w:pPr>
    </w:p>
    <w:p w:rsidR="00000000" w:rsidRDefault="00D04F4B">
      <w:pPr>
        <w:jc w:val="both"/>
        <w:divId w:val="1645046388"/>
        <w:rPr>
          <w:rFonts w:eastAsia="Times New Roman"/>
        </w:rPr>
      </w:pPr>
      <w:r>
        <w:rPr>
          <w:rFonts w:eastAsia="Times New Roman"/>
          <w:b/>
          <w:bCs/>
          <w:color w:val="000000"/>
          <w:sz w:val="20"/>
          <w:szCs w:val="20"/>
          <w:u w:val="single"/>
        </w:rPr>
        <w:t>ITEM 7A.</w:t>
      </w:r>
      <w:r>
        <w:rPr>
          <w:rFonts w:eastAsia="Times New Roman"/>
          <w:color w:val="000000"/>
          <w:sz w:val="20"/>
          <w:szCs w:val="20"/>
        </w:rPr>
        <w:t xml:space="preserve">     </w:t>
      </w:r>
      <w:r>
        <w:rPr>
          <w:rFonts w:eastAsia="Times New Roman"/>
          <w:b/>
          <w:bCs/>
          <w:color w:val="000000"/>
          <w:sz w:val="20"/>
          <w:szCs w:val="20"/>
          <w:u w:val="single"/>
        </w:rPr>
        <w:t>Quantitative and Qualitative Disclosures about Market Risk</w:t>
      </w:r>
    </w:p>
    <w:p w:rsidR="00000000" w:rsidRDefault="00D04F4B">
      <w:pPr>
        <w:ind w:firstLine="720"/>
        <w:jc w:val="both"/>
        <w:divId w:val="373309942"/>
        <w:rPr>
          <w:rFonts w:eastAsia="Times New Roman"/>
        </w:rPr>
      </w:pPr>
      <w:r>
        <w:rPr>
          <w:rFonts w:eastAsia="Times New Roman"/>
          <w:color w:val="000000"/>
          <w:sz w:val="20"/>
          <w:szCs w:val="20"/>
        </w:rPr>
        <w:t>To limit our exposure to market risk, we are capitalized primarily with preferred and common equity. Our p</w:t>
      </w:r>
      <w:r>
        <w:rPr>
          <w:rFonts w:eastAsia="Times New Roman"/>
          <w:color w:val="000000"/>
          <w:sz w:val="20"/>
          <w:szCs w:val="20"/>
        </w:rPr>
        <w:t xml:space="preserve">referred shares are redeemable at our option generally five years after issuance, but the holder has no redemption option. Our debt is our only market-risk sensitive portion of our capital structure, which totals approximately $7.5 billion at December 31, </w:t>
      </w:r>
      <w:r>
        <w:rPr>
          <w:rFonts w:eastAsia="Times New Roman"/>
          <w:color w:val="000000"/>
          <w:sz w:val="20"/>
          <w:szCs w:val="20"/>
        </w:rPr>
        <w:t xml:space="preserve">2021. </w:t>
      </w:r>
    </w:p>
    <w:p w:rsidR="00000000" w:rsidRDefault="00D04F4B">
      <w:pPr>
        <w:ind w:firstLine="720"/>
        <w:jc w:val="both"/>
        <w:divId w:val="370884849"/>
        <w:rPr>
          <w:rFonts w:eastAsia="Times New Roman"/>
        </w:rPr>
      </w:pPr>
      <w:r>
        <w:rPr>
          <w:rFonts w:eastAsia="Times New Roman"/>
          <w:color w:val="000000"/>
          <w:sz w:val="20"/>
          <w:szCs w:val="20"/>
        </w:rPr>
        <w:t>The fair value of our debt at December 31, 2021 is approximately $7.6 billion. The table below summarizes the annual maturities of our debt, which had a weighted average effective rate of 1.8% at December 31, 2021. See Note 7 to our December 31, 202</w:t>
      </w:r>
      <w:r>
        <w:rPr>
          <w:rFonts w:eastAsia="Times New Roman"/>
          <w:color w:val="000000"/>
          <w:sz w:val="20"/>
          <w:szCs w:val="20"/>
        </w:rPr>
        <w:t>1 consolidated financial statements for further information regarding our debt (amounts in thousands).</w:t>
      </w:r>
      <w:r>
        <w:rPr>
          <w:rFonts w:eastAsia="Times New Roman"/>
          <w:color w:val="000000"/>
          <w:sz w:val="2"/>
          <w:szCs w:val="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5"/>
        <w:gridCol w:w="628"/>
        <w:gridCol w:w="36"/>
        <w:gridCol w:w="121"/>
        <w:gridCol w:w="871"/>
        <w:gridCol w:w="36"/>
        <w:gridCol w:w="36"/>
        <w:gridCol w:w="36"/>
        <w:gridCol w:w="36"/>
        <w:gridCol w:w="121"/>
        <w:gridCol w:w="825"/>
        <w:gridCol w:w="36"/>
        <w:gridCol w:w="36"/>
        <w:gridCol w:w="36"/>
        <w:gridCol w:w="36"/>
        <w:gridCol w:w="121"/>
        <w:gridCol w:w="825"/>
        <w:gridCol w:w="36"/>
        <w:gridCol w:w="36"/>
        <w:gridCol w:w="36"/>
        <w:gridCol w:w="36"/>
        <w:gridCol w:w="121"/>
        <w:gridCol w:w="825"/>
        <w:gridCol w:w="36"/>
        <w:gridCol w:w="36"/>
        <w:gridCol w:w="36"/>
        <w:gridCol w:w="36"/>
        <w:gridCol w:w="121"/>
        <w:gridCol w:w="832"/>
        <w:gridCol w:w="36"/>
        <w:gridCol w:w="36"/>
        <w:gridCol w:w="36"/>
        <w:gridCol w:w="36"/>
        <w:gridCol w:w="121"/>
        <w:gridCol w:w="840"/>
        <w:gridCol w:w="36"/>
        <w:gridCol w:w="36"/>
        <w:gridCol w:w="36"/>
        <w:gridCol w:w="36"/>
        <w:gridCol w:w="121"/>
        <w:gridCol w:w="832"/>
        <w:gridCol w:w="36"/>
      </w:tblGrid>
      <w:tr w:rsidR="00000000">
        <w:trPr>
          <w:divId w:val="231624172"/>
        </w:trPr>
        <w:tc>
          <w:tcPr>
            <w:tcW w:w="50" w:type="pct"/>
            <w:vAlign w:val="center"/>
            <w:hideMark/>
          </w:tcPr>
          <w:p w:rsidR="00000000" w:rsidRDefault="00D04F4B">
            <w:pPr>
              <w:ind w:firstLine="720"/>
              <w:jc w:val="both"/>
              <w:rPr>
                <w:rFonts w:eastAsia="Times New Roman"/>
              </w:rPr>
            </w:pPr>
          </w:p>
        </w:tc>
        <w:tc>
          <w:tcPr>
            <w:tcW w:w="42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5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5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5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5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5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5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5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231624172"/>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 Thereafter</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 Total</w:t>
            </w:r>
          </w:p>
        </w:tc>
      </w:tr>
      <w:tr w:rsidR="00000000">
        <w:trPr>
          <w:divId w:val="231624172"/>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31624172"/>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Debt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502,483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19,219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813,555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274,649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1,150,138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4,762,361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7,522,405</w:t>
            </w:r>
          </w:p>
        </w:tc>
      </w:tr>
    </w:tbl>
    <w:p w:rsidR="00000000" w:rsidRDefault="00D04F4B">
      <w:pPr>
        <w:ind w:firstLine="720"/>
        <w:jc w:val="both"/>
        <w:divId w:val="1920554429"/>
        <w:rPr>
          <w:rFonts w:eastAsia="Times New Roman"/>
        </w:rPr>
      </w:pPr>
      <w:r>
        <w:rPr>
          <w:rFonts w:eastAsia="Times New Roman"/>
          <w:color w:val="000000"/>
          <w:sz w:val="20"/>
          <w:szCs w:val="20"/>
        </w:rPr>
        <w:t xml:space="preserve">We have foreign currency exposure at December 31, 2021 related to (i) our investment in Shurgard, with a </w:t>
      </w:r>
      <w:r>
        <w:rPr>
          <w:rFonts w:eastAsia="Times New Roman"/>
          <w:color w:val="000000"/>
          <w:sz w:val="20"/>
          <w:szCs w:val="20"/>
        </w:rPr>
        <w:t>book value of $313.5 million, and a fair value of $2.0 billion based upon the closing price of Shurgard’s stock on December 31, 2021, and (ii) €1.5 billion ($1.7 billion) of Euro-denominated unsecured notes payable, providing a natural hedge against the fa</w:t>
      </w:r>
      <w:r>
        <w:rPr>
          <w:rFonts w:eastAsia="Times New Roman"/>
          <w:color w:val="000000"/>
          <w:sz w:val="20"/>
          <w:szCs w:val="20"/>
        </w:rPr>
        <w:t>ir value of our investment in Shurgard.</w:t>
      </w:r>
    </w:p>
    <w:p w:rsidR="00000000" w:rsidRDefault="00D04F4B">
      <w:pPr>
        <w:jc w:val="both"/>
        <w:divId w:val="1713191498"/>
        <w:rPr>
          <w:rFonts w:eastAsia="Times New Roman"/>
        </w:rPr>
      </w:pPr>
      <w:r>
        <w:rPr>
          <w:rFonts w:eastAsia="Times New Roman"/>
          <w:b/>
          <w:bCs/>
          <w:color w:val="000000"/>
          <w:sz w:val="20"/>
          <w:szCs w:val="20"/>
        </w:rPr>
        <w:t xml:space="preserve">ITEM 8. </w:t>
      </w:r>
      <w:r>
        <w:rPr>
          <w:rFonts w:eastAsia="Times New Roman"/>
          <w:b/>
          <w:bCs/>
          <w:color w:val="000000"/>
          <w:sz w:val="20"/>
          <w:szCs w:val="20"/>
          <w:u w:val="single"/>
        </w:rPr>
        <w:t>Financial Statements and Supplementary Data</w:t>
      </w:r>
    </w:p>
    <w:p w:rsidR="00000000" w:rsidRDefault="00D04F4B">
      <w:pPr>
        <w:ind w:firstLine="720"/>
        <w:jc w:val="both"/>
        <w:divId w:val="1219394486"/>
        <w:rPr>
          <w:rFonts w:eastAsia="Times New Roman"/>
        </w:rPr>
      </w:pPr>
      <w:r>
        <w:rPr>
          <w:rFonts w:eastAsia="Times New Roman"/>
          <w:color w:val="000000"/>
          <w:sz w:val="20"/>
          <w:szCs w:val="20"/>
        </w:rPr>
        <w:t>The financial statements and supplementary data appearing on pages F-3 to F-30 are incorporated herein by reference.</w:t>
      </w:r>
    </w:p>
    <w:p w:rsidR="00000000" w:rsidRDefault="00D04F4B">
      <w:pPr>
        <w:jc w:val="both"/>
        <w:divId w:val="331563753"/>
        <w:rPr>
          <w:rFonts w:eastAsia="Times New Roman"/>
        </w:rPr>
      </w:pPr>
      <w:r>
        <w:rPr>
          <w:rFonts w:eastAsia="Times New Roman"/>
          <w:b/>
          <w:bCs/>
          <w:color w:val="000000"/>
          <w:sz w:val="20"/>
          <w:szCs w:val="20"/>
        </w:rPr>
        <w:t xml:space="preserve">ITEM 9. </w:t>
      </w:r>
      <w:r>
        <w:rPr>
          <w:rFonts w:eastAsia="Times New Roman"/>
          <w:b/>
          <w:bCs/>
          <w:color w:val="000000"/>
          <w:sz w:val="20"/>
          <w:szCs w:val="20"/>
          <w:u w:val="single"/>
        </w:rPr>
        <w:t>Changes in and Disagreements With Accountants on Accounting and Financial Disclosure</w:t>
      </w:r>
    </w:p>
    <w:p w:rsidR="00000000" w:rsidRDefault="00D04F4B">
      <w:pPr>
        <w:ind w:firstLine="720"/>
        <w:jc w:val="both"/>
        <w:divId w:val="211507752"/>
        <w:rPr>
          <w:rFonts w:eastAsia="Times New Roman"/>
        </w:rPr>
      </w:pPr>
      <w:r>
        <w:rPr>
          <w:rFonts w:eastAsia="Times New Roman"/>
          <w:color w:val="000000"/>
          <w:sz w:val="20"/>
          <w:szCs w:val="20"/>
        </w:rPr>
        <w:t xml:space="preserve">Not applicable. </w:t>
      </w:r>
    </w:p>
    <w:p w:rsidR="00000000" w:rsidRDefault="00D04F4B">
      <w:pPr>
        <w:jc w:val="both"/>
        <w:divId w:val="1581914661"/>
        <w:rPr>
          <w:rFonts w:eastAsia="Times New Roman"/>
        </w:rPr>
      </w:pPr>
      <w:r>
        <w:rPr>
          <w:rFonts w:eastAsia="Times New Roman"/>
          <w:b/>
          <w:bCs/>
          <w:color w:val="000000"/>
          <w:sz w:val="20"/>
          <w:szCs w:val="20"/>
        </w:rPr>
        <w:t>ITEM 9A.    </w:t>
      </w:r>
      <w:r>
        <w:rPr>
          <w:rFonts w:eastAsia="Times New Roman"/>
          <w:b/>
          <w:bCs/>
          <w:color w:val="000000"/>
          <w:sz w:val="20"/>
          <w:szCs w:val="20"/>
          <w:u w:val="single"/>
        </w:rPr>
        <w:t>Controls and Proc</w:t>
      </w:r>
      <w:r>
        <w:rPr>
          <w:rFonts w:eastAsia="Times New Roman"/>
          <w:b/>
          <w:bCs/>
          <w:color w:val="000000"/>
          <w:sz w:val="20"/>
          <w:szCs w:val="20"/>
          <w:u w:val="single"/>
        </w:rPr>
        <w:t>edures</w:t>
      </w:r>
    </w:p>
    <w:p w:rsidR="00000000" w:rsidRDefault="00D04F4B">
      <w:pPr>
        <w:jc w:val="both"/>
        <w:divId w:val="229076257"/>
        <w:rPr>
          <w:rFonts w:eastAsia="Times New Roman"/>
        </w:rPr>
      </w:pPr>
      <w:r>
        <w:rPr>
          <w:rFonts w:eastAsia="Times New Roman"/>
          <w:b/>
          <w:bCs/>
          <w:color w:val="000000"/>
          <w:sz w:val="20"/>
          <w:szCs w:val="20"/>
        </w:rPr>
        <w:t>Conclusion Regarding the Effectiveness of Disclosure Controls and Procedures</w:t>
      </w:r>
    </w:p>
    <w:p w:rsidR="00000000" w:rsidRDefault="00D04F4B">
      <w:pPr>
        <w:ind w:firstLine="720"/>
        <w:jc w:val="both"/>
        <w:divId w:val="668171846"/>
        <w:rPr>
          <w:rFonts w:eastAsia="Times New Roman"/>
        </w:rPr>
      </w:pPr>
      <w:r>
        <w:rPr>
          <w:rFonts w:eastAsia="Times New Roman"/>
          <w:color w:val="000000"/>
          <w:sz w:val="20"/>
          <w:szCs w:val="20"/>
        </w:rPr>
        <w:t>We maintain disclosure controls and procedures that are designed to ensure that information required to be disclosed in reports we file and submit under the Securities Exch</w:t>
      </w:r>
      <w:r>
        <w:rPr>
          <w:rFonts w:eastAsia="Times New Roman"/>
          <w:color w:val="000000"/>
          <w:sz w:val="20"/>
          <w:szCs w:val="20"/>
        </w:rPr>
        <w:t>ange Act of 1934, as amended (the “Exchange Act”) is recorded, processed, summarized and reported within the time periods specified in accordance with SEC guidelines and that such information is communicated to our management, including our Chief Executive</w:t>
      </w:r>
      <w:r>
        <w:rPr>
          <w:rFonts w:eastAsia="Times New Roman"/>
          <w:color w:val="000000"/>
          <w:sz w:val="20"/>
          <w:szCs w:val="20"/>
        </w:rPr>
        <w:t xml:space="preserve"> Officer and Chief Financial Officer, to allow timely decisions regarding required disclosure based on the definition of "disclosure controls and procedures" in Rules 13a-15(e) and 15d-15(e) of the Exchange Act. In designing and evaluating the disclosure c</w:t>
      </w:r>
      <w:r>
        <w:rPr>
          <w:rFonts w:eastAsia="Times New Roman"/>
          <w:color w:val="000000"/>
          <w:sz w:val="20"/>
          <w:szCs w:val="20"/>
        </w:rPr>
        <w:t>ontrols and procedures, management recognized that any controls and procedures, no matter how well designed and operated, can provide only reasonable assurance of achieving the desired control objectives and management necessarily was required to apply its</w:t>
      </w:r>
      <w:r>
        <w:rPr>
          <w:rFonts w:eastAsia="Times New Roman"/>
          <w:color w:val="000000"/>
          <w:sz w:val="20"/>
          <w:szCs w:val="20"/>
        </w:rPr>
        <w:t xml:space="preserve"> judgment in evaluating the cost-benefit relationship of possible controls and procedures in reaching that level of reasonable assurance. We also have investments in certain unconsolidated real estate entities and because we do not control these entities, </w:t>
      </w:r>
      <w:r>
        <w:rPr>
          <w:rFonts w:eastAsia="Times New Roman"/>
          <w:color w:val="000000"/>
          <w:sz w:val="20"/>
          <w:szCs w:val="20"/>
        </w:rPr>
        <w:t>our disclosure controls and procedures with respect to such entities are substantially more limited than those we maintain with respect to our consolidated subsidiaries.</w:t>
      </w:r>
    </w:p>
    <w:p w:rsidR="00000000" w:rsidRDefault="00D04F4B">
      <w:pPr>
        <w:ind w:firstLine="720"/>
        <w:jc w:val="both"/>
        <w:divId w:val="1622111194"/>
        <w:rPr>
          <w:rFonts w:eastAsia="Times New Roman"/>
        </w:rPr>
      </w:pPr>
      <w:r>
        <w:rPr>
          <w:rFonts w:eastAsia="Times New Roman"/>
          <w:color w:val="000000"/>
          <w:sz w:val="20"/>
          <w:szCs w:val="20"/>
        </w:rPr>
        <w:t xml:space="preserve">As of December 31, 2021, we carried out an evaluation, under the supervision and with </w:t>
      </w:r>
      <w:r>
        <w:rPr>
          <w:rFonts w:eastAsia="Times New Roman"/>
          <w:color w:val="000000"/>
          <w:sz w:val="20"/>
          <w:szCs w:val="20"/>
        </w:rPr>
        <w:t xml:space="preserve">the participation of management, including our Chief Executive Officer and Chief Financial Officer, of the effectiveness of the design and operation of our disclosure controls and procedures (as such term is defined in Rules 13a-15(e) and 15d-15(e) of the </w:t>
      </w:r>
      <w:r>
        <w:rPr>
          <w:rFonts w:eastAsia="Times New Roman"/>
          <w:color w:val="000000"/>
          <w:sz w:val="20"/>
          <w:szCs w:val="20"/>
        </w:rPr>
        <w:t>Exchange Act). Based on that evaluation, our Chief Executive Officer and Chief Financial Officer concluded that our disclosure controls and procedures were effective as of December 31, 2021, at a reasonable assurance level.</w:t>
      </w:r>
    </w:p>
    <w:p w:rsidR="00000000" w:rsidRDefault="00D04F4B">
      <w:pPr>
        <w:jc w:val="both"/>
        <w:divId w:val="500511283"/>
        <w:rPr>
          <w:rFonts w:eastAsia="Times New Roman"/>
        </w:rPr>
      </w:pPr>
      <w:r>
        <w:rPr>
          <w:rFonts w:eastAsia="Times New Roman"/>
          <w:b/>
          <w:bCs/>
          <w:color w:val="000000"/>
          <w:sz w:val="20"/>
          <w:szCs w:val="20"/>
        </w:rPr>
        <w:t xml:space="preserve">Management’s Report on Internal </w:t>
      </w:r>
      <w:r>
        <w:rPr>
          <w:rFonts w:eastAsia="Times New Roman"/>
          <w:b/>
          <w:bCs/>
          <w:color w:val="000000"/>
          <w:sz w:val="20"/>
          <w:szCs w:val="20"/>
        </w:rPr>
        <w:t>Control Over Financial Reporting</w:t>
      </w:r>
    </w:p>
    <w:p w:rsidR="00000000" w:rsidRDefault="00D04F4B">
      <w:pPr>
        <w:ind w:firstLine="720"/>
        <w:jc w:val="both"/>
        <w:divId w:val="1834367043"/>
        <w:rPr>
          <w:rFonts w:eastAsia="Times New Roman"/>
        </w:rPr>
      </w:pPr>
      <w:r>
        <w:rPr>
          <w:rFonts w:eastAsia="Times New Roman"/>
          <w:color w:val="000000"/>
          <w:sz w:val="20"/>
          <w:szCs w:val="20"/>
        </w:rPr>
        <w:t>Our management is responsible for establishing and maintaining adequate internal control over financial reporting, as such term is defined in Rules 13a-15(f) and 15d-15(f) of the Exchange Act. Under the supervision and with</w:t>
      </w:r>
      <w:r>
        <w:rPr>
          <w:rFonts w:eastAsia="Times New Roman"/>
          <w:color w:val="000000"/>
          <w:sz w:val="20"/>
          <w:szCs w:val="20"/>
        </w:rPr>
        <w:t xml:space="preserve"> the participation of our management, including our Chief Executive Officer and Chief Financial Officer, we conducted an </w:t>
      </w:r>
    </w:p>
    <w:p w:rsidR="00000000" w:rsidRDefault="00D04F4B">
      <w:pPr>
        <w:jc w:val="center"/>
        <w:divId w:val="2005206683"/>
        <w:rPr>
          <w:rFonts w:eastAsia="Times New Roman"/>
        </w:rPr>
      </w:pPr>
      <w:r>
        <w:rPr>
          <w:rFonts w:eastAsia="Times New Roman"/>
          <w:color w:val="000000"/>
          <w:sz w:val="20"/>
          <w:szCs w:val="20"/>
        </w:rPr>
        <w:t>49</w:t>
      </w:r>
    </w:p>
    <w:p w:rsidR="00000000" w:rsidRDefault="00D04F4B">
      <w:pPr>
        <w:rPr>
          <w:rFonts w:eastAsia="Times New Roman"/>
        </w:rPr>
      </w:pPr>
      <w:r>
        <w:rPr>
          <w:rFonts w:eastAsia="Times New Roman"/>
        </w:rPr>
        <w:pict>
          <v:rect id="_x0000_i1074" style="width:0;height:1.5pt" o:hralign="center" o:hrstd="t" o:hr="t" fillcolor="#a0a0a0" stroked="f"/>
        </w:pict>
      </w:r>
    </w:p>
    <w:p w:rsidR="00000000" w:rsidRDefault="00D04F4B">
      <w:pPr>
        <w:divId w:val="1739550412"/>
        <w:rPr>
          <w:rFonts w:eastAsia="Times New Roman"/>
        </w:rPr>
      </w:pPr>
    </w:p>
    <w:p w:rsidR="00000000" w:rsidRDefault="00D04F4B">
      <w:pPr>
        <w:jc w:val="both"/>
        <w:divId w:val="1180893787"/>
        <w:rPr>
          <w:rFonts w:eastAsia="Times New Roman"/>
        </w:rPr>
      </w:pPr>
      <w:r>
        <w:rPr>
          <w:rFonts w:eastAsia="Times New Roman"/>
          <w:color w:val="000000"/>
          <w:sz w:val="20"/>
          <w:szCs w:val="20"/>
        </w:rPr>
        <w:t>evaluation of the effectiveness of our internal control over financial reporting based on th</w:t>
      </w:r>
      <w:r>
        <w:rPr>
          <w:rFonts w:eastAsia="Times New Roman"/>
          <w:color w:val="000000"/>
          <w:sz w:val="20"/>
          <w:szCs w:val="20"/>
        </w:rPr>
        <w:t xml:space="preserve">e framework in </w:t>
      </w:r>
      <w:r>
        <w:rPr>
          <w:rFonts w:eastAsia="Times New Roman"/>
          <w:i/>
          <w:iCs/>
          <w:color w:val="000000"/>
          <w:sz w:val="20"/>
          <w:szCs w:val="20"/>
        </w:rPr>
        <w:t>Internal Control-Integrated Framework</w:t>
      </w:r>
      <w:r>
        <w:rPr>
          <w:rFonts w:eastAsia="Times New Roman"/>
          <w:color w:val="000000"/>
          <w:sz w:val="20"/>
          <w:szCs w:val="20"/>
        </w:rPr>
        <w:t xml:space="preserve"> issued by the Committee on Sponsoring Organizations of the Treadway Commission (2013 Framework). Based on our evaluation under the framework in </w:t>
      </w:r>
      <w:r>
        <w:rPr>
          <w:rFonts w:eastAsia="Times New Roman"/>
          <w:i/>
          <w:iCs/>
          <w:color w:val="000000"/>
          <w:sz w:val="20"/>
          <w:szCs w:val="20"/>
        </w:rPr>
        <w:t>Internal Control-Integrated Framework</w:t>
      </w:r>
      <w:r>
        <w:rPr>
          <w:rFonts w:eastAsia="Times New Roman"/>
          <w:color w:val="000000"/>
          <w:sz w:val="20"/>
          <w:szCs w:val="20"/>
        </w:rPr>
        <w:t>, our management concl</w:t>
      </w:r>
      <w:r>
        <w:rPr>
          <w:rFonts w:eastAsia="Times New Roman"/>
          <w:color w:val="000000"/>
          <w:sz w:val="20"/>
          <w:szCs w:val="20"/>
        </w:rPr>
        <w:t>uded that our internal control over financial reporting was effective as of December 31, 2021.</w:t>
      </w:r>
    </w:p>
    <w:p w:rsidR="00000000" w:rsidRDefault="00D04F4B">
      <w:pPr>
        <w:ind w:firstLine="720"/>
        <w:jc w:val="both"/>
        <w:divId w:val="1735350683"/>
        <w:rPr>
          <w:rFonts w:eastAsia="Times New Roman"/>
        </w:rPr>
      </w:pPr>
      <w:r>
        <w:rPr>
          <w:rFonts w:eastAsia="Times New Roman"/>
          <w:color w:val="000000"/>
          <w:sz w:val="20"/>
          <w:szCs w:val="20"/>
        </w:rPr>
        <w:t>The effectiveness of internal control over financial reporting as of December 31, 2021, has been audited by Ernst &amp; Young LLP, an independent registered public a</w:t>
      </w:r>
      <w:r>
        <w:rPr>
          <w:rFonts w:eastAsia="Times New Roman"/>
          <w:color w:val="000000"/>
          <w:sz w:val="20"/>
          <w:szCs w:val="20"/>
        </w:rPr>
        <w:t>ccounting firm. Ernst &amp; Young LLP’s report on our internal control over financial reporting appears below.</w:t>
      </w:r>
    </w:p>
    <w:p w:rsidR="00000000" w:rsidRDefault="00D04F4B">
      <w:pPr>
        <w:jc w:val="both"/>
        <w:divId w:val="901720650"/>
        <w:rPr>
          <w:rFonts w:eastAsia="Times New Roman"/>
        </w:rPr>
      </w:pPr>
      <w:r>
        <w:rPr>
          <w:rFonts w:eastAsia="Times New Roman"/>
          <w:b/>
          <w:bCs/>
          <w:color w:val="000000"/>
          <w:sz w:val="20"/>
          <w:szCs w:val="20"/>
        </w:rPr>
        <w:t>Changes in Internal Control Over Financial Reporting</w:t>
      </w:r>
    </w:p>
    <w:p w:rsidR="00000000" w:rsidRDefault="00D04F4B">
      <w:pPr>
        <w:ind w:firstLine="720"/>
        <w:jc w:val="both"/>
        <w:divId w:val="2092116542"/>
        <w:rPr>
          <w:rFonts w:eastAsia="Times New Roman"/>
        </w:rPr>
      </w:pPr>
      <w:r>
        <w:rPr>
          <w:rFonts w:eastAsia="Times New Roman"/>
          <w:color w:val="000000"/>
          <w:sz w:val="20"/>
          <w:szCs w:val="20"/>
        </w:rPr>
        <w:t>There have not been any changes in our internal control over financial reporting (as such term i</w:t>
      </w:r>
      <w:r>
        <w:rPr>
          <w:rFonts w:eastAsia="Times New Roman"/>
          <w:color w:val="000000"/>
          <w:sz w:val="20"/>
          <w:szCs w:val="20"/>
        </w:rPr>
        <w:t>s defined in Rules 13a-15(f) and 15d-15(f) under the Exchange Act) during the fourth quarter of 2021 to which this report relates that have materially affected, or are reasonable likely to materially affect, our internal control over financial reporting.</w:t>
      </w:r>
    </w:p>
    <w:p w:rsidR="00000000" w:rsidRDefault="00D04F4B">
      <w:pPr>
        <w:jc w:val="center"/>
        <w:divId w:val="704133088"/>
        <w:rPr>
          <w:rFonts w:eastAsia="Times New Roman"/>
        </w:rPr>
      </w:pPr>
      <w:r>
        <w:rPr>
          <w:rFonts w:eastAsia="Times New Roman"/>
          <w:color w:val="000000"/>
          <w:sz w:val="20"/>
          <w:szCs w:val="20"/>
        </w:rPr>
        <w:t>5</w:t>
      </w:r>
      <w:r>
        <w:rPr>
          <w:rFonts w:eastAsia="Times New Roman"/>
          <w:color w:val="000000"/>
          <w:sz w:val="20"/>
          <w:szCs w:val="20"/>
        </w:rPr>
        <w:t>0</w:t>
      </w:r>
    </w:p>
    <w:p w:rsidR="00000000" w:rsidRDefault="00D04F4B">
      <w:pPr>
        <w:rPr>
          <w:rFonts w:eastAsia="Times New Roman"/>
        </w:rPr>
      </w:pPr>
      <w:r>
        <w:rPr>
          <w:rFonts w:eastAsia="Times New Roman"/>
        </w:rPr>
        <w:pict>
          <v:rect id="_x0000_i1075" style="width:0;height:1.5pt" o:hralign="center" o:hrstd="t" o:hr="t" fillcolor="#a0a0a0" stroked="f"/>
        </w:pict>
      </w:r>
    </w:p>
    <w:p w:rsidR="00000000" w:rsidRDefault="00D04F4B">
      <w:pPr>
        <w:divId w:val="924654437"/>
        <w:rPr>
          <w:rFonts w:eastAsia="Times New Roman"/>
        </w:rPr>
      </w:pPr>
    </w:p>
    <w:p w:rsidR="00000000" w:rsidRDefault="00D04F4B">
      <w:pPr>
        <w:jc w:val="center"/>
        <w:divId w:val="1553998208"/>
        <w:rPr>
          <w:rFonts w:eastAsia="Times New Roman"/>
        </w:rPr>
      </w:pPr>
      <w:r>
        <w:rPr>
          <w:rFonts w:eastAsia="Times New Roman"/>
          <w:b/>
          <w:bCs/>
          <w:color w:val="000000"/>
          <w:sz w:val="20"/>
          <w:szCs w:val="20"/>
        </w:rPr>
        <w:t>Report of Independent Registered Public Accounting Firm</w:t>
      </w:r>
    </w:p>
    <w:p w:rsidR="00000000" w:rsidRDefault="00D04F4B">
      <w:pPr>
        <w:divId w:val="1209533523"/>
        <w:rPr>
          <w:rFonts w:eastAsia="Times New Roman"/>
        </w:rPr>
      </w:pPr>
      <w:r>
        <w:rPr>
          <w:rFonts w:eastAsia="Times New Roman"/>
          <w:color w:val="000000"/>
          <w:sz w:val="20"/>
          <w:szCs w:val="20"/>
        </w:rPr>
        <w:t>To the Shareholders and Board of Trustees of Public Storage</w:t>
      </w:r>
    </w:p>
    <w:p w:rsidR="00000000" w:rsidRDefault="00D04F4B">
      <w:pPr>
        <w:divId w:val="1664357659"/>
        <w:rPr>
          <w:rFonts w:eastAsia="Times New Roman"/>
        </w:rPr>
      </w:pPr>
      <w:r>
        <w:rPr>
          <w:rFonts w:eastAsia="Times New Roman"/>
          <w:b/>
          <w:bCs/>
          <w:color w:val="000000"/>
          <w:sz w:val="20"/>
          <w:szCs w:val="20"/>
        </w:rPr>
        <w:t>Opinion on Internal Control over Financial Reporting</w:t>
      </w:r>
    </w:p>
    <w:p w:rsidR="00000000" w:rsidRDefault="00D04F4B">
      <w:pPr>
        <w:divId w:val="1218737901"/>
        <w:rPr>
          <w:rFonts w:eastAsia="Times New Roman"/>
        </w:rPr>
      </w:pPr>
      <w:r>
        <w:rPr>
          <w:rFonts w:eastAsia="Times New Roman"/>
          <w:color w:val="000000"/>
          <w:sz w:val="20"/>
          <w:szCs w:val="20"/>
        </w:rPr>
        <w:t>We have audited Public Storage’s internal control over financial reporting as of December 31, 2021, based on criteria established in Internal Control—Integrated Framework issued by the Committee of Spons</w:t>
      </w:r>
      <w:r>
        <w:rPr>
          <w:rFonts w:eastAsia="Times New Roman"/>
          <w:color w:val="000000"/>
          <w:sz w:val="20"/>
          <w:szCs w:val="20"/>
        </w:rPr>
        <w:t>oring Organizations of the Treadway Commission (2013 framework) (the COSO criteria). In our opinion, Public Storage (the Company) maintained, in all material respects, effective internal control over financial reporting as of December 31, 2021, based on th</w:t>
      </w:r>
      <w:r>
        <w:rPr>
          <w:rFonts w:eastAsia="Times New Roman"/>
          <w:color w:val="000000"/>
          <w:sz w:val="20"/>
          <w:szCs w:val="20"/>
        </w:rPr>
        <w:t xml:space="preserve">e COSO criteria. </w:t>
      </w:r>
    </w:p>
    <w:p w:rsidR="00000000" w:rsidRDefault="00D04F4B">
      <w:pPr>
        <w:divId w:val="409540633"/>
        <w:rPr>
          <w:rFonts w:eastAsia="Times New Roman"/>
        </w:rPr>
      </w:pPr>
      <w:r>
        <w:rPr>
          <w:rFonts w:eastAsia="Times New Roman"/>
          <w:color w:val="000000"/>
          <w:sz w:val="20"/>
          <w:szCs w:val="20"/>
        </w:rPr>
        <w:t>We also have audited, in accordance with the standards of the Public Company Accounting Oversight Board (United States) (PCAOB), the consolidated balance sheets of the Company as of December 31, 2021 and 2020, the related consolidated sta</w:t>
      </w:r>
      <w:r>
        <w:rPr>
          <w:rFonts w:eastAsia="Times New Roman"/>
          <w:color w:val="000000"/>
          <w:sz w:val="20"/>
          <w:szCs w:val="20"/>
        </w:rPr>
        <w:t>tements of income, comprehensive income, equity and redeemable noncontrolling interests and cash flows for each of the three years in the period ended December 31, 2021 and the related notes and financial statement schedule listed in the Index at Item 15(a</w:t>
      </w:r>
      <w:r>
        <w:rPr>
          <w:rFonts w:eastAsia="Times New Roman"/>
          <w:color w:val="000000"/>
          <w:sz w:val="20"/>
          <w:szCs w:val="20"/>
        </w:rPr>
        <w:t xml:space="preserve">) and our report dated February 22, 2022 expressed an unqualified opinion thereon. </w:t>
      </w:r>
    </w:p>
    <w:p w:rsidR="00000000" w:rsidRDefault="00D04F4B">
      <w:pPr>
        <w:divId w:val="298582980"/>
        <w:rPr>
          <w:rFonts w:eastAsia="Times New Roman"/>
        </w:rPr>
      </w:pPr>
      <w:r>
        <w:rPr>
          <w:rFonts w:eastAsia="Times New Roman"/>
          <w:b/>
          <w:bCs/>
          <w:color w:val="000000"/>
          <w:sz w:val="20"/>
          <w:szCs w:val="20"/>
        </w:rPr>
        <w:t>Basis for Opinion</w:t>
      </w:r>
    </w:p>
    <w:p w:rsidR="00000000" w:rsidRDefault="00D04F4B">
      <w:pPr>
        <w:divId w:val="161816306"/>
        <w:rPr>
          <w:rFonts w:eastAsia="Times New Roman"/>
        </w:rPr>
      </w:pPr>
      <w:r>
        <w:rPr>
          <w:rFonts w:eastAsia="Times New Roman"/>
          <w:color w:val="000000"/>
          <w:sz w:val="20"/>
          <w:szCs w:val="20"/>
        </w:rPr>
        <w:t>The Company’s management is responsible for maintaining effective internal control over financial reporting, and for its assessment of the effectiveness o</w:t>
      </w:r>
      <w:r>
        <w:rPr>
          <w:rFonts w:eastAsia="Times New Roman"/>
          <w:color w:val="000000"/>
          <w:sz w:val="20"/>
          <w:szCs w:val="20"/>
        </w:rPr>
        <w:t>f internal control over financial reporting included in the accompanying Management’s Report on Internal Control Over Financial Reporting. Our responsibility is to express an opinion on the Company’s internal control over financial reporting based on our a</w:t>
      </w:r>
      <w:r>
        <w:rPr>
          <w:rFonts w:eastAsia="Times New Roman"/>
          <w:color w:val="000000"/>
          <w:sz w:val="20"/>
          <w:szCs w:val="20"/>
        </w:rPr>
        <w:t>udit. We are a public accounting firm registered with the PCAOB and are required to be independent with respect to the Company in accordance with the U.S. federal securities laws and the applicable rules and regulations of the Securities and Exchange Commi</w:t>
      </w:r>
      <w:r>
        <w:rPr>
          <w:rFonts w:eastAsia="Times New Roman"/>
          <w:color w:val="000000"/>
          <w:sz w:val="20"/>
          <w:szCs w:val="20"/>
        </w:rPr>
        <w:t xml:space="preserve">ssion and the PCAOB. </w:t>
      </w:r>
    </w:p>
    <w:p w:rsidR="00000000" w:rsidRDefault="00D04F4B">
      <w:pPr>
        <w:divId w:val="1159534966"/>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assurance about whether effective internal control over financial reporting was main</w:t>
      </w:r>
      <w:r>
        <w:rPr>
          <w:rFonts w:eastAsia="Times New Roman"/>
          <w:color w:val="000000"/>
          <w:sz w:val="20"/>
          <w:szCs w:val="20"/>
        </w:rPr>
        <w:t>tained in all material respects.</w:t>
      </w:r>
    </w:p>
    <w:p w:rsidR="00000000" w:rsidRDefault="00D04F4B">
      <w:pPr>
        <w:divId w:val="1084640961"/>
        <w:rPr>
          <w:rFonts w:eastAsia="Times New Roman"/>
        </w:rPr>
      </w:pPr>
      <w:r>
        <w:rPr>
          <w:rFonts w:eastAsia="Times New Roman"/>
          <w:color w:val="000000"/>
          <w:sz w:val="20"/>
          <w:szCs w:val="20"/>
        </w:rPr>
        <w:t>Our audit included obtaining an understanding of internal control over financial reporting, assessing the risk that a material weakness exists, testing and evaluating the design and operating effectiveness of internal control based on the assessed risk, an</w:t>
      </w:r>
      <w:r>
        <w:rPr>
          <w:rFonts w:eastAsia="Times New Roman"/>
          <w:color w:val="000000"/>
          <w:sz w:val="20"/>
          <w:szCs w:val="20"/>
        </w:rPr>
        <w:t>d performing such other procedures as we considered necessary in the circumstances. We believe that our audit provides a reasonable basis for our opinion.</w:t>
      </w:r>
    </w:p>
    <w:p w:rsidR="00000000" w:rsidRDefault="00D04F4B">
      <w:pPr>
        <w:divId w:val="1790010624"/>
        <w:rPr>
          <w:rFonts w:eastAsia="Times New Roman"/>
        </w:rPr>
      </w:pPr>
      <w:r>
        <w:rPr>
          <w:rFonts w:eastAsia="Times New Roman"/>
          <w:b/>
          <w:bCs/>
          <w:color w:val="000000"/>
          <w:sz w:val="20"/>
          <w:szCs w:val="20"/>
        </w:rPr>
        <w:t>Definition and Limitations of Internal Control Over Financial Reporting</w:t>
      </w:r>
    </w:p>
    <w:p w:rsidR="00000000" w:rsidRDefault="00D04F4B">
      <w:pPr>
        <w:divId w:val="1380472260"/>
        <w:rPr>
          <w:rFonts w:eastAsia="Times New Roman"/>
        </w:rPr>
      </w:pPr>
      <w:r>
        <w:rPr>
          <w:rFonts w:eastAsia="Times New Roman"/>
          <w:color w:val="000000"/>
          <w:sz w:val="20"/>
          <w:szCs w:val="20"/>
        </w:rPr>
        <w:t xml:space="preserve">A company’s internal control </w:t>
      </w:r>
      <w:r>
        <w:rPr>
          <w:rFonts w:eastAsia="Times New Roman"/>
          <w:color w:val="000000"/>
          <w:sz w:val="20"/>
          <w:szCs w:val="20"/>
        </w:rPr>
        <w:t>over financial reporting is a process designed to provide reasonable assurance regarding the reliability of financial reporting and the preparation of financial statements for external purposes in accordance with generally accepted accounting principles. A</w:t>
      </w:r>
      <w:r>
        <w:rPr>
          <w:rFonts w:eastAsia="Times New Roman"/>
          <w:color w:val="000000"/>
          <w:sz w:val="20"/>
          <w:szCs w:val="20"/>
        </w:rPr>
        <w:t xml:space="preserve"> company’s internal control over financial reporting includes those policies and procedures that (1) pertain to the maintenance of records that, in reasonable detail, accurately and fairly reflect the transactions and dispositions of the assets of the comp</w:t>
      </w:r>
      <w:r>
        <w:rPr>
          <w:rFonts w:eastAsia="Times New Roman"/>
          <w:color w:val="000000"/>
          <w:sz w:val="20"/>
          <w:szCs w:val="20"/>
        </w:rPr>
        <w:t>any; (2) provide reasonable assurance that transactions are recorded as necessary to permit preparation of financial statements in accordance with generally accepted accounting principles, and that receipts and expenditures of the company are being made on</w:t>
      </w:r>
      <w:r>
        <w:rPr>
          <w:rFonts w:eastAsia="Times New Roman"/>
          <w:color w:val="000000"/>
          <w:sz w:val="20"/>
          <w:szCs w:val="20"/>
        </w:rPr>
        <w:t>ly in accordance with authorizations of management and directors of the company; and (3) provide reasonable assurance regarding prevention or timely detection of unauthorized acquisition, use, or disposition of the company’s assets that could have a materi</w:t>
      </w:r>
      <w:r>
        <w:rPr>
          <w:rFonts w:eastAsia="Times New Roman"/>
          <w:color w:val="000000"/>
          <w:sz w:val="20"/>
          <w:szCs w:val="20"/>
        </w:rPr>
        <w:t>al effect on the financial statements.</w:t>
      </w:r>
    </w:p>
    <w:p w:rsidR="00000000" w:rsidRDefault="00D04F4B">
      <w:pPr>
        <w:divId w:val="1717927439"/>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 the risk th</w:t>
      </w:r>
      <w:r>
        <w:rPr>
          <w:rFonts w:eastAsia="Times New Roman"/>
          <w:color w:val="000000"/>
          <w:sz w:val="20"/>
          <w:szCs w:val="20"/>
        </w:rPr>
        <w:t>at controls may become inadequate because of changes in conditions, or that the degree of compliance with the policies or procedures may deteriorate.</w:t>
      </w:r>
    </w:p>
    <w:p w:rsidR="00000000" w:rsidRDefault="00D04F4B">
      <w:pPr>
        <w:divId w:val="1147237185"/>
        <w:rPr>
          <w:rFonts w:eastAsia="Times New Roman"/>
        </w:rPr>
      </w:pPr>
      <w:r>
        <w:rPr>
          <w:rFonts w:eastAsia="Times New Roman"/>
          <w:color w:val="000000"/>
          <w:sz w:val="20"/>
          <w:szCs w:val="20"/>
        </w:rPr>
        <w:t>/s/ Ernst &amp; Young LLP</w:t>
      </w:r>
    </w:p>
    <w:p w:rsidR="00000000" w:rsidRDefault="00D04F4B">
      <w:pPr>
        <w:divId w:val="536165756"/>
        <w:rPr>
          <w:rFonts w:eastAsia="Times New Roman"/>
        </w:rPr>
      </w:pPr>
      <w:r>
        <w:rPr>
          <w:rFonts w:eastAsia="Times New Roman"/>
          <w:color w:val="000000"/>
          <w:sz w:val="20"/>
          <w:szCs w:val="20"/>
        </w:rPr>
        <w:t>Los Angeles, California</w:t>
      </w:r>
    </w:p>
    <w:p w:rsidR="00000000" w:rsidRDefault="00D04F4B">
      <w:pPr>
        <w:divId w:val="1475368947"/>
        <w:rPr>
          <w:rFonts w:eastAsia="Times New Roman"/>
        </w:rPr>
      </w:pPr>
      <w:r>
        <w:rPr>
          <w:rFonts w:eastAsia="Times New Roman"/>
          <w:color w:val="000000"/>
          <w:sz w:val="20"/>
          <w:szCs w:val="20"/>
        </w:rPr>
        <w:t>February 22, 2022</w:t>
      </w:r>
    </w:p>
    <w:p w:rsidR="00000000" w:rsidRDefault="00D04F4B">
      <w:pPr>
        <w:jc w:val="center"/>
        <w:divId w:val="823473911"/>
        <w:rPr>
          <w:rFonts w:eastAsia="Times New Roman"/>
        </w:rPr>
      </w:pPr>
      <w:r>
        <w:rPr>
          <w:rFonts w:eastAsia="Times New Roman"/>
          <w:color w:val="000000"/>
          <w:sz w:val="20"/>
          <w:szCs w:val="20"/>
        </w:rPr>
        <w:t>51</w:t>
      </w:r>
    </w:p>
    <w:p w:rsidR="00000000" w:rsidRDefault="00D04F4B">
      <w:pPr>
        <w:rPr>
          <w:rFonts w:eastAsia="Times New Roman"/>
        </w:rPr>
      </w:pPr>
      <w:r>
        <w:rPr>
          <w:rFonts w:eastAsia="Times New Roman"/>
        </w:rPr>
        <w:pict>
          <v:rect id="_x0000_i1076" style="width:0;height:1.5pt" o:hralign="center" o:hrstd="t" o:hr="t" fillcolor="#a0a0a0" stroked="f"/>
        </w:pict>
      </w:r>
    </w:p>
    <w:p w:rsidR="00000000" w:rsidRDefault="00D04F4B">
      <w:pPr>
        <w:divId w:val="1485202815"/>
        <w:rPr>
          <w:rFonts w:eastAsia="Times New Roman"/>
        </w:rPr>
      </w:pPr>
    </w:p>
    <w:p w:rsidR="00000000" w:rsidRDefault="00D04F4B">
      <w:pPr>
        <w:jc w:val="both"/>
        <w:divId w:val="637148570"/>
        <w:rPr>
          <w:rFonts w:eastAsia="Times New Roman"/>
        </w:rPr>
      </w:pPr>
      <w:r>
        <w:rPr>
          <w:rFonts w:eastAsia="Times New Roman"/>
          <w:b/>
          <w:bCs/>
          <w:color w:val="000000"/>
          <w:sz w:val="20"/>
          <w:szCs w:val="20"/>
        </w:rPr>
        <w:t>ITEM 9B.    </w:t>
      </w:r>
      <w:r>
        <w:rPr>
          <w:rFonts w:eastAsia="Times New Roman"/>
          <w:b/>
          <w:bCs/>
          <w:color w:val="000000"/>
          <w:sz w:val="20"/>
          <w:szCs w:val="20"/>
          <w:u w:val="single"/>
        </w:rPr>
        <w:t>Other Information</w:t>
      </w:r>
    </w:p>
    <w:p w:rsidR="00000000" w:rsidRDefault="00D04F4B">
      <w:pPr>
        <w:ind w:firstLine="720"/>
        <w:jc w:val="both"/>
        <w:divId w:val="994911838"/>
        <w:rPr>
          <w:rFonts w:eastAsia="Times New Roman"/>
        </w:rPr>
      </w:pPr>
      <w:r>
        <w:rPr>
          <w:rFonts w:eastAsia="Times New Roman"/>
          <w:color w:val="000000"/>
          <w:sz w:val="20"/>
          <w:szCs w:val="20"/>
        </w:rPr>
        <w:t>None.</w:t>
      </w:r>
    </w:p>
    <w:p w:rsidR="00000000" w:rsidRDefault="00D04F4B">
      <w:pPr>
        <w:jc w:val="both"/>
        <w:divId w:val="128478785"/>
        <w:rPr>
          <w:rFonts w:eastAsia="Times New Roman"/>
        </w:rPr>
      </w:pPr>
      <w:r>
        <w:rPr>
          <w:rFonts w:eastAsia="Times New Roman"/>
          <w:b/>
          <w:bCs/>
          <w:color w:val="000000"/>
          <w:sz w:val="20"/>
          <w:szCs w:val="20"/>
        </w:rPr>
        <w:t xml:space="preserve">ITEM 9C. </w:t>
      </w:r>
      <w:r>
        <w:rPr>
          <w:rFonts w:eastAsia="Times New Roman"/>
          <w:b/>
          <w:bCs/>
          <w:color w:val="000000"/>
          <w:sz w:val="20"/>
          <w:szCs w:val="20"/>
          <w:u w:val="single"/>
        </w:rPr>
        <w:t>Disclosure Regarding Foreign Jurisdictions that Prevent Inspections</w:t>
      </w:r>
    </w:p>
    <w:p w:rsidR="00000000" w:rsidRDefault="00D04F4B">
      <w:pPr>
        <w:ind w:firstLine="720"/>
        <w:jc w:val="both"/>
        <w:divId w:val="1310402461"/>
        <w:rPr>
          <w:rFonts w:eastAsia="Times New Roman"/>
        </w:rPr>
      </w:pPr>
      <w:r>
        <w:rPr>
          <w:rFonts w:eastAsia="Times New Roman"/>
          <w:color w:val="000000"/>
          <w:sz w:val="20"/>
          <w:szCs w:val="20"/>
        </w:rPr>
        <w:t xml:space="preserve">Not applicable. </w:t>
      </w:r>
    </w:p>
    <w:p w:rsidR="00000000" w:rsidRDefault="00D04F4B">
      <w:pPr>
        <w:jc w:val="center"/>
        <w:divId w:val="1056589570"/>
        <w:rPr>
          <w:rFonts w:eastAsia="Times New Roman"/>
        </w:rPr>
      </w:pPr>
      <w:r>
        <w:rPr>
          <w:rFonts w:eastAsia="Times New Roman"/>
          <w:color w:val="000000"/>
          <w:sz w:val="20"/>
          <w:szCs w:val="20"/>
        </w:rPr>
        <w:t>52</w:t>
      </w:r>
    </w:p>
    <w:p w:rsidR="00000000" w:rsidRDefault="00D04F4B">
      <w:pPr>
        <w:rPr>
          <w:rFonts w:eastAsia="Times New Roman"/>
        </w:rPr>
      </w:pPr>
      <w:r>
        <w:rPr>
          <w:rFonts w:eastAsia="Times New Roman"/>
        </w:rPr>
        <w:pict>
          <v:rect id="_x0000_i1077" style="width:0;height:1.5pt" o:hralign="center" o:hrstd="t" o:hr="t" fillcolor="#a0a0a0" stroked="f"/>
        </w:pict>
      </w:r>
    </w:p>
    <w:p w:rsidR="00000000" w:rsidRDefault="00D04F4B">
      <w:pPr>
        <w:divId w:val="1031145873"/>
        <w:rPr>
          <w:rFonts w:eastAsia="Times New Roman"/>
        </w:rPr>
      </w:pPr>
    </w:p>
    <w:p w:rsidR="00000000" w:rsidRDefault="00D04F4B">
      <w:pPr>
        <w:jc w:val="center"/>
        <w:divId w:val="951204790"/>
        <w:rPr>
          <w:rFonts w:eastAsia="Times New Roman"/>
        </w:rPr>
      </w:pPr>
      <w:r>
        <w:rPr>
          <w:rFonts w:eastAsia="Times New Roman"/>
          <w:b/>
          <w:bCs/>
          <w:color w:val="000000"/>
          <w:sz w:val="20"/>
          <w:szCs w:val="20"/>
          <w:u w:val="single"/>
        </w:rPr>
        <w:t>PART III</w:t>
      </w:r>
    </w:p>
    <w:p w:rsidR="00000000" w:rsidRDefault="00D04F4B">
      <w:pPr>
        <w:divId w:val="1460606436"/>
        <w:rPr>
          <w:rFonts w:eastAsia="Times New Roman"/>
        </w:rPr>
      </w:pPr>
      <w:r>
        <w:rPr>
          <w:rFonts w:eastAsia="Times New Roman"/>
          <w:b/>
          <w:bCs/>
          <w:color w:val="000000"/>
          <w:sz w:val="20"/>
          <w:szCs w:val="20"/>
        </w:rPr>
        <w:t>ITEM 10.    </w:t>
      </w:r>
      <w:r>
        <w:rPr>
          <w:rFonts w:eastAsia="Times New Roman"/>
          <w:b/>
          <w:bCs/>
          <w:color w:val="000000"/>
          <w:sz w:val="20"/>
          <w:szCs w:val="20"/>
          <w:u w:val="single"/>
        </w:rPr>
        <w:t>Trustees, Executive Officers and Corporate Governance</w:t>
      </w:r>
    </w:p>
    <w:p w:rsidR="00000000" w:rsidRDefault="00D04F4B">
      <w:pPr>
        <w:ind w:firstLine="720"/>
        <w:jc w:val="both"/>
        <w:divId w:val="1645429434"/>
        <w:rPr>
          <w:rFonts w:eastAsia="Times New Roman"/>
        </w:rPr>
      </w:pPr>
      <w:r>
        <w:rPr>
          <w:rFonts w:eastAsia="Times New Roman"/>
          <w:color w:val="000000"/>
          <w:sz w:val="20"/>
          <w:szCs w:val="20"/>
        </w:rPr>
        <w:t>The follo</w:t>
      </w:r>
      <w:r>
        <w:rPr>
          <w:rFonts w:eastAsia="Times New Roman"/>
          <w:color w:val="000000"/>
          <w:sz w:val="20"/>
          <w:szCs w:val="20"/>
        </w:rPr>
        <w:t>wing is a biographical summary of the current executive officers of the Company:</w:t>
      </w:r>
    </w:p>
    <w:p w:rsidR="00000000" w:rsidRDefault="00D04F4B">
      <w:pPr>
        <w:ind w:firstLine="720"/>
        <w:jc w:val="both"/>
        <w:divId w:val="26487042"/>
        <w:rPr>
          <w:rFonts w:eastAsia="Times New Roman"/>
        </w:rPr>
      </w:pPr>
      <w:r>
        <w:rPr>
          <w:rFonts w:eastAsia="Times New Roman"/>
          <w:b/>
          <w:bCs/>
          <w:color w:val="000000"/>
          <w:sz w:val="20"/>
          <w:szCs w:val="20"/>
        </w:rPr>
        <w:t>Joseph D. Russell, Jr.</w:t>
      </w:r>
      <w:r>
        <w:rPr>
          <w:rFonts w:eastAsia="Times New Roman"/>
          <w:color w:val="000000"/>
          <w:sz w:val="20"/>
          <w:szCs w:val="20"/>
        </w:rPr>
        <w:t>, age 62, has served as Chief Executive Officer since January 1, 2019, and as President since July 2016.  Prior to joining Public Storage, Mr. Russell wa</w:t>
      </w:r>
      <w:r>
        <w:rPr>
          <w:rFonts w:eastAsia="Times New Roman"/>
          <w:color w:val="000000"/>
          <w:sz w:val="20"/>
          <w:szCs w:val="20"/>
        </w:rPr>
        <w:t>s President and Chief Executive Officer of PS Business Parks, Inc. from August 2002 to July 2016. Mr. Russell has also served as a trustee of Public Storage since January 1, 2019, and as a director of PS Business Parks, Inc. since August 2003. </w:t>
      </w:r>
    </w:p>
    <w:p w:rsidR="00000000" w:rsidRDefault="00D04F4B">
      <w:pPr>
        <w:ind w:firstLine="720"/>
        <w:jc w:val="both"/>
        <w:divId w:val="1428232242"/>
        <w:rPr>
          <w:rFonts w:eastAsia="Times New Roman"/>
        </w:rPr>
      </w:pPr>
      <w:r>
        <w:rPr>
          <w:rFonts w:eastAsia="Times New Roman"/>
          <w:b/>
          <w:bCs/>
          <w:color w:val="000000"/>
          <w:sz w:val="20"/>
          <w:szCs w:val="20"/>
        </w:rPr>
        <w:t>H. Thomas B</w:t>
      </w:r>
      <w:r>
        <w:rPr>
          <w:rFonts w:eastAsia="Times New Roman"/>
          <w:b/>
          <w:bCs/>
          <w:color w:val="000000"/>
          <w:sz w:val="20"/>
          <w:szCs w:val="20"/>
        </w:rPr>
        <w:t>oyle</w:t>
      </w:r>
      <w:r>
        <w:rPr>
          <w:rFonts w:eastAsia="Times New Roman"/>
          <w:color w:val="000000"/>
          <w:sz w:val="20"/>
          <w:szCs w:val="20"/>
        </w:rPr>
        <w:t>, age 39, has served as Chief Financial Officer since January 1, 2019, and was previously Vice President and Chief Financial Officer, Operations since joining the Company in November 2016. Prior to joining Public Storage, Mr. Boyle served in roles of i</w:t>
      </w:r>
      <w:r>
        <w:rPr>
          <w:rFonts w:eastAsia="Times New Roman"/>
          <w:color w:val="000000"/>
          <w:sz w:val="20"/>
          <w:szCs w:val="20"/>
        </w:rPr>
        <w:t>ncreasing responsibilities with Morgan Stanley since 2005, from analyst to his last role as Executive Director, Equity and Debt Capital Markets.</w:t>
      </w:r>
    </w:p>
    <w:p w:rsidR="00000000" w:rsidRDefault="00D04F4B">
      <w:pPr>
        <w:ind w:firstLine="720"/>
        <w:jc w:val="both"/>
        <w:divId w:val="852961120"/>
        <w:rPr>
          <w:rFonts w:eastAsia="Times New Roman"/>
        </w:rPr>
      </w:pPr>
      <w:r>
        <w:rPr>
          <w:rFonts w:eastAsia="Times New Roman"/>
          <w:b/>
          <w:bCs/>
          <w:color w:val="000000"/>
          <w:sz w:val="20"/>
          <w:szCs w:val="20"/>
        </w:rPr>
        <w:t>Nathaniel A. Vitan</w:t>
      </w:r>
      <w:r>
        <w:rPr>
          <w:rFonts w:eastAsia="Times New Roman"/>
          <w:color w:val="000000"/>
          <w:sz w:val="20"/>
          <w:szCs w:val="20"/>
        </w:rPr>
        <w:t>, age 48, has served as Senior Vice President, Chief Legal Officer and Corporate Secretary si</w:t>
      </w:r>
      <w:r>
        <w:rPr>
          <w:rFonts w:eastAsia="Times New Roman"/>
          <w:color w:val="000000"/>
          <w:sz w:val="20"/>
          <w:szCs w:val="20"/>
        </w:rPr>
        <w:t>nce April 20, 2019, and was Vice President and Chief Counsel–Litigation and Operations since joining the Company in June 2016. Prior to joining Public Storage, Mr. Vitan was Assistant General Counsel for Altria Client Services, Inc. and served as a Trial P</w:t>
      </w:r>
      <w:r>
        <w:rPr>
          <w:rFonts w:eastAsia="Times New Roman"/>
          <w:color w:val="000000"/>
          <w:sz w:val="20"/>
          <w:szCs w:val="20"/>
        </w:rPr>
        <w:t>ractice and Appellate Litigation Attorney at Latham &amp; Watkins LLP.</w:t>
      </w:r>
    </w:p>
    <w:p w:rsidR="00000000" w:rsidRDefault="00D04F4B">
      <w:pPr>
        <w:ind w:firstLine="720"/>
        <w:jc w:val="both"/>
        <w:divId w:val="640236340"/>
        <w:rPr>
          <w:rFonts w:eastAsia="Times New Roman"/>
        </w:rPr>
      </w:pPr>
      <w:r>
        <w:rPr>
          <w:rFonts w:eastAsia="Times New Roman"/>
          <w:b/>
          <w:bCs/>
          <w:color w:val="000000"/>
          <w:sz w:val="20"/>
          <w:szCs w:val="20"/>
        </w:rPr>
        <w:t>Natalia Johnson</w:t>
      </w:r>
      <w:r>
        <w:rPr>
          <w:rFonts w:eastAsia="Times New Roman"/>
          <w:color w:val="000000"/>
          <w:sz w:val="20"/>
          <w:szCs w:val="20"/>
        </w:rPr>
        <w:t>, age 44, has served as the Chief Administrative Officer since August 4, 2020. Previously, Ms. Johnson served as Senior Vice President, Chief Human Resources Officer from Apr</w:t>
      </w:r>
      <w:r>
        <w:rPr>
          <w:rFonts w:eastAsia="Times New Roman"/>
          <w:color w:val="000000"/>
          <w:sz w:val="20"/>
          <w:szCs w:val="20"/>
        </w:rPr>
        <w:t>il 25, 2018 to August 4, 2020 and Senior Vice President of Human Resources from July 2016 to April 2018. Prior to joining Public Storage, Ms. Johnson held a variety of senior management positions at Bank of America, including Chief Operating Officer for Mo</w:t>
      </w:r>
      <w:r>
        <w:rPr>
          <w:rFonts w:eastAsia="Times New Roman"/>
          <w:color w:val="000000"/>
          <w:sz w:val="20"/>
          <w:szCs w:val="20"/>
        </w:rPr>
        <w:t>rtgage Technology and Human Resources Executive for the Mortgage Business and worked for Coca-Cola Andina and San Cristόbal Insurance.</w:t>
      </w:r>
    </w:p>
    <w:p w:rsidR="00000000" w:rsidRDefault="00D04F4B">
      <w:pPr>
        <w:ind w:firstLine="720"/>
        <w:jc w:val="both"/>
        <w:divId w:val="1557819542"/>
        <w:rPr>
          <w:rFonts w:eastAsia="Times New Roman"/>
        </w:rPr>
      </w:pPr>
      <w:r>
        <w:rPr>
          <w:rFonts w:eastAsia="Times New Roman"/>
          <w:color w:val="000000"/>
          <w:sz w:val="20"/>
          <w:szCs w:val="20"/>
        </w:rPr>
        <w:t>Other information required by this item is hereby incorporated by reference to the material appearing in the Notice and P</w:t>
      </w:r>
      <w:r>
        <w:rPr>
          <w:rFonts w:eastAsia="Times New Roman"/>
          <w:color w:val="000000"/>
          <w:sz w:val="20"/>
          <w:szCs w:val="20"/>
        </w:rPr>
        <w:t>roxy Statement for the 2022 Annual Meeting of Shareholders, to be filed pursuant to Regulation 14A under the Exchange Act.</w:t>
      </w:r>
    </w:p>
    <w:p w:rsidR="00000000" w:rsidRDefault="00D04F4B">
      <w:pPr>
        <w:divId w:val="1194149417"/>
        <w:rPr>
          <w:rFonts w:eastAsia="Times New Roman"/>
        </w:rPr>
      </w:pPr>
      <w:r>
        <w:rPr>
          <w:rFonts w:eastAsia="Times New Roman"/>
          <w:b/>
          <w:bCs/>
          <w:color w:val="000000"/>
          <w:sz w:val="20"/>
          <w:szCs w:val="20"/>
        </w:rPr>
        <w:t>ITEM 11.    </w:t>
      </w:r>
      <w:r>
        <w:rPr>
          <w:rFonts w:eastAsia="Times New Roman"/>
          <w:b/>
          <w:bCs/>
          <w:color w:val="000000"/>
          <w:sz w:val="20"/>
          <w:szCs w:val="20"/>
          <w:u w:val="single"/>
        </w:rPr>
        <w:t>Executive Compensation</w:t>
      </w:r>
    </w:p>
    <w:p w:rsidR="00000000" w:rsidRDefault="00D04F4B">
      <w:pPr>
        <w:ind w:firstLine="720"/>
        <w:jc w:val="both"/>
        <w:divId w:val="612136055"/>
        <w:rPr>
          <w:rFonts w:eastAsia="Times New Roman"/>
        </w:rPr>
      </w:pPr>
      <w:r>
        <w:rPr>
          <w:rFonts w:eastAsia="Times New Roman"/>
          <w:color w:val="000000"/>
          <w:sz w:val="20"/>
          <w:szCs w:val="20"/>
        </w:rPr>
        <w:t>The information required by this item is hereby incorporated by reference to the material appearin</w:t>
      </w:r>
      <w:r>
        <w:rPr>
          <w:rFonts w:eastAsia="Times New Roman"/>
          <w:color w:val="000000"/>
          <w:sz w:val="20"/>
          <w:szCs w:val="20"/>
        </w:rPr>
        <w:t>g in the Notice and Proxy Statement for the 2022 Annual Meeting of Shareholders, to be filed pursuant to Regulation 14A under the Exchange Act.</w:t>
      </w:r>
    </w:p>
    <w:p w:rsidR="00000000" w:rsidRDefault="00D04F4B">
      <w:pPr>
        <w:jc w:val="both"/>
        <w:divId w:val="612127207"/>
        <w:rPr>
          <w:rFonts w:eastAsia="Times New Roman"/>
        </w:rPr>
      </w:pPr>
      <w:r>
        <w:rPr>
          <w:rFonts w:eastAsia="Times New Roman"/>
          <w:b/>
          <w:bCs/>
          <w:color w:val="000000"/>
          <w:sz w:val="20"/>
          <w:szCs w:val="20"/>
        </w:rPr>
        <w:t>ITEM 12.    </w:t>
      </w:r>
      <w:r>
        <w:rPr>
          <w:rFonts w:eastAsia="Times New Roman"/>
          <w:b/>
          <w:bCs/>
          <w:color w:val="000000"/>
          <w:sz w:val="20"/>
          <w:szCs w:val="20"/>
          <w:u w:val="single"/>
        </w:rPr>
        <w:t>Security Ownership of Certain Beneficial Owners and Management and Related Shareholder Matters</w:t>
      </w:r>
    </w:p>
    <w:p w:rsidR="00000000" w:rsidRDefault="00D04F4B">
      <w:pPr>
        <w:ind w:firstLine="720"/>
        <w:jc w:val="both"/>
        <w:divId w:val="597251279"/>
        <w:rPr>
          <w:rFonts w:eastAsia="Times New Roman"/>
        </w:rPr>
      </w:pPr>
      <w:r>
        <w:rPr>
          <w:rFonts w:eastAsia="Times New Roman"/>
          <w:color w:val="000000"/>
          <w:sz w:val="20"/>
          <w:szCs w:val="20"/>
        </w:rPr>
        <w:t xml:space="preserve">Information required by this item is hereby incorporated by reference to the material appearing in the Notice and Proxy Statement for the 2022 Annual Meeting of </w:t>
      </w:r>
      <w:r>
        <w:rPr>
          <w:rFonts w:eastAsia="Times New Roman"/>
          <w:color w:val="000000"/>
          <w:sz w:val="20"/>
          <w:szCs w:val="20"/>
        </w:rPr>
        <w:t>Shareholders, to be filed pursuant to Regulation 14A under the Exchange Act.</w:t>
      </w:r>
    </w:p>
    <w:p w:rsidR="00000000" w:rsidRDefault="00D04F4B">
      <w:pPr>
        <w:divId w:val="906955115"/>
        <w:rPr>
          <w:rFonts w:eastAsia="Times New Roman"/>
        </w:rPr>
      </w:pPr>
      <w:r>
        <w:rPr>
          <w:rFonts w:eastAsia="Times New Roman"/>
          <w:b/>
          <w:bCs/>
          <w:color w:val="000000"/>
          <w:sz w:val="20"/>
          <w:szCs w:val="20"/>
        </w:rPr>
        <w:t>ITEM 13.</w:t>
      </w:r>
      <w:r>
        <w:rPr>
          <w:rFonts w:eastAsia="Times New Roman"/>
          <w:color w:val="000000"/>
          <w:sz w:val="20"/>
          <w:szCs w:val="20"/>
        </w:rPr>
        <w:t>    </w:t>
      </w:r>
      <w:r>
        <w:rPr>
          <w:rFonts w:eastAsia="Times New Roman"/>
          <w:b/>
          <w:bCs/>
          <w:color w:val="000000"/>
          <w:sz w:val="20"/>
          <w:szCs w:val="20"/>
          <w:u w:val="single"/>
        </w:rPr>
        <w:t>Certain Relationships and Related Transactions and Trustee Independence</w:t>
      </w:r>
    </w:p>
    <w:p w:rsidR="00000000" w:rsidRDefault="00D04F4B">
      <w:pPr>
        <w:ind w:firstLine="720"/>
        <w:jc w:val="both"/>
        <w:divId w:val="1704941674"/>
        <w:rPr>
          <w:rFonts w:eastAsia="Times New Roman"/>
        </w:rPr>
      </w:pPr>
      <w:r>
        <w:rPr>
          <w:rFonts w:eastAsia="Times New Roman"/>
          <w:color w:val="000000"/>
          <w:sz w:val="20"/>
          <w:szCs w:val="20"/>
        </w:rPr>
        <w:t>The information required by this item is hereby incorporated by reference to the material appearing in the Notice and Proxy Statement for the 2022 Annual Meeting of Shareholders, to be filed pursuant to Regulation 14A under the Exchange Act.</w:t>
      </w:r>
    </w:p>
    <w:p w:rsidR="00000000" w:rsidRDefault="00D04F4B">
      <w:pPr>
        <w:divId w:val="2073502042"/>
        <w:rPr>
          <w:rFonts w:eastAsia="Times New Roman"/>
        </w:rPr>
      </w:pPr>
      <w:r>
        <w:rPr>
          <w:rFonts w:eastAsia="Times New Roman"/>
          <w:b/>
          <w:bCs/>
          <w:color w:val="000000"/>
          <w:sz w:val="20"/>
          <w:szCs w:val="20"/>
        </w:rPr>
        <w:t>ITEM 14.    </w:t>
      </w:r>
      <w:r>
        <w:rPr>
          <w:rFonts w:eastAsia="Times New Roman"/>
          <w:b/>
          <w:bCs/>
          <w:color w:val="000000"/>
          <w:sz w:val="20"/>
          <w:szCs w:val="20"/>
          <w:u w:val="single"/>
        </w:rPr>
        <w:t>Pr</w:t>
      </w:r>
      <w:r>
        <w:rPr>
          <w:rFonts w:eastAsia="Times New Roman"/>
          <w:b/>
          <w:bCs/>
          <w:color w:val="000000"/>
          <w:sz w:val="20"/>
          <w:szCs w:val="20"/>
          <w:u w:val="single"/>
        </w:rPr>
        <w:t>incipal Accountant Fees and Services</w:t>
      </w:r>
    </w:p>
    <w:p w:rsidR="00000000" w:rsidRDefault="00D04F4B">
      <w:pPr>
        <w:ind w:firstLine="720"/>
        <w:jc w:val="both"/>
        <w:divId w:val="91634842"/>
        <w:rPr>
          <w:rFonts w:eastAsia="Times New Roman"/>
        </w:rPr>
      </w:pPr>
      <w:r>
        <w:rPr>
          <w:rFonts w:eastAsia="Times New Roman"/>
          <w:color w:val="000000"/>
          <w:sz w:val="20"/>
          <w:szCs w:val="20"/>
        </w:rPr>
        <w:t>The information required by this item is hereby incorporated by reference to the material appearing in the Notice and Proxy Statement for the 2022 Annual Meeting of Shareholders, to be filed pursuant to Regulation 14A u</w:t>
      </w:r>
      <w:r>
        <w:rPr>
          <w:rFonts w:eastAsia="Times New Roman"/>
          <w:color w:val="000000"/>
          <w:sz w:val="20"/>
          <w:szCs w:val="20"/>
        </w:rPr>
        <w:t>nder the Exchange Act of 1934.</w:t>
      </w:r>
    </w:p>
    <w:p w:rsidR="00000000" w:rsidRDefault="00D04F4B">
      <w:pPr>
        <w:jc w:val="center"/>
        <w:divId w:val="2010131637"/>
        <w:rPr>
          <w:rFonts w:eastAsia="Times New Roman"/>
        </w:rPr>
      </w:pPr>
    </w:p>
    <w:p w:rsidR="00000000" w:rsidRDefault="00D04F4B">
      <w:pPr>
        <w:jc w:val="center"/>
        <w:divId w:val="990401699"/>
        <w:rPr>
          <w:rFonts w:eastAsia="Times New Roman"/>
        </w:rPr>
      </w:pPr>
      <w:r>
        <w:rPr>
          <w:rFonts w:eastAsia="Times New Roman"/>
          <w:color w:val="000000"/>
          <w:sz w:val="20"/>
          <w:szCs w:val="20"/>
        </w:rPr>
        <w:t>53</w:t>
      </w:r>
    </w:p>
    <w:p w:rsidR="00000000" w:rsidRDefault="00D04F4B">
      <w:pPr>
        <w:rPr>
          <w:rFonts w:eastAsia="Times New Roman"/>
        </w:rPr>
      </w:pPr>
      <w:r>
        <w:rPr>
          <w:rFonts w:eastAsia="Times New Roman"/>
        </w:rPr>
        <w:pict>
          <v:rect id="_x0000_i1078" style="width:0;height:1.5pt" o:hralign="center" o:hrstd="t" o:hr="t" fillcolor="#a0a0a0" stroked="f"/>
        </w:pict>
      </w:r>
    </w:p>
    <w:p w:rsidR="00000000" w:rsidRDefault="00D04F4B">
      <w:pPr>
        <w:divId w:val="1695613312"/>
        <w:rPr>
          <w:rFonts w:eastAsia="Times New Roman"/>
        </w:rPr>
      </w:pPr>
    </w:p>
    <w:p w:rsidR="00000000" w:rsidRDefault="00D04F4B">
      <w:pPr>
        <w:jc w:val="center"/>
        <w:divId w:val="509680233"/>
        <w:rPr>
          <w:rFonts w:eastAsia="Times New Roman"/>
        </w:rPr>
      </w:pPr>
      <w:r>
        <w:rPr>
          <w:rFonts w:eastAsia="Times New Roman"/>
          <w:b/>
          <w:bCs/>
          <w:color w:val="000000"/>
          <w:sz w:val="20"/>
          <w:szCs w:val="20"/>
          <w:u w:val="single"/>
        </w:rPr>
        <w:t>PART IV</w:t>
      </w:r>
    </w:p>
    <w:p w:rsidR="00000000" w:rsidRDefault="00D04F4B">
      <w:pPr>
        <w:divId w:val="1255090161"/>
        <w:rPr>
          <w:rFonts w:eastAsia="Times New Roman"/>
        </w:rPr>
      </w:pPr>
      <w:r>
        <w:rPr>
          <w:rFonts w:eastAsia="Times New Roman"/>
          <w:b/>
          <w:bCs/>
          <w:color w:val="000000"/>
          <w:sz w:val="20"/>
          <w:szCs w:val="20"/>
        </w:rPr>
        <w:t>ITEM 15. </w:t>
      </w:r>
      <w:r>
        <w:rPr>
          <w:rFonts w:eastAsia="Times New Roman"/>
          <w:b/>
          <w:bCs/>
          <w:color w:val="000000"/>
          <w:sz w:val="20"/>
          <w:szCs w:val="20"/>
          <w:u w:val="single"/>
        </w:rPr>
        <w:t>Exhibits and Financial Statement Schedules</w:t>
      </w:r>
    </w:p>
    <w:p w:rsidR="00000000" w:rsidRDefault="00D04F4B">
      <w:pPr>
        <w:divId w:val="1562251032"/>
        <w:rPr>
          <w:rFonts w:eastAsia="Times New Roman"/>
        </w:rPr>
      </w:pPr>
      <w:r>
        <w:rPr>
          <w:rFonts w:eastAsia="Times New Roman"/>
          <w:color w:val="000000"/>
          <w:sz w:val="20"/>
          <w:szCs w:val="20"/>
        </w:rPr>
        <w:t>a.    1.    Financial Statements</w:t>
      </w:r>
    </w:p>
    <w:p w:rsidR="00000000" w:rsidRDefault="00D04F4B">
      <w:pPr>
        <w:divId w:val="186451485"/>
        <w:rPr>
          <w:rFonts w:eastAsia="Times New Roman"/>
        </w:rPr>
      </w:pPr>
      <w:r>
        <w:rPr>
          <w:rFonts w:eastAsia="Times New Roman"/>
          <w:color w:val="000000"/>
          <w:sz w:val="20"/>
          <w:szCs w:val="20"/>
        </w:rPr>
        <w:t>The financial statements listed in the accompanying Index to Consolidated Financial State</w:t>
      </w:r>
      <w:r>
        <w:rPr>
          <w:rFonts w:eastAsia="Times New Roman"/>
          <w:color w:val="000000"/>
          <w:sz w:val="20"/>
          <w:szCs w:val="20"/>
        </w:rPr>
        <w:t>ments and Schedules hereof are filed as part of this report.</w:t>
      </w:r>
    </w:p>
    <w:p w:rsidR="00000000" w:rsidRDefault="00D04F4B">
      <w:pPr>
        <w:ind w:hanging="360"/>
        <w:divId w:val="583496895"/>
        <w:rPr>
          <w:rFonts w:eastAsia="Times New Roman"/>
        </w:rPr>
      </w:pPr>
      <w:r>
        <w:rPr>
          <w:rFonts w:eastAsia="Times New Roman"/>
          <w:color w:val="000000"/>
          <w:sz w:val="20"/>
          <w:szCs w:val="20"/>
        </w:rPr>
        <w:t>2.Financial Statement Schedules</w:t>
      </w:r>
    </w:p>
    <w:p w:rsidR="00000000" w:rsidRDefault="00D04F4B">
      <w:pPr>
        <w:divId w:val="1675457400"/>
        <w:rPr>
          <w:rFonts w:eastAsia="Times New Roman"/>
        </w:rPr>
      </w:pPr>
      <w:r>
        <w:rPr>
          <w:rFonts w:eastAsia="Times New Roman"/>
          <w:color w:val="000000"/>
          <w:sz w:val="20"/>
          <w:szCs w:val="20"/>
        </w:rPr>
        <w:t>The financial statements schedules listed in the accompanying Index to Consolidated Financial Statements and Schedules are filed as part of this report.</w:t>
      </w:r>
    </w:p>
    <w:p w:rsidR="00000000" w:rsidRDefault="00D04F4B">
      <w:pPr>
        <w:ind w:hanging="360"/>
        <w:divId w:val="1529443849"/>
        <w:rPr>
          <w:rFonts w:eastAsia="Times New Roman"/>
        </w:rPr>
      </w:pPr>
      <w:r>
        <w:rPr>
          <w:rFonts w:eastAsia="Times New Roman"/>
          <w:color w:val="000000"/>
          <w:sz w:val="20"/>
          <w:szCs w:val="20"/>
        </w:rPr>
        <w:t>3.Exhibits</w:t>
      </w:r>
    </w:p>
    <w:p w:rsidR="00000000" w:rsidRDefault="00D04F4B">
      <w:pPr>
        <w:divId w:val="1678465366"/>
        <w:rPr>
          <w:rFonts w:eastAsia="Times New Roman"/>
        </w:rPr>
      </w:pPr>
      <w:r>
        <w:rPr>
          <w:rFonts w:eastAsia="Times New Roman"/>
          <w:color w:val="000000"/>
          <w:sz w:val="20"/>
          <w:szCs w:val="20"/>
        </w:rPr>
        <w:t>See Index to Exhibits contained herein.</w:t>
      </w:r>
    </w:p>
    <w:p w:rsidR="00000000" w:rsidRDefault="00D04F4B">
      <w:pPr>
        <w:ind w:hanging="360"/>
        <w:divId w:val="1606696582"/>
        <w:rPr>
          <w:rFonts w:eastAsia="Times New Roman"/>
        </w:rPr>
      </w:pPr>
      <w:r>
        <w:rPr>
          <w:rFonts w:eastAsia="Times New Roman"/>
          <w:color w:val="000000"/>
          <w:sz w:val="20"/>
          <w:szCs w:val="20"/>
        </w:rPr>
        <w:t>b.Exhibits:</w:t>
      </w:r>
    </w:p>
    <w:p w:rsidR="00000000" w:rsidRDefault="00D04F4B">
      <w:pPr>
        <w:divId w:val="707295104"/>
        <w:rPr>
          <w:rFonts w:eastAsia="Times New Roman"/>
        </w:rPr>
      </w:pPr>
      <w:r>
        <w:rPr>
          <w:rFonts w:eastAsia="Times New Roman"/>
          <w:color w:val="000000"/>
          <w:sz w:val="20"/>
          <w:szCs w:val="20"/>
        </w:rPr>
        <w:t>See Index to Exhibits contained herein.</w:t>
      </w:r>
    </w:p>
    <w:p w:rsidR="00000000" w:rsidRDefault="00D04F4B">
      <w:pPr>
        <w:ind w:hanging="360"/>
        <w:divId w:val="305429462"/>
        <w:rPr>
          <w:rFonts w:eastAsia="Times New Roman"/>
        </w:rPr>
      </w:pPr>
      <w:r>
        <w:rPr>
          <w:rFonts w:eastAsia="Times New Roman"/>
          <w:color w:val="000000"/>
          <w:sz w:val="20"/>
          <w:szCs w:val="20"/>
        </w:rPr>
        <w:t>c.Financial Statement Schedules</w:t>
      </w:r>
    </w:p>
    <w:p w:rsidR="00000000" w:rsidRDefault="00D04F4B">
      <w:pPr>
        <w:divId w:val="1765026737"/>
        <w:rPr>
          <w:rFonts w:eastAsia="Times New Roman"/>
        </w:rPr>
      </w:pPr>
      <w:r>
        <w:rPr>
          <w:rFonts w:eastAsia="Times New Roman"/>
          <w:color w:val="000000"/>
          <w:sz w:val="20"/>
          <w:szCs w:val="20"/>
        </w:rPr>
        <w:t>Not applicable.</w:t>
      </w:r>
    </w:p>
    <w:p w:rsidR="00000000" w:rsidRDefault="00D04F4B">
      <w:pPr>
        <w:jc w:val="center"/>
        <w:divId w:val="1030108032"/>
        <w:rPr>
          <w:rFonts w:eastAsia="Times New Roman"/>
        </w:rPr>
      </w:pPr>
      <w:r>
        <w:rPr>
          <w:rFonts w:eastAsia="Times New Roman"/>
          <w:color w:val="000000"/>
          <w:sz w:val="20"/>
          <w:szCs w:val="20"/>
        </w:rPr>
        <w:t>54</w:t>
      </w:r>
    </w:p>
    <w:p w:rsidR="00000000" w:rsidRDefault="00D04F4B">
      <w:pPr>
        <w:rPr>
          <w:rFonts w:eastAsia="Times New Roman"/>
        </w:rPr>
      </w:pPr>
      <w:r>
        <w:rPr>
          <w:rFonts w:eastAsia="Times New Roman"/>
        </w:rPr>
        <w:pict>
          <v:rect id="_x0000_i1079" style="width:0;height:1.5pt" o:hralign="center" o:hrstd="t" o:hr="t" fillcolor="#a0a0a0" stroked="f"/>
        </w:pict>
      </w:r>
    </w:p>
    <w:p w:rsidR="00000000" w:rsidRDefault="00D04F4B">
      <w:pPr>
        <w:divId w:val="1161308165"/>
        <w:rPr>
          <w:rFonts w:eastAsia="Times New Roman"/>
        </w:rPr>
      </w:pPr>
    </w:p>
    <w:p w:rsidR="00000000" w:rsidRDefault="00D04F4B">
      <w:pPr>
        <w:jc w:val="center"/>
        <w:rPr>
          <w:rFonts w:eastAsia="Times New Roman"/>
        </w:rPr>
      </w:pPr>
      <w:r>
        <w:rPr>
          <w:rFonts w:eastAsia="Times New Roman"/>
          <w:color w:val="000000"/>
          <w:sz w:val="20"/>
          <w:szCs w:val="20"/>
        </w:rPr>
        <w:t>PUBLIC STORAGE</w:t>
      </w:r>
    </w:p>
    <w:p w:rsidR="00000000" w:rsidRDefault="00D04F4B">
      <w:pPr>
        <w:jc w:val="center"/>
        <w:rPr>
          <w:rFonts w:eastAsia="Times New Roman"/>
        </w:rPr>
      </w:pPr>
      <w:r>
        <w:rPr>
          <w:rFonts w:eastAsia="Times New Roman"/>
          <w:color w:val="000000"/>
          <w:sz w:val="20"/>
          <w:szCs w:val="20"/>
        </w:rPr>
        <w:t>INDEX TO EXHIBITS (1)</w:t>
      </w:r>
    </w:p>
    <w:p w:rsidR="00000000" w:rsidRDefault="00D04F4B">
      <w:pPr>
        <w:jc w:val="center"/>
        <w:rPr>
          <w:rFonts w:eastAsia="Times New Roman"/>
        </w:rPr>
      </w:pPr>
      <w:r>
        <w:rPr>
          <w:rFonts w:eastAsia="Times New Roman"/>
          <w:color w:val="000000"/>
          <w:sz w:val="20"/>
          <w:szCs w:val="20"/>
        </w:rPr>
        <w:t>(Items 15(a)(3) and 15(c))</w:t>
      </w:r>
    </w:p>
    <w:tbl>
      <w:tblPr>
        <w:tblW w:w="5000" w:type="pct"/>
        <w:tblCellMar>
          <w:top w:w="15" w:type="dxa"/>
          <w:left w:w="15" w:type="dxa"/>
          <w:bottom w:w="15" w:type="dxa"/>
          <w:right w:w="15" w:type="dxa"/>
        </w:tblCellMar>
        <w:tblLook w:val="04A0" w:firstRow="1" w:lastRow="0" w:firstColumn="1" w:lastColumn="0" w:noHBand="0" w:noVBand="1"/>
      </w:tblPr>
      <w:tblGrid>
        <w:gridCol w:w="69"/>
        <w:gridCol w:w="662"/>
        <w:gridCol w:w="36"/>
        <w:gridCol w:w="69"/>
        <w:gridCol w:w="7433"/>
        <w:gridCol w:w="37"/>
      </w:tblGrid>
      <w:tr w:rsidR="00000000">
        <w:trPr>
          <w:divId w:val="1989816814"/>
        </w:trPr>
        <w:tc>
          <w:tcPr>
            <w:tcW w:w="50" w:type="pct"/>
            <w:vAlign w:val="center"/>
            <w:hideMark/>
          </w:tcPr>
          <w:p w:rsidR="00000000" w:rsidRDefault="00D04F4B">
            <w:pPr>
              <w:jc w:val="center"/>
              <w:rPr>
                <w:rFonts w:eastAsia="Times New Roman"/>
              </w:rPr>
            </w:pPr>
          </w:p>
        </w:tc>
        <w:tc>
          <w:tcPr>
            <w:tcW w:w="40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48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5" w:history="1">
              <w:r>
                <w:rPr>
                  <w:rStyle w:val="a3"/>
                  <w:rFonts w:eastAsia="Times New Roman"/>
                  <w:sz w:val="20"/>
                  <w:szCs w:val="20"/>
                </w:rPr>
                <w:t xml:space="preserve">Restated </w:t>
              </w:r>
            </w:hyperlink>
            <w:hyperlink r:id="rId6" w:history="1">
              <w:r>
                <w:rPr>
                  <w:rStyle w:val="a3"/>
                  <w:rFonts w:eastAsia="Times New Roman"/>
                  <w:sz w:val="20"/>
                  <w:szCs w:val="20"/>
                </w:rPr>
                <w:t>Declaration of Trust of Public Storage, a Maryland real estate investment trust. Filed with the Registrant’s Quarterly Report on Form 10-Q for the quarterly period ended March 31, 2021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7" w:history="1">
              <w:r>
                <w:rPr>
                  <w:rStyle w:val="a3"/>
                  <w:rFonts w:eastAsia="Times New Roman"/>
                  <w:sz w:val="20"/>
                  <w:szCs w:val="20"/>
                </w:rPr>
                <w:t>Amended and Restated Bylaws of Public Storage. Filed with the Registrant’s Quarterly Report on Form 10-Q for the quarterly period ended March 31, 2021</w:t>
              </w:r>
              <w:r>
                <w:rPr>
                  <w:rStyle w:val="a3"/>
                  <w:rFonts w:eastAsia="Times New Roman"/>
                  <w:sz w:val="20"/>
                  <w:szCs w:val="20"/>
                </w:rPr>
                <w:t xml:space="preserve">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8" w:history="1">
              <w:r>
                <w:rPr>
                  <w:rStyle w:val="a3"/>
                  <w:rFonts w:eastAsia="Times New Roman"/>
                  <w:sz w:val="20"/>
                  <w:szCs w:val="20"/>
                </w:rPr>
                <w:t>Articles Supplementary for Public Storage 5.150% Cumulative Preferred Shares, Series F. Filed with th</w:t>
              </w:r>
              <w:r>
                <w:rPr>
                  <w:rStyle w:val="a3"/>
                  <w:rFonts w:eastAsia="Times New Roman"/>
                  <w:sz w:val="20"/>
                  <w:szCs w:val="20"/>
                </w:rPr>
                <w:t>e Registrant’s Current Report on Form 8-K dated May 23, 2017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9" w:history="1">
              <w:r>
                <w:rPr>
                  <w:rStyle w:val="a3"/>
                  <w:rFonts w:eastAsia="Times New Roman"/>
                  <w:sz w:val="20"/>
                  <w:szCs w:val="20"/>
                </w:rPr>
                <w:t>Articles Supplementary for Public Storage 5.050% Cumulative Preferred Shares, Series G. Filed with the Registrant’s Current Report on Form 8-K dated July 31</w:t>
              </w:r>
              <w:r>
                <w:rPr>
                  <w:rStyle w:val="a3"/>
                  <w:rFonts w:eastAsia="Times New Roman"/>
                  <w:sz w:val="20"/>
                  <w:szCs w:val="20"/>
                </w:rPr>
                <w:t>, 2017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10" w:history="1">
              <w:r>
                <w:rPr>
                  <w:rStyle w:val="a3"/>
                  <w:rFonts w:eastAsia="Times New Roman"/>
                  <w:sz w:val="20"/>
                  <w:szCs w:val="20"/>
                </w:rPr>
                <w:t>Articles Supplementary for Public Storage 5.600% Cumulative Preferred Shares, Series H. Filed with the Registrant’s Current Report on Form 8-K dated February 28, 2019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3.6</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11" w:history="1">
              <w:r>
                <w:rPr>
                  <w:rStyle w:val="a3"/>
                  <w:rFonts w:eastAsia="Times New Roman"/>
                  <w:sz w:val="20"/>
                  <w:szCs w:val="20"/>
                </w:rPr>
                <w:t>Articles Supplementary for Public Storage 4.875% Cumulative Preferred Shares, Series I. Filed with the Registrant’s Current Report on Form 8-K dated September 5, 2019 and incorporated by refere</w:t>
              </w:r>
              <w:r>
                <w:rPr>
                  <w:rStyle w:val="a3"/>
                  <w:rFonts w:eastAsia="Times New Roman"/>
                  <w:sz w:val="20"/>
                  <w:szCs w:val="20"/>
                </w:rPr>
                <w:t>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3.7</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12" w:history="1">
              <w:r>
                <w:rPr>
                  <w:rStyle w:val="a3"/>
                  <w:rFonts w:eastAsia="Times New Roman"/>
                  <w:sz w:val="20"/>
                  <w:szCs w:val="20"/>
                </w:rPr>
                <w:t>Articles Supplementary for Public Storage 4.700% Cumulative Preferred Shares, Series J. Filed with the Registrant’s Current Report on Form 8-K dated November 5, 2019 and incorporated by reference herein</w:t>
              </w:r>
            </w:hyperlink>
            <w:r>
              <w:rPr>
                <w:rFonts w:eastAsia="Times New Roman"/>
                <w:color w:val="000000"/>
                <w:sz w:val="20"/>
                <w:szCs w:val="20"/>
              </w:rPr>
              <w:t>.</w:t>
            </w:r>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3.8</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13" w:history="1">
              <w:r>
                <w:rPr>
                  <w:rStyle w:val="a3"/>
                  <w:rFonts w:eastAsia="Times New Roman"/>
                  <w:sz w:val="20"/>
                  <w:szCs w:val="20"/>
                </w:rPr>
                <w:t>Articles Supplementary for Public Storage 4.750% Cumulative Preferred Shares, Series K. Filed with the Registrant’s Current Report on Form 8-K dated December 11, 2019 and incorporated by refere</w:t>
              </w:r>
              <w:r>
                <w:rPr>
                  <w:rStyle w:val="a3"/>
                  <w:rFonts w:eastAsia="Times New Roman"/>
                  <w:sz w:val="20"/>
                  <w:szCs w:val="20"/>
                </w:rPr>
                <w:t>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3.9</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14" w:history="1">
              <w:r>
                <w:rPr>
                  <w:rStyle w:val="a3"/>
                  <w:rFonts w:eastAsia="Times New Roman"/>
                  <w:sz w:val="20"/>
                  <w:szCs w:val="20"/>
                </w:rPr>
                <w:t>Articles Supplementary for Public Storage 4.625% Cumulative Preferred Shares, Series L. Filed with the Registrant’s Current Report on Form 8-K dated June 8, 2020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3.10</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15" w:history="1">
              <w:r>
                <w:rPr>
                  <w:rStyle w:val="a3"/>
                  <w:rFonts w:eastAsia="Times New Roman"/>
                  <w:sz w:val="20"/>
                  <w:szCs w:val="20"/>
                </w:rPr>
                <w:t xml:space="preserve">Articles Supplementary for Public Storage 4.125 % Cumulative Preferred Shares, Series M. Filed with the Registrant’s Current Report on Form 8-K dated August 11, 2020 and incorporated by reference </w:t>
              </w:r>
              <w:r>
                <w:rPr>
                  <w:rStyle w:val="a3"/>
                  <w:rFonts w:eastAsia="Times New Roman"/>
                  <w:sz w:val="20"/>
                  <w:szCs w:val="20"/>
                </w:rPr>
                <w:t>herein</w:t>
              </w:r>
            </w:hyperlink>
            <w:r>
              <w:rPr>
                <w:rFonts w:eastAsia="Times New Roman"/>
                <w:color w:val="000000"/>
                <w:sz w:val="20"/>
                <w:szCs w:val="20"/>
              </w:rPr>
              <w:t>.</w:t>
            </w:r>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16" w:history="1">
              <w:r>
                <w:rPr>
                  <w:rStyle w:val="a3"/>
                  <w:rFonts w:eastAsia="Times New Roman"/>
                  <w:sz w:val="20"/>
                  <w:szCs w:val="20"/>
                </w:rPr>
                <w:t>Articles Supplementary for Public Storage 3.875% Cumulative Preferred Shares, Series N. Filed with the Registrant’s Current Report on Form 8-K dated September 29, 2020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17" w:history="1">
              <w:r>
                <w:rPr>
                  <w:rStyle w:val="a3"/>
                  <w:rFonts w:eastAsia="Times New Roman"/>
                  <w:sz w:val="20"/>
                  <w:szCs w:val="20"/>
                </w:rPr>
                <w:t>Articles Supplementary for Public Storage 3.900% Cumulative Preferred Shares, Series O. Filed with the Registrant’s Current Report on Form 8-K dated November</w:t>
              </w:r>
              <w:r>
                <w:rPr>
                  <w:rStyle w:val="a3"/>
                  <w:rFonts w:eastAsia="Times New Roman"/>
                  <w:sz w:val="20"/>
                  <w:szCs w:val="20"/>
                </w:rPr>
                <w:t xml:space="preserve"> 9, 2020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3.13</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18" w:history="1">
              <w:r>
                <w:rPr>
                  <w:rStyle w:val="a3"/>
                  <w:rFonts w:eastAsia="Times New Roman"/>
                  <w:sz w:val="20"/>
                  <w:szCs w:val="20"/>
                </w:rPr>
                <w:t>Articles Supplementary for Public Storage 4.000% Cumulative Preferred Shares, Series P. File</w:t>
              </w:r>
              <w:r>
                <w:rPr>
                  <w:rStyle w:val="a3"/>
                  <w:rFonts w:eastAsia="Times New Roman"/>
                  <w:sz w:val="20"/>
                  <w:szCs w:val="20"/>
                </w:rPr>
                <w:t>d with the Company’s Current Report on Form 8-K dated June 7, 2021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3.14</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19" w:history="1">
              <w:r>
                <w:rPr>
                  <w:rStyle w:val="a3"/>
                  <w:rFonts w:eastAsia="Times New Roman"/>
                  <w:sz w:val="20"/>
                  <w:szCs w:val="20"/>
                </w:rPr>
                <w:t>Articles Supplementary for Public Storage 3.950% Cumulative Preferred Shares, Series Q. Filed as Exhibit 3.1 to the Company’s Current Report on Form 8-K dat</w:t>
              </w:r>
              <w:r>
                <w:rPr>
                  <w:rStyle w:val="a3"/>
                  <w:rFonts w:eastAsia="Times New Roman"/>
                  <w:sz w:val="20"/>
                  <w:szCs w:val="20"/>
                </w:rPr>
                <w:t>ed August 10, 2021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3.15</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20" w:history="1">
              <w:r>
                <w:rPr>
                  <w:rStyle w:val="a3"/>
                  <w:rFonts w:eastAsia="Times New Roman"/>
                  <w:sz w:val="20"/>
                  <w:szCs w:val="20"/>
                </w:rPr>
                <w:t>Articles Supplementary for Public Storage 4.000% Cumulative Preferred Shares, Seri</w:t>
              </w:r>
              <w:r>
                <w:rPr>
                  <w:rStyle w:val="a3"/>
                  <w:rFonts w:eastAsia="Times New Roman"/>
                  <w:sz w:val="20"/>
                  <w:szCs w:val="20"/>
                </w:rPr>
                <w:t>es R. Filed as Exhibit 3.1 to the Company’s Current Report on Form 8-K dated November 9, 2021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3.16</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21" w:history="1">
              <w:r>
                <w:rPr>
                  <w:rStyle w:val="a3"/>
                  <w:rFonts w:eastAsia="Times New Roman"/>
                  <w:sz w:val="20"/>
                  <w:szCs w:val="20"/>
                </w:rPr>
                <w:t>Articles Supplementary for Public Storage 4.100% Cumulative Preferred Shares, Series S. Filed as Exhibit 3.1 to the Company’s Current Report on Form 8-K dated January 4, 2022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22" w:history="1">
              <w:r>
                <w:rPr>
                  <w:rStyle w:val="a3"/>
                  <w:rFonts w:eastAsia="Times New Roman"/>
                  <w:sz w:val="20"/>
                  <w:szCs w:val="20"/>
                </w:rPr>
                <w:t>Master Deposit Agreement, dated as of May 31, 2007. Filed with the Registrant’s Current Report on Form 8-K dated June 6, 2007 and incorporated by reference herein.</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4.2</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23" w:history="1">
              <w:r>
                <w:rPr>
                  <w:rStyle w:val="a3"/>
                  <w:rFonts w:eastAsia="Times New Roman"/>
                  <w:sz w:val="20"/>
                  <w:szCs w:val="20"/>
                </w:rPr>
                <w:t>Description of Registrant’s Securities Registered Pursuant to Section 12 of the Securities Exchange Act of 1934. Filed herewith.</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989816814"/>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4.3</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24" w:history="1">
              <w:r>
                <w:rPr>
                  <w:rStyle w:val="a3"/>
                  <w:rFonts w:eastAsia="Times New Roman"/>
                  <w:sz w:val="20"/>
                  <w:szCs w:val="20"/>
                </w:rPr>
                <w:t>Indenture, dated as of September 18, 2017, between Public Storage and Wells Fargo Bank, National Association, as trustee. Filed as Exhibit 4.1 to the Company</w:t>
              </w:r>
              <w:r>
                <w:rPr>
                  <w:rStyle w:val="a3"/>
                  <w:rFonts w:eastAsia="Times New Roman"/>
                  <w:sz w:val="20"/>
                  <w:szCs w:val="20"/>
                </w:rPr>
                <w:t>’s Current Report on Form 8-K dated September 18, 2017 and incorporated herein by reference.</w:t>
              </w:r>
            </w:hyperlink>
          </w:p>
        </w:tc>
      </w:tr>
      <w:tr w:rsidR="00000000">
        <w:trPr>
          <w:divId w:val="1989816814"/>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bl>
    <w:p w:rsidR="00000000" w:rsidRDefault="00D04F4B">
      <w:pPr>
        <w:jc w:val="center"/>
        <w:divId w:val="487676549"/>
        <w:rPr>
          <w:rFonts w:eastAsia="Times New Roman"/>
        </w:rPr>
      </w:pPr>
      <w:r>
        <w:rPr>
          <w:rFonts w:eastAsia="Times New Roman"/>
          <w:color w:val="000000"/>
          <w:sz w:val="20"/>
          <w:szCs w:val="20"/>
        </w:rPr>
        <w:t>55</w:t>
      </w:r>
    </w:p>
    <w:p w:rsidR="00000000" w:rsidRDefault="00D04F4B">
      <w:pPr>
        <w:rPr>
          <w:rFonts w:eastAsia="Times New Roman"/>
        </w:rPr>
      </w:pPr>
      <w:r>
        <w:rPr>
          <w:rFonts w:eastAsia="Times New Roman"/>
        </w:rPr>
        <w:pict>
          <v:rect id="_x0000_i1080" style="width:0;height:1.5pt" o:hralign="center" o:hrstd="t" o:hr="t" fillcolor="#a0a0a0" stroked="f"/>
        </w:pict>
      </w:r>
    </w:p>
    <w:p w:rsidR="00000000" w:rsidRDefault="00D04F4B">
      <w:pPr>
        <w:divId w:val="8704244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62"/>
        <w:gridCol w:w="36"/>
        <w:gridCol w:w="69"/>
        <w:gridCol w:w="7433"/>
        <w:gridCol w:w="37"/>
      </w:tblGrid>
      <w:tr w:rsidR="00000000">
        <w:trPr>
          <w:divId w:val="1229269412"/>
        </w:trPr>
        <w:tc>
          <w:tcPr>
            <w:tcW w:w="50" w:type="pct"/>
            <w:vAlign w:val="center"/>
            <w:hideMark/>
          </w:tcPr>
          <w:p w:rsidR="00000000" w:rsidRDefault="00D04F4B">
            <w:pPr>
              <w:rPr>
                <w:rFonts w:eastAsia="Times New Roman"/>
              </w:rPr>
            </w:pPr>
          </w:p>
        </w:tc>
        <w:tc>
          <w:tcPr>
            <w:tcW w:w="40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48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4.4</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25" w:history="1">
              <w:r>
                <w:rPr>
                  <w:rStyle w:val="a3"/>
                  <w:rFonts w:eastAsia="Times New Roman"/>
                  <w:sz w:val="20"/>
                  <w:szCs w:val="20"/>
                </w:rPr>
                <w:t>First Supplemental Indenture, dated as of September 18, 2017, between Public Storage and Wells Fargo Bank, National Association, as trustee, including the form of Global Note representing the 2022 Notes and the form of Global Note representing the 2027 Not</w:t>
              </w:r>
              <w:r>
                <w:rPr>
                  <w:rStyle w:val="a3"/>
                  <w:rFonts w:eastAsia="Times New Roman"/>
                  <w:sz w:val="20"/>
                  <w:szCs w:val="20"/>
                </w:rPr>
                <w:t>es. Filed as Exhibit 4.2 to the Company’s Current Report on Form 8-K dated September 18, 2017 and incorporated herein by reference.</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4.5</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26" w:history="1">
              <w:r>
                <w:rPr>
                  <w:rStyle w:val="a3"/>
                  <w:rFonts w:eastAsia="Times New Roman"/>
                  <w:sz w:val="20"/>
                  <w:szCs w:val="20"/>
                </w:rPr>
                <w:t>Second Su</w:t>
              </w:r>
              <w:r>
                <w:rPr>
                  <w:rStyle w:val="a3"/>
                  <w:rFonts w:eastAsia="Times New Roman"/>
                  <w:sz w:val="20"/>
                  <w:szCs w:val="20"/>
                </w:rPr>
                <w:t>pplemental Indenture, dated as of April 12, 2019, between Public Storage and Wells Fargo Bank, National Association, as trustee, including the form of Global Note representing the 2029 Notes. Filed as Exhibit 4.2 to the Company’s Current Report on Form 8-K</w:t>
              </w:r>
              <w:r>
                <w:rPr>
                  <w:rStyle w:val="a3"/>
                  <w:rFonts w:eastAsia="Times New Roman"/>
                  <w:sz w:val="20"/>
                  <w:szCs w:val="20"/>
                </w:rPr>
                <w:t xml:space="preserve"> dated April 12, 2019 and incorporated herein by reference.</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4.6</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27" w:history="1">
              <w:r>
                <w:rPr>
                  <w:rStyle w:val="a3"/>
                  <w:rFonts w:eastAsia="Times New Roman"/>
                  <w:sz w:val="20"/>
                  <w:szCs w:val="20"/>
                </w:rPr>
                <w:t>Third Supplemental Indenture, dated as of January 24, 2020, between Public Storage and Wells Fargo Bank, National Association, as trustee. Filed as Exhibit 4</w:t>
              </w:r>
              <w:r>
                <w:rPr>
                  <w:rStyle w:val="a3"/>
                  <w:rFonts w:eastAsia="Times New Roman"/>
                  <w:sz w:val="20"/>
                  <w:szCs w:val="20"/>
                </w:rPr>
                <w:t>.2 to the Company’s Current Report on Form 8-K dated January 24, 2020 and incorporated herein by reference.</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4.7</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28" w:history="1">
              <w:r>
                <w:rPr>
                  <w:rStyle w:val="a3"/>
                  <w:rFonts w:eastAsia="Times New Roman"/>
                  <w:sz w:val="20"/>
                  <w:szCs w:val="20"/>
                </w:rPr>
                <w:t>Fourth Supplemental Indenture, dated as of January 19, 2021, between Public Storage and Wells Fargo Bank, National Association, as trustee. Filed as Exhibit 4.2 to the Company’s Current Report on Form 8-K dated January 14, 2021 and incorporated herein by r</w:t>
              </w:r>
              <w:r>
                <w:rPr>
                  <w:rStyle w:val="a3"/>
                  <w:rFonts w:eastAsia="Times New Roman"/>
                  <w:sz w:val="20"/>
                  <w:szCs w:val="20"/>
                </w:rPr>
                <w:t>eference.</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4.8</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29" w:history="1">
              <w:r>
                <w:rPr>
                  <w:rStyle w:val="a3"/>
                  <w:rFonts w:eastAsia="Times New Roman"/>
                  <w:sz w:val="20"/>
                  <w:szCs w:val="20"/>
                </w:rPr>
                <w:t>Fifth Supplemental Indenture, dated as of April 23, 2021, between Public Storage and Wells Fargo Bank, National Association, as tr</w:t>
              </w:r>
              <w:r>
                <w:rPr>
                  <w:rStyle w:val="a3"/>
                  <w:rFonts w:eastAsia="Times New Roman"/>
                  <w:sz w:val="20"/>
                  <w:szCs w:val="20"/>
                </w:rPr>
                <w:t>ustee, including the form of Global Note representing the Floating Rate Notes. Filed as Exhibit 4.2 to the Company’s Current Report on Form 8-K dated April 23, 2021 and incorporated herein by reference.</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4.9</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30" w:history="1">
              <w:r>
                <w:rPr>
                  <w:rStyle w:val="a3"/>
                  <w:rFonts w:eastAsia="Times New Roman"/>
                  <w:sz w:val="20"/>
                  <w:szCs w:val="20"/>
                </w:rPr>
                <w:t xml:space="preserve">Sixth Supplemental Indenture, dated as of April 23, 2021, between Public Storage and Wells Fargo Bank, National Association, as trustee, including the form </w:t>
              </w:r>
              <w:r>
                <w:rPr>
                  <w:rStyle w:val="a3"/>
                  <w:rFonts w:eastAsia="Times New Roman"/>
                  <w:sz w:val="20"/>
                  <w:szCs w:val="20"/>
                </w:rPr>
                <w:t>of Global Note representing the 2028 Notes. Filed as Exhibit 4.3 to the Company’s Current Report on Form 8-K dated April 23, 2021 and incorporated herein by reference.</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4.10</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31" w:history="1">
              <w:r>
                <w:rPr>
                  <w:rStyle w:val="a3"/>
                  <w:rFonts w:eastAsia="Times New Roman"/>
                  <w:sz w:val="20"/>
                  <w:szCs w:val="20"/>
                </w:rPr>
                <w:t>Seventh Supplemental Indenture, dated as of April 23, 2021, between Public Storage and Wells Fargo Bank, National Association, as trustee, including the form of Global Note representing the 2031 Notes. Filed as Exhibit 4.4 to t</w:t>
              </w:r>
              <w:r>
                <w:rPr>
                  <w:rStyle w:val="a3"/>
                  <w:rFonts w:eastAsia="Times New Roman"/>
                  <w:sz w:val="20"/>
                  <w:szCs w:val="20"/>
                </w:rPr>
                <w:t>he Company’s Current Report on Form 8-K dated April 23, 2021 and incorporated herein by reference.</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4.11</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32" w:history="1">
              <w:r>
                <w:rPr>
                  <w:rStyle w:val="a3"/>
                  <w:rFonts w:eastAsia="Times New Roman"/>
                  <w:sz w:val="20"/>
                  <w:szCs w:val="20"/>
                </w:rPr>
                <w:t>Eighth Supplemental Indenture, dated as of September 9, 2021, between Public Storage and Wells Fargo Bank, National Association, as trustee, including the f</w:t>
              </w:r>
              <w:r>
                <w:rPr>
                  <w:rStyle w:val="a3"/>
                  <w:rFonts w:eastAsia="Times New Roman"/>
                  <w:sz w:val="20"/>
                  <w:szCs w:val="20"/>
                </w:rPr>
                <w:t>orm of Global Note representing the Notes. Filed as Exhibit 4.2 to the Company’s Current Report on Form 8-K dated September 9, 2021 and incorporated herein by reference.</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4.12</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33" w:history="1">
              <w:r>
                <w:rPr>
                  <w:rStyle w:val="a3"/>
                  <w:rFonts w:eastAsia="Times New Roman"/>
                  <w:sz w:val="20"/>
                  <w:szCs w:val="20"/>
                </w:rPr>
                <w:t xml:space="preserve">Ninth Supplemental Indenture, dated as of November 9, 2021, between Public Storage and Computershare Trust Company, N.A. (as successor to Wells Fargo Bank, National Association), as trustee, including the form of Global Note </w:t>
              </w:r>
              <w:r>
                <w:rPr>
                  <w:rStyle w:val="a3"/>
                  <w:rFonts w:eastAsia="Times New Roman"/>
                  <w:sz w:val="20"/>
                  <w:szCs w:val="20"/>
                </w:rPr>
                <w:t>representing the 2026 Notes. Filed as Exhibit 4.2 to the Company’s Current Report on Form 8-K dated November 9, 2021 and incorporated herein by reference.</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4.13</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34" w:history="1">
              <w:r>
                <w:rPr>
                  <w:rStyle w:val="a3"/>
                  <w:rFonts w:eastAsia="Times New Roman"/>
                  <w:sz w:val="20"/>
                  <w:szCs w:val="20"/>
                </w:rPr>
                <w:t xml:space="preserve">Tenth Supplemental Indenture, dated as of November 9, 2021, between Public Storage and Computershare Trust Company, N.A. (as successor to Wells Fargo Bank, </w:t>
              </w:r>
              <w:r>
                <w:rPr>
                  <w:rStyle w:val="a3"/>
                  <w:rFonts w:eastAsia="Times New Roman"/>
                  <w:sz w:val="20"/>
                  <w:szCs w:val="20"/>
                </w:rPr>
                <w:t>National Association), as trustee, including the form of Global Note representing the 2028 Notes. Filed as Exhibit 4.3 to the Company’s Current Report on Form 8-K dated November 9, 2021 and incorporated herein by reference.</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4.14</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35" w:history="1">
              <w:r>
                <w:rPr>
                  <w:rStyle w:val="a3"/>
                  <w:rFonts w:eastAsia="Times New Roman"/>
                  <w:sz w:val="20"/>
                  <w:szCs w:val="20"/>
                </w:rPr>
                <w:t>Eleventh Supplemental Indenture, dated as of November 9, 2021, between Public Storage and Computershare Trust Company, N.A. (as successor to Wells Fargo Ban</w:t>
              </w:r>
              <w:r>
                <w:rPr>
                  <w:rStyle w:val="a3"/>
                  <w:rFonts w:eastAsia="Times New Roman"/>
                  <w:sz w:val="20"/>
                  <w:szCs w:val="20"/>
                </w:rPr>
                <w:t>k, National Association), as trustee, including the form of Global Note representing the 2031 Notes. Filed as Exhibit 4.4 to the Company’s Current Report on Form 8-K dated November 9, 2021 and incorporated herein by reference</w:t>
              </w:r>
            </w:hyperlink>
            <w:hyperlink r:id="rId36" w:history="1">
              <w:r>
                <w:rPr>
                  <w:rStyle w:val="a3"/>
                  <w:rFonts w:eastAsia="Times New Roman"/>
                  <w:sz w:val="20"/>
                  <w:szCs w:val="20"/>
                </w:rPr>
                <w:t>.</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37" w:history="1">
              <w:r>
                <w:rPr>
                  <w:rStyle w:val="a3"/>
                  <w:rFonts w:eastAsia="Times New Roman"/>
                  <w:sz w:val="20"/>
                  <w:szCs w:val="20"/>
                </w:rPr>
                <w:t>Agreement of Limited Partnership of PS Business Parks, L.P. Filed with PS Business Parks, Inc.’s Quarterly Report on Form 10-Q for the quarterly period ended June 30, 1998 (SEC File No. 001-10709) and incorporated herein by reference.</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38" w:history="1">
              <w:r>
                <w:rPr>
                  <w:rStyle w:val="a3"/>
                  <w:rFonts w:eastAsia="Times New Roman"/>
                  <w:sz w:val="20"/>
                  <w:szCs w:val="20"/>
                </w:rPr>
                <w:t>Amended and Restated Agreement of Limited Partnership of Storage Trust Properties, L.P. (March 12, 1999). Filed with PSI’s Quarterly Report on Form 10</w:t>
              </w:r>
              <w:r>
                <w:rPr>
                  <w:rStyle w:val="a3"/>
                  <w:rFonts w:eastAsia="Times New Roman"/>
                  <w:sz w:val="20"/>
                  <w:szCs w:val="20"/>
                </w:rPr>
                <w:t>-Q for the quarterly period ended June 30, 1999 (SEC File No. 001-0839) and incorporated herein by reference.</w:t>
              </w:r>
            </w:hyperlink>
          </w:p>
        </w:tc>
      </w:tr>
      <w:tr w:rsidR="00000000">
        <w:trPr>
          <w:divId w:val="1229269412"/>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9269412"/>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39" w:history="1">
              <w:r>
                <w:rPr>
                  <w:rStyle w:val="a3"/>
                  <w:rFonts w:eastAsia="Times New Roman"/>
                  <w:sz w:val="20"/>
                  <w:szCs w:val="20"/>
                </w:rPr>
                <w:t>Second Amended and Restated C</w:t>
              </w:r>
              <w:r>
                <w:rPr>
                  <w:rStyle w:val="a3"/>
                  <w:rFonts w:eastAsia="Times New Roman"/>
                  <w:sz w:val="20"/>
                  <w:szCs w:val="20"/>
                </w:rPr>
                <w:t>redit Agreement, dated April 19, 2019, by and among Public Storage, the lenders party thereto, Wells Fargo Bank, National Association, as administrative agent, Wells Fargo Securities LLC and Merrill Lynch, Pierce, Fenner &amp; Smith Incorporation, as joint lea</w:t>
              </w:r>
              <w:r>
                <w:rPr>
                  <w:rStyle w:val="a3"/>
                  <w:rFonts w:eastAsia="Times New Roman"/>
                  <w:sz w:val="20"/>
                  <w:szCs w:val="20"/>
                </w:rPr>
                <w:t>d arrangers and as joint bookrunners, Bank of America, N.A., as syndication agent, and Citibank, N.A., as documentation agent. Filed as Exhibit 10.1 to the Company’s Current Report on Form 8-K dated April 19, 2019 and incorporated herein by reference.</w:t>
              </w:r>
            </w:hyperlink>
          </w:p>
        </w:tc>
      </w:tr>
    </w:tbl>
    <w:p w:rsidR="00000000" w:rsidRDefault="00D04F4B">
      <w:pPr>
        <w:jc w:val="center"/>
        <w:divId w:val="495000384"/>
        <w:rPr>
          <w:rFonts w:eastAsia="Times New Roman"/>
        </w:rPr>
      </w:pPr>
      <w:r>
        <w:rPr>
          <w:rFonts w:eastAsia="Times New Roman"/>
          <w:color w:val="000000"/>
          <w:sz w:val="20"/>
          <w:szCs w:val="20"/>
        </w:rPr>
        <w:t>56</w:t>
      </w:r>
    </w:p>
    <w:p w:rsidR="00000000" w:rsidRDefault="00D04F4B">
      <w:pPr>
        <w:rPr>
          <w:rFonts w:eastAsia="Times New Roman"/>
        </w:rPr>
      </w:pPr>
      <w:r>
        <w:rPr>
          <w:rFonts w:eastAsia="Times New Roman"/>
        </w:rPr>
        <w:pict>
          <v:rect id="_x0000_i1081" style="width:0;height:1.5pt" o:hralign="center" o:hrstd="t" o:hr="t" fillcolor="#a0a0a0" stroked="f"/>
        </w:pict>
      </w:r>
    </w:p>
    <w:p w:rsidR="00000000" w:rsidRDefault="00D04F4B">
      <w:pPr>
        <w:divId w:val="135183305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62"/>
        <w:gridCol w:w="36"/>
        <w:gridCol w:w="69"/>
        <w:gridCol w:w="7433"/>
        <w:gridCol w:w="37"/>
      </w:tblGrid>
      <w:tr w:rsidR="00000000">
        <w:trPr>
          <w:divId w:val="122045047"/>
        </w:trPr>
        <w:tc>
          <w:tcPr>
            <w:tcW w:w="50" w:type="pct"/>
            <w:vAlign w:val="center"/>
            <w:hideMark/>
          </w:tcPr>
          <w:p w:rsidR="00000000" w:rsidRDefault="00D04F4B">
            <w:pPr>
              <w:rPr>
                <w:rFonts w:eastAsia="Times New Roman"/>
              </w:rPr>
            </w:pPr>
          </w:p>
        </w:tc>
        <w:tc>
          <w:tcPr>
            <w:tcW w:w="40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48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40" w:history="1">
              <w:r>
                <w:rPr>
                  <w:rStyle w:val="a3"/>
                  <w:rFonts w:eastAsia="Times New Roman"/>
                  <w:sz w:val="20"/>
                  <w:szCs w:val="20"/>
                </w:rPr>
                <w:t xml:space="preserve">Form of 2007 Plan Restricted Stock Unit Agreement. Filed as Exhibit 10.11 to the Company’s Annual Report on Form 10-K for the year ended December </w:t>
              </w:r>
              <w:r>
                <w:rPr>
                  <w:rStyle w:val="a3"/>
                  <w:rFonts w:eastAsia="Times New Roman"/>
                  <w:sz w:val="20"/>
                  <w:szCs w:val="20"/>
                </w:rPr>
                <w:t>31, 2015 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10.5*</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41" w:history="1">
              <w:r>
                <w:rPr>
                  <w:rStyle w:val="a3"/>
                  <w:rFonts w:eastAsia="Times New Roman"/>
                  <w:sz w:val="20"/>
                  <w:szCs w:val="20"/>
                </w:rPr>
                <w:t>Form of 2007 Plan Restricted Stock Unit Agreement – deferral of receipt of shares</w:t>
              </w:r>
              <w:r>
                <w:rPr>
                  <w:rStyle w:val="a3"/>
                  <w:rFonts w:eastAsia="Times New Roman"/>
                  <w:sz w:val="20"/>
                  <w:szCs w:val="20"/>
                </w:rPr>
                <w:t>. Filed as Exhibit 10.12 to the Company’s Annual Report on Form 10-K for the year ended December 31, 2015 and incorporated herein by reference</w:t>
              </w:r>
            </w:hyperlink>
            <w:r>
              <w:rPr>
                <w:rFonts w:eastAsia="Times New Roman"/>
                <w:color w:val="000000"/>
                <w:sz w:val="20"/>
                <w:szCs w:val="20"/>
              </w:rPr>
              <w:t>.</w:t>
            </w:r>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10.6*</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42" w:history="1">
              <w:r>
                <w:rPr>
                  <w:rStyle w:val="a3"/>
                  <w:rFonts w:eastAsia="Times New Roman"/>
                  <w:sz w:val="20"/>
                  <w:szCs w:val="20"/>
                </w:rPr>
                <w:t xml:space="preserve">Form of 2007 Plan Stock Option Agreement. Filed as Exhibit 10.13 to the Company’s Annual Report on Form 10-K for the year ended December 31, 2015 </w:t>
              </w:r>
              <w:r>
                <w:rPr>
                  <w:rStyle w:val="a3"/>
                  <w:rFonts w:eastAsia="Times New Roman"/>
                  <w:sz w:val="20"/>
                  <w:szCs w:val="20"/>
                </w:rPr>
                <w:t>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10.7*</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43" w:history="1">
              <w:r>
                <w:rPr>
                  <w:rStyle w:val="a3"/>
                  <w:rFonts w:eastAsia="Times New Roman"/>
                  <w:sz w:val="20"/>
                  <w:szCs w:val="20"/>
                </w:rPr>
                <w:t>Form of 2007 Plan Trustee Stock Option Agreement. Filed as Exhibit 10.14 to the Company’s Annual Report on Form 10-K for the year ended December 31, 2015 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10.8*</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44" w:history="1">
              <w:r>
                <w:rPr>
                  <w:rStyle w:val="a3"/>
                  <w:rFonts w:eastAsia="Times New Roman"/>
                  <w:sz w:val="20"/>
                  <w:szCs w:val="20"/>
                </w:rPr>
                <w:t>Form of 2016 Plan Restricted Stock Unit Agreement – deferral of receipt of shares. Filed as Exhibit 10.16 to the Company’s Annual Report on Form 10-K</w:t>
              </w:r>
              <w:r>
                <w:rPr>
                  <w:rStyle w:val="a3"/>
                  <w:rFonts w:eastAsia="Times New Roman"/>
                  <w:sz w:val="20"/>
                  <w:szCs w:val="20"/>
                </w:rPr>
                <w:t xml:space="preserve"> for the year ended December 31, 2016 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10.9*</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45" w:history="1">
              <w:r>
                <w:rPr>
                  <w:rStyle w:val="a3"/>
                  <w:rFonts w:eastAsia="Times New Roman"/>
                  <w:sz w:val="20"/>
                  <w:szCs w:val="20"/>
                </w:rPr>
                <w:t>Form of 2016 Plan Trustee Non-Qualified Stock Option Agreement. Filed as Exhibit 10.18 to the Company’s Annual Report on Form 10-K for the year ended</w:t>
              </w:r>
              <w:r>
                <w:rPr>
                  <w:rStyle w:val="a3"/>
                  <w:rFonts w:eastAsia="Times New Roman"/>
                  <w:sz w:val="20"/>
                  <w:szCs w:val="20"/>
                </w:rPr>
                <w:t xml:space="preserve"> December 31, 2016 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46" w:history="1">
              <w:r>
                <w:rPr>
                  <w:rStyle w:val="a3"/>
                  <w:rFonts w:eastAsia="Times New Roman"/>
                  <w:sz w:val="20"/>
                  <w:szCs w:val="20"/>
                </w:rPr>
                <w:t>Form of Trustee and Officer Indemnification Agreement.</w:t>
              </w:r>
            </w:hyperlink>
            <w:r>
              <w:rPr>
                <w:rFonts w:eastAsia="Times New Roman"/>
                <w:color w:val="0000FF"/>
                <w:sz w:val="20"/>
                <w:szCs w:val="20"/>
              </w:rPr>
              <w:t xml:space="preserve"> </w:t>
            </w:r>
            <w:hyperlink r:id="rId47" w:history="1">
              <w:r>
                <w:rPr>
                  <w:rStyle w:val="a3"/>
                  <w:rFonts w:eastAsia="Times New Roman"/>
                  <w:sz w:val="20"/>
                  <w:szCs w:val="20"/>
                </w:rPr>
                <w:t>Filed as Exhibit 10.19 to the Company’s Annual Report on Form 10-K for the year ended December 31, 2016 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10.11*</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48" w:history="1">
              <w:r>
                <w:rPr>
                  <w:rStyle w:val="a3"/>
                  <w:rFonts w:eastAsia="Times New Roman"/>
                  <w:sz w:val="20"/>
                  <w:szCs w:val="20"/>
                </w:rPr>
                <w:t>Public Storage 2007 Equity and Performance-Based Incentive Compensation Plan, as Amended. Filed with Registrant’s Current Report on Form 8-K dated</w:t>
              </w:r>
              <w:r>
                <w:rPr>
                  <w:rStyle w:val="a3"/>
                  <w:rFonts w:eastAsia="Times New Roman"/>
                  <w:sz w:val="20"/>
                  <w:szCs w:val="20"/>
                </w:rPr>
                <w:t xml:space="preserve"> May 1, 2014 and incorporated herein by reference</w:t>
              </w:r>
            </w:hyperlink>
            <w:r>
              <w:rPr>
                <w:rFonts w:eastAsia="Times New Roman"/>
                <w:color w:val="000000"/>
                <w:sz w:val="20"/>
                <w:szCs w:val="20"/>
              </w:rPr>
              <w:t>.</w:t>
            </w:r>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10.12*</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49" w:history="1">
              <w:r>
                <w:rPr>
                  <w:rStyle w:val="a3"/>
                  <w:rFonts w:eastAsia="Times New Roman"/>
                  <w:sz w:val="20"/>
                  <w:szCs w:val="20"/>
                </w:rPr>
                <w:t>Public Storage 2016 Equity and Performance-Based Incentive Compensation Plan. Filed a</w:t>
              </w:r>
              <w:r>
                <w:rPr>
                  <w:rStyle w:val="a3"/>
                  <w:rFonts w:eastAsia="Times New Roman"/>
                  <w:sz w:val="20"/>
                  <w:szCs w:val="20"/>
                </w:rPr>
                <w:t>s Appendix A to the Company’s 2016 Proxy Statement dated March 16, 2016 and incorporated herein by reference</w:t>
              </w:r>
            </w:hyperlink>
            <w:r>
              <w:rPr>
                <w:rFonts w:eastAsia="Times New Roman"/>
                <w:color w:val="000000"/>
                <w:sz w:val="20"/>
                <w:szCs w:val="20"/>
              </w:rPr>
              <w:t>.</w:t>
            </w:r>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10.13*</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50" w:history="1">
              <w:r>
                <w:rPr>
                  <w:rStyle w:val="a3"/>
                  <w:rFonts w:eastAsia="Times New Roman"/>
                  <w:sz w:val="20"/>
                  <w:szCs w:val="20"/>
                </w:rPr>
                <w:t>Public Storage 2021 Equity and Performance-Based Incentive Compensation Plan. Filed as Appendix A to the Company’s 2021 Proxy Statement dated March 16, 202</w:t>
              </w:r>
              <w:r>
                <w:rPr>
                  <w:rStyle w:val="a3"/>
                  <w:rFonts w:eastAsia="Times New Roman"/>
                  <w:sz w:val="20"/>
                  <w:szCs w:val="20"/>
                </w:rPr>
                <w:t>1 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10.14</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51" w:history="1">
              <w:r>
                <w:rPr>
                  <w:rStyle w:val="a3"/>
                  <w:rFonts w:eastAsia="Times New Roman"/>
                  <w:sz w:val="20"/>
                  <w:szCs w:val="20"/>
                </w:rPr>
                <w:t>Note Purchase Agreement, dated as of November 3, 2015, by and among Public Storage and the signatories thereto. Filed with Registrant’s Current Re</w:t>
              </w:r>
              <w:r>
                <w:rPr>
                  <w:rStyle w:val="a3"/>
                  <w:rFonts w:eastAsia="Times New Roman"/>
                  <w:sz w:val="20"/>
                  <w:szCs w:val="20"/>
                </w:rPr>
                <w:t>port on Form 8-K dated November 3, 2015 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10.15</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52" w:history="1">
              <w:r>
                <w:rPr>
                  <w:rStyle w:val="a3"/>
                  <w:rFonts w:eastAsia="Times New Roman"/>
                  <w:sz w:val="20"/>
                  <w:szCs w:val="20"/>
                </w:rPr>
                <w:t>Note Purchase Agreement, dated as of April 12, 2016, b</w:t>
              </w:r>
              <w:r>
                <w:rPr>
                  <w:rStyle w:val="a3"/>
                  <w:rFonts w:eastAsia="Times New Roman"/>
                  <w:sz w:val="20"/>
                  <w:szCs w:val="20"/>
                </w:rPr>
                <w:t>y and among Public Storage and the signatories thereto. Filed with Registrant’s Current Report on Form 8-K dated April 12, 2016 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10.16</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53" w:history="1">
              <w:r>
                <w:rPr>
                  <w:rStyle w:val="a3"/>
                  <w:rFonts w:eastAsia="Times New Roman"/>
                  <w:sz w:val="20"/>
                  <w:szCs w:val="20"/>
                </w:rPr>
                <w:t xml:space="preserve">Amendment to Amended Agreement of Limited Partnership of PS Business Parks, L.P. to Authorize Special Allocations, dated as of January 1, 2017. Filed </w:t>
              </w:r>
              <w:r>
                <w:rPr>
                  <w:rStyle w:val="a3"/>
                  <w:rFonts w:eastAsia="Times New Roman"/>
                  <w:sz w:val="20"/>
                  <w:szCs w:val="20"/>
                </w:rPr>
                <w:t>as Exhibit 10.1 to the Company’s Quarterly Report on Form 10-Q for the quarterly period ended March 31, 2018 (SEC File No. 001-33519) 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10.17*</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54" w:history="1">
              <w:r>
                <w:rPr>
                  <w:rStyle w:val="a3"/>
                  <w:rFonts w:eastAsia="Times New Roman"/>
                  <w:sz w:val="20"/>
                  <w:szCs w:val="20"/>
                </w:rPr>
                <w:t>Form of 2016 Plan Restricted Stock Unit Agreement – deferral of receipt of shares (2018). Filed as Exhibit 10.26 to the Company’s Annual Report on Form 10-K for the year ended December 31, 2018 and incorporated her</w:t>
              </w:r>
              <w:r>
                <w:rPr>
                  <w:rStyle w:val="a3"/>
                  <w:rFonts w:eastAsia="Times New Roman"/>
                  <w:sz w:val="20"/>
                  <w:szCs w:val="20"/>
                </w:rPr>
                <w:t>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10.18*</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55" w:history="1">
              <w:r>
                <w:rPr>
                  <w:rStyle w:val="a3"/>
                  <w:rFonts w:eastAsia="Times New Roman"/>
                  <w:sz w:val="20"/>
                  <w:szCs w:val="20"/>
                </w:rPr>
                <w:t>Form of 2016 Plan Trustee Deferred Stock Unit Agreement (2018). Filed as Exhibit 10.29 to the Company’s Annual Report on Form 10-K for the year ended December 31, 2018 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10.19*</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56" w:history="1">
              <w:r>
                <w:rPr>
                  <w:rStyle w:val="a3"/>
                  <w:rFonts w:eastAsia="Times New Roman"/>
                  <w:sz w:val="20"/>
                  <w:szCs w:val="20"/>
                </w:rPr>
                <w:t>Form of 2016 Plan Executive Restricted Stock Unit Agreement (2018). Filed as Exhibit 10.30 to the Company’s Annual Report on Form 10-K for the year ended December 31, 2018 and inco</w:t>
              </w:r>
              <w:r>
                <w:rPr>
                  <w:rStyle w:val="a3"/>
                  <w:rFonts w:eastAsia="Times New Roman"/>
                  <w:sz w:val="20"/>
                  <w:szCs w:val="20"/>
                </w:rPr>
                <w:t>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10.20*</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57" w:history="1">
              <w:r>
                <w:rPr>
                  <w:rStyle w:val="a3"/>
                  <w:rFonts w:eastAsia="Times New Roman"/>
                  <w:sz w:val="20"/>
                  <w:szCs w:val="20"/>
                </w:rPr>
                <w:t>Form of 2016 Employee Stock Unit Agreement (2020). Filed as Exhibit 10.2 to the Company’s Quarterly Report on Form 10-Q for the quarter ended March 31, 2020 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2204504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10.21*</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58" w:history="1">
              <w:r>
                <w:rPr>
                  <w:rStyle w:val="a3"/>
                  <w:rFonts w:eastAsia="Times New Roman"/>
                  <w:sz w:val="20"/>
                  <w:szCs w:val="20"/>
                </w:rPr>
                <w:t>Form of 2016 Plan Employee Non-Qualified Stock Option Agreement (2020). Filed as Exhibit 10.4 to the Company’s Quarterly Report on Form 10-Q for the quarter ended March 31, 2020 and incorporated herein by reference.</w:t>
              </w:r>
            </w:hyperlink>
          </w:p>
        </w:tc>
      </w:tr>
      <w:tr w:rsidR="00000000">
        <w:trPr>
          <w:divId w:val="122045047"/>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bl>
    <w:p w:rsidR="00000000" w:rsidRDefault="00D04F4B">
      <w:pPr>
        <w:jc w:val="center"/>
        <w:divId w:val="1535651633"/>
        <w:rPr>
          <w:rFonts w:eastAsia="Times New Roman"/>
        </w:rPr>
      </w:pPr>
      <w:r>
        <w:rPr>
          <w:rFonts w:eastAsia="Times New Roman"/>
          <w:color w:val="000000"/>
          <w:sz w:val="20"/>
          <w:szCs w:val="20"/>
        </w:rPr>
        <w:t>57</w:t>
      </w:r>
    </w:p>
    <w:p w:rsidR="00000000" w:rsidRDefault="00D04F4B">
      <w:pPr>
        <w:rPr>
          <w:rFonts w:eastAsia="Times New Roman"/>
        </w:rPr>
      </w:pPr>
      <w:r>
        <w:rPr>
          <w:rFonts w:eastAsia="Times New Roman"/>
        </w:rPr>
        <w:pict>
          <v:rect id="_x0000_i1082" style="width:0;height:1.5pt" o:hralign="center" o:hrstd="t" o:hr="t" fillcolor="#a0a0a0" stroked="f"/>
        </w:pict>
      </w:r>
    </w:p>
    <w:p w:rsidR="00000000" w:rsidRDefault="00D04F4B">
      <w:pPr>
        <w:divId w:val="74357597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0"/>
        <w:gridCol w:w="732"/>
        <w:gridCol w:w="36"/>
        <w:gridCol w:w="37"/>
        <w:gridCol w:w="7375"/>
        <w:gridCol w:w="36"/>
      </w:tblGrid>
      <w:tr w:rsidR="00000000">
        <w:trPr>
          <w:divId w:val="1416243101"/>
        </w:trPr>
        <w:tc>
          <w:tcPr>
            <w:tcW w:w="50" w:type="pct"/>
            <w:vAlign w:val="center"/>
            <w:hideMark/>
          </w:tcPr>
          <w:p w:rsidR="00000000" w:rsidRDefault="00D04F4B">
            <w:pPr>
              <w:rPr>
                <w:rFonts w:eastAsia="Times New Roman"/>
              </w:rPr>
            </w:pPr>
          </w:p>
        </w:tc>
        <w:tc>
          <w:tcPr>
            <w:tcW w:w="40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48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10.22*</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59" w:history="1">
              <w:r>
                <w:rPr>
                  <w:rStyle w:val="a3"/>
                  <w:rFonts w:eastAsia="Times New Roman"/>
                  <w:sz w:val="20"/>
                  <w:szCs w:val="20"/>
                </w:rPr>
                <w:t>Form of 2016 Plan Performance-Based Non-Qualified Stock Option Agreement (2020). Filed as Exhibit 10.5 to the Company’s Quarterly Report on Form 10-Q</w:t>
              </w:r>
              <w:r>
                <w:rPr>
                  <w:rStyle w:val="a3"/>
                  <w:rFonts w:eastAsia="Times New Roman"/>
                  <w:sz w:val="20"/>
                  <w:szCs w:val="20"/>
                </w:rPr>
                <w:t xml:space="preserve"> for the quarter ended March 31, 2020 and incorporated herein by reference.</w:t>
              </w:r>
            </w:hyperlink>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10.23*</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60" w:history="1">
              <w:r>
                <w:rPr>
                  <w:rStyle w:val="a3"/>
                  <w:rFonts w:eastAsia="Times New Roman"/>
                  <w:sz w:val="20"/>
                  <w:szCs w:val="20"/>
                </w:rPr>
                <w:t>Form of 2021 Plan Employee Stock Unit Agreement. Filed</w:t>
              </w:r>
              <w:r>
                <w:rPr>
                  <w:rStyle w:val="a3"/>
                  <w:rFonts w:eastAsia="Times New Roman"/>
                  <w:sz w:val="20"/>
                  <w:szCs w:val="20"/>
                </w:rPr>
                <w:t xml:space="preserve"> as Exhibit 10.1 to the Company’s Quarterly Report on Form 10-Q for the quarter ended June 30, 2021 and incorporated herein by reference.</w:t>
              </w:r>
            </w:hyperlink>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10.24*</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61" w:history="1">
              <w:r>
                <w:rPr>
                  <w:rStyle w:val="a3"/>
                  <w:rFonts w:eastAsia="Times New Roman"/>
                  <w:sz w:val="20"/>
                  <w:szCs w:val="20"/>
                </w:rPr>
                <w:t>Form of 2021 Plan Employee Non-Qualified Stock Option Agreement. Filed as Exhibit 10.2 to the Company’s Quarterly Report on Form 10-Q for the quarter</w:t>
              </w:r>
              <w:r>
                <w:rPr>
                  <w:rStyle w:val="a3"/>
                  <w:rFonts w:eastAsia="Times New Roman"/>
                  <w:sz w:val="20"/>
                  <w:szCs w:val="20"/>
                </w:rPr>
                <w:t xml:space="preserve"> ended June 30, 2021 and incorporated herein by reference.</w:t>
              </w:r>
            </w:hyperlink>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10.25*</w:t>
            </w:r>
          </w:p>
        </w:tc>
        <w:tc>
          <w:tcPr>
            <w:tcW w:w="0" w:type="auto"/>
            <w:gridSpan w:val="3"/>
            <w:tcMar>
              <w:top w:w="30" w:type="dxa"/>
              <w:left w:w="20" w:type="dxa"/>
              <w:bottom w:w="30" w:type="dxa"/>
              <w:right w:w="20" w:type="dxa"/>
            </w:tcMar>
            <w:vAlign w:val="bottom"/>
            <w:hideMark/>
          </w:tcPr>
          <w:p w:rsidR="00000000" w:rsidRDefault="00D04F4B">
            <w:pPr>
              <w:spacing w:after="100"/>
              <w:jc w:val="both"/>
              <w:rPr>
                <w:rFonts w:eastAsia="Times New Roman"/>
              </w:rPr>
            </w:pPr>
            <w:hyperlink r:id="rId62" w:history="1">
              <w:r>
                <w:rPr>
                  <w:rStyle w:val="a3"/>
                  <w:rFonts w:eastAsia="Times New Roman"/>
                  <w:sz w:val="20"/>
                  <w:szCs w:val="20"/>
                </w:rPr>
                <w:t>Form of 2021 Plan Performance-Based Non-Qualified Stock Option Agreement. Filed as Exhibit 10.3 to the Company’s Quarterly Report on Form 10-Q for th</w:t>
              </w:r>
              <w:r>
                <w:rPr>
                  <w:rStyle w:val="a3"/>
                  <w:rFonts w:eastAsia="Times New Roman"/>
                  <w:sz w:val="20"/>
                  <w:szCs w:val="20"/>
                </w:rPr>
                <w:t>e quarter ended June 30, 2021 and incorporated herein by reference.</w:t>
              </w:r>
            </w:hyperlink>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63" w:history="1">
              <w:r>
                <w:rPr>
                  <w:rStyle w:val="a3"/>
                  <w:rFonts w:eastAsia="Times New Roman"/>
                  <w:sz w:val="20"/>
                  <w:szCs w:val="20"/>
                </w:rPr>
                <w:t>Listing of Subsidiaries. Filed herewith.</w:t>
              </w:r>
            </w:hyperlink>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23.1</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64" w:history="1">
              <w:r>
                <w:rPr>
                  <w:rStyle w:val="a3"/>
                  <w:rFonts w:eastAsia="Times New Roman"/>
                  <w:sz w:val="20"/>
                  <w:szCs w:val="20"/>
                </w:rPr>
                <w:t xml:space="preserve">Consent of Ernst &amp; </w:t>
              </w:r>
              <w:r>
                <w:rPr>
                  <w:rStyle w:val="a3"/>
                  <w:rFonts w:eastAsia="Times New Roman"/>
                  <w:sz w:val="20"/>
                  <w:szCs w:val="20"/>
                </w:rPr>
                <w:t>Young LLP. Filed herewith.</w:t>
              </w:r>
            </w:hyperlink>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65" w:history="1">
              <w:r>
                <w:rPr>
                  <w:rStyle w:val="a3"/>
                  <w:rFonts w:eastAsia="Times New Roman"/>
                  <w:sz w:val="20"/>
                  <w:szCs w:val="20"/>
                </w:rPr>
                <w:t>Rule 13a – 14(a) Certification. Filed herewith.</w:t>
              </w:r>
            </w:hyperlink>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66" w:history="1">
              <w:r>
                <w:rPr>
                  <w:rStyle w:val="a3"/>
                  <w:rFonts w:eastAsia="Times New Roman"/>
                  <w:sz w:val="20"/>
                  <w:szCs w:val="20"/>
                </w:rPr>
                <w:t xml:space="preserve">Rule 13a – </w:t>
              </w:r>
              <w:r>
                <w:rPr>
                  <w:rStyle w:val="a3"/>
                  <w:rFonts w:eastAsia="Times New Roman"/>
                  <w:sz w:val="20"/>
                  <w:szCs w:val="20"/>
                </w:rPr>
                <w:t>14(a) Certification. Filed herewith.</w:t>
              </w:r>
            </w:hyperlink>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r:id="rId67" w:history="1">
              <w:r>
                <w:rPr>
                  <w:rStyle w:val="a3"/>
                  <w:rFonts w:eastAsia="Times New Roman"/>
                  <w:sz w:val="20"/>
                  <w:szCs w:val="20"/>
                </w:rPr>
                <w:t>Section 1350 Certifications. Filed herewith.</w:t>
              </w:r>
            </w:hyperlink>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 .INS</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Inline XBRL Instance Document (the instance document does not appear in the Interactive Data File because its XBRL tags are embedded within the Inline XBRL document)</w:t>
            </w:r>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 .SCH</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Inline XBRL Taxonomy Extension Schema. Filed herewith.</w:t>
            </w:r>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 .CAL</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Inline XBRL Taxonomy Extension Calculation Linkbase. Filed herewith.</w:t>
            </w:r>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 .DEF</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Inline XBRL Taxonomy Extension Definition Linkbase. Filed herewith.</w:t>
            </w:r>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 .LAB</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Inline XBRL Taxonomy Extension Label Linkbase. Filed herewith.</w:t>
            </w:r>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101 .PRE</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Inline XBRL Taxonomy Extension Presentation Link. Filed herewith.</w:t>
            </w:r>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Cover Page Interactive Data File (formatted as inline XBRL and contained in Exhibit 101)</w:t>
            </w:r>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_ (1)</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SEC File No. 001-33519 unless otherwise indicated.</w:t>
            </w:r>
          </w:p>
        </w:tc>
      </w:tr>
      <w:tr w:rsidR="00000000">
        <w:trPr>
          <w:divId w:val="1416243101"/>
          <w:trHeight w:val="120"/>
        </w:trPr>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416243101"/>
        </w:trPr>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Denotes management compensatory plan agreement or arrangement.</w:t>
            </w:r>
          </w:p>
        </w:tc>
      </w:tr>
    </w:tbl>
    <w:p w:rsidR="00000000" w:rsidRDefault="00D04F4B">
      <w:pPr>
        <w:divId w:val="859589421"/>
        <w:rPr>
          <w:rFonts w:eastAsia="Times New Roman"/>
        </w:rPr>
      </w:pPr>
    </w:p>
    <w:p w:rsidR="00000000" w:rsidRDefault="00D04F4B">
      <w:pPr>
        <w:jc w:val="center"/>
        <w:divId w:val="361367299"/>
        <w:rPr>
          <w:rFonts w:eastAsia="Times New Roman"/>
        </w:rPr>
      </w:pPr>
      <w:r>
        <w:rPr>
          <w:rFonts w:eastAsia="Times New Roman"/>
          <w:color w:val="000000"/>
          <w:sz w:val="20"/>
          <w:szCs w:val="20"/>
        </w:rPr>
        <w:t>58</w:t>
      </w:r>
    </w:p>
    <w:p w:rsidR="00000000" w:rsidRDefault="00D04F4B">
      <w:pPr>
        <w:rPr>
          <w:rFonts w:eastAsia="Times New Roman"/>
        </w:rPr>
      </w:pPr>
      <w:r>
        <w:rPr>
          <w:rFonts w:eastAsia="Times New Roman"/>
        </w:rPr>
        <w:pict>
          <v:rect id="_x0000_i1083" style="width:0;height:1.5pt" o:hralign="center" o:hrstd="t" o:hr="t" fillcolor="#a0a0a0" stroked="f"/>
        </w:pict>
      </w:r>
    </w:p>
    <w:p w:rsidR="00000000" w:rsidRDefault="00D04F4B">
      <w:pPr>
        <w:divId w:val="2112776599"/>
        <w:rPr>
          <w:rFonts w:eastAsia="Times New Roman"/>
        </w:rPr>
      </w:pPr>
    </w:p>
    <w:p w:rsidR="00000000" w:rsidRDefault="00D04F4B">
      <w:pPr>
        <w:jc w:val="center"/>
        <w:divId w:val="2026706333"/>
        <w:rPr>
          <w:rFonts w:eastAsia="Times New Roman"/>
        </w:rPr>
      </w:pPr>
      <w:r>
        <w:rPr>
          <w:rFonts w:eastAsia="Times New Roman"/>
          <w:color w:val="000000"/>
          <w:sz w:val="20"/>
          <w:szCs w:val="20"/>
          <w:u w:val="single"/>
        </w:rPr>
        <w:t>SIGNATURES</w:t>
      </w:r>
    </w:p>
    <w:p w:rsidR="00000000" w:rsidRDefault="00D04F4B">
      <w:pPr>
        <w:ind w:firstLine="720"/>
        <w:jc w:val="both"/>
        <w:divId w:val="797139858"/>
        <w:rPr>
          <w:rFonts w:eastAsia="Times New Roman"/>
        </w:rPr>
      </w:pPr>
      <w:r>
        <w:rPr>
          <w:rFonts w:eastAsia="Times New Roman"/>
          <w:color w:val="000000"/>
          <w:sz w:val="20"/>
          <w:szCs w:val="20"/>
        </w:rPr>
        <w:t>Pursuant to the requirements of Section 13 or 15(d) of the Securities Exchange Act of 1934, as amended, the Registrant has duly caused this report to be signed on its behalf by the undersigned, thereunto dul</w:t>
      </w:r>
      <w:r>
        <w:rPr>
          <w:rFonts w:eastAsia="Times New Roman"/>
          <w:color w:val="000000"/>
          <w:sz w:val="20"/>
          <w:szCs w:val="20"/>
        </w:rPr>
        <w:t>y authorized.</w:t>
      </w:r>
    </w:p>
    <w:tbl>
      <w:tblPr>
        <w:tblW w:w="5000" w:type="pct"/>
        <w:tblCellMar>
          <w:top w:w="15" w:type="dxa"/>
          <w:left w:w="15" w:type="dxa"/>
          <w:bottom w:w="15" w:type="dxa"/>
          <w:right w:w="15" w:type="dxa"/>
        </w:tblCellMar>
        <w:tblLook w:val="04A0" w:firstRow="1" w:lastRow="0" w:firstColumn="1" w:lastColumn="0" w:noHBand="0" w:noVBand="1"/>
      </w:tblPr>
      <w:tblGrid>
        <w:gridCol w:w="69"/>
        <w:gridCol w:w="4699"/>
        <w:gridCol w:w="36"/>
        <w:gridCol w:w="78"/>
        <w:gridCol w:w="244"/>
        <w:gridCol w:w="36"/>
        <w:gridCol w:w="63"/>
        <w:gridCol w:w="3045"/>
        <w:gridCol w:w="36"/>
      </w:tblGrid>
      <w:tr w:rsidR="00000000">
        <w:trPr>
          <w:divId w:val="1061440925"/>
        </w:trPr>
        <w:tc>
          <w:tcPr>
            <w:tcW w:w="50" w:type="pct"/>
            <w:vAlign w:val="center"/>
            <w:hideMark/>
          </w:tcPr>
          <w:p w:rsidR="00000000" w:rsidRDefault="00D04F4B">
            <w:pPr>
              <w:ind w:firstLine="720"/>
              <w:jc w:val="both"/>
              <w:rPr>
                <w:rFonts w:eastAsia="Times New Roman"/>
              </w:rPr>
            </w:pPr>
          </w:p>
        </w:tc>
        <w:tc>
          <w:tcPr>
            <w:tcW w:w="283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5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84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061440925"/>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color w:val="000000"/>
                <w:sz w:val="20"/>
                <w:szCs w:val="20"/>
              </w:rPr>
              <w:t>PUBLIC STORAGE</w:t>
            </w:r>
          </w:p>
        </w:tc>
      </w:tr>
      <w:tr w:rsidR="00000000">
        <w:trPr>
          <w:divId w:val="1061440925"/>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061440925"/>
        </w:trPr>
        <w:tc>
          <w:tcPr>
            <w:tcW w:w="0" w:type="auto"/>
            <w:gridSpan w:val="3"/>
            <w:tcMar>
              <w:top w:w="30" w:type="dxa"/>
              <w:left w:w="20" w:type="dxa"/>
              <w:bottom w:w="30" w:type="dxa"/>
              <w:right w:w="20" w:type="dxa"/>
            </w:tcMar>
            <w:hideMark/>
          </w:tcPr>
          <w:p w:rsidR="00000000" w:rsidRDefault="00D04F4B">
            <w:pPr>
              <w:spacing w:after="100"/>
              <w:divId w:val="2045862748"/>
              <w:rPr>
                <w:rFonts w:eastAsia="Times New Roman"/>
              </w:rPr>
            </w:pPr>
            <w:r>
              <w:rPr>
                <w:rFonts w:eastAsia="Times New Roman"/>
                <w:color w:val="000000"/>
                <w:sz w:val="20"/>
                <w:szCs w:val="20"/>
              </w:rPr>
              <w:t>Date: February 22, 2022</w:t>
            </w: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 Joseph D. Russell, Jr.</w:t>
            </w:r>
          </w:p>
        </w:tc>
      </w:tr>
      <w:tr w:rsidR="00000000">
        <w:trPr>
          <w:divId w:val="1061440925"/>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Joseph D. Russell, Jr.,</w:t>
            </w:r>
            <w:r>
              <w:rPr>
                <w:rFonts w:eastAsia="Times New Roman"/>
                <w:color w:val="000000"/>
                <w:sz w:val="20"/>
                <w:szCs w:val="20"/>
              </w:rPr>
              <w:br/>
              <w:t>Chief Executive Officer, President and Trustee</w:t>
            </w:r>
          </w:p>
        </w:tc>
      </w:tr>
    </w:tbl>
    <w:p w:rsidR="00000000" w:rsidRDefault="00D04F4B">
      <w:pPr>
        <w:ind w:firstLine="720"/>
        <w:jc w:val="both"/>
        <w:divId w:val="415784464"/>
        <w:rPr>
          <w:rFonts w:eastAsia="Times New Roman"/>
        </w:rPr>
      </w:pPr>
      <w:r>
        <w:rPr>
          <w:rFonts w:eastAsia="Times New Roman"/>
          <w:color w:val="000000"/>
          <w:sz w:val="20"/>
          <w:szCs w:val="20"/>
        </w:rPr>
        <w:t>Pursuant to the requirements of Section 13 or 15(d) of the Securities Exchange Act of 1934, this report has been signed below by the following persons on behalf of the Registrant and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69"/>
        <w:gridCol w:w="2654"/>
        <w:gridCol w:w="37"/>
        <w:gridCol w:w="69"/>
        <w:gridCol w:w="2667"/>
        <w:gridCol w:w="36"/>
        <w:gridCol w:w="70"/>
        <w:gridCol w:w="2668"/>
        <w:gridCol w:w="36"/>
      </w:tblGrid>
      <w:tr w:rsidR="00000000">
        <w:trPr>
          <w:divId w:val="169832088"/>
        </w:trPr>
        <w:tc>
          <w:tcPr>
            <w:tcW w:w="50" w:type="pct"/>
            <w:vAlign w:val="center"/>
            <w:hideMark/>
          </w:tcPr>
          <w:p w:rsidR="00000000" w:rsidRDefault="00D04F4B">
            <w:pPr>
              <w:ind w:firstLine="720"/>
              <w:jc w:val="both"/>
              <w:rPr>
                <w:rFonts w:eastAsia="Times New Roman"/>
              </w:rPr>
            </w:pPr>
          </w:p>
        </w:tc>
        <w:tc>
          <w:tcPr>
            <w:tcW w:w="160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61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61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69832088"/>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Signature</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Title</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Date</w:t>
            </w:r>
          </w:p>
        </w:tc>
      </w:tr>
      <w:tr w:rsidR="00000000">
        <w:trPr>
          <w:divId w:val="169832088"/>
          <w:trHeight w:val="3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Joseph D. Russell, Jr.</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Chief Executive Officer, President and Trustee (principal executive officer)</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16983208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Joseph D. Russell, Jr.</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H. Thomas Boyle</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Chief Financial Officer (principal financial officer)</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16983208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H. Thomas Boyle</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Ronald L. Havner, Jr.</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Chairman of the Board</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16983208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Ronald L. Havner, Jr.</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Tamara Hughes Gustavson</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16983208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Tamara Hughes Gustavson</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Leslie Stone Heisz</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16983208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Leslie Stone Heisz</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Michelle Millstone-Shroff</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16983208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Michelle Millstone-Shroff</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Shankh S. Mitra</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16983208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Shankh S. Mitra</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David J. Neithercut</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16983208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David J. Neithercut</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Rebecca Owen</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16983208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Rebecca Owen</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Kristy M. Pipes</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16983208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Kristy M. Pipes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9832088"/>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Avedick B. Poladian</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16983208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Avedick B. Poladian</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bl>
    <w:p w:rsidR="00000000" w:rsidRDefault="00D04F4B">
      <w:pPr>
        <w:jc w:val="center"/>
        <w:divId w:val="1952778936"/>
        <w:rPr>
          <w:rFonts w:eastAsia="Times New Roman"/>
        </w:rPr>
      </w:pPr>
      <w:r>
        <w:rPr>
          <w:rFonts w:eastAsia="Times New Roman"/>
          <w:color w:val="000000"/>
          <w:sz w:val="20"/>
          <w:szCs w:val="20"/>
        </w:rPr>
        <w:t>59</w:t>
      </w:r>
    </w:p>
    <w:p w:rsidR="00000000" w:rsidRDefault="00D04F4B">
      <w:pPr>
        <w:rPr>
          <w:rFonts w:eastAsia="Times New Roman"/>
        </w:rPr>
      </w:pPr>
      <w:r>
        <w:rPr>
          <w:rFonts w:eastAsia="Times New Roman"/>
        </w:rPr>
        <w:pict>
          <v:rect id="_x0000_i1084" style="width:0;height:1.5pt" o:hralign="center" o:hrstd="t" o:hr="t" fillcolor="#a0a0a0" stroked="f"/>
        </w:pict>
      </w:r>
    </w:p>
    <w:p w:rsidR="00000000" w:rsidRDefault="00D04F4B">
      <w:pPr>
        <w:divId w:val="137234299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654"/>
        <w:gridCol w:w="36"/>
        <w:gridCol w:w="69"/>
        <w:gridCol w:w="2668"/>
        <w:gridCol w:w="36"/>
        <w:gridCol w:w="70"/>
        <w:gridCol w:w="2668"/>
        <w:gridCol w:w="36"/>
      </w:tblGrid>
      <w:tr w:rsidR="00000000">
        <w:trPr>
          <w:divId w:val="896162127"/>
        </w:trPr>
        <w:tc>
          <w:tcPr>
            <w:tcW w:w="50" w:type="pct"/>
            <w:vAlign w:val="center"/>
            <w:hideMark/>
          </w:tcPr>
          <w:p w:rsidR="00000000" w:rsidRDefault="00D04F4B">
            <w:pPr>
              <w:rPr>
                <w:rFonts w:eastAsia="Times New Roman"/>
              </w:rPr>
            </w:pPr>
          </w:p>
        </w:tc>
        <w:tc>
          <w:tcPr>
            <w:tcW w:w="160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61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61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896162127"/>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Signature</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Title</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Date</w:t>
            </w:r>
          </w:p>
        </w:tc>
      </w:tr>
      <w:tr w:rsidR="00000000">
        <w:trPr>
          <w:divId w:val="896162127"/>
          <w:trHeight w:val="30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896162127"/>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John Reyes</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896162127"/>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John Reyes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896162127"/>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896162127"/>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Tariq M. Shaukat</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896162127"/>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Tariq M. Shaukat</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896162127"/>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896162127"/>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Ronald P. Spogli</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896162127"/>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Ronald P. Spogli</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896162127"/>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896162127"/>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/s/ Paul S. Williams</w:t>
            </w:r>
          </w:p>
        </w:tc>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Trustee</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February 22, 2022</w:t>
            </w:r>
          </w:p>
        </w:tc>
      </w:tr>
      <w:tr w:rsidR="00000000">
        <w:trPr>
          <w:divId w:val="896162127"/>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Paul S. Williams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bl>
    <w:p w:rsidR="00000000" w:rsidRDefault="00D04F4B">
      <w:pPr>
        <w:jc w:val="center"/>
        <w:divId w:val="1583371811"/>
        <w:rPr>
          <w:rFonts w:eastAsia="Times New Roman"/>
        </w:rPr>
      </w:pPr>
      <w:r>
        <w:rPr>
          <w:rFonts w:eastAsia="Times New Roman"/>
          <w:color w:val="000000"/>
          <w:sz w:val="20"/>
          <w:szCs w:val="20"/>
        </w:rPr>
        <w:t>60</w:t>
      </w:r>
    </w:p>
    <w:p w:rsidR="00000000" w:rsidRDefault="00D04F4B">
      <w:pPr>
        <w:rPr>
          <w:rFonts w:eastAsia="Times New Roman"/>
        </w:rPr>
      </w:pPr>
      <w:r>
        <w:rPr>
          <w:rFonts w:eastAsia="Times New Roman"/>
        </w:rPr>
        <w:pict>
          <v:rect id="_x0000_i1085" style="width:0;height:1.5pt" o:hralign="center" o:hrstd="t" o:hr="t" fillcolor="#a0a0a0" stroked="f"/>
        </w:pict>
      </w:r>
    </w:p>
    <w:p w:rsidR="00000000" w:rsidRDefault="00D04F4B">
      <w:pPr>
        <w:divId w:val="1929541173"/>
        <w:rPr>
          <w:rFonts w:eastAsia="Times New Roman"/>
        </w:rPr>
      </w:pPr>
    </w:p>
    <w:p w:rsidR="00000000" w:rsidRDefault="00D04F4B">
      <w:pPr>
        <w:jc w:val="center"/>
        <w:divId w:val="567227325"/>
        <w:rPr>
          <w:rFonts w:eastAsia="Times New Roman"/>
        </w:rPr>
      </w:pPr>
      <w:r>
        <w:rPr>
          <w:rFonts w:eastAsia="Times New Roman"/>
          <w:color w:val="000000"/>
          <w:sz w:val="20"/>
          <w:szCs w:val="20"/>
        </w:rPr>
        <w:t>PUBLIC STORAGE</w:t>
      </w:r>
    </w:p>
    <w:p w:rsidR="00000000" w:rsidRDefault="00D04F4B">
      <w:pPr>
        <w:jc w:val="center"/>
        <w:rPr>
          <w:rFonts w:eastAsia="Times New Roman"/>
        </w:rPr>
      </w:pPr>
      <w:r>
        <w:rPr>
          <w:rFonts w:eastAsia="Times New Roman"/>
          <w:color w:val="000000"/>
          <w:sz w:val="20"/>
          <w:szCs w:val="20"/>
        </w:rPr>
        <w:t>INDEX TO CONSOLIDATED FINANCIAL STATEMENTS</w:t>
      </w:r>
    </w:p>
    <w:p w:rsidR="00000000" w:rsidRDefault="00D04F4B">
      <w:pPr>
        <w:jc w:val="center"/>
        <w:rPr>
          <w:rFonts w:eastAsia="Times New Roman"/>
        </w:rPr>
      </w:pPr>
      <w:r>
        <w:rPr>
          <w:rFonts w:eastAsia="Times New Roman"/>
          <w:color w:val="000000"/>
          <w:sz w:val="20"/>
          <w:szCs w:val="20"/>
        </w:rPr>
        <w:t>AND SCHEDULES</w:t>
      </w:r>
    </w:p>
    <w:p w:rsidR="00000000" w:rsidRDefault="00D04F4B">
      <w:pPr>
        <w:jc w:val="center"/>
        <w:divId w:val="2039116187"/>
        <w:rPr>
          <w:rFonts w:eastAsia="Times New Roman"/>
        </w:rPr>
      </w:pPr>
      <w:r>
        <w:rPr>
          <w:rFonts w:eastAsia="Times New Roman"/>
          <w:color w:val="000000"/>
          <w:sz w:val="20"/>
          <w:szCs w:val="20"/>
        </w:rPr>
        <w:t>(Item 15 (a))</w:t>
      </w:r>
    </w:p>
    <w:tbl>
      <w:tblPr>
        <w:tblW w:w="5000" w:type="pct"/>
        <w:tblCellMar>
          <w:top w:w="15" w:type="dxa"/>
          <w:left w:w="15" w:type="dxa"/>
          <w:bottom w:w="15" w:type="dxa"/>
          <w:right w:w="15" w:type="dxa"/>
        </w:tblCellMar>
        <w:tblLook w:val="04A0" w:firstRow="1" w:lastRow="0" w:firstColumn="1" w:lastColumn="0" w:noHBand="0" w:noVBand="1"/>
      </w:tblPr>
      <w:tblGrid>
        <w:gridCol w:w="68"/>
        <w:gridCol w:w="6840"/>
        <w:gridCol w:w="38"/>
        <w:gridCol w:w="69"/>
        <w:gridCol w:w="1255"/>
        <w:gridCol w:w="36"/>
      </w:tblGrid>
      <w:tr w:rsidR="00000000">
        <w:trPr>
          <w:divId w:val="2018186642"/>
        </w:trPr>
        <w:tc>
          <w:tcPr>
            <w:tcW w:w="50" w:type="pct"/>
            <w:vAlign w:val="center"/>
            <w:hideMark/>
          </w:tcPr>
          <w:p w:rsidR="00000000" w:rsidRDefault="00D04F4B">
            <w:pPr>
              <w:jc w:val="center"/>
              <w:rPr>
                <w:rFonts w:eastAsia="Times New Roman"/>
              </w:rPr>
            </w:pPr>
          </w:p>
        </w:tc>
        <w:tc>
          <w:tcPr>
            <w:tcW w:w="412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6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2018186642"/>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r>
              <w:rPr>
                <w:rFonts w:eastAsia="Times New Roman"/>
                <w:color w:val="000000"/>
                <w:sz w:val="20"/>
                <w:szCs w:val="20"/>
              </w:rPr>
              <w:t>Page References</w:t>
            </w:r>
          </w:p>
        </w:tc>
      </w:tr>
      <w:tr w:rsidR="00000000">
        <w:trPr>
          <w:divId w:val="2018186642"/>
          <w:trHeight w:val="30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18186642"/>
        </w:trPr>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w:anchor="iddeb4619d34b4d599e186799de61299d_973" w:history="1">
              <w:r>
                <w:rPr>
                  <w:rStyle w:val="a3"/>
                  <w:rFonts w:eastAsia="Times New Roman"/>
                  <w:color w:val="000000"/>
                  <w:sz w:val="20"/>
                  <w:szCs w:val="20"/>
                  <w:u w:val="none"/>
                </w:rPr>
                <w:t>Report of Independent Registered Public Accounting Firm</w:t>
              </w:r>
            </w:hyperlink>
          </w:p>
          <w:p w:rsidR="00000000" w:rsidRDefault="00D04F4B">
            <w:pPr>
              <w:spacing w:after="100"/>
              <w:ind w:firstLine="180"/>
              <w:jc w:val="both"/>
              <w:rPr>
                <w:rFonts w:eastAsia="Times New Roman"/>
              </w:rPr>
            </w:pPr>
            <w:r>
              <w:rPr>
                <w:rFonts w:eastAsia="Times New Roman"/>
                <w:color w:val="000000"/>
                <w:sz w:val="20"/>
                <w:szCs w:val="20"/>
              </w:rPr>
              <w:t>Auditor name: Ernst &amp; Young LLP; Firm ID: (42); Auditor location: Los Angeles, California</w:t>
            </w:r>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hyperlink w:anchor="iddeb4619d34b4d599e186799de61299d_973" w:history="1">
              <w:r>
                <w:rPr>
                  <w:rStyle w:val="a3"/>
                  <w:rFonts w:eastAsia="Times New Roman"/>
                  <w:sz w:val="20"/>
                  <w:szCs w:val="20"/>
                </w:rPr>
                <w:t>F-</w:t>
              </w:r>
            </w:hyperlink>
            <w:hyperlink w:anchor="iddeb4619d34b4d599e186799de61299d_973" w:history="1">
              <w:r>
                <w:rPr>
                  <w:rStyle w:val="a3"/>
                  <w:rFonts w:eastAsia="Times New Roman"/>
                  <w:sz w:val="20"/>
                  <w:szCs w:val="20"/>
                </w:rPr>
                <w:t>1</w:t>
              </w:r>
            </w:hyperlink>
            <w:r>
              <w:rPr>
                <w:rFonts w:eastAsia="Times New Roman"/>
                <w:color w:val="000000"/>
                <w:sz w:val="20"/>
                <w:szCs w:val="20"/>
              </w:rPr>
              <w:t xml:space="preserve"> - F-2</w:t>
            </w:r>
          </w:p>
        </w:tc>
      </w:tr>
      <w:tr w:rsidR="00000000">
        <w:trPr>
          <w:divId w:val="2018186642"/>
          <w:trHeight w:val="30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18186642"/>
        </w:trPr>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 xml:space="preserve">Consolidated </w:t>
            </w:r>
            <w:hyperlink w:anchor="iddeb4619d34b4d599e186799de61299d_16" w:history="1">
              <w:r>
                <w:rPr>
                  <w:rStyle w:val="a3"/>
                  <w:rFonts w:eastAsia="Times New Roman"/>
                  <w:color w:val="000000"/>
                  <w:sz w:val="20"/>
                  <w:szCs w:val="20"/>
                  <w:u w:val="none"/>
                </w:rPr>
                <w:t xml:space="preserve">Balance sheets as of </w:t>
              </w:r>
            </w:hyperlink>
            <w:r>
              <w:rPr>
                <w:rFonts w:eastAsia="Times New Roman"/>
                <w:color w:val="000000"/>
                <w:sz w:val="20"/>
                <w:szCs w:val="20"/>
              </w:rPr>
              <w:t>December 31, 2021</w:t>
            </w:r>
            <w:hyperlink w:anchor="iddeb4619d34b4d599e186799de61299d_16" w:history="1">
              <w:r>
                <w:rPr>
                  <w:rStyle w:val="a3"/>
                  <w:rFonts w:eastAsia="Times New Roman"/>
                  <w:color w:val="000000"/>
                  <w:sz w:val="20"/>
                  <w:szCs w:val="20"/>
                  <w:u w:val="none"/>
                </w:rPr>
                <w:t xml:space="preserve"> and </w:t>
              </w:r>
            </w:hyperlink>
            <w:r>
              <w:rPr>
                <w:rFonts w:eastAsia="Times New Roman"/>
                <w:color w:val="000000"/>
                <w:sz w:val="20"/>
                <w:szCs w:val="20"/>
              </w:rPr>
              <w:t>2020</w:t>
            </w:r>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hyperlink w:anchor="iddeb4619d34b4d599e186799de61299d_16" w:history="1">
              <w:r>
                <w:rPr>
                  <w:rStyle w:val="a3"/>
                  <w:rFonts w:eastAsia="Times New Roman"/>
                  <w:sz w:val="20"/>
                  <w:szCs w:val="20"/>
                </w:rPr>
                <w:t>F-</w:t>
              </w:r>
            </w:hyperlink>
            <w:hyperlink w:anchor="iddeb4619d34b4d599e186799de61299d_16" w:history="1">
              <w:r>
                <w:rPr>
                  <w:rStyle w:val="a3"/>
                  <w:rFonts w:eastAsia="Times New Roman"/>
                  <w:sz w:val="20"/>
                  <w:szCs w:val="20"/>
                </w:rPr>
                <w:t>3</w:t>
              </w:r>
            </w:hyperlink>
          </w:p>
        </w:tc>
      </w:tr>
      <w:tr w:rsidR="00000000">
        <w:trPr>
          <w:divId w:val="2018186642"/>
          <w:trHeight w:val="30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18186642"/>
        </w:trPr>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For the years ended December </w:t>
            </w:r>
            <w:r>
              <w:rPr>
                <w:rFonts w:eastAsia="Times New Roman"/>
                <w:color w:val="000000"/>
                <w:sz w:val="20"/>
                <w:szCs w:val="20"/>
              </w:rPr>
              <w:t>31, 2021, 2020, and 2019:</w:t>
            </w:r>
          </w:p>
        </w:tc>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r>
      <w:tr w:rsidR="00000000">
        <w:trPr>
          <w:divId w:val="2018186642"/>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18186642"/>
        </w:trPr>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 xml:space="preserve">Consolidated </w:t>
            </w:r>
            <w:hyperlink w:anchor="iddeb4619d34b4d599e186799de61299d_19" w:history="1">
              <w:r>
                <w:rPr>
                  <w:rStyle w:val="a3"/>
                  <w:rFonts w:eastAsia="Times New Roman"/>
                  <w:color w:val="000000"/>
                  <w:sz w:val="20"/>
                  <w:szCs w:val="20"/>
                  <w:u w:val="none"/>
                </w:rPr>
                <w:t>Statements of income</w:t>
              </w:r>
            </w:hyperlink>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hyperlink w:anchor="iddeb4619d34b4d599e186799de61299d_19" w:history="1">
              <w:r>
                <w:rPr>
                  <w:rStyle w:val="a3"/>
                  <w:rFonts w:eastAsia="Times New Roman"/>
                  <w:sz w:val="20"/>
                  <w:szCs w:val="20"/>
                </w:rPr>
                <w:t>F-</w:t>
              </w:r>
            </w:hyperlink>
            <w:hyperlink w:anchor="iddeb4619d34b4d599e186799de61299d_19" w:history="1">
              <w:r>
                <w:rPr>
                  <w:rStyle w:val="a3"/>
                  <w:rFonts w:eastAsia="Times New Roman"/>
                  <w:sz w:val="20"/>
                  <w:szCs w:val="20"/>
                </w:rPr>
                <w:t>4</w:t>
              </w:r>
            </w:hyperlink>
          </w:p>
        </w:tc>
      </w:tr>
      <w:tr w:rsidR="00000000">
        <w:trPr>
          <w:divId w:val="2018186642"/>
          <w:trHeight w:val="30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18186642"/>
        </w:trPr>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 xml:space="preserve">Consolidated </w:t>
            </w:r>
            <w:hyperlink w:anchor="iddeb4619d34b4d599e186799de61299d_22" w:history="1">
              <w:r>
                <w:rPr>
                  <w:rStyle w:val="a3"/>
                  <w:rFonts w:eastAsia="Times New Roman"/>
                  <w:color w:val="000000"/>
                  <w:sz w:val="20"/>
                  <w:szCs w:val="20"/>
                  <w:u w:val="none"/>
                </w:rPr>
                <w:t>Statements of comprehensive income</w:t>
              </w:r>
            </w:hyperlink>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hyperlink w:anchor="iddeb4619d34b4d599e186799de61299d_22" w:history="1">
              <w:r>
                <w:rPr>
                  <w:rStyle w:val="a3"/>
                  <w:rFonts w:eastAsia="Times New Roman"/>
                  <w:sz w:val="20"/>
                  <w:szCs w:val="20"/>
                </w:rPr>
                <w:t>F-</w:t>
              </w:r>
            </w:hyperlink>
            <w:hyperlink w:anchor="iddeb4619d34b4d599e186799de61299d_22" w:history="1">
              <w:r>
                <w:rPr>
                  <w:rStyle w:val="a3"/>
                  <w:rFonts w:eastAsia="Times New Roman"/>
                  <w:sz w:val="20"/>
                  <w:szCs w:val="20"/>
                </w:rPr>
                <w:t>5</w:t>
              </w:r>
            </w:hyperlink>
          </w:p>
        </w:tc>
      </w:tr>
      <w:tr w:rsidR="00000000">
        <w:trPr>
          <w:divId w:val="2018186642"/>
          <w:trHeight w:val="30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18186642"/>
        </w:trPr>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 xml:space="preserve">Consolidated </w:t>
            </w:r>
            <w:hyperlink w:anchor="iddeb4619d34b4d599e186799de61299d_25" w:history="1">
              <w:r>
                <w:rPr>
                  <w:rStyle w:val="a3"/>
                  <w:rFonts w:eastAsia="Times New Roman"/>
                  <w:color w:val="000000"/>
                  <w:sz w:val="20"/>
                  <w:szCs w:val="20"/>
                  <w:u w:val="none"/>
                </w:rPr>
                <w:t>Statements of</w:t>
              </w:r>
            </w:hyperlink>
            <w:hyperlink w:anchor="iddeb4619d34b4d599e186799de61299d_25" w:history="1">
              <w:r>
                <w:rPr>
                  <w:rStyle w:val="a3"/>
                  <w:rFonts w:eastAsia="Times New Roman"/>
                  <w:color w:val="000000"/>
                  <w:sz w:val="20"/>
                  <w:szCs w:val="20"/>
                  <w:u w:val="none"/>
                </w:rPr>
                <w:t xml:space="preserve"> equity and </w:t>
              </w:r>
            </w:hyperlink>
            <w:hyperlink w:anchor="iddeb4619d34b4d599e186799de61299d_25" w:history="1">
              <w:r>
                <w:rPr>
                  <w:rStyle w:val="a3"/>
                  <w:rFonts w:eastAsia="Times New Roman"/>
                  <w:color w:val="000000"/>
                  <w:sz w:val="20"/>
                  <w:szCs w:val="20"/>
                  <w:u w:val="none"/>
                </w:rPr>
                <w:t xml:space="preserve">redeemable </w:t>
              </w:r>
            </w:hyperlink>
            <w:hyperlink w:anchor="iddeb4619d34b4d599e186799de61299d_25" w:history="1">
              <w:r>
                <w:rPr>
                  <w:rStyle w:val="a3"/>
                  <w:rFonts w:eastAsia="Times New Roman"/>
                  <w:color w:val="000000"/>
                  <w:sz w:val="20"/>
                  <w:szCs w:val="20"/>
                  <w:u w:val="none"/>
                </w:rPr>
                <w:t>noncontrolling interests</w:t>
              </w:r>
            </w:hyperlink>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hyperlink w:anchor="iddeb4619d34b4d599e186799de61299d_25" w:history="1">
              <w:r>
                <w:rPr>
                  <w:rStyle w:val="a3"/>
                  <w:rFonts w:eastAsia="Times New Roman"/>
                  <w:sz w:val="20"/>
                  <w:szCs w:val="20"/>
                </w:rPr>
                <w:t>F-</w:t>
              </w:r>
            </w:hyperlink>
            <w:hyperlink w:anchor="iddeb4619d34b4d599e186799de61299d_25" w:history="1">
              <w:r>
                <w:rPr>
                  <w:rStyle w:val="a3"/>
                  <w:rFonts w:eastAsia="Times New Roman"/>
                  <w:sz w:val="20"/>
                  <w:szCs w:val="20"/>
                </w:rPr>
                <w:t>6</w:t>
              </w:r>
            </w:hyperlink>
            <w:r>
              <w:rPr>
                <w:rFonts w:eastAsia="Times New Roman"/>
                <w:color w:val="000000"/>
                <w:sz w:val="20"/>
                <w:szCs w:val="20"/>
              </w:rPr>
              <w:t xml:space="preserve"> - F-7</w:t>
            </w:r>
          </w:p>
        </w:tc>
      </w:tr>
      <w:tr w:rsidR="00000000">
        <w:trPr>
          <w:divId w:val="2018186642"/>
          <w:trHeight w:val="30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18186642"/>
        </w:trPr>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color w:val="000000"/>
                <w:sz w:val="20"/>
                <w:szCs w:val="20"/>
              </w:rPr>
              <w:t xml:space="preserve">Consolidated </w:t>
            </w:r>
            <w:hyperlink w:anchor="iddeb4619d34b4d599e186799de61299d_28" w:history="1">
              <w:r>
                <w:rPr>
                  <w:rStyle w:val="a3"/>
                  <w:rFonts w:eastAsia="Times New Roman"/>
                  <w:color w:val="000000"/>
                  <w:sz w:val="20"/>
                  <w:szCs w:val="20"/>
                  <w:u w:val="none"/>
                </w:rPr>
                <w:t>Statements of cash flows</w:t>
              </w:r>
            </w:hyperlink>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hyperlink w:anchor="iddeb4619d34b4d599e186799de61299d_28" w:history="1">
              <w:r>
                <w:rPr>
                  <w:rStyle w:val="a3"/>
                  <w:rFonts w:eastAsia="Times New Roman"/>
                  <w:sz w:val="20"/>
                  <w:szCs w:val="20"/>
                </w:rPr>
                <w:t>F-</w:t>
              </w:r>
            </w:hyperlink>
            <w:hyperlink w:anchor="iddeb4619d34b4d599e186799de61299d_28" w:history="1">
              <w:r>
                <w:rPr>
                  <w:rStyle w:val="a3"/>
                  <w:rFonts w:eastAsia="Times New Roman"/>
                  <w:sz w:val="20"/>
                  <w:szCs w:val="20"/>
                </w:rPr>
                <w:t>8</w:t>
              </w:r>
            </w:hyperlink>
            <w:r>
              <w:rPr>
                <w:rFonts w:eastAsia="Times New Roman"/>
                <w:color w:val="000000"/>
                <w:sz w:val="20"/>
                <w:szCs w:val="20"/>
              </w:rPr>
              <w:t xml:space="preserve"> - F-9</w:t>
            </w:r>
          </w:p>
        </w:tc>
      </w:tr>
      <w:tr w:rsidR="00000000">
        <w:trPr>
          <w:divId w:val="2018186642"/>
          <w:trHeight w:val="30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18186642"/>
        </w:trPr>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w:anchor="iddeb4619d34b4d599e186799de61299d_31" w:history="1">
              <w:r>
                <w:rPr>
                  <w:rStyle w:val="a3"/>
                  <w:rFonts w:eastAsia="Times New Roman"/>
                  <w:color w:val="000000"/>
                  <w:sz w:val="20"/>
                  <w:szCs w:val="20"/>
                  <w:u w:val="none"/>
                </w:rPr>
                <w:t>Notes to</w:t>
              </w:r>
            </w:hyperlink>
            <w:hyperlink w:anchor="iddeb4619d34b4d599e186799de61299d_31" w:history="1">
              <w:r>
                <w:rPr>
                  <w:rStyle w:val="a3"/>
                  <w:rFonts w:eastAsia="Times New Roman"/>
                  <w:color w:val="000000"/>
                  <w:sz w:val="20"/>
                  <w:szCs w:val="20"/>
                  <w:u w:val="none"/>
                </w:rPr>
                <w:t xml:space="preserve"> </w:t>
              </w:r>
            </w:hyperlink>
            <w:r>
              <w:rPr>
                <w:rFonts w:eastAsia="Times New Roman"/>
                <w:color w:val="000000"/>
                <w:sz w:val="20"/>
                <w:szCs w:val="20"/>
              </w:rPr>
              <w:t>consolidated</w:t>
            </w:r>
            <w:hyperlink w:anchor="iddeb4619d34b4d599e186799de61299d_31" w:history="1">
              <w:r>
                <w:rPr>
                  <w:rStyle w:val="a3"/>
                  <w:rFonts w:eastAsia="Times New Roman"/>
                  <w:color w:val="000000"/>
                  <w:sz w:val="20"/>
                  <w:szCs w:val="20"/>
                  <w:u w:val="none"/>
                </w:rPr>
                <w:t xml:space="preserve"> financial statements</w:t>
              </w:r>
            </w:hyperlink>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hyperlink w:anchor="iddeb4619d34b4d599e186799de61299d_31" w:history="1">
              <w:r>
                <w:rPr>
                  <w:rStyle w:val="a3"/>
                  <w:rFonts w:eastAsia="Times New Roman"/>
                  <w:sz w:val="20"/>
                  <w:szCs w:val="20"/>
                </w:rPr>
                <w:t>F-</w:t>
              </w:r>
            </w:hyperlink>
            <w:hyperlink w:anchor="iddeb4619d34b4d599e186799de61299d_31" w:history="1">
              <w:r>
                <w:rPr>
                  <w:rStyle w:val="a3"/>
                  <w:rFonts w:eastAsia="Times New Roman"/>
                  <w:sz w:val="20"/>
                  <w:szCs w:val="20"/>
                </w:rPr>
                <w:t>10</w:t>
              </w:r>
            </w:hyperlink>
            <w:r>
              <w:rPr>
                <w:rFonts w:eastAsia="Times New Roman"/>
                <w:color w:val="000000"/>
                <w:sz w:val="20"/>
                <w:szCs w:val="20"/>
              </w:rPr>
              <w:t xml:space="preserve"> - F-30</w:t>
            </w:r>
          </w:p>
        </w:tc>
      </w:tr>
      <w:tr w:rsidR="00000000">
        <w:trPr>
          <w:divId w:val="2018186642"/>
          <w:trHeight w:val="30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18186642"/>
        </w:trPr>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r>
              <w:rPr>
                <w:rFonts w:eastAsia="Times New Roman"/>
                <w:b/>
                <w:bCs/>
                <w:color w:val="000000"/>
                <w:sz w:val="20"/>
                <w:szCs w:val="20"/>
              </w:rPr>
              <w:t>Schedule:</w:t>
            </w:r>
          </w:p>
        </w:tc>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r>
      <w:tr w:rsidR="00000000">
        <w:trPr>
          <w:divId w:val="2018186642"/>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018186642"/>
        </w:trPr>
        <w:tc>
          <w:tcPr>
            <w:tcW w:w="0" w:type="auto"/>
            <w:gridSpan w:val="3"/>
            <w:tcMar>
              <w:top w:w="30" w:type="dxa"/>
              <w:left w:w="20" w:type="dxa"/>
              <w:bottom w:w="30" w:type="dxa"/>
              <w:right w:w="20" w:type="dxa"/>
            </w:tcMar>
            <w:hideMark/>
          </w:tcPr>
          <w:p w:rsidR="00000000" w:rsidRDefault="00D04F4B">
            <w:pPr>
              <w:spacing w:after="100"/>
              <w:jc w:val="both"/>
              <w:rPr>
                <w:rFonts w:eastAsia="Times New Roman"/>
              </w:rPr>
            </w:pPr>
            <w:hyperlink w:anchor="iddeb4619d34b4d599e186799de61299d_1028" w:history="1">
              <w:r>
                <w:rPr>
                  <w:rStyle w:val="a3"/>
                  <w:rFonts w:eastAsia="Times New Roman"/>
                  <w:color w:val="000000"/>
                  <w:sz w:val="20"/>
                  <w:szCs w:val="20"/>
                  <w:u w:val="none"/>
                </w:rPr>
                <w:t>III – Real estate and accumulated depreciation</w:t>
              </w:r>
            </w:hyperlink>
          </w:p>
        </w:tc>
        <w:tc>
          <w:tcPr>
            <w:tcW w:w="0" w:type="auto"/>
            <w:gridSpan w:val="3"/>
            <w:tcMar>
              <w:top w:w="30" w:type="dxa"/>
              <w:left w:w="20" w:type="dxa"/>
              <w:bottom w:w="30" w:type="dxa"/>
              <w:right w:w="20" w:type="dxa"/>
            </w:tcMar>
            <w:hideMark/>
          </w:tcPr>
          <w:p w:rsidR="00000000" w:rsidRDefault="00D04F4B">
            <w:pPr>
              <w:spacing w:after="100"/>
              <w:jc w:val="center"/>
              <w:rPr>
                <w:rFonts w:eastAsia="Times New Roman"/>
              </w:rPr>
            </w:pPr>
            <w:hyperlink w:anchor="iddeb4619d34b4d599e186799de61299d_1028" w:history="1">
              <w:r>
                <w:rPr>
                  <w:rStyle w:val="a3"/>
                  <w:rFonts w:eastAsia="Times New Roman"/>
                  <w:sz w:val="20"/>
                  <w:szCs w:val="20"/>
                </w:rPr>
                <w:t>F-</w:t>
              </w:r>
            </w:hyperlink>
            <w:hyperlink w:anchor="iddeb4619d34b4d599e186799de61299d_1028" w:history="1">
              <w:r>
                <w:rPr>
                  <w:rStyle w:val="a3"/>
                  <w:rFonts w:eastAsia="Times New Roman"/>
                  <w:sz w:val="20"/>
                  <w:szCs w:val="20"/>
                </w:rPr>
                <w:t>31</w:t>
              </w:r>
            </w:hyperlink>
            <w:r>
              <w:rPr>
                <w:rFonts w:eastAsia="Times New Roman"/>
                <w:color w:val="000000"/>
                <w:sz w:val="20"/>
                <w:szCs w:val="20"/>
              </w:rPr>
              <w:t xml:space="preserve"> - F-33</w:t>
            </w:r>
          </w:p>
        </w:tc>
      </w:tr>
    </w:tbl>
    <w:p w:rsidR="00000000" w:rsidRDefault="00D04F4B">
      <w:pPr>
        <w:jc w:val="both"/>
        <w:divId w:val="430396977"/>
        <w:rPr>
          <w:rFonts w:eastAsia="Times New Roman"/>
        </w:rPr>
      </w:pPr>
      <w:r>
        <w:rPr>
          <w:rFonts w:eastAsia="Times New Roman"/>
          <w:color w:val="000000"/>
          <w:sz w:val="20"/>
          <w:szCs w:val="20"/>
        </w:rPr>
        <w:t>All other schedules have been omitted since the required information is not present or not present in amounts sufficient to require submission of the schedule, or because the information required is included in the consolidated financial statements or note</w:t>
      </w:r>
      <w:r>
        <w:rPr>
          <w:rFonts w:eastAsia="Times New Roman"/>
          <w:color w:val="000000"/>
          <w:sz w:val="20"/>
          <w:szCs w:val="20"/>
        </w:rPr>
        <w:t>s thereto.</w:t>
      </w:r>
    </w:p>
    <w:p w:rsidR="00000000" w:rsidRDefault="00D04F4B">
      <w:pPr>
        <w:jc w:val="center"/>
        <w:divId w:val="866407192"/>
        <w:rPr>
          <w:rFonts w:eastAsia="Times New Roman"/>
        </w:rPr>
      </w:pPr>
      <w:r>
        <w:rPr>
          <w:rFonts w:eastAsia="Times New Roman"/>
          <w:color w:val="000000"/>
          <w:sz w:val="20"/>
          <w:szCs w:val="20"/>
        </w:rPr>
        <w:t>61</w:t>
      </w:r>
    </w:p>
    <w:p w:rsidR="00000000" w:rsidRDefault="00D04F4B">
      <w:pPr>
        <w:rPr>
          <w:rFonts w:eastAsia="Times New Roman"/>
        </w:rPr>
      </w:pPr>
      <w:r>
        <w:rPr>
          <w:rFonts w:eastAsia="Times New Roman"/>
        </w:rPr>
        <w:pict>
          <v:rect id="_x0000_i1086" style="width:0;height:1.5pt" o:hralign="center" o:hrstd="t" o:hr="t" fillcolor="#a0a0a0" stroked="f"/>
        </w:pict>
      </w:r>
    </w:p>
    <w:p w:rsidR="00000000" w:rsidRDefault="00D04F4B">
      <w:pPr>
        <w:divId w:val="1181968812"/>
        <w:rPr>
          <w:rFonts w:eastAsia="Times New Roman"/>
        </w:rPr>
      </w:pPr>
    </w:p>
    <w:p w:rsidR="00000000" w:rsidRDefault="00D04F4B">
      <w:pPr>
        <w:jc w:val="center"/>
        <w:divId w:val="268659693"/>
        <w:rPr>
          <w:rFonts w:eastAsia="Times New Roman"/>
        </w:rPr>
      </w:pPr>
      <w:r>
        <w:rPr>
          <w:rFonts w:eastAsia="Times New Roman"/>
          <w:b/>
          <w:bCs/>
          <w:color w:val="000000"/>
          <w:sz w:val="20"/>
          <w:szCs w:val="20"/>
        </w:rPr>
        <w:t>Report of Independent Registered Public Accounting Firm</w:t>
      </w:r>
    </w:p>
    <w:p w:rsidR="00000000" w:rsidRDefault="00D04F4B">
      <w:pPr>
        <w:divId w:val="2099016817"/>
        <w:rPr>
          <w:rFonts w:eastAsia="Times New Roman"/>
        </w:rPr>
      </w:pPr>
      <w:r>
        <w:rPr>
          <w:rFonts w:eastAsia="Times New Roman"/>
          <w:b/>
          <w:bCs/>
          <w:color w:val="000000"/>
          <w:sz w:val="20"/>
          <w:szCs w:val="20"/>
        </w:rPr>
        <w:t>To the Shareholders and the Board of Trustees of Public Storage</w:t>
      </w:r>
    </w:p>
    <w:p w:rsidR="00000000" w:rsidRDefault="00D04F4B">
      <w:pPr>
        <w:divId w:val="1129864118"/>
        <w:rPr>
          <w:rFonts w:eastAsia="Times New Roman"/>
        </w:rPr>
      </w:pPr>
      <w:r>
        <w:rPr>
          <w:rFonts w:eastAsia="Times New Roman"/>
          <w:b/>
          <w:bCs/>
          <w:color w:val="000000"/>
          <w:sz w:val="20"/>
          <w:szCs w:val="20"/>
        </w:rPr>
        <w:t>Opinion on the Financial Statements</w:t>
      </w:r>
    </w:p>
    <w:p w:rsidR="00000000" w:rsidRDefault="00D04F4B">
      <w:pPr>
        <w:divId w:val="1917208388"/>
        <w:rPr>
          <w:rFonts w:eastAsia="Times New Roman"/>
        </w:rPr>
      </w:pPr>
      <w:r>
        <w:rPr>
          <w:rFonts w:eastAsia="Times New Roman"/>
          <w:color w:val="000000"/>
          <w:sz w:val="20"/>
          <w:szCs w:val="20"/>
        </w:rPr>
        <w:t>We have audited the accompanying consolidated balance sheets o</w:t>
      </w:r>
      <w:r>
        <w:rPr>
          <w:rFonts w:eastAsia="Times New Roman"/>
          <w:color w:val="000000"/>
          <w:sz w:val="20"/>
          <w:szCs w:val="20"/>
        </w:rPr>
        <w:t>f Public Storage (the Company) as of December 31, 2021 and 2020, the related consolidated statements of income, comprehensive income, equity and redeemable noncontrolling interests and cash flows for each of the three years in the period ended December 31,</w:t>
      </w:r>
      <w:r>
        <w:rPr>
          <w:rFonts w:eastAsia="Times New Roman"/>
          <w:color w:val="000000"/>
          <w:sz w:val="20"/>
          <w:szCs w:val="20"/>
        </w:rPr>
        <w:t xml:space="preserve"> 2021, and the related notes and financial statement schedule listed in the Index at Item 15(a) (collectively referred to as the “consolidated financial statements”). In our opinion, the consolidated financial statements present fairly, in all material res</w:t>
      </w:r>
      <w:r>
        <w:rPr>
          <w:rFonts w:eastAsia="Times New Roman"/>
          <w:color w:val="000000"/>
          <w:sz w:val="20"/>
          <w:szCs w:val="20"/>
        </w:rPr>
        <w:t xml:space="preserve">pects, the consolidated financial position of the Company at December 31, 2021 and 2020, and the consolidated results of its operations and its cash flows for each of the three years in the period ended December 31, 2021, in conformity with U.S. generally </w:t>
      </w:r>
      <w:r>
        <w:rPr>
          <w:rFonts w:eastAsia="Times New Roman"/>
          <w:color w:val="000000"/>
          <w:sz w:val="20"/>
          <w:szCs w:val="20"/>
        </w:rPr>
        <w:t xml:space="preserve">accepted accounting principles. </w:t>
      </w:r>
    </w:p>
    <w:p w:rsidR="00000000" w:rsidRDefault="00D04F4B">
      <w:pPr>
        <w:divId w:val="595141517"/>
        <w:rPr>
          <w:rFonts w:eastAsia="Times New Roman"/>
        </w:rPr>
      </w:pPr>
      <w:r>
        <w:rPr>
          <w:rFonts w:eastAsia="Times New Roman"/>
          <w:color w:val="000000"/>
          <w:sz w:val="20"/>
          <w:szCs w:val="20"/>
        </w:rPr>
        <w:t>We also have audited, in accordance with the standards of the Public Company Accounting Oversight Board (United States) (PCAOB), the Company’s internal control over financial reporting as of December 31, 2021, based on crit</w:t>
      </w:r>
      <w:r>
        <w:rPr>
          <w:rFonts w:eastAsia="Times New Roman"/>
          <w:color w:val="000000"/>
          <w:sz w:val="20"/>
          <w:szCs w:val="20"/>
        </w:rPr>
        <w:t>eria established in Internal Control-Integrated Framework issued by the Committee of Sponsoring Organizations of the Treadway Commission (2013 framework), and our report dated February 22, 2022 expressed an unqualified opinion thereon.</w:t>
      </w:r>
    </w:p>
    <w:p w:rsidR="00000000" w:rsidRDefault="00D04F4B">
      <w:pPr>
        <w:divId w:val="1536962479"/>
        <w:rPr>
          <w:rFonts w:eastAsia="Times New Roman"/>
        </w:rPr>
      </w:pPr>
      <w:r>
        <w:rPr>
          <w:rFonts w:eastAsia="Times New Roman"/>
          <w:b/>
          <w:bCs/>
          <w:color w:val="000000"/>
          <w:sz w:val="20"/>
          <w:szCs w:val="20"/>
        </w:rPr>
        <w:t>Basis for Opinion</w:t>
      </w:r>
    </w:p>
    <w:p w:rsidR="00000000" w:rsidRDefault="00D04F4B">
      <w:pPr>
        <w:divId w:val="1435785001"/>
        <w:rPr>
          <w:rFonts w:eastAsia="Times New Roman"/>
        </w:rPr>
      </w:pPr>
      <w:r>
        <w:rPr>
          <w:rFonts w:eastAsia="Times New Roman"/>
          <w:color w:val="000000"/>
          <w:sz w:val="20"/>
          <w:szCs w:val="20"/>
        </w:rPr>
        <w:t>Th</w:t>
      </w:r>
      <w:r>
        <w:rPr>
          <w:rFonts w:eastAsia="Times New Roman"/>
          <w:color w:val="000000"/>
          <w:sz w:val="20"/>
          <w:szCs w:val="20"/>
        </w:rPr>
        <w:t>ese financial statements are the responsibility of the Company's management. Our responsibility is to express an opinion on the Company’s financial statements based on our audits. We are a public accounting firm registered with the PCAOB and are required t</w:t>
      </w:r>
      <w:r>
        <w:rPr>
          <w:rFonts w:eastAsia="Times New Roman"/>
          <w:color w:val="000000"/>
          <w:sz w:val="20"/>
          <w:szCs w:val="20"/>
        </w:rPr>
        <w:t>o be independent with respect to the Company in accordance with the U.S. federal securities laws and the applicable rules and regulations of the Securities and Exchange Commission and the PCAOB.</w:t>
      </w:r>
    </w:p>
    <w:p w:rsidR="00000000" w:rsidRDefault="00D04F4B">
      <w:pPr>
        <w:divId w:val="1475026471"/>
        <w:rPr>
          <w:rFonts w:eastAsia="Times New Roman"/>
        </w:rPr>
      </w:pPr>
      <w:r>
        <w:rPr>
          <w:rFonts w:eastAsia="Times New Roman"/>
          <w:color w:val="000000"/>
          <w:sz w:val="20"/>
          <w:szCs w:val="20"/>
        </w:rPr>
        <w:t>We conducted our audits in accordance with the standards of t</w:t>
      </w:r>
      <w:r>
        <w:rPr>
          <w:rFonts w:eastAsia="Times New Roman"/>
          <w:color w:val="000000"/>
          <w:sz w:val="20"/>
          <w:szCs w:val="20"/>
        </w:rPr>
        <w:t>he PCAOB. Those standards require that we plan and perform the audit to obtain reasonable assurance about whether the financial statements are free of material misstatement, whether due to error or fraud. Our audits included performing procedures to assess</w:t>
      </w:r>
      <w:r>
        <w:rPr>
          <w:rFonts w:eastAsia="Times New Roman"/>
          <w:color w:val="000000"/>
          <w:sz w:val="20"/>
          <w:szCs w:val="20"/>
        </w:rPr>
        <w:t xml:space="preserve"> the risks of material misstatement of the financial statements, whether due to error or fraud, and performing procedures that respond to those risks. Such procedures include examining, on a test basis, evidence regarding the amounts and disclosures in the</w:t>
      </w:r>
      <w:r>
        <w:rPr>
          <w:rFonts w:eastAsia="Times New Roman"/>
          <w:color w:val="000000"/>
          <w:sz w:val="20"/>
          <w:szCs w:val="20"/>
        </w:rPr>
        <w:t xml:space="preserve"> financial statements. Our audits also included evaluating the accounting principles used and significant estimates made by management, as well as evaluating the overall presentation of the financial statements. We believe that our audits provide a reasona</w:t>
      </w:r>
      <w:r>
        <w:rPr>
          <w:rFonts w:eastAsia="Times New Roman"/>
          <w:color w:val="000000"/>
          <w:sz w:val="20"/>
          <w:szCs w:val="20"/>
        </w:rPr>
        <w:t>ble basis for our opinion.</w:t>
      </w:r>
    </w:p>
    <w:p w:rsidR="00000000" w:rsidRDefault="00D04F4B">
      <w:pPr>
        <w:divId w:val="1539780456"/>
        <w:rPr>
          <w:rFonts w:eastAsia="Times New Roman"/>
        </w:rPr>
      </w:pPr>
      <w:r>
        <w:rPr>
          <w:rFonts w:eastAsia="Times New Roman"/>
          <w:b/>
          <w:bCs/>
          <w:color w:val="000000"/>
          <w:sz w:val="20"/>
          <w:szCs w:val="20"/>
        </w:rPr>
        <w:t>Critical Audit Matter</w:t>
      </w:r>
    </w:p>
    <w:p w:rsidR="00000000" w:rsidRDefault="00D04F4B">
      <w:pPr>
        <w:divId w:val="841118565"/>
        <w:rPr>
          <w:rFonts w:eastAsia="Times New Roman"/>
        </w:rPr>
      </w:pPr>
      <w:r>
        <w:rPr>
          <w:rFonts w:eastAsia="Times New Roman"/>
          <w:color w:val="000000"/>
          <w:sz w:val="20"/>
          <w:szCs w:val="20"/>
        </w:rPr>
        <w:t>The critical audit matter communicated below is a matter arising from the current period audit of the financial statements that was communicated or required to be communicated to the audit committee and that</w:t>
      </w:r>
      <w:r>
        <w:rPr>
          <w:rFonts w:eastAsia="Times New Roman"/>
          <w:color w:val="000000"/>
          <w:sz w:val="20"/>
          <w:szCs w:val="20"/>
        </w:rPr>
        <w:t>: (1) relates to accounts or disclosures that are material to the financial statements and (2) involved our especially challenging, subjective or complex judgments. The communication of the critical audit matter does not alter in any way our opinion on the</w:t>
      </w:r>
      <w:r>
        <w:rPr>
          <w:rFonts w:eastAsia="Times New Roman"/>
          <w:color w:val="000000"/>
          <w:sz w:val="20"/>
          <w:szCs w:val="20"/>
        </w:rPr>
        <w:t xml:space="preserve"> consolidated financial statements, taken as a whole, and we are not, by communicating the critical audit matter below, providing a separate opinion on the critical audit matter or on the accounts or disclosures to which it relates.</w:t>
      </w:r>
    </w:p>
    <w:p w:rsidR="00000000" w:rsidRDefault="00D04F4B">
      <w:pPr>
        <w:jc w:val="center"/>
        <w:divId w:val="470943342"/>
        <w:rPr>
          <w:rFonts w:eastAsia="Times New Roman"/>
        </w:rPr>
      </w:pPr>
      <w:r>
        <w:rPr>
          <w:rFonts w:eastAsia="Times New Roman"/>
          <w:color w:val="000000"/>
          <w:sz w:val="20"/>
          <w:szCs w:val="20"/>
        </w:rPr>
        <w:t>F-1</w:t>
      </w:r>
    </w:p>
    <w:p w:rsidR="00000000" w:rsidRDefault="00D04F4B">
      <w:pPr>
        <w:rPr>
          <w:rFonts w:eastAsia="Times New Roman"/>
        </w:rPr>
      </w:pPr>
      <w:r>
        <w:rPr>
          <w:rFonts w:eastAsia="Times New Roman"/>
        </w:rPr>
        <w:pict>
          <v:rect id="_x0000_i1087" style="width:0;height:1.5pt" o:hralign="center" o:hrstd="t" o:hr="t" fillcolor="#a0a0a0" stroked="f"/>
        </w:pict>
      </w:r>
    </w:p>
    <w:p w:rsidR="00000000" w:rsidRDefault="00D04F4B">
      <w:pPr>
        <w:divId w:val="214192010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1209"/>
        <w:gridCol w:w="36"/>
        <w:gridCol w:w="69"/>
        <w:gridCol w:w="247"/>
        <w:gridCol w:w="36"/>
        <w:gridCol w:w="69"/>
        <w:gridCol w:w="6534"/>
        <w:gridCol w:w="38"/>
      </w:tblGrid>
      <w:tr w:rsidR="00000000">
        <w:trPr>
          <w:divId w:val="408236197"/>
        </w:trPr>
        <w:tc>
          <w:tcPr>
            <w:tcW w:w="50" w:type="pct"/>
            <w:vAlign w:val="center"/>
            <w:hideMark/>
          </w:tcPr>
          <w:p w:rsidR="00000000" w:rsidRDefault="00D04F4B">
            <w:pPr>
              <w:rPr>
                <w:rFonts w:eastAsia="Times New Roman"/>
              </w:rPr>
            </w:pPr>
          </w:p>
        </w:tc>
        <w:tc>
          <w:tcPr>
            <w:tcW w:w="73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5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94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408236197"/>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b/>
                <w:bCs/>
                <w:i/>
                <w:iCs/>
                <w:color w:val="000000"/>
                <w:sz w:val="20"/>
                <w:szCs w:val="20"/>
              </w:rPr>
              <w:t>Purchase Price Allocation</w:t>
            </w:r>
          </w:p>
        </w:tc>
      </w:tr>
      <w:tr w:rsidR="00000000">
        <w:trPr>
          <w:divId w:val="408236197"/>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0823619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i/>
                <w:iCs/>
                <w:color w:val="000000"/>
                <w:sz w:val="20"/>
                <w:szCs w:val="20"/>
              </w:rPr>
              <w:t>Description of the Matter</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hideMark/>
          </w:tcPr>
          <w:p w:rsidR="00000000" w:rsidRDefault="00D04F4B">
            <w:pPr>
              <w:spacing w:after="100"/>
              <w:divId w:val="824393033"/>
              <w:rPr>
                <w:rFonts w:eastAsia="Times New Roman"/>
              </w:rPr>
            </w:pPr>
            <w:r>
              <w:rPr>
                <w:rFonts w:eastAsia="Times New Roman"/>
                <w:color w:val="000000"/>
                <w:sz w:val="20"/>
                <w:szCs w:val="20"/>
              </w:rPr>
              <w:t>For the year ended December 31, 2021, the Company completed the acquisition of 232 real estate facilities for a total purchase price of $5.1 billion. As further discussed in Notes 2 and 3 of the consolidated financial statements, the transactions were acco</w:t>
            </w:r>
            <w:r>
              <w:rPr>
                <w:rFonts w:eastAsia="Times New Roman"/>
                <w:color w:val="000000"/>
                <w:sz w:val="20"/>
                <w:szCs w:val="20"/>
              </w:rPr>
              <w:t>unted for as asset acquisitions, and the purchase price was allocated based on a relative fair value of assets acquired and liabilities assumed, which consisted principally of land and buildings.</w:t>
            </w:r>
          </w:p>
          <w:p w:rsidR="00000000" w:rsidRDefault="00D04F4B">
            <w:pPr>
              <w:spacing w:after="100"/>
              <w:divId w:val="720057205"/>
              <w:rPr>
                <w:rFonts w:eastAsia="Times New Roman"/>
              </w:rPr>
            </w:pPr>
          </w:p>
          <w:p w:rsidR="00000000" w:rsidRDefault="00D04F4B">
            <w:pPr>
              <w:spacing w:after="100"/>
              <w:divId w:val="971980326"/>
              <w:rPr>
                <w:rFonts w:eastAsia="Times New Roman"/>
              </w:rPr>
            </w:pPr>
            <w:r>
              <w:rPr>
                <w:rFonts w:eastAsia="Times New Roman"/>
                <w:color w:val="000000"/>
                <w:sz w:val="20"/>
                <w:szCs w:val="20"/>
              </w:rPr>
              <w:t>Auditing the accounting for the Company’s 2021 acquisition</w:t>
            </w:r>
            <w:r>
              <w:rPr>
                <w:rFonts w:eastAsia="Times New Roman"/>
                <w:color w:val="000000"/>
                <w:sz w:val="20"/>
                <w:szCs w:val="20"/>
              </w:rPr>
              <w:t xml:space="preserve">s of real estate facilities was subjective because the Company, with the assistance of its external valuation specialist, must exercise a high level of management judgment in determining the estimated fair value of acquired land and buildings. Determining </w:t>
            </w:r>
            <w:r>
              <w:rPr>
                <w:rFonts w:eastAsia="Times New Roman"/>
                <w:color w:val="000000"/>
                <w:sz w:val="20"/>
                <w:szCs w:val="20"/>
              </w:rPr>
              <w:t>the fair value of acquired land was difficult due to the lack of available directly comparable land market information.</w:t>
            </w:r>
            <w:r>
              <w:rPr>
                <w:rFonts w:eastAsia="Times New Roman"/>
                <w:color w:val="000000"/>
              </w:rPr>
              <w:t xml:space="preserve"> </w:t>
            </w:r>
            <w:r>
              <w:rPr>
                <w:rFonts w:eastAsia="Times New Roman"/>
                <w:color w:val="000000"/>
                <w:sz w:val="20"/>
                <w:szCs w:val="20"/>
              </w:rPr>
              <w:t>The estimated fair value of the acquired buildings was based upon (i) the income approach, which included estimating the fair value of h</w:t>
            </w:r>
            <w:r>
              <w:rPr>
                <w:rFonts w:eastAsia="Times New Roman"/>
                <w:color w:val="000000"/>
                <w:sz w:val="20"/>
                <w:szCs w:val="20"/>
              </w:rPr>
              <w:t>ypothetical vacant acquired buildings and adjusting for the estimated fair value of land or (ii) estimated replacement costs, which were calculated by estimating the cost of building similar facilities in comparable markets and adjusting those costs for th</w:t>
            </w:r>
            <w:r>
              <w:rPr>
                <w:rFonts w:eastAsia="Times New Roman"/>
                <w:color w:val="000000"/>
                <w:sz w:val="20"/>
                <w:szCs w:val="20"/>
              </w:rPr>
              <w:t>e age, quality, and configuration associated with the acquired facilities. Determining the fair value of the acquired buildings was challenging due to the judgment utilized by management in determining the assumptions utilized in, or the adjustments applie</w:t>
            </w:r>
            <w:r>
              <w:rPr>
                <w:rFonts w:eastAsia="Times New Roman"/>
                <w:color w:val="000000"/>
                <w:sz w:val="20"/>
                <w:szCs w:val="20"/>
              </w:rPr>
              <w:t>d to, the valuation of each building.</w:t>
            </w:r>
          </w:p>
        </w:tc>
      </w:tr>
      <w:tr w:rsidR="00000000">
        <w:trPr>
          <w:divId w:val="408236197"/>
          <w:trHeight w:val="30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08236197"/>
        </w:trPr>
        <w:tc>
          <w:tcPr>
            <w:tcW w:w="0" w:type="auto"/>
            <w:gridSpan w:val="3"/>
            <w:tcMar>
              <w:top w:w="30" w:type="dxa"/>
              <w:left w:w="20" w:type="dxa"/>
              <w:bottom w:w="30" w:type="dxa"/>
              <w:right w:w="20" w:type="dxa"/>
            </w:tcMar>
            <w:hideMark/>
          </w:tcPr>
          <w:p w:rsidR="00000000" w:rsidRDefault="00D04F4B">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hideMark/>
          </w:tcPr>
          <w:p w:rsidR="00000000" w:rsidRDefault="00D04F4B">
            <w:pPr>
              <w:spacing w:after="100"/>
              <w:divId w:val="1423649700"/>
              <w:rPr>
                <w:rFonts w:eastAsia="Times New Roman"/>
              </w:rPr>
            </w:pPr>
            <w:r>
              <w:rPr>
                <w:rFonts w:eastAsia="Times New Roman"/>
                <w:color w:val="000000"/>
                <w:sz w:val="20"/>
                <w:szCs w:val="20"/>
              </w:rPr>
              <w:t>We obtained an understanding, evaluated the design, and tested the operating effectiveness of controls over management’s accounting for acquired real estate facilities, including controls over the review of assumptions underlying the purchase price allocat</w:t>
            </w:r>
            <w:r>
              <w:rPr>
                <w:rFonts w:eastAsia="Times New Roman"/>
                <w:color w:val="000000"/>
                <w:sz w:val="20"/>
                <w:szCs w:val="20"/>
              </w:rPr>
              <w:t>ion and accuracy of the underlying data used.</w:t>
            </w:r>
            <w:r>
              <w:rPr>
                <w:rFonts w:eastAsia="Times New Roman"/>
                <w:color w:val="000000"/>
              </w:rPr>
              <w:t xml:space="preserve"> </w:t>
            </w:r>
            <w:r>
              <w:rPr>
                <w:rFonts w:eastAsia="Times New Roman"/>
                <w:color w:val="000000"/>
                <w:sz w:val="20"/>
                <w:szCs w:val="20"/>
              </w:rPr>
              <w:t>For example, we tested controls over the determination of the fair value of the land and building assets, including the controls over the review of the valuation models and the underlying assumptions used to de</w:t>
            </w:r>
            <w:r>
              <w:rPr>
                <w:rFonts w:eastAsia="Times New Roman"/>
                <w:color w:val="000000"/>
                <w:sz w:val="20"/>
                <w:szCs w:val="20"/>
              </w:rPr>
              <w:t>velop such estimates.</w:t>
            </w:r>
          </w:p>
          <w:p w:rsidR="00000000" w:rsidRDefault="00D04F4B">
            <w:pPr>
              <w:spacing w:after="100"/>
              <w:divId w:val="1300720616"/>
              <w:rPr>
                <w:rFonts w:eastAsia="Times New Roman"/>
              </w:rPr>
            </w:pPr>
          </w:p>
          <w:p w:rsidR="00000000" w:rsidRDefault="00D04F4B">
            <w:pPr>
              <w:spacing w:after="100"/>
              <w:divId w:val="1491293428"/>
              <w:rPr>
                <w:rFonts w:eastAsia="Times New Roman"/>
              </w:rPr>
            </w:pPr>
            <w:r>
              <w:rPr>
                <w:rFonts w:eastAsia="Times New Roman"/>
                <w:color w:val="000000"/>
                <w:sz w:val="20"/>
                <w:szCs w:val="20"/>
              </w:rPr>
              <w:t>For the 2021 acquisitions of real estate facilities described above, our procedures included, but were not limited to, evaluating the sensitivity of changes in significant assumptions on the purchase price allocation.</w:t>
            </w:r>
            <w:r>
              <w:rPr>
                <w:rFonts w:eastAsia="Times New Roman"/>
                <w:color w:val="000000"/>
              </w:rPr>
              <w:t xml:space="preserve"> </w:t>
            </w:r>
            <w:r>
              <w:rPr>
                <w:rFonts w:eastAsia="Times New Roman"/>
                <w:color w:val="000000"/>
                <w:sz w:val="20"/>
                <w:szCs w:val="20"/>
              </w:rPr>
              <w:t>We performed a</w:t>
            </w:r>
            <w:r>
              <w:rPr>
                <w:rFonts w:eastAsia="Times New Roman"/>
                <w:color w:val="000000"/>
                <w:sz w:val="20"/>
                <w:szCs w:val="20"/>
              </w:rPr>
              <w:t xml:space="preserve"> sensitivity analysis to evaluate the impact on the Company’s financial statements resulting from changes in allocated land and building values. For certain of these asset acquisitions, we also read the purchase agreements, evaluated whether the Company ha</w:t>
            </w:r>
            <w:r>
              <w:rPr>
                <w:rFonts w:eastAsia="Times New Roman"/>
                <w:color w:val="000000"/>
                <w:sz w:val="20"/>
                <w:szCs w:val="20"/>
              </w:rPr>
              <w:t>d appropriately determined whether the transaction was a business combination or asset acquisition, evaluated the methods and significant assumptions used by the Company, and tested the completeness and accuracy of the underlying data supporting the signif</w:t>
            </w:r>
            <w:r>
              <w:rPr>
                <w:rFonts w:eastAsia="Times New Roman"/>
                <w:color w:val="000000"/>
                <w:sz w:val="20"/>
                <w:szCs w:val="20"/>
              </w:rPr>
              <w:t>icant assumptions and estimates. Additionally, for certain of these asset acquisitions, we involved our valuation specialists to assist in the assessment of the methodology utilized by the Company, in addition to performing corroborative analyses to assess</w:t>
            </w:r>
            <w:r>
              <w:rPr>
                <w:rFonts w:eastAsia="Times New Roman"/>
                <w:color w:val="000000"/>
                <w:sz w:val="20"/>
                <w:szCs w:val="20"/>
              </w:rPr>
              <w:t xml:space="preserve"> whether the conclusions in the valuation were supported by observable market data. For example, our valuation specialists used independently identified data sources to evaluate management’s selected comparable land sales, income approach assumptions, and </w:t>
            </w:r>
            <w:r>
              <w:rPr>
                <w:rFonts w:eastAsia="Times New Roman"/>
                <w:color w:val="000000"/>
                <w:sz w:val="20"/>
                <w:szCs w:val="20"/>
              </w:rPr>
              <w:t>replacement cost assumptions.</w:t>
            </w:r>
          </w:p>
        </w:tc>
      </w:tr>
    </w:tbl>
    <w:p w:rsidR="00000000" w:rsidRDefault="00D04F4B">
      <w:pPr>
        <w:divId w:val="776103651"/>
        <w:rPr>
          <w:rFonts w:eastAsia="Times New Roman"/>
        </w:rPr>
      </w:pPr>
      <w:r>
        <w:rPr>
          <w:rFonts w:eastAsia="Times New Roman"/>
          <w:color w:val="000000"/>
          <w:sz w:val="20"/>
          <w:szCs w:val="20"/>
        </w:rPr>
        <w:t>/s/ Ernst &amp; Young LLP</w:t>
      </w:r>
    </w:p>
    <w:p w:rsidR="00000000" w:rsidRDefault="00D04F4B">
      <w:pPr>
        <w:divId w:val="1189837210"/>
        <w:rPr>
          <w:rFonts w:eastAsia="Times New Roman"/>
        </w:rPr>
      </w:pPr>
      <w:r>
        <w:rPr>
          <w:rFonts w:eastAsia="Times New Roman"/>
          <w:color w:val="000000"/>
          <w:sz w:val="20"/>
          <w:szCs w:val="20"/>
        </w:rPr>
        <w:t>We have served as the Company's auditor since 1980.</w:t>
      </w:r>
    </w:p>
    <w:p w:rsidR="00000000" w:rsidRDefault="00D04F4B">
      <w:pPr>
        <w:divId w:val="1017537659"/>
        <w:rPr>
          <w:rFonts w:eastAsia="Times New Roman"/>
        </w:rPr>
      </w:pPr>
      <w:r>
        <w:rPr>
          <w:rFonts w:eastAsia="Times New Roman"/>
          <w:color w:val="000000"/>
          <w:sz w:val="20"/>
          <w:szCs w:val="20"/>
        </w:rPr>
        <w:t>Los Angeles, California</w:t>
      </w:r>
    </w:p>
    <w:p w:rsidR="00000000" w:rsidRDefault="00D04F4B">
      <w:pPr>
        <w:divId w:val="1602376518"/>
        <w:rPr>
          <w:rFonts w:eastAsia="Times New Roman"/>
        </w:rPr>
      </w:pPr>
      <w:r>
        <w:rPr>
          <w:rFonts w:eastAsia="Times New Roman"/>
          <w:color w:val="000000"/>
          <w:sz w:val="20"/>
          <w:szCs w:val="20"/>
        </w:rPr>
        <w:t>February 22, 2022</w:t>
      </w:r>
    </w:p>
    <w:p w:rsidR="00000000" w:rsidRDefault="00D04F4B">
      <w:pPr>
        <w:jc w:val="center"/>
        <w:divId w:val="1082147258"/>
        <w:rPr>
          <w:rFonts w:eastAsia="Times New Roman"/>
        </w:rPr>
      </w:pPr>
      <w:r>
        <w:rPr>
          <w:rFonts w:eastAsia="Times New Roman"/>
          <w:color w:val="000000"/>
          <w:sz w:val="20"/>
          <w:szCs w:val="20"/>
        </w:rPr>
        <w:t>F-2</w:t>
      </w:r>
    </w:p>
    <w:p w:rsidR="00000000" w:rsidRDefault="00D04F4B">
      <w:pPr>
        <w:rPr>
          <w:rFonts w:eastAsia="Times New Roman"/>
        </w:rPr>
      </w:pPr>
      <w:r>
        <w:rPr>
          <w:rFonts w:eastAsia="Times New Roman"/>
        </w:rPr>
        <w:pict>
          <v:rect id="_x0000_i1088" style="width:0;height:1.5pt" o:hralign="center" o:hrstd="t" o:hr="t" fillcolor="#a0a0a0" stroked="f"/>
        </w:pict>
      </w:r>
    </w:p>
    <w:p w:rsidR="00000000" w:rsidRDefault="00D04F4B">
      <w:pPr>
        <w:divId w:val="1817916740"/>
        <w:rPr>
          <w:rFonts w:eastAsia="Times New Roman"/>
        </w:rPr>
      </w:pPr>
    </w:p>
    <w:p w:rsidR="00000000" w:rsidRDefault="00D04F4B">
      <w:pPr>
        <w:divId w:val="1185821123"/>
        <w:rPr>
          <w:rFonts w:eastAsia="Times New Roman"/>
        </w:rPr>
      </w:pPr>
    </w:p>
    <w:p w:rsidR="00000000" w:rsidRDefault="00D04F4B">
      <w:pPr>
        <w:divId w:val="406613397"/>
        <w:rPr>
          <w:rFonts w:eastAsia="Times New Roman"/>
        </w:rPr>
      </w:pPr>
    </w:p>
    <w:p w:rsidR="00000000" w:rsidRDefault="00D04F4B">
      <w:pPr>
        <w:jc w:val="center"/>
        <w:rPr>
          <w:rFonts w:eastAsia="Times New Roman"/>
        </w:rPr>
      </w:pPr>
      <w:r>
        <w:rPr>
          <w:rFonts w:eastAsia="Times New Roman"/>
          <w:b/>
          <w:bCs/>
          <w:color w:val="000000"/>
          <w:sz w:val="20"/>
          <w:szCs w:val="20"/>
        </w:rPr>
        <w:t>PUBLIC STORAGE</w:t>
      </w:r>
    </w:p>
    <w:p w:rsidR="00000000" w:rsidRDefault="00D04F4B">
      <w:pPr>
        <w:jc w:val="center"/>
        <w:rPr>
          <w:rFonts w:eastAsia="Times New Roman"/>
        </w:rPr>
      </w:pPr>
      <w:r>
        <w:rPr>
          <w:rFonts w:eastAsia="Times New Roman"/>
          <w:b/>
          <w:bCs/>
          <w:color w:val="000000"/>
          <w:sz w:val="20"/>
          <w:szCs w:val="20"/>
        </w:rPr>
        <w:t>CONSOLIDATED BALANCE SHEETS</w:t>
      </w:r>
    </w:p>
    <w:p w:rsidR="00000000" w:rsidRDefault="00D04F4B">
      <w:pPr>
        <w:jc w:val="center"/>
        <w:rPr>
          <w:rFonts w:eastAsia="Times New Roman"/>
        </w:rPr>
      </w:pPr>
      <w:r>
        <w:rPr>
          <w:rFonts w:eastAsia="Times New Roman"/>
          <w:b/>
          <w:bCs/>
          <w:color w:val="000000"/>
          <w:sz w:val="20"/>
          <w:szCs w:val="20"/>
        </w:rPr>
        <w:t>(Amounts in thousands, except share data)</w:t>
      </w:r>
    </w:p>
    <w:p w:rsidR="00000000" w:rsidRDefault="00D04F4B">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5596"/>
        <w:gridCol w:w="42"/>
        <w:gridCol w:w="110"/>
        <w:gridCol w:w="1127"/>
        <w:gridCol w:w="36"/>
        <w:gridCol w:w="36"/>
        <w:gridCol w:w="36"/>
        <w:gridCol w:w="36"/>
        <w:gridCol w:w="110"/>
        <w:gridCol w:w="1097"/>
        <w:gridCol w:w="36"/>
      </w:tblGrid>
      <w:tr w:rsidR="00000000">
        <w:trPr>
          <w:divId w:val="2103380646"/>
        </w:trPr>
        <w:tc>
          <w:tcPr>
            <w:tcW w:w="50" w:type="pct"/>
            <w:vAlign w:val="center"/>
            <w:hideMark/>
          </w:tcPr>
          <w:p w:rsidR="00000000" w:rsidRDefault="00D04F4B">
            <w:pPr>
              <w:jc w:val="center"/>
              <w:rPr>
                <w:rFonts w:eastAsia="Times New Roman"/>
              </w:rPr>
            </w:pPr>
          </w:p>
        </w:tc>
        <w:tc>
          <w:tcPr>
            <w:tcW w:w="339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0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0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2020</w:t>
            </w:r>
          </w:p>
        </w:tc>
      </w:tr>
      <w:tr w:rsidR="00000000">
        <w:trPr>
          <w:divId w:val="2103380646"/>
          <w:trHeight w:val="28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b/>
                <w:bCs/>
                <w:color w:val="000000"/>
                <w:sz w:val="18"/>
                <w:szCs w:val="18"/>
                <w:u w:val="single"/>
              </w:rPr>
              <w:t>ASSETS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  </w:t>
            </w:r>
          </w:p>
        </w:tc>
      </w:tr>
      <w:tr w:rsidR="00000000">
        <w:trPr>
          <w:divId w:val="2103380646"/>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Cash and equivalents</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734,599 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257,560 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Real estate facilities, at cost: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103380646"/>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Land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5,134,060 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4,375,588 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Buildings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17,673,773 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12,997,039 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22,807,833 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17,372,627 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Accumulated depreciation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(7,773,308)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(7,152,135)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15,034,525 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10,220,492 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Construction in process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272,471 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188,079 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15,306,996 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10,408,571 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Height w:val="18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Investments in unconsolidated real estate entities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828,763 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773,046 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Goodwill and other intangible assets, net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302,894 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204,654 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Other assets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207,656 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172,715 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93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Total assets </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17,380,908 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11,816,546 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r>
      <w:tr w:rsidR="00000000">
        <w:trPr>
          <w:divId w:val="2103380646"/>
        </w:trPr>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b/>
                <w:bCs/>
                <w:color w:val="000000"/>
                <w:sz w:val="18"/>
                <w:szCs w:val="18"/>
                <w:u w:val="single"/>
              </w:rPr>
              <w:t>LIABILITIES AND EQUITY</w:t>
            </w: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r>
      <w:tr w:rsidR="00000000">
        <w:trPr>
          <w:divId w:val="2103380646"/>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Notes payable</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7,475,279 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2,544,992 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Preferred shares called for redemption (Note 9)</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300,000 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Accrued and other liabilities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482,091 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394,655 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7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7,957,370 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3,239,647 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Commitments and contingencies (Note 14)</w:t>
            </w:r>
          </w:p>
        </w:tc>
        <w:tc>
          <w:tcPr>
            <w:tcW w:w="0" w:type="auto"/>
            <w:gridSpan w:val="3"/>
            <w:tcMar>
              <w:top w:w="30" w:type="dxa"/>
              <w:left w:w="20" w:type="dxa"/>
              <w:bottom w:w="30" w:type="dxa"/>
              <w:right w:w="20" w:type="dxa"/>
            </w:tcMar>
            <w:vAlign w:val="bottom"/>
            <w:hideMark/>
          </w:tcPr>
          <w:p w:rsidR="00000000" w:rsidRDefault="00D04F4B">
            <w:pPr>
              <w:spacing w:after="100"/>
              <w:divId w:val="57216039"/>
              <w:rPr>
                <w:rFonts w:eastAsia="Times New Roman"/>
              </w:rPr>
            </w:pPr>
            <w:r>
              <w:rPr>
                <w:rFonts w:eastAsia="Times New Roman"/>
                <w:color w:val="000000"/>
                <w:sz w:val="18"/>
                <w:szCs w:val="18"/>
              </w:rPr>
              <w:t> </w:t>
            </w: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divId w:val="817847626"/>
              <w:rPr>
                <w:rFonts w:eastAsia="Times New Roman"/>
              </w:rPr>
            </w:pPr>
            <w:r>
              <w:rPr>
                <w:rFonts w:eastAsia="Times New Roman"/>
                <w:color w:val="000000"/>
                <w:sz w:val="18"/>
                <w:szCs w:val="18"/>
              </w:rPr>
              <w:t> </w:t>
            </w:r>
            <w:r>
              <w:rPr>
                <w:rFonts w:eastAsia="Times New Roman"/>
                <w:color w:val="000000"/>
                <w:sz w:val="20"/>
                <w:szCs w:val="20"/>
              </w:rPr>
              <w:t> </w:t>
            </w:r>
          </w:p>
        </w:tc>
      </w:tr>
      <w:tr w:rsidR="00000000">
        <w:trPr>
          <w:divId w:val="2103380646"/>
          <w:trHeight w:val="18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Redeemable noncontrolling interests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68,249 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Equity:</w:t>
            </w: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r>
      <w:tr w:rsidR="00000000">
        <w:trPr>
          <w:divId w:val="2103380646"/>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Public Storage shareholders’ equity:</w:t>
            </w: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ind w:hanging="307"/>
              <w:divId w:val="197817946"/>
              <w:rPr>
                <w:rFonts w:eastAsia="Times New Roman"/>
              </w:rPr>
            </w:pPr>
            <w:r>
              <w:rPr>
                <w:rFonts w:eastAsia="Times New Roman"/>
                <w:color w:val="000000"/>
                <w:sz w:val="18"/>
                <w:szCs w:val="18"/>
              </w:rPr>
              <w:t>Preferred Shares, $0.01 par value, 100,000,000 shares authorized, 164,000 shares issued (in series) and outstanding, (151,700 at December </w:t>
            </w:r>
            <w:r>
              <w:rPr>
                <w:rFonts w:eastAsia="Times New Roman"/>
                <w:color w:val="000000"/>
                <w:sz w:val="18"/>
                <w:szCs w:val="18"/>
              </w:rPr>
              <w:t>31, 2020) at liquidation preference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4,100,000 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3,792,500 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20" w:type="dxa"/>
              <w:bottom w:w="30" w:type="dxa"/>
              <w:right w:w="20" w:type="dxa"/>
            </w:tcMar>
            <w:vAlign w:val="bottom"/>
            <w:hideMark/>
          </w:tcPr>
          <w:p w:rsidR="00000000" w:rsidRDefault="00D04F4B">
            <w:pPr>
              <w:spacing w:after="100"/>
              <w:ind w:hanging="307"/>
              <w:divId w:val="12652277"/>
              <w:rPr>
                <w:rFonts w:eastAsia="Times New Roman"/>
              </w:rPr>
            </w:pPr>
            <w:r>
              <w:rPr>
                <w:rFonts w:eastAsia="Times New Roman"/>
                <w:color w:val="000000"/>
                <w:sz w:val="18"/>
                <w:szCs w:val="18"/>
              </w:rPr>
              <w:t>Common Shares, $0.10 par value, 650,000,000 shares authorized, 175,134,455 shares issued and outstanding (174,581,742 shares at December 31, 2020)</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17,513 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17,458 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Paid-in capital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5,821,667 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5,707,101 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Accumulated deficit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(550,416)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(914,791)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Accumulated other comprehensive loss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(53,587)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(43,401)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57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Total Public Storage shareholders’ equity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9,335,177 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8,558,867 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Noncontrolling interests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20,112 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18,032 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74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Total equity</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9,355,289 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8,576,899 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2103380646"/>
        </w:trPr>
        <w:tc>
          <w:tcPr>
            <w:tcW w:w="0" w:type="auto"/>
            <w:gridSpan w:val="3"/>
            <w:tcMar>
              <w:top w:w="30" w:type="dxa"/>
              <w:left w:w="93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Total liabilities, redeemable noncontrolling interests and equity</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17,380,908 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11,816,546 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divId w:val="122775125"/>
        <w:rPr>
          <w:rFonts w:eastAsia="Times New Roman"/>
        </w:rPr>
      </w:pPr>
    </w:p>
    <w:p w:rsidR="00000000" w:rsidRDefault="00D04F4B">
      <w:pPr>
        <w:jc w:val="center"/>
        <w:divId w:val="1632975860"/>
        <w:rPr>
          <w:rFonts w:eastAsia="Times New Roman"/>
        </w:rPr>
      </w:pPr>
      <w:r>
        <w:rPr>
          <w:rFonts w:eastAsia="Times New Roman"/>
          <w:color w:val="000000"/>
          <w:sz w:val="20"/>
          <w:szCs w:val="20"/>
        </w:rPr>
        <w:t>See accompanying notes.</w:t>
      </w:r>
    </w:p>
    <w:p w:rsidR="00000000" w:rsidRDefault="00D04F4B">
      <w:pPr>
        <w:jc w:val="center"/>
        <w:divId w:val="1632975860"/>
        <w:rPr>
          <w:rFonts w:eastAsia="Times New Roman"/>
        </w:rPr>
      </w:pPr>
      <w:r>
        <w:rPr>
          <w:rFonts w:eastAsia="Times New Roman"/>
          <w:color w:val="000000"/>
          <w:sz w:val="20"/>
          <w:szCs w:val="20"/>
        </w:rPr>
        <w:t>F-3</w:t>
      </w:r>
    </w:p>
    <w:p w:rsidR="00000000" w:rsidRDefault="00D04F4B">
      <w:pPr>
        <w:rPr>
          <w:rFonts w:eastAsia="Times New Roman"/>
        </w:rPr>
      </w:pPr>
      <w:r>
        <w:rPr>
          <w:rFonts w:eastAsia="Times New Roman"/>
        </w:rPr>
        <w:pict>
          <v:rect id="_x0000_i1089" style="width:0;height:1.5pt" o:hralign="center" o:hrstd="t" o:hr="t" fillcolor="#a0a0a0" stroked="f"/>
        </w:pict>
      </w:r>
    </w:p>
    <w:p w:rsidR="00000000" w:rsidRDefault="00D04F4B">
      <w:pPr>
        <w:divId w:val="204218322"/>
        <w:rPr>
          <w:rFonts w:eastAsia="Times New Roman"/>
        </w:rPr>
      </w:pPr>
    </w:p>
    <w:p w:rsidR="00000000" w:rsidRDefault="00D04F4B">
      <w:pPr>
        <w:jc w:val="center"/>
        <w:rPr>
          <w:rFonts w:eastAsia="Times New Roman"/>
        </w:rPr>
      </w:pPr>
      <w:r>
        <w:rPr>
          <w:rFonts w:eastAsia="Times New Roman"/>
          <w:b/>
          <w:bCs/>
          <w:color w:val="000000"/>
          <w:sz w:val="20"/>
          <w:szCs w:val="20"/>
        </w:rPr>
        <w:t>PUBLIC STORAGE</w:t>
      </w:r>
    </w:p>
    <w:p w:rsidR="00000000" w:rsidRDefault="00D04F4B">
      <w:pPr>
        <w:jc w:val="center"/>
        <w:rPr>
          <w:rFonts w:eastAsia="Times New Roman"/>
        </w:rPr>
      </w:pPr>
      <w:r>
        <w:rPr>
          <w:rFonts w:eastAsia="Times New Roman"/>
          <w:b/>
          <w:bCs/>
          <w:color w:val="000000"/>
          <w:sz w:val="20"/>
          <w:szCs w:val="20"/>
        </w:rPr>
        <w:t>CONSOLIDATED STATEMENTS OF INCOME</w:t>
      </w:r>
    </w:p>
    <w:p w:rsidR="00000000" w:rsidRDefault="00D04F4B">
      <w:pPr>
        <w:jc w:val="center"/>
        <w:divId w:val="1845167091"/>
        <w:rPr>
          <w:rFonts w:eastAsia="Times New Roman"/>
        </w:rPr>
      </w:pPr>
      <w:r>
        <w:rPr>
          <w:rFonts w:eastAsia="Times New Roman"/>
          <w:b/>
          <w:bCs/>
          <w:color w:val="000000"/>
          <w:sz w:val="20"/>
          <w:szCs w:val="20"/>
        </w:rPr>
        <w:t>(Amounts in thousands, except per share amounts)</w:t>
      </w:r>
    </w:p>
    <w:p w:rsidR="00000000" w:rsidRDefault="00D04F4B">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725"/>
        <w:gridCol w:w="39"/>
        <w:gridCol w:w="110"/>
        <w:gridCol w:w="972"/>
        <w:gridCol w:w="36"/>
        <w:gridCol w:w="36"/>
        <w:gridCol w:w="36"/>
        <w:gridCol w:w="36"/>
        <w:gridCol w:w="110"/>
        <w:gridCol w:w="938"/>
        <w:gridCol w:w="36"/>
        <w:gridCol w:w="36"/>
        <w:gridCol w:w="36"/>
        <w:gridCol w:w="36"/>
        <w:gridCol w:w="110"/>
        <w:gridCol w:w="938"/>
        <w:gridCol w:w="36"/>
      </w:tblGrid>
      <w:tr w:rsidR="00000000">
        <w:trPr>
          <w:divId w:val="1665158293"/>
        </w:trPr>
        <w:tc>
          <w:tcPr>
            <w:tcW w:w="50" w:type="pct"/>
            <w:vAlign w:val="center"/>
            <w:hideMark/>
          </w:tcPr>
          <w:p w:rsidR="00000000" w:rsidRDefault="00D04F4B">
            <w:pPr>
              <w:jc w:val="center"/>
              <w:rPr>
                <w:rFonts w:eastAsia="Times New Roman"/>
              </w:rPr>
            </w:pPr>
          </w:p>
        </w:tc>
        <w:tc>
          <w:tcPr>
            <w:tcW w:w="286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For the Years Ended December 31,</w:t>
            </w: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2019</w:t>
            </w:r>
          </w:p>
        </w:tc>
      </w:tr>
      <w:tr w:rsidR="00000000">
        <w:trPr>
          <w:divId w:val="1665158293"/>
          <w:trHeight w:val="18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Revenues: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Self-storage facilities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3,203,566 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2,721,630 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2,684,552 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Ancillary operations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212,258 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193,438 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170,556 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3,415,824 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2,915,068 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2,855,108 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Height w:val="18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Expenses: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Self-storage cost of operations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852,030 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807,543 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762,416 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Ancillary cost of operations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68,568 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59,919 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50,736 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Depreciation and amortization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713,428 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553,257 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512,918 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General and administrative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101,254 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83,199 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62,146 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Interest expense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90,774 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56,283 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45,641 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1,826,054 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1,560,201 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1,433,857 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Height w:val="18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Other increases (decreases) to net income:</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Interest and other income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12,306 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22,323 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26,683 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Equity in earnings of unconsolidated real estate entities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232,093 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80,497 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69,547 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Foreign currency exchange gain (loss)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111,787 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(97,953)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7,829 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Gain on sale of real estate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Net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1,959,639 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1,361,227 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1,525,651 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Allocation to noncontrolling interests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(6,376)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(4,014)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(5,117)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Net income allocable to Public Storage shareholders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1,953,263 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1,357,213 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1,520,534 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Allocation of net income to:</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Preferred shareholders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(186,579)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(207,068)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(210,179)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Preferred shareholders - redemptions (Note 9)</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(28,914)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(48,265)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(32,693)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Restricted share units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(5,326)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(3,545)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(4,895)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Net income allocable to common shareholders</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1,732,444 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1,098,335 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1,272,767 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Net income per common share:</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6515829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Basic</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Diluted</w:t>
            </w:r>
          </w:p>
        </w:tc>
        <w:tc>
          <w:tcPr>
            <w:tcW w:w="0" w:type="auto"/>
            <w:tcBorders>
              <w:top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9.87 </w:t>
            </w:r>
          </w:p>
        </w:tc>
        <w:tc>
          <w:tcPr>
            <w:tcW w:w="0" w:type="auto"/>
            <w:tcBorders>
              <w:top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6.29 </w:t>
            </w:r>
          </w:p>
        </w:tc>
        <w:tc>
          <w:tcPr>
            <w:tcW w:w="0" w:type="auto"/>
            <w:tcBorders>
              <w:top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7.29 </w:t>
            </w:r>
          </w:p>
        </w:tc>
        <w:tc>
          <w:tcPr>
            <w:tcW w:w="0" w:type="auto"/>
            <w:tcBorders>
              <w:top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5158293"/>
          <w:trHeight w:val="18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Basic weighted average common shares outstanding </w:t>
            </w: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174,858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174,494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174,287</w:t>
            </w:r>
          </w:p>
        </w:tc>
      </w:tr>
      <w:tr w:rsidR="00000000">
        <w:trPr>
          <w:divId w:val="166515829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Diluted weighted average common shares outstanding</w:t>
            </w: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175,568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174,642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18"/>
                <w:szCs w:val="18"/>
              </w:rPr>
              <w:t>174,530</w:t>
            </w:r>
          </w:p>
        </w:tc>
      </w:tr>
    </w:tbl>
    <w:p w:rsidR="00000000" w:rsidRDefault="00D04F4B">
      <w:pPr>
        <w:divId w:val="429664670"/>
        <w:rPr>
          <w:rFonts w:eastAsia="Times New Roman"/>
        </w:rPr>
      </w:pPr>
    </w:p>
    <w:p w:rsidR="00000000" w:rsidRDefault="00D04F4B">
      <w:pPr>
        <w:jc w:val="center"/>
        <w:divId w:val="547649216"/>
        <w:rPr>
          <w:rFonts w:eastAsia="Times New Roman"/>
        </w:rPr>
      </w:pPr>
      <w:r>
        <w:rPr>
          <w:rFonts w:eastAsia="Times New Roman"/>
          <w:color w:val="000000"/>
          <w:sz w:val="20"/>
          <w:szCs w:val="20"/>
        </w:rPr>
        <w:t>See accompanying notes.</w:t>
      </w:r>
    </w:p>
    <w:p w:rsidR="00000000" w:rsidRDefault="00D04F4B">
      <w:pPr>
        <w:jc w:val="center"/>
        <w:divId w:val="547649216"/>
        <w:rPr>
          <w:rFonts w:eastAsia="Times New Roman"/>
        </w:rPr>
      </w:pPr>
      <w:r>
        <w:rPr>
          <w:rFonts w:eastAsia="Times New Roman"/>
          <w:color w:val="000000"/>
          <w:sz w:val="20"/>
          <w:szCs w:val="20"/>
        </w:rPr>
        <w:t>F-4</w:t>
      </w:r>
    </w:p>
    <w:p w:rsidR="00000000" w:rsidRDefault="00D04F4B">
      <w:pPr>
        <w:rPr>
          <w:rFonts w:eastAsia="Times New Roman"/>
        </w:rPr>
      </w:pPr>
      <w:r>
        <w:rPr>
          <w:rFonts w:eastAsia="Times New Roman"/>
        </w:rPr>
        <w:pict>
          <v:rect id="_x0000_i1090" style="width:0;height:1.5pt" o:hralign="center" o:hrstd="t" o:hr="t" fillcolor="#a0a0a0" stroked="f"/>
        </w:pict>
      </w:r>
    </w:p>
    <w:p w:rsidR="00000000" w:rsidRDefault="00D04F4B">
      <w:pPr>
        <w:divId w:val="1754858316"/>
        <w:rPr>
          <w:rFonts w:eastAsia="Times New Roman"/>
        </w:rPr>
      </w:pPr>
    </w:p>
    <w:p w:rsidR="00000000" w:rsidRDefault="00D04F4B">
      <w:pPr>
        <w:jc w:val="center"/>
        <w:rPr>
          <w:rFonts w:eastAsia="Times New Roman"/>
        </w:rPr>
      </w:pPr>
      <w:r>
        <w:rPr>
          <w:rFonts w:eastAsia="Times New Roman"/>
          <w:b/>
          <w:bCs/>
          <w:color w:val="000000"/>
          <w:sz w:val="20"/>
          <w:szCs w:val="20"/>
        </w:rPr>
        <w:t>PUBLIC STORAGE</w:t>
      </w:r>
    </w:p>
    <w:p w:rsidR="00000000" w:rsidRDefault="00D04F4B">
      <w:pPr>
        <w:jc w:val="center"/>
        <w:rPr>
          <w:rFonts w:eastAsia="Times New Roman"/>
        </w:rPr>
      </w:pPr>
      <w:r>
        <w:rPr>
          <w:rFonts w:eastAsia="Times New Roman"/>
          <w:b/>
          <w:bCs/>
          <w:color w:val="000000"/>
          <w:sz w:val="20"/>
          <w:szCs w:val="20"/>
        </w:rPr>
        <w:t>CONSOLIDATED STATEMENTS OF COMPREHENSIVE INCOME</w:t>
      </w:r>
    </w:p>
    <w:p w:rsidR="00000000" w:rsidRDefault="00D04F4B">
      <w:pPr>
        <w:jc w:val="center"/>
        <w:divId w:val="1428651147"/>
        <w:rPr>
          <w:rFonts w:eastAsia="Times New Roman"/>
        </w:rPr>
      </w:pPr>
      <w:r>
        <w:rPr>
          <w:rFonts w:eastAsia="Times New Roman"/>
          <w:b/>
          <w:bCs/>
          <w:color w:val="000000"/>
          <w:sz w:val="20"/>
          <w:szCs w:val="20"/>
        </w:rPr>
        <w:t>(Amounts in thousands)</w:t>
      </w:r>
    </w:p>
    <w:p w:rsidR="00000000" w:rsidRDefault="00D04F4B">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26"/>
        <w:gridCol w:w="37"/>
        <w:gridCol w:w="110"/>
        <w:gridCol w:w="972"/>
        <w:gridCol w:w="36"/>
        <w:gridCol w:w="36"/>
        <w:gridCol w:w="36"/>
        <w:gridCol w:w="36"/>
        <w:gridCol w:w="110"/>
        <w:gridCol w:w="938"/>
        <w:gridCol w:w="36"/>
        <w:gridCol w:w="36"/>
        <w:gridCol w:w="36"/>
        <w:gridCol w:w="36"/>
        <w:gridCol w:w="110"/>
        <w:gridCol w:w="939"/>
        <w:gridCol w:w="36"/>
      </w:tblGrid>
      <w:tr w:rsidR="00000000">
        <w:trPr>
          <w:jc w:val="center"/>
        </w:trPr>
        <w:tc>
          <w:tcPr>
            <w:tcW w:w="50" w:type="pct"/>
            <w:vAlign w:val="center"/>
            <w:hideMark/>
          </w:tcPr>
          <w:p w:rsidR="00000000" w:rsidRDefault="00D04F4B">
            <w:pPr>
              <w:jc w:val="center"/>
              <w:rPr>
                <w:rFonts w:eastAsia="Times New Roman"/>
              </w:rPr>
            </w:pPr>
          </w:p>
        </w:tc>
        <w:tc>
          <w:tcPr>
            <w:tcW w:w="286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For the Years Ended December 31,</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2019</w:t>
            </w: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Net income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1,959,639 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1,361,227 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1,525,651 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8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Foreign currency exchange (loss) gain on investment in Shurgard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(10,186)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21,489 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(830)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Total comprehensive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1,949,453 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1,382,716 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1,524,821 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Allocation to noncontrolling interests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(6,376)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(4,014)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(5,117)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8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Comprehensive income allocable to Public Storage shareholders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1,943,077 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1,378,702 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1,519,704 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divId w:val="1895576945"/>
        <w:rPr>
          <w:rFonts w:eastAsia="Times New Roman"/>
        </w:rPr>
      </w:pPr>
    </w:p>
    <w:p w:rsidR="00000000" w:rsidRDefault="00D04F4B">
      <w:pPr>
        <w:jc w:val="center"/>
        <w:divId w:val="1142892861"/>
        <w:rPr>
          <w:rFonts w:eastAsia="Times New Roman"/>
        </w:rPr>
      </w:pPr>
      <w:r>
        <w:rPr>
          <w:rFonts w:eastAsia="Times New Roman"/>
          <w:color w:val="000000"/>
          <w:sz w:val="20"/>
          <w:szCs w:val="20"/>
        </w:rPr>
        <w:t>See accompanying notes.</w:t>
      </w:r>
    </w:p>
    <w:p w:rsidR="00000000" w:rsidRDefault="00D04F4B">
      <w:pPr>
        <w:jc w:val="center"/>
        <w:divId w:val="1142892861"/>
        <w:rPr>
          <w:rFonts w:eastAsia="Times New Roman"/>
        </w:rPr>
      </w:pPr>
      <w:r>
        <w:rPr>
          <w:rFonts w:eastAsia="Times New Roman"/>
          <w:color w:val="000000"/>
          <w:sz w:val="20"/>
          <w:szCs w:val="20"/>
        </w:rPr>
        <w:t>F-5</w:t>
      </w:r>
    </w:p>
    <w:p w:rsidR="00000000" w:rsidRDefault="00D04F4B">
      <w:pPr>
        <w:rPr>
          <w:rFonts w:eastAsia="Times New Roman"/>
        </w:rPr>
      </w:pPr>
      <w:r>
        <w:rPr>
          <w:rFonts w:eastAsia="Times New Roman"/>
        </w:rPr>
        <w:pict>
          <v:rect id="_x0000_i1091" style="width:0;height:1.5pt" o:hralign="center" o:hrstd="t" o:hr="t" fillcolor="#a0a0a0" stroked="f"/>
        </w:pict>
      </w:r>
    </w:p>
    <w:p w:rsidR="00000000" w:rsidRDefault="00D04F4B">
      <w:pPr>
        <w:divId w:val="1059667564"/>
        <w:rPr>
          <w:rFonts w:eastAsia="Times New Roman"/>
        </w:rPr>
      </w:pPr>
    </w:p>
    <w:p w:rsidR="00000000" w:rsidRDefault="00D04F4B">
      <w:pPr>
        <w:jc w:val="center"/>
        <w:rPr>
          <w:rFonts w:eastAsia="Times New Roman"/>
        </w:rPr>
      </w:pPr>
      <w:r>
        <w:rPr>
          <w:rFonts w:eastAsia="Times New Roman"/>
          <w:b/>
          <w:bCs/>
          <w:color w:val="000000"/>
          <w:sz w:val="20"/>
          <w:szCs w:val="20"/>
        </w:rPr>
        <w:t>PUBLIC STORAGE</w:t>
      </w:r>
    </w:p>
    <w:p w:rsidR="00000000" w:rsidRDefault="00D04F4B">
      <w:pPr>
        <w:jc w:val="center"/>
        <w:rPr>
          <w:rFonts w:eastAsia="Times New Roman"/>
        </w:rPr>
      </w:pPr>
      <w:r>
        <w:rPr>
          <w:rFonts w:eastAsia="Times New Roman"/>
          <w:b/>
          <w:bCs/>
          <w:color w:val="000000"/>
          <w:sz w:val="20"/>
          <w:szCs w:val="20"/>
        </w:rPr>
        <w:t>CONSOLIDATED STATEMENTS OF EQUITY AND REDEEMABLE NONCONTROLLING INTERESTS</w:t>
      </w:r>
    </w:p>
    <w:p w:rsidR="00000000" w:rsidRDefault="00D04F4B">
      <w:pPr>
        <w:jc w:val="center"/>
        <w:rPr>
          <w:rFonts w:eastAsia="Times New Roman"/>
        </w:rPr>
      </w:pPr>
      <w:r>
        <w:rPr>
          <w:rFonts w:eastAsia="Times New Roman"/>
          <w:b/>
          <w:bCs/>
          <w:color w:val="000000"/>
          <w:sz w:val="20"/>
          <w:szCs w:val="20"/>
        </w:rPr>
        <w:t>(Amounts in thousands, except share and per share amounts)</w:t>
      </w:r>
    </w:p>
    <w:p w:rsidR="00000000" w:rsidRDefault="00D04F4B">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175"/>
        <w:gridCol w:w="38"/>
        <w:gridCol w:w="110"/>
        <w:gridCol w:w="765"/>
        <w:gridCol w:w="36"/>
        <w:gridCol w:w="36"/>
        <w:gridCol w:w="36"/>
        <w:gridCol w:w="36"/>
        <w:gridCol w:w="110"/>
        <w:gridCol w:w="540"/>
        <w:gridCol w:w="36"/>
        <w:gridCol w:w="36"/>
        <w:gridCol w:w="36"/>
        <w:gridCol w:w="36"/>
        <w:gridCol w:w="110"/>
        <w:gridCol w:w="765"/>
        <w:gridCol w:w="36"/>
        <w:gridCol w:w="36"/>
        <w:gridCol w:w="36"/>
        <w:gridCol w:w="36"/>
        <w:gridCol w:w="112"/>
        <w:gridCol w:w="770"/>
        <w:gridCol w:w="36"/>
        <w:gridCol w:w="36"/>
        <w:gridCol w:w="36"/>
        <w:gridCol w:w="36"/>
        <w:gridCol w:w="131"/>
        <w:gridCol w:w="901"/>
        <w:gridCol w:w="36"/>
        <w:gridCol w:w="36"/>
        <w:gridCol w:w="36"/>
        <w:gridCol w:w="36"/>
        <w:gridCol w:w="110"/>
        <w:gridCol w:w="765"/>
        <w:gridCol w:w="36"/>
        <w:gridCol w:w="36"/>
        <w:gridCol w:w="36"/>
        <w:gridCol w:w="36"/>
        <w:gridCol w:w="127"/>
        <w:gridCol w:w="879"/>
        <w:gridCol w:w="36"/>
        <w:gridCol w:w="36"/>
        <w:gridCol w:w="36"/>
        <w:gridCol w:w="36"/>
        <w:gridCol w:w="110"/>
        <w:gridCol w:w="765"/>
        <w:gridCol w:w="36"/>
        <w:gridCol w:w="36"/>
        <w:gridCol w:w="36"/>
        <w:gridCol w:w="36"/>
        <w:gridCol w:w="127"/>
        <w:gridCol w:w="879"/>
        <w:gridCol w:w="36"/>
      </w:tblGrid>
      <w:tr w:rsidR="00000000">
        <w:trPr>
          <w:jc w:val="center"/>
        </w:trPr>
        <w:tc>
          <w:tcPr>
            <w:tcW w:w="50" w:type="pct"/>
            <w:vAlign w:val="center"/>
            <w:hideMark/>
          </w:tcPr>
          <w:p w:rsidR="00000000" w:rsidRDefault="00D04F4B">
            <w:pPr>
              <w:jc w:val="center"/>
              <w:rPr>
                <w:rFonts w:eastAsia="Times New Roman"/>
              </w:rPr>
            </w:pPr>
          </w:p>
        </w:tc>
        <w:tc>
          <w:tcPr>
            <w:tcW w:w="116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r>
            <w:r>
              <w:rPr>
                <w:rFonts w:eastAsia="Times New Roman"/>
                <w:color w:val="000000"/>
                <w:sz w:val="16"/>
                <w:szCs w:val="16"/>
              </w:rPr>
              <w:t>Other Comprehensive Loss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Redeemable Noncontrolling Interests</w:t>
            </w:r>
          </w:p>
        </w:tc>
      </w:tr>
      <w:tr w:rsidR="00000000">
        <w:trPr>
          <w:jc w:val="center"/>
        </w:trPr>
        <w:tc>
          <w:tcPr>
            <w:tcW w:w="0" w:type="auto"/>
            <w:gridSpan w:val="3"/>
            <w:tcMar>
              <w:top w:w="30" w:type="dxa"/>
              <w:left w:w="20" w:type="dxa"/>
              <w:bottom w:w="30" w:type="dxa"/>
              <w:right w:w="20" w:type="dxa"/>
            </w:tcMar>
            <w:vAlign w:val="center"/>
            <w:hideMark/>
          </w:tcPr>
          <w:p w:rsidR="00000000" w:rsidRDefault="00D04F4B">
            <w:pPr>
              <w:spacing w:after="100"/>
              <w:divId w:val="1888420035"/>
              <w:rPr>
                <w:rFonts w:eastAsia="Times New Roman"/>
              </w:rPr>
            </w:pPr>
            <w:r>
              <w:rPr>
                <w:rFonts w:eastAsia="Times New Roman"/>
                <w:b/>
                <w:bCs/>
                <w:color w:val="000000"/>
                <w:sz w:val="18"/>
                <w:szCs w:val="18"/>
              </w:rPr>
              <w:t>Balances at December 31, 2018</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4,025,000 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17,413 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5,718,485 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w:t>
            </w:r>
            <w:r>
              <w:rPr>
                <w:rFonts w:eastAsia="Times New Roman"/>
                <w:color w:val="000000"/>
                <w:sz w:val="18"/>
                <w:szCs w:val="18"/>
              </w:rPr>
              <w:t>577,360)</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(64,060)</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9,119,478 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25,250 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9,144,728 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divId w:val="932595033"/>
              <w:rPr>
                <w:rFonts w:eastAsia="Times New Roman"/>
              </w:rPr>
            </w:pPr>
            <w:r>
              <w:rPr>
                <w:rFonts w:eastAsia="Times New Roman"/>
                <w:color w:val="000000"/>
                <w:sz w:val="18"/>
                <w:szCs w:val="18"/>
              </w:rPr>
              <w:t xml:space="preserve">Issuance of 43,600 preferred shares (Note 9)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1,090,000 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(30,844)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1,059,156 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1,059,156 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ind w:hanging="90"/>
              <w:divId w:val="71661341"/>
              <w:rPr>
                <w:rFonts w:eastAsia="Times New Roman"/>
              </w:rPr>
            </w:pPr>
            <w:r>
              <w:rPr>
                <w:rFonts w:eastAsia="Times New Roman"/>
                <w:color w:val="000000"/>
                <w:sz w:val="18"/>
                <w:szCs w:val="18"/>
              </w:rPr>
              <w:t>Redemption of 42,000 preferred shares (Note 9)</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(1,050,000)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(1,050,000)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(1,050,000)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ind w:hanging="90"/>
              <w:divId w:val="824973962"/>
              <w:rPr>
                <w:rFonts w:eastAsia="Times New Roman"/>
              </w:rPr>
            </w:pPr>
            <w:r>
              <w:rPr>
                <w:rFonts w:eastAsia="Times New Roman"/>
                <w:color w:val="000000"/>
                <w:sz w:val="18"/>
                <w:szCs w:val="18"/>
              </w:rPr>
              <w:t>Issuance of common shares in connection with share-based compensation (287,734 shares) (Note 11)</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33,535 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33,564 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33,564 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Share-based compensation expense, net of cash paid in lieu of common shares (Note 11)</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Acquisition of noncontrolling interests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(23,913)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(23,913)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(11,087)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(35,000)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Net income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1,525,651 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1,525,651 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1,525,651 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Net income allocated to noncontrolling interests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(5,117)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(5,117)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Preferred shareholders (Note 9)</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(210,179)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(210,179)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(210,179)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Noncontrolling interests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(6,672)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(6,672)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ind w:hanging="90"/>
              <w:divId w:val="630676268"/>
              <w:rPr>
                <w:rFonts w:eastAsia="Times New Roman"/>
              </w:rPr>
            </w:pPr>
            <w:r>
              <w:rPr>
                <w:rFonts w:eastAsia="Times New Roman"/>
                <w:color w:val="000000"/>
                <w:sz w:val="18"/>
                <w:szCs w:val="18"/>
              </w:rPr>
              <w:t>Common shareholders and restricted share unitholders ($8.00 per share)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(1,398,570)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(1,398,570)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(1,398,570)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(830)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(830)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(830)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D04F4B">
            <w:pPr>
              <w:spacing w:after="100"/>
              <w:divId w:val="1081103242"/>
              <w:rPr>
                <w:rFonts w:eastAsia="Times New Roman"/>
              </w:rPr>
            </w:pPr>
            <w:r>
              <w:rPr>
                <w:rFonts w:eastAsia="Times New Roman"/>
                <w:b/>
                <w:bCs/>
                <w:color w:val="000000"/>
                <w:sz w:val="18"/>
                <w:szCs w:val="18"/>
              </w:rPr>
              <w:t>Balances at December 31, 2019</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4,065,000 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17,442 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5,710,934 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(665,575)</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(64,890)</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9,062,911 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16,756 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9,079,667 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divId w:val="2055420545"/>
              <w:rPr>
                <w:rFonts w:eastAsia="Times New Roman"/>
              </w:rPr>
            </w:pPr>
            <w:r>
              <w:rPr>
                <w:rFonts w:eastAsia="Times New Roman"/>
                <w:color w:val="000000"/>
                <w:sz w:val="18"/>
                <w:szCs w:val="18"/>
              </w:rPr>
              <w:t xml:space="preserve">Issuance of 49,900 preferred shares (Note 9)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1,247,500 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(39,294)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1,208,206 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1,208,206 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ind w:hanging="90"/>
              <w:divId w:val="2007590835"/>
              <w:rPr>
                <w:rFonts w:eastAsia="Times New Roman"/>
              </w:rPr>
            </w:pPr>
            <w:r>
              <w:rPr>
                <w:rFonts w:eastAsia="Times New Roman"/>
                <w:color w:val="000000"/>
                <w:sz w:val="18"/>
                <w:szCs w:val="18"/>
              </w:rPr>
              <w:t xml:space="preserve">Redemption and shares called for redemption of 60,800 preferred shares (Note 9)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ind w:hanging="90"/>
              <w:divId w:val="2009022237"/>
              <w:rPr>
                <w:rFonts w:eastAsia="Times New Roman"/>
              </w:rPr>
            </w:pPr>
            <w:r>
              <w:rPr>
                <w:rFonts w:eastAsia="Times New Roman"/>
                <w:color w:val="000000"/>
                <w:sz w:val="18"/>
                <w:szCs w:val="18"/>
              </w:rPr>
              <w:t>Issuance of common shares in connection with share-based compensation (163,127 shares) (Note 11)</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12,648 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12,664 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12,664 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Share-based compensation expense, net of cash paid in lieu of common shares (Note 11)</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22,845 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22,845 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22,845 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Acquisition of noncontrolling interests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Net income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1,361,227 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1,361,227 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1,361,227 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jc w:val="center"/>
        <w:rPr>
          <w:rFonts w:eastAsia="Times New Roman"/>
        </w:rPr>
      </w:pPr>
    </w:p>
    <w:p w:rsidR="00000000" w:rsidRDefault="00D04F4B">
      <w:pPr>
        <w:jc w:val="center"/>
        <w:rPr>
          <w:rFonts w:eastAsia="Times New Roman"/>
        </w:rPr>
      </w:pPr>
    </w:p>
    <w:p w:rsidR="00000000" w:rsidRDefault="00D04F4B">
      <w:pPr>
        <w:jc w:val="center"/>
        <w:rPr>
          <w:rFonts w:eastAsia="Times New Roman"/>
        </w:rPr>
      </w:pPr>
    </w:p>
    <w:p w:rsidR="00000000" w:rsidRDefault="00D04F4B">
      <w:pPr>
        <w:jc w:val="center"/>
        <w:divId w:val="1580627392"/>
        <w:rPr>
          <w:rFonts w:eastAsia="Times New Roman"/>
        </w:rPr>
      </w:pPr>
      <w:r>
        <w:rPr>
          <w:rFonts w:eastAsia="Times New Roman"/>
          <w:color w:val="000000"/>
          <w:sz w:val="20"/>
          <w:szCs w:val="20"/>
        </w:rPr>
        <w:t>See accompanying notes.</w:t>
      </w:r>
    </w:p>
    <w:p w:rsidR="00000000" w:rsidRDefault="00D04F4B">
      <w:pPr>
        <w:jc w:val="center"/>
        <w:divId w:val="1580627392"/>
        <w:rPr>
          <w:rFonts w:eastAsia="Times New Roman"/>
        </w:rPr>
      </w:pPr>
      <w:r>
        <w:rPr>
          <w:rFonts w:eastAsia="Times New Roman"/>
          <w:color w:val="000000"/>
          <w:sz w:val="20"/>
          <w:szCs w:val="20"/>
        </w:rPr>
        <w:t>F-6</w:t>
      </w:r>
    </w:p>
    <w:p w:rsidR="00000000" w:rsidRDefault="00D04F4B">
      <w:pPr>
        <w:rPr>
          <w:rFonts w:eastAsia="Times New Roman"/>
        </w:rPr>
      </w:pPr>
      <w:r>
        <w:rPr>
          <w:rFonts w:eastAsia="Times New Roman"/>
        </w:rPr>
        <w:pict>
          <v:rect id="_x0000_i1092" style="width:0;height:1.5pt" o:hralign="center" o:hrstd="t" o:hr="t" fillcolor="#a0a0a0" stroked="f"/>
        </w:pict>
      </w:r>
    </w:p>
    <w:p w:rsidR="00000000" w:rsidRDefault="00D04F4B">
      <w:pPr>
        <w:divId w:val="1053382117"/>
        <w:rPr>
          <w:rFonts w:eastAsia="Times New Roman"/>
        </w:rPr>
      </w:pPr>
    </w:p>
    <w:p w:rsidR="00000000" w:rsidRDefault="00D04F4B">
      <w:pPr>
        <w:jc w:val="center"/>
        <w:rPr>
          <w:rFonts w:eastAsia="Times New Roman"/>
        </w:rPr>
      </w:pPr>
      <w:r>
        <w:rPr>
          <w:rFonts w:eastAsia="Times New Roman"/>
          <w:b/>
          <w:bCs/>
          <w:color w:val="000000"/>
          <w:sz w:val="20"/>
          <w:szCs w:val="20"/>
        </w:rPr>
        <w:t>PUBLIC STORAGE</w:t>
      </w:r>
    </w:p>
    <w:p w:rsidR="00000000" w:rsidRDefault="00D04F4B">
      <w:pPr>
        <w:jc w:val="center"/>
        <w:rPr>
          <w:rFonts w:eastAsia="Times New Roman"/>
        </w:rPr>
      </w:pPr>
      <w:r>
        <w:rPr>
          <w:rFonts w:eastAsia="Times New Roman"/>
          <w:b/>
          <w:bCs/>
          <w:color w:val="000000"/>
          <w:sz w:val="20"/>
          <w:szCs w:val="20"/>
        </w:rPr>
        <w:t>CONSOLIDATED STATEMENTS OF EQUITY AND REDEEMABLE NONCONTROLLING INTERESTS</w:t>
      </w:r>
    </w:p>
    <w:p w:rsidR="00000000" w:rsidRDefault="00D04F4B">
      <w:pPr>
        <w:jc w:val="center"/>
        <w:rPr>
          <w:rFonts w:eastAsia="Times New Roman"/>
        </w:rPr>
      </w:pPr>
      <w:r>
        <w:rPr>
          <w:rFonts w:eastAsia="Times New Roman"/>
          <w:b/>
          <w:bCs/>
          <w:color w:val="000000"/>
          <w:sz w:val="20"/>
          <w:szCs w:val="20"/>
        </w:rPr>
        <w:t>(Amounts in thousands, except share and per share amounts)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137"/>
        <w:gridCol w:w="36"/>
        <w:gridCol w:w="110"/>
        <w:gridCol w:w="765"/>
        <w:gridCol w:w="36"/>
        <w:gridCol w:w="36"/>
        <w:gridCol w:w="36"/>
        <w:gridCol w:w="36"/>
        <w:gridCol w:w="110"/>
        <w:gridCol w:w="540"/>
        <w:gridCol w:w="36"/>
        <w:gridCol w:w="36"/>
        <w:gridCol w:w="36"/>
        <w:gridCol w:w="36"/>
        <w:gridCol w:w="110"/>
        <w:gridCol w:w="765"/>
        <w:gridCol w:w="36"/>
        <w:gridCol w:w="36"/>
        <w:gridCol w:w="36"/>
        <w:gridCol w:w="36"/>
        <w:gridCol w:w="112"/>
        <w:gridCol w:w="770"/>
        <w:gridCol w:w="36"/>
        <w:gridCol w:w="36"/>
        <w:gridCol w:w="36"/>
        <w:gridCol w:w="36"/>
        <w:gridCol w:w="131"/>
        <w:gridCol w:w="901"/>
        <w:gridCol w:w="36"/>
        <w:gridCol w:w="36"/>
        <w:gridCol w:w="36"/>
        <w:gridCol w:w="36"/>
        <w:gridCol w:w="110"/>
        <w:gridCol w:w="765"/>
        <w:gridCol w:w="36"/>
        <w:gridCol w:w="36"/>
        <w:gridCol w:w="36"/>
        <w:gridCol w:w="36"/>
        <w:gridCol w:w="127"/>
        <w:gridCol w:w="879"/>
        <w:gridCol w:w="36"/>
        <w:gridCol w:w="36"/>
        <w:gridCol w:w="36"/>
        <w:gridCol w:w="36"/>
        <w:gridCol w:w="110"/>
        <w:gridCol w:w="765"/>
        <w:gridCol w:w="36"/>
        <w:gridCol w:w="36"/>
        <w:gridCol w:w="36"/>
        <w:gridCol w:w="36"/>
        <w:gridCol w:w="127"/>
        <w:gridCol w:w="879"/>
        <w:gridCol w:w="36"/>
      </w:tblGrid>
      <w:tr w:rsidR="00000000">
        <w:trPr>
          <w:jc w:val="center"/>
        </w:trPr>
        <w:tc>
          <w:tcPr>
            <w:tcW w:w="50" w:type="pct"/>
            <w:vAlign w:val="center"/>
            <w:hideMark/>
          </w:tcPr>
          <w:p w:rsidR="00000000" w:rsidRDefault="00D04F4B">
            <w:pPr>
              <w:jc w:val="center"/>
              <w:rPr>
                <w:rFonts w:eastAsia="Times New Roman"/>
              </w:rPr>
            </w:pPr>
          </w:p>
        </w:tc>
        <w:tc>
          <w:tcPr>
            <w:tcW w:w="116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4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6"/>
                <w:szCs w:val="16"/>
              </w:rPr>
              <w:t>Redeemable Noncontrolling Interests</w:t>
            </w: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Net income allocated to noncontrolling interests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(4,014)</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(4,014)</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4,014 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D04F4B">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Preferred shareholders (Note 9)</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(207,068)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(207,068)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(207,068)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Noncontrolling interests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(5,366)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(5,366)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ind w:hanging="90"/>
              <w:divId w:val="2140872557"/>
              <w:rPr>
                <w:rFonts w:eastAsia="Times New Roman"/>
              </w:rPr>
            </w:pPr>
            <w:r>
              <w:rPr>
                <w:rFonts w:eastAsia="Times New Roman"/>
                <w:color w:val="000000"/>
                <w:sz w:val="18"/>
                <w:szCs w:val="18"/>
              </w:rPr>
              <w:t>Common shareholders and restricted share unitholders ($8.00 per share)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(1,399,361)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(1,399,361)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(1,399,361)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Other comprehensive income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21,489 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21,489 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21,489 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D04F4B">
            <w:pPr>
              <w:spacing w:after="100"/>
              <w:divId w:val="673847189"/>
              <w:rPr>
                <w:rFonts w:eastAsia="Times New Roman"/>
              </w:rPr>
            </w:pPr>
            <w:r>
              <w:rPr>
                <w:rFonts w:eastAsia="Times New Roman"/>
                <w:b/>
                <w:bCs/>
                <w:color w:val="000000"/>
                <w:sz w:val="18"/>
                <w:szCs w:val="18"/>
              </w:rPr>
              <w:t>Balances at December 31, 2020</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3,792,500 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17,458 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5,707,101 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(914,791)</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(43,401)</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8,558,867 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18,032 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8,576,899 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divId w:val="1039941137"/>
              <w:rPr>
                <w:rFonts w:eastAsia="Times New Roman"/>
              </w:rPr>
            </w:pPr>
            <w:r>
              <w:rPr>
                <w:rFonts w:eastAsia="Times New Roman"/>
                <w:color w:val="000000"/>
                <w:sz w:val="18"/>
                <w:szCs w:val="18"/>
              </w:rPr>
              <w:t xml:space="preserve">Issuance of 47,300 </w:t>
            </w:r>
            <w:r>
              <w:rPr>
                <w:rFonts w:eastAsia="Times New Roman"/>
                <w:color w:val="000000"/>
                <w:sz w:val="18"/>
                <w:szCs w:val="18"/>
              </w:rPr>
              <w:t xml:space="preserve">preferred shares (Note 9)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1,182,500 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(35,045)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1,147,455 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1,147,455 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ind w:hanging="90"/>
              <w:divId w:val="739182310"/>
              <w:rPr>
                <w:rFonts w:eastAsia="Times New Roman"/>
              </w:rPr>
            </w:pPr>
            <w:r>
              <w:rPr>
                <w:rFonts w:eastAsia="Times New Roman"/>
                <w:color w:val="000000"/>
                <w:sz w:val="18"/>
                <w:szCs w:val="18"/>
              </w:rPr>
              <w:t xml:space="preserve">Redemption of 35,000 preferred shares (Note 9)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(875,000)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(875,000)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w:t>
            </w:r>
            <w:r>
              <w:rPr>
                <w:rFonts w:eastAsia="Times New Roman"/>
                <w:color w:val="000000"/>
                <w:sz w:val="18"/>
                <w:szCs w:val="18"/>
              </w:rPr>
              <w:t>875,000)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ind w:hanging="90"/>
              <w:divId w:val="767238282"/>
              <w:rPr>
                <w:rFonts w:eastAsia="Times New Roman"/>
              </w:rPr>
            </w:pPr>
            <w:r>
              <w:rPr>
                <w:rFonts w:eastAsia="Times New Roman"/>
                <w:color w:val="000000"/>
                <w:sz w:val="18"/>
                <w:szCs w:val="18"/>
              </w:rPr>
              <w:t>Issuance of common shares in connection with share-based compensation (552,713 shares) (Note 11)</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95,805 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95,860 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95,860 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Share-based compensation expense, net of cash paid in lieu of common shares (Note 11)</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54,492 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54,492 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54,492 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Acquisition of noncontrolling interests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(686)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(686)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68,170 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1,959,639 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1,959,639 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1,959,639 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(6,376)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(6,376)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(470)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470 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D04F4B">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Preferred shareholders (Note 9)</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(186,579)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(186,579)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(186,579)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(6,271)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(6,271)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(391)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ind w:hanging="90"/>
              <w:divId w:val="1531452437"/>
              <w:rPr>
                <w:rFonts w:eastAsia="Times New Roman"/>
              </w:rPr>
            </w:pPr>
            <w:r>
              <w:rPr>
                <w:rFonts w:eastAsia="Times New Roman"/>
                <w:color w:val="000000"/>
                <w:sz w:val="18"/>
                <w:szCs w:val="18"/>
              </w:rPr>
              <w:t>Common shareholders and restricted share unitholders ($8.00 per share)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(1,402,309)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(1,402,309)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(1,402,309)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(10,186)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(10,186)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(10,186)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D04F4B">
            <w:pPr>
              <w:spacing w:after="100"/>
              <w:divId w:val="1910921929"/>
              <w:rPr>
                <w:rFonts w:eastAsia="Times New Roman"/>
              </w:rPr>
            </w:pPr>
            <w:r>
              <w:rPr>
                <w:rFonts w:eastAsia="Times New Roman"/>
                <w:b/>
                <w:bCs/>
                <w:color w:val="000000"/>
                <w:sz w:val="18"/>
                <w:szCs w:val="18"/>
              </w:rPr>
              <w:t>Balances at December 31, 2021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4,100,000 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17,513 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5,821,667 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(550,416)</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(53,587)</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9,335,177 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20,112 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9,355,289 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68,249 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divId w:val="181894949"/>
        <w:rPr>
          <w:rFonts w:eastAsia="Times New Roman"/>
        </w:rPr>
      </w:pPr>
    </w:p>
    <w:p w:rsidR="00000000" w:rsidRDefault="00D04F4B">
      <w:pPr>
        <w:jc w:val="center"/>
        <w:divId w:val="1445153175"/>
        <w:rPr>
          <w:rFonts w:eastAsia="Times New Roman"/>
        </w:rPr>
      </w:pPr>
      <w:r>
        <w:rPr>
          <w:rFonts w:eastAsia="Times New Roman"/>
          <w:color w:val="000000"/>
          <w:sz w:val="20"/>
          <w:szCs w:val="20"/>
        </w:rPr>
        <w:t>See accompanying notes.</w:t>
      </w:r>
    </w:p>
    <w:p w:rsidR="00000000" w:rsidRDefault="00D04F4B">
      <w:pPr>
        <w:jc w:val="center"/>
        <w:divId w:val="1445153175"/>
        <w:rPr>
          <w:rFonts w:eastAsia="Times New Roman"/>
        </w:rPr>
      </w:pPr>
      <w:r>
        <w:rPr>
          <w:rFonts w:eastAsia="Times New Roman"/>
          <w:color w:val="000000"/>
          <w:sz w:val="20"/>
          <w:szCs w:val="20"/>
        </w:rPr>
        <w:t>F-7</w:t>
      </w:r>
    </w:p>
    <w:p w:rsidR="00000000" w:rsidRDefault="00D04F4B">
      <w:pPr>
        <w:rPr>
          <w:rFonts w:eastAsia="Times New Roman"/>
        </w:rPr>
      </w:pPr>
      <w:r>
        <w:rPr>
          <w:rFonts w:eastAsia="Times New Roman"/>
        </w:rPr>
        <w:pict>
          <v:rect id="_x0000_i1093" style="width:0;height:1.5pt" o:hralign="center" o:hrstd="t" o:hr="t" fillcolor="#a0a0a0" stroked="f"/>
        </w:pict>
      </w:r>
    </w:p>
    <w:p w:rsidR="00000000" w:rsidRDefault="00D04F4B">
      <w:pPr>
        <w:divId w:val="1317300482"/>
        <w:rPr>
          <w:rFonts w:eastAsia="Times New Roman"/>
        </w:rPr>
      </w:pPr>
    </w:p>
    <w:p w:rsidR="00000000" w:rsidRDefault="00D04F4B">
      <w:pPr>
        <w:jc w:val="center"/>
        <w:rPr>
          <w:rFonts w:eastAsia="Times New Roman"/>
        </w:rPr>
      </w:pPr>
      <w:r>
        <w:rPr>
          <w:rFonts w:eastAsia="Times New Roman"/>
          <w:b/>
          <w:bCs/>
          <w:color w:val="000000"/>
          <w:sz w:val="20"/>
          <w:szCs w:val="20"/>
        </w:rPr>
        <w:t>PUBLIC STORAGE</w:t>
      </w:r>
    </w:p>
    <w:p w:rsidR="00000000" w:rsidRDefault="00D04F4B">
      <w:pPr>
        <w:jc w:val="center"/>
        <w:rPr>
          <w:rFonts w:eastAsia="Times New Roman"/>
        </w:rPr>
      </w:pPr>
      <w:r>
        <w:rPr>
          <w:rFonts w:eastAsia="Times New Roman"/>
          <w:b/>
          <w:bCs/>
          <w:color w:val="000000"/>
          <w:sz w:val="20"/>
          <w:szCs w:val="20"/>
        </w:rPr>
        <w:t>CONSOLIDATED STATEMENTS OF CASH FLOWS</w:t>
      </w:r>
    </w:p>
    <w:p w:rsidR="00000000" w:rsidRDefault="00D04F4B">
      <w:pPr>
        <w:jc w:val="center"/>
        <w:rPr>
          <w:rFonts w:eastAsia="Times New Roman"/>
        </w:rPr>
      </w:pPr>
      <w:r>
        <w:rPr>
          <w:rFonts w:eastAsia="Times New Roman"/>
          <w:b/>
          <w:bCs/>
          <w:color w:val="000000"/>
          <w:sz w:val="20"/>
          <w:szCs w:val="20"/>
        </w:rPr>
        <w:t>(Amounts in thousands)</w:t>
      </w:r>
    </w:p>
    <w:p w:rsidR="00000000" w:rsidRDefault="00D04F4B">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4723"/>
        <w:gridCol w:w="40"/>
        <w:gridCol w:w="110"/>
        <w:gridCol w:w="972"/>
        <w:gridCol w:w="36"/>
        <w:gridCol w:w="36"/>
        <w:gridCol w:w="36"/>
        <w:gridCol w:w="36"/>
        <w:gridCol w:w="110"/>
        <w:gridCol w:w="938"/>
        <w:gridCol w:w="36"/>
        <w:gridCol w:w="36"/>
        <w:gridCol w:w="36"/>
        <w:gridCol w:w="36"/>
        <w:gridCol w:w="110"/>
        <w:gridCol w:w="938"/>
        <w:gridCol w:w="36"/>
      </w:tblGrid>
      <w:tr w:rsidR="00000000">
        <w:trPr>
          <w:divId w:val="682779943"/>
        </w:trPr>
        <w:tc>
          <w:tcPr>
            <w:tcW w:w="50" w:type="pct"/>
            <w:vAlign w:val="center"/>
            <w:hideMark/>
          </w:tcPr>
          <w:p w:rsidR="00000000" w:rsidRDefault="00D04F4B">
            <w:pPr>
              <w:jc w:val="center"/>
              <w:rPr>
                <w:rFonts w:eastAsia="Times New Roman"/>
              </w:rPr>
            </w:pPr>
          </w:p>
        </w:tc>
        <w:tc>
          <w:tcPr>
            <w:tcW w:w="286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68277994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For the Years Ended December 31,</w:t>
            </w:r>
          </w:p>
        </w:tc>
      </w:tr>
      <w:tr w:rsidR="00000000">
        <w:trPr>
          <w:divId w:val="68277994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2019</w:t>
            </w:r>
          </w:p>
        </w:tc>
      </w:tr>
      <w:tr w:rsidR="00000000">
        <w:trPr>
          <w:divId w:val="68277994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Cash flows from operating activities: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82779943"/>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Net income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1,959,639 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1,361,227 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1,525,651 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3"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Adjustments to reconcile net income to net cash flows from operating activities:</w:t>
            </w:r>
          </w:p>
        </w:tc>
        <w:tc>
          <w:tcPr>
            <w:tcW w:w="0" w:type="auto"/>
            <w:gridSpan w:val="3"/>
            <w:tcMar>
              <w:top w:w="0" w:type="dxa"/>
              <w:left w:w="20" w:type="dxa"/>
              <w:bottom w:w="0" w:type="dxa"/>
              <w:right w:w="20" w:type="dxa"/>
            </w:tcMar>
            <w:vAlign w:val="center"/>
            <w:hideMark/>
          </w:tcPr>
          <w:p w:rsidR="00000000" w:rsidRDefault="00D04F4B">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Gain on sale of real estate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(13,683)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(1,493)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713,428 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553,257 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512,918 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Equity in earnings of unconsolidated real estate entities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(232,093)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(80,497)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(69,547)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443"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Distributions from cumulative equity in earnings of unconsolidated real estate entities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150,488 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72,098 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73,259 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Foreign currency exchange (gain) loss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(111,787)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97,953 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(7,829)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Share-based compensation expense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59,815 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33,363 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25,833 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Other </w:t>
            </w:r>
          </w:p>
        </w:tc>
        <w:tc>
          <w:tcPr>
            <w:tcW w:w="0" w:type="auto"/>
            <w:gridSpan w:val="2"/>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17,748 </w:t>
            </w:r>
          </w:p>
        </w:tc>
        <w:tc>
          <w:tcPr>
            <w:tcW w:w="0" w:type="auto"/>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7,690 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56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Total adjustments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583,916 </w:t>
            </w:r>
          </w:p>
        </w:tc>
        <w:tc>
          <w:tcPr>
            <w:tcW w:w="0" w:type="auto"/>
            <w:tcBorders>
              <w:top w:val="single" w:sz="8" w:space="0" w:color="000000"/>
            </w:tcBorders>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681,675 </w:t>
            </w:r>
          </w:p>
        </w:tc>
        <w:tc>
          <w:tcPr>
            <w:tcW w:w="0" w:type="auto"/>
            <w:tcBorders>
              <w:top w:val="single" w:sz="8" w:space="0" w:color="000000"/>
            </w:tcBorders>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541,983 </w:t>
            </w:r>
          </w:p>
        </w:tc>
        <w:tc>
          <w:tcPr>
            <w:tcW w:w="0" w:type="auto"/>
            <w:tcBorders>
              <w:top w:val="single" w:sz="8" w:space="0" w:color="000000"/>
            </w:tcBorders>
            <w:tcMar>
              <w:top w:w="30" w:type="dxa"/>
              <w:left w:w="0" w:type="dxa"/>
              <w:bottom w:w="30" w:type="dxa"/>
              <w:right w:w="20" w:type="dxa"/>
            </w:tcMar>
            <w:vAlign w:val="center"/>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44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Net cash flows from operating activities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2,543,555 </w:t>
            </w:r>
          </w:p>
        </w:tc>
        <w:tc>
          <w:tcPr>
            <w:tcW w:w="0" w:type="auto"/>
            <w:tcBorders>
              <w:top w:val="single" w:sz="8" w:space="0" w:color="000000"/>
            </w:tcBorders>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2,042,902 </w:t>
            </w:r>
          </w:p>
        </w:tc>
        <w:tc>
          <w:tcPr>
            <w:tcW w:w="0" w:type="auto"/>
            <w:tcBorders>
              <w:top w:val="single" w:sz="8" w:space="0" w:color="000000"/>
            </w:tcBorders>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2,067,634 </w:t>
            </w:r>
          </w:p>
        </w:tc>
        <w:tc>
          <w:tcPr>
            <w:tcW w:w="0" w:type="auto"/>
            <w:tcBorders>
              <w:top w:val="single" w:sz="8" w:space="0" w:color="000000"/>
            </w:tcBorders>
            <w:tcMar>
              <w:top w:w="30" w:type="dxa"/>
              <w:left w:w="0" w:type="dxa"/>
              <w:bottom w:w="30" w:type="dxa"/>
              <w:right w:w="20" w:type="dxa"/>
            </w:tcMar>
            <w:vAlign w:val="center"/>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Cash flows from investing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Capital expenditures to maintain real estate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(270,238)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(169,998)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(187,303)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Development and expansion of real estate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(281,981)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(189,413)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(284,682)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Acquisition of real estate facilities and intangible assets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(5,047,106)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(792,266)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(437,758)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443"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Distributions in excess of cumulative equity in earnings from unconsolidated real estate entities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19,518 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24,658 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11,630 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Repayment of note receivable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7,509 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Proceeds from sale of real estate investments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16,296 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44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Net cash flows used in investing activities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(5,563,511)</w:t>
            </w:r>
          </w:p>
        </w:tc>
        <w:tc>
          <w:tcPr>
            <w:tcW w:w="0" w:type="auto"/>
            <w:tcBorders>
              <w:top w:val="single" w:sz="8" w:space="0" w:color="000000"/>
            </w:tcBorders>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(1,117,714)</w:t>
            </w:r>
          </w:p>
        </w:tc>
        <w:tc>
          <w:tcPr>
            <w:tcW w:w="0" w:type="auto"/>
            <w:tcBorders>
              <w:top w:val="single" w:sz="8" w:space="0" w:color="000000"/>
            </w:tcBorders>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(897,351)</w:t>
            </w:r>
          </w:p>
        </w:tc>
        <w:tc>
          <w:tcPr>
            <w:tcW w:w="0" w:type="auto"/>
            <w:tcBorders>
              <w:top w:val="single" w:sz="8" w:space="0" w:color="000000"/>
            </w:tcBorders>
            <w:tcMar>
              <w:top w:w="30" w:type="dxa"/>
              <w:left w:w="0" w:type="dxa"/>
              <w:bottom w:w="30" w:type="dxa"/>
              <w:right w:w="20" w:type="dxa"/>
            </w:tcMar>
            <w:vAlign w:val="center"/>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Cash flows from financing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Repayments on notes payable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(2,218)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(2,020)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(1,920)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Issuance of notes payable, net of issuance costs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5,038,904 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545,151 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496,900 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Issuance of preferred shares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1,147,455 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1,208,206 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1,059,156 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Issuance of common shares in connection with share-based compensation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95,860 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12,664 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33,564 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Redemption of preferred shares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(1,175,000)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(1,220,000)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(1,050,000)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Cash paid upon vesting of restricted share units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(13,069)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(10,518)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(12,162)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Acquisition of noncontrolling interests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(35,000)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Contributions by noncontrolling interests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4,148 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443"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Distributions paid to preferred shareholders, common shareholders and restricted share unitholders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(1,588,888)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(1,606,429)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(1,608,749)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Distributions paid to noncontrolling interests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(6,662)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(5,366)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(6,672)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44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Net cash flows provided by (used in) financing activities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3,498,141 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(1,075,716)</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(1,120,735)</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Net cash flows from (used in) operating, investing, and financing activities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478,185 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(150,528)</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49,548 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14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Net effect of foreign exchange impact on cash and equivalents, including restricted cash</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(426)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82779943"/>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Increase (decrease) in cash and equivalents, including restricted cash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478,690 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(150,954)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49,535 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jc w:val="center"/>
        <w:divId w:val="1110585359"/>
        <w:rPr>
          <w:rFonts w:eastAsia="Times New Roman"/>
        </w:rPr>
      </w:pPr>
      <w:r>
        <w:rPr>
          <w:rFonts w:eastAsia="Times New Roman"/>
          <w:color w:val="000000"/>
          <w:sz w:val="20"/>
          <w:szCs w:val="20"/>
        </w:rPr>
        <w:t>See accompanying notes.</w:t>
      </w:r>
    </w:p>
    <w:p w:rsidR="00000000" w:rsidRDefault="00D04F4B">
      <w:pPr>
        <w:jc w:val="center"/>
        <w:divId w:val="1110585359"/>
        <w:rPr>
          <w:rFonts w:eastAsia="Times New Roman"/>
        </w:rPr>
      </w:pPr>
      <w:r>
        <w:rPr>
          <w:rFonts w:eastAsia="Times New Roman"/>
          <w:color w:val="000000"/>
          <w:sz w:val="20"/>
          <w:szCs w:val="20"/>
        </w:rPr>
        <w:t>F-8</w:t>
      </w:r>
    </w:p>
    <w:p w:rsidR="00000000" w:rsidRDefault="00D04F4B">
      <w:pPr>
        <w:rPr>
          <w:rFonts w:eastAsia="Times New Roman"/>
        </w:rPr>
      </w:pPr>
      <w:r>
        <w:rPr>
          <w:rFonts w:eastAsia="Times New Roman"/>
        </w:rPr>
        <w:pict>
          <v:rect id="_x0000_i1094" style="width:0;height:1.5pt" o:hralign="center" o:hrstd="t" o:hr="t" fillcolor="#a0a0a0" stroked="f"/>
        </w:pict>
      </w:r>
    </w:p>
    <w:p w:rsidR="00000000" w:rsidRDefault="00D04F4B">
      <w:pPr>
        <w:divId w:val="215972402"/>
        <w:rPr>
          <w:rFonts w:eastAsia="Times New Roman"/>
        </w:rPr>
      </w:pPr>
    </w:p>
    <w:p w:rsidR="00000000" w:rsidRDefault="00D04F4B">
      <w:pPr>
        <w:jc w:val="center"/>
        <w:rPr>
          <w:rFonts w:eastAsia="Times New Roman"/>
        </w:rPr>
      </w:pPr>
      <w:r>
        <w:rPr>
          <w:rFonts w:eastAsia="Times New Roman"/>
          <w:b/>
          <w:bCs/>
          <w:color w:val="000000"/>
          <w:sz w:val="20"/>
          <w:szCs w:val="20"/>
        </w:rPr>
        <w:t>PUBLIC STORAGE</w:t>
      </w:r>
    </w:p>
    <w:p w:rsidR="00000000" w:rsidRDefault="00D04F4B">
      <w:pPr>
        <w:jc w:val="center"/>
        <w:rPr>
          <w:rFonts w:eastAsia="Times New Roman"/>
        </w:rPr>
      </w:pPr>
      <w:r>
        <w:rPr>
          <w:rFonts w:eastAsia="Times New Roman"/>
          <w:b/>
          <w:bCs/>
          <w:color w:val="000000"/>
          <w:sz w:val="20"/>
          <w:szCs w:val="20"/>
        </w:rPr>
        <w:t>CONSOLIDATED STATEMENTS OF CASH FLOWS</w:t>
      </w:r>
    </w:p>
    <w:p w:rsidR="00000000" w:rsidRDefault="00D04F4B">
      <w:pPr>
        <w:jc w:val="center"/>
        <w:rPr>
          <w:rFonts w:eastAsia="Times New Roman"/>
        </w:rPr>
      </w:pPr>
      <w:r>
        <w:rPr>
          <w:rFonts w:eastAsia="Times New Roman"/>
          <w:b/>
          <w:bCs/>
          <w:color w:val="000000"/>
          <w:sz w:val="20"/>
          <w:szCs w:val="20"/>
        </w:rPr>
        <w:t>(Amounts in thousands)</w:t>
      </w:r>
    </w:p>
    <w:p w:rsidR="00000000" w:rsidRDefault="00D04F4B">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38"/>
        <w:gridCol w:w="38"/>
        <w:gridCol w:w="110"/>
        <w:gridCol w:w="960"/>
        <w:gridCol w:w="36"/>
        <w:gridCol w:w="36"/>
        <w:gridCol w:w="36"/>
        <w:gridCol w:w="36"/>
        <w:gridCol w:w="110"/>
        <w:gridCol w:w="938"/>
        <w:gridCol w:w="36"/>
        <w:gridCol w:w="36"/>
        <w:gridCol w:w="36"/>
        <w:gridCol w:w="36"/>
        <w:gridCol w:w="110"/>
        <w:gridCol w:w="938"/>
        <w:gridCol w:w="36"/>
      </w:tblGrid>
      <w:tr w:rsidR="00000000">
        <w:trPr>
          <w:jc w:val="center"/>
        </w:trPr>
        <w:tc>
          <w:tcPr>
            <w:tcW w:w="50" w:type="pct"/>
            <w:vAlign w:val="center"/>
            <w:hideMark/>
          </w:tcPr>
          <w:p w:rsidR="00000000" w:rsidRDefault="00D04F4B">
            <w:pPr>
              <w:jc w:val="center"/>
              <w:rPr>
                <w:rFonts w:eastAsia="Times New Roman"/>
              </w:rPr>
            </w:pPr>
          </w:p>
        </w:tc>
        <w:tc>
          <w:tcPr>
            <w:tcW w:w="287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For the Years Ended December 31,</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18"/>
                <w:szCs w:val="18"/>
              </w:rPr>
              <w:t>2019</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Cash and equivalents, including restricted cash at beginning of the period: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Cash and equivalents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257,560 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409,743 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361,218 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Restricted cash included in other assets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25,040 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23,811 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22,801 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282,600 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433,554 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384,019 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Cash and equivalents, including restricted cash at end of the period: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Cash and equivalents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734,599 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257,560 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409,743 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Restricted cash included in other assets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26,691 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25,040 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23,811 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761,290 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282,600 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433,554 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color w:val="000000"/>
                <w:sz w:val="18"/>
                <w:szCs w:val="18"/>
              </w:rPr>
              <w:t>Supplemental schedule of non-cash investing and financing activities: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Costs incurred during the period remaining unpaid at period end for:</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xml:space="preserve">Capital expenditures to maintain real estate facilities </w:t>
            </w:r>
          </w:p>
        </w:tc>
        <w:tc>
          <w:tcPr>
            <w:tcW w:w="0" w:type="auto"/>
            <w:tcMar>
              <w:top w:w="30" w:type="dxa"/>
              <w:left w:w="20" w:type="dxa"/>
              <w:bottom w:w="30" w:type="dxa"/>
              <w:right w:w="0" w:type="dxa"/>
            </w:tcMar>
            <w:vAlign w:val="center"/>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(23,398)</w:t>
            </w:r>
          </w:p>
        </w:tc>
        <w:tc>
          <w:tcPr>
            <w:tcW w:w="0" w:type="auto"/>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(10,359)</w:t>
            </w:r>
          </w:p>
        </w:tc>
        <w:tc>
          <w:tcPr>
            <w:tcW w:w="0" w:type="auto"/>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(16,558)</w:t>
            </w:r>
          </w:p>
        </w:tc>
        <w:tc>
          <w:tcPr>
            <w:tcW w:w="0" w:type="auto"/>
            <w:tcMar>
              <w:top w:w="30" w:type="dxa"/>
              <w:left w:w="0" w:type="dxa"/>
              <w:bottom w:w="30" w:type="dxa"/>
              <w:right w:w="20" w:type="dxa"/>
            </w:tcMar>
            <w:vAlign w:val="center"/>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12"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Construction or expansion of real estate facilities</w:t>
            </w:r>
          </w:p>
        </w:tc>
        <w:tc>
          <w:tcPr>
            <w:tcW w:w="0" w:type="auto"/>
            <w:gridSpan w:val="2"/>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(50,051)</w:t>
            </w:r>
          </w:p>
        </w:tc>
        <w:tc>
          <w:tcPr>
            <w:tcW w:w="0" w:type="auto"/>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(32,349)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(32,356)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Real estate acquired in exchange for noncontrolling interests</w:t>
            </w:r>
          </w:p>
        </w:tc>
        <w:tc>
          <w:tcPr>
            <w:tcW w:w="0" w:type="auto"/>
            <w:gridSpan w:val="2"/>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(68,170)</w:t>
            </w:r>
          </w:p>
        </w:tc>
        <w:tc>
          <w:tcPr>
            <w:tcW w:w="0" w:type="auto"/>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Real estate acquired in exchange for consideration payable</w:t>
            </w:r>
          </w:p>
        </w:tc>
        <w:tc>
          <w:tcPr>
            <w:tcW w:w="0" w:type="auto"/>
            <w:gridSpan w:val="2"/>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(3,799)</w:t>
            </w:r>
          </w:p>
        </w:tc>
        <w:tc>
          <w:tcPr>
            <w:tcW w:w="0" w:type="auto"/>
            <w:tcMar>
              <w:top w:w="30" w:type="dxa"/>
              <w:left w:w="0" w:type="dxa"/>
              <w:bottom w:w="3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04F4B">
            <w:pPr>
              <w:spacing w:after="100"/>
              <w:jc w:val="right"/>
              <w:rPr>
                <w:rFonts w:eastAsia="Times New Roman"/>
              </w:rPr>
            </w:pPr>
            <w:r>
              <w:rPr>
                <w:rFonts w:eastAsia="Times New Roman"/>
                <w:color w:val="000000"/>
                <w:sz w:val="18"/>
                <w:szCs w:val="18"/>
              </w:rPr>
              <w:t>(1,817)</w:t>
            </w:r>
          </w:p>
        </w:tc>
        <w:tc>
          <w:tcPr>
            <w:tcW w:w="0" w:type="auto"/>
            <w:tcMar>
              <w:top w:w="30" w:type="dxa"/>
              <w:left w:w="0" w:type="dxa"/>
              <w:bottom w:w="30" w:type="dxa"/>
              <w:right w:w="20" w:type="dxa"/>
            </w:tcMar>
            <w:vAlign w:val="center"/>
            <w:hideMark/>
          </w:tcPr>
          <w:p w:rsidR="00000000" w:rsidRDefault="00D04F4B">
            <w:pPr>
              <w:spacing w:after="100"/>
              <w:jc w:val="right"/>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Preferred shares called for redemption and reclassified to liabilities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300,000 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bl>
    <w:p w:rsidR="00000000" w:rsidRDefault="00D04F4B">
      <w:pPr>
        <w:divId w:val="1487546358"/>
        <w:rPr>
          <w:rFonts w:eastAsia="Times New Roman"/>
        </w:rPr>
      </w:pPr>
    </w:p>
    <w:p w:rsidR="00000000" w:rsidRDefault="00D04F4B">
      <w:pPr>
        <w:jc w:val="center"/>
        <w:divId w:val="294795350"/>
        <w:rPr>
          <w:rFonts w:eastAsia="Times New Roman"/>
        </w:rPr>
      </w:pPr>
      <w:r>
        <w:rPr>
          <w:rFonts w:eastAsia="Times New Roman"/>
          <w:color w:val="000000"/>
          <w:sz w:val="20"/>
          <w:szCs w:val="20"/>
        </w:rPr>
        <w:t>See accompanying notes.</w:t>
      </w:r>
    </w:p>
    <w:p w:rsidR="00000000" w:rsidRDefault="00D04F4B">
      <w:pPr>
        <w:jc w:val="center"/>
        <w:divId w:val="294795350"/>
        <w:rPr>
          <w:rFonts w:eastAsia="Times New Roman"/>
        </w:rPr>
      </w:pPr>
      <w:r>
        <w:rPr>
          <w:rFonts w:eastAsia="Times New Roman"/>
          <w:color w:val="000000"/>
          <w:sz w:val="20"/>
          <w:szCs w:val="20"/>
        </w:rPr>
        <w:t>F-9</w:t>
      </w:r>
    </w:p>
    <w:p w:rsidR="00000000" w:rsidRDefault="00D04F4B">
      <w:pPr>
        <w:rPr>
          <w:rFonts w:eastAsia="Times New Roman"/>
        </w:rPr>
      </w:pPr>
      <w:r>
        <w:rPr>
          <w:rFonts w:eastAsia="Times New Roman"/>
        </w:rPr>
        <w:pict>
          <v:rect id="_x0000_i1095" style="width:0;height:1.5pt" o:hralign="center" o:hrstd="t" o:hr="t" fillcolor="#a0a0a0" stroked="f"/>
        </w:pict>
      </w:r>
    </w:p>
    <w:p w:rsidR="00000000" w:rsidRDefault="00D04F4B">
      <w:pPr>
        <w:jc w:val="center"/>
        <w:divId w:val="2115126226"/>
        <w:rPr>
          <w:rFonts w:eastAsia="Times New Roman"/>
        </w:rPr>
      </w:pPr>
    </w:p>
    <w:p w:rsidR="00000000" w:rsidRDefault="00D04F4B">
      <w:pPr>
        <w:jc w:val="center"/>
        <w:divId w:val="2115126226"/>
        <w:rPr>
          <w:rFonts w:eastAsia="Times New Roman"/>
        </w:rPr>
      </w:pPr>
      <w:r>
        <w:rPr>
          <w:rFonts w:eastAsia="Times New Roman"/>
          <w:b/>
          <w:bCs/>
          <w:color w:val="000000"/>
          <w:sz w:val="20"/>
          <w:szCs w:val="20"/>
        </w:rPr>
        <w:t>PUBLIC STORAGE</w:t>
      </w:r>
    </w:p>
    <w:p w:rsidR="00000000" w:rsidRDefault="00D04F4B">
      <w:pPr>
        <w:jc w:val="center"/>
        <w:divId w:val="2115126226"/>
        <w:rPr>
          <w:rFonts w:eastAsia="Times New Roman"/>
        </w:rPr>
      </w:pPr>
      <w:r>
        <w:rPr>
          <w:rFonts w:eastAsia="Times New Roman"/>
          <w:b/>
          <w:bCs/>
          <w:color w:val="000000"/>
          <w:sz w:val="20"/>
          <w:szCs w:val="20"/>
        </w:rPr>
        <w:t>NOTES TO FINANCIAL STATEMENTS</w:t>
      </w:r>
    </w:p>
    <w:p w:rsidR="00000000" w:rsidRDefault="00D04F4B">
      <w:pPr>
        <w:jc w:val="center"/>
        <w:divId w:val="2115126226"/>
        <w:rPr>
          <w:rFonts w:eastAsia="Times New Roman"/>
        </w:rPr>
      </w:pPr>
      <w:r>
        <w:rPr>
          <w:rFonts w:eastAsia="Times New Roman"/>
          <w:b/>
          <w:bCs/>
          <w:color w:val="000000"/>
          <w:sz w:val="20"/>
          <w:szCs w:val="20"/>
        </w:rPr>
        <w:t>December 31, 2021</w:t>
      </w:r>
    </w:p>
    <w:p w:rsidR="00000000" w:rsidRDefault="00D04F4B">
      <w:pPr>
        <w:jc w:val="center"/>
        <w:divId w:val="2115126226"/>
        <w:rPr>
          <w:rFonts w:eastAsia="Times New Roman"/>
        </w:rPr>
      </w:pPr>
    </w:p>
    <w:p w:rsidR="00000000" w:rsidRDefault="00D04F4B">
      <w:pPr>
        <w:divId w:val="1704330102"/>
        <w:rPr>
          <w:rFonts w:eastAsia="Times New Roman"/>
        </w:rPr>
      </w:pPr>
    </w:p>
    <w:p w:rsidR="00000000" w:rsidRDefault="00D04F4B">
      <w:pPr>
        <w:ind w:hanging="360"/>
        <w:divId w:val="1567062474"/>
        <w:rPr>
          <w:rFonts w:eastAsia="Times New Roman"/>
        </w:rPr>
      </w:pPr>
      <w:r>
        <w:rPr>
          <w:rFonts w:eastAsia="Times New Roman"/>
          <w:color w:val="000000"/>
          <w:sz w:val="20"/>
          <w:szCs w:val="20"/>
        </w:rPr>
        <w:t>1.</w:t>
      </w:r>
      <w:r>
        <w:rPr>
          <w:rFonts w:eastAsia="Times New Roman"/>
          <w:color w:val="000000"/>
          <w:sz w:val="20"/>
          <w:szCs w:val="20"/>
          <w:u w:val="single"/>
        </w:rPr>
        <w:t>Description of the Business</w:t>
      </w:r>
    </w:p>
    <w:p w:rsidR="00000000" w:rsidRDefault="00D04F4B">
      <w:pPr>
        <w:ind w:firstLine="720"/>
        <w:jc w:val="both"/>
        <w:divId w:val="1777290339"/>
        <w:rPr>
          <w:rFonts w:eastAsia="Times New Roman"/>
        </w:rPr>
      </w:pPr>
      <w:r>
        <w:rPr>
          <w:rFonts w:eastAsia="Times New Roman"/>
          <w:color w:val="000000"/>
          <w:sz w:val="20"/>
          <w:szCs w:val="20"/>
        </w:rPr>
        <w:t>Public Storage (referred to herein as “the Company,” “we,” “us,” or “our”), a Maryland real estate investment trust (“REI</w:t>
      </w:r>
      <w:r>
        <w:rPr>
          <w:rFonts w:eastAsia="Times New Roman"/>
          <w:color w:val="000000"/>
          <w:sz w:val="20"/>
          <w:szCs w:val="20"/>
        </w:rPr>
        <w:t xml:space="preserve">T”), was organized in 1980. Our principal business activities include the ownership and operation of self-storage facilities that offer storage spaces for lease, generally on a month-to-month basis, for personal and business use, ancillary activities such </w:t>
      </w:r>
      <w:r>
        <w:rPr>
          <w:rFonts w:eastAsia="Times New Roman"/>
          <w:color w:val="000000"/>
          <w:sz w:val="20"/>
          <w:szCs w:val="20"/>
        </w:rPr>
        <w:t xml:space="preserve">as tenant loss reinsurance, merchandise sales, and third party management, as well as the acquisition and development of additional self-storage space. </w:t>
      </w:r>
    </w:p>
    <w:p w:rsidR="00000000" w:rsidRDefault="00D04F4B">
      <w:pPr>
        <w:ind w:firstLine="720"/>
        <w:jc w:val="both"/>
        <w:divId w:val="161897521"/>
        <w:rPr>
          <w:rFonts w:eastAsia="Times New Roman"/>
        </w:rPr>
      </w:pPr>
      <w:r>
        <w:rPr>
          <w:rFonts w:eastAsia="Times New Roman"/>
          <w:color w:val="000000"/>
          <w:sz w:val="20"/>
          <w:szCs w:val="20"/>
        </w:rPr>
        <w:t>At December 31, 2021, we have direct and indirect equity interests in 2,787 self-storage facilities (wi</w:t>
      </w:r>
      <w:r>
        <w:rPr>
          <w:rFonts w:eastAsia="Times New Roman"/>
          <w:color w:val="000000"/>
          <w:sz w:val="20"/>
          <w:szCs w:val="20"/>
        </w:rPr>
        <w:t xml:space="preserve">th approximately 198.3 million net rentable square feet) located in 39 states in the United States (“U.S.”) operating under the Public Storage® name, and 0.8 million net rentable square feet of commercial and retail space. </w:t>
      </w:r>
    </w:p>
    <w:p w:rsidR="00000000" w:rsidRDefault="00D04F4B">
      <w:pPr>
        <w:ind w:firstLine="720"/>
        <w:jc w:val="both"/>
        <w:divId w:val="1780173802"/>
        <w:rPr>
          <w:rFonts w:eastAsia="Times New Roman"/>
        </w:rPr>
      </w:pPr>
      <w:r>
        <w:rPr>
          <w:rFonts w:eastAsia="Times New Roman"/>
          <w:color w:val="000000"/>
          <w:sz w:val="20"/>
          <w:szCs w:val="20"/>
        </w:rPr>
        <w:t>We own an approximate 35% common</w:t>
      </w:r>
      <w:r>
        <w:rPr>
          <w:rFonts w:eastAsia="Times New Roman"/>
          <w:color w:val="000000"/>
          <w:sz w:val="20"/>
          <w:szCs w:val="20"/>
        </w:rPr>
        <w:t xml:space="preserve"> equity interest in Shurgard Self Storage SA (“Shurgard”), a public company traded on Euronext Brussels under the “SHUR” symbol, which owns 253 self-storage facilities (with approximately 14 million net rentable square feet) located in seven Western Europe</w:t>
      </w:r>
      <w:r>
        <w:rPr>
          <w:rFonts w:eastAsia="Times New Roman"/>
          <w:color w:val="000000"/>
          <w:sz w:val="20"/>
          <w:szCs w:val="20"/>
        </w:rPr>
        <w:t>an countries, all operating under the Shurgard® name. We also own an approximate 41% common equity interest in PS Business Parks, Inc. (“PSB”), a REIT traded on the New York Stock Exchange under the “PSB” symbol, which owns 28 million net rentable square f</w:t>
      </w:r>
      <w:r>
        <w:rPr>
          <w:rFonts w:eastAsia="Times New Roman"/>
          <w:color w:val="000000"/>
          <w:sz w:val="20"/>
          <w:szCs w:val="20"/>
        </w:rPr>
        <w:t>eet of commercial properties, primarily multi-tenant industrial, flex, and office space, located in six states.</w:t>
      </w:r>
    </w:p>
    <w:p w:rsidR="00000000" w:rsidRDefault="00D04F4B">
      <w:pPr>
        <w:ind w:firstLine="720"/>
        <w:jc w:val="both"/>
        <w:divId w:val="2000881166"/>
        <w:rPr>
          <w:rFonts w:eastAsia="Times New Roman"/>
        </w:rPr>
      </w:pPr>
      <w:r>
        <w:rPr>
          <w:rFonts w:eastAsia="Times New Roman"/>
          <w:color w:val="000000"/>
          <w:sz w:val="20"/>
          <w:szCs w:val="20"/>
        </w:rPr>
        <w:t>Disclosures of the number and square footage of facilities, as well as the number and coverage of tenant reinsurance policies (Note 14) are unau</w:t>
      </w:r>
      <w:r>
        <w:rPr>
          <w:rFonts w:eastAsia="Times New Roman"/>
          <w:color w:val="000000"/>
          <w:sz w:val="20"/>
          <w:szCs w:val="20"/>
        </w:rPr>
        <w:t xml:space="preserve">dited and outside the scope of our independent registered public accounting firm’s audit of our financial statements in accordance with the standards of the Public Company Accounting Oversight Board (U.S.). </w:t>
      </w:r>
    </w:p>
    <w:p w:rsidR="00000000" w:rsidRDefault="00D04F4B">
      <w:pPr>
        <w:ind w:hanging="360"/>
        <w:divId w:val="1346517508"/>
        <w:rPr>
          <w:rFonts w:eastAsia="Times New Roman"/>
        </w:rPr>
      </w:pPr>
      <w:r>
        <w:rPr>
          <w:rFonts w:eastAsia="Times New Roman"/>
          <w:color w:val="000000"/>
          <w:sz w:val="20"/>
          <w:szCs w:val="20"/>
        </w:rPr>
        <w:t>2.</w:t>
      </w:r>
      <w:r>
        <w:rPr>
          <w:rFonts w:eastAsia="Times New Roman"/>
          <w:color w:val="000000"/>
          <w:sz w:val="20"/>
          <w:szCs w:val="20"/>
          <w:u w:val="single"/>
        </w:rPr>
        <w:t>Basis of Presentation and Summary of Significa</w:t>
      </w:r>
      <w:r>
        <w:rPr>
          <w:rFonts w:eastAsia="Times New Roman"/>
          <w:color w:val="000000"/>
          <w:sz w:val="20"/>
          <w:szCs w:val="20"/>
          <w:u w:val="single"/>
        </w:rPr>
        <w:t>nt Accounting Policies</w:t>
      </w:r>
    </w:p>
    <w:p w:rsidR="00000000" w:rsidRDefault="00D04F4B">
      <w:pPr>
        <w:jc w:val="both"/>
        <w:divId w:val="1060134655"/>
        <w:rPr>
          <w:rFonts w:eastAsia="Times New Roman"/>
        </w:rPr>
      </w:pPr>
      <w:r>
        <w:rPr>
          <w:rFonts w:eastAsia="Times New Roman"/>
          <w:color w:val="000000"/>
          <w:sz w:val="20"/>
          <w:szCs w:val="20"/>
          <w:u w:val="single"/>
        </w:rPr>
        <w:t>Basis of Presentation</w:t>
      </w:r>
    </w:p>
    <w:p w:rsidR="00000000" w:rsidRDefault="00D04F4B">
      <w:pPr>
        <w:ind w:firstLine="720"/>
        <w:jc w:val="both"/>
        <w:divId w:val="30882004"/>
        <w:rPr>
          <w:rFonts w:eastAsia="Times New Roman"/>
        </w:rPr>
      </w:pPr>
      <w:r>
        <w:rPr>
          <w:rFonts w:eastAsia="Times New Roman"/>
          <w:color w:val="000000"/>
          <w:sz w:val="20"/>
          <w:szCs w:val="20"/>
        </w:rPr>
        <w:t>The consolidated financial statements are presented on an accrual basis in accordance with U.S. generally accepted accounting principles (“GAAP”) as set forth in the Accounting Standards Codification of the Fina</w:t>
      </w:r>
      <w:r>
        <w:rPr>
          <w:rFonts w:eastAsia="Times New Roman"/>
          <w:color w:val="000000"/>
          <w:sz w:val="20"/>
          <w:szCs w:val="20"/>
        </w:rPr>
        <w:t xml:space="preserve">ncial Accounting Standards Board (“FASB”), and in conformity with the rules and regulations of the Securities and Exchange Commission (“SEC”). </w:t>
      </w:r>
    </w:p>
    <w:p w:rsidR="00000000" w:rsidRDefault="00D04F4B">
      <w:pPr>
        <w:jc w:val="both"/>
        <w:divId w:val="1011954733"/>
        <w:rPr>
          <w:rFonts w:eastAsia="Times New Roman"/>
        </w:rPr>
      </w:pPr>
      <w:r>
        <w:rPr>
          <w:rFonts w:eastAsia="Times New Roman"/>
          <w:color w:val="000000"/>
          <w:sz w:val="20"/>
          <w:szCs w:val="20"/>
          <w:u w:val="single"/>
        </w:rPr>
        <w:t>Summary of Significant Accounting Policies</w:t>
      </w:r>
    </w:p>
    <w:p w:rsidR="00000000" w:rsidRDefault="00D04F4B">
      <w:pPr>
        <w:jc w:val="both"/>
        <w:divId w:val="672142655"/>
        <w:rPr>
          <w:rFonts w:eastAsia="Times New Roman"/>
        </w:rPr>
      </w:pPr>
      <w:r>
        <w:rPr>
          <w:rFonts w:eastAsia="Times New Roman"/>
          <w:color w:val="000000"/>
          <w:sz w:val="20"/>
          <w:szCs w:val="20"/>
          <w:u w:val="single"/>
        </w:rPr>
        <w:t>Consolidation and Equity Method of Accounting</w:t>
      </w:r>
    </w:p>
    <w:p w:rsidR="00000000" w:rsidRDefault="00D04F4B">
      <w:pPr>
        <w:ind w:firstLine="720"/>
        <w:jc w:val="both"/>
        <w:divId w:val="636227850"/>
        <w:rPr>
          <w:rFonts w:eastAsia="Times New Roman"/>
        </w:rPr>
      </w:pPr>
      <w:r>
        <w:rPr>
          <w:rFonts w:eastAsia="Times New Roman"/>
          <w:color w:val="000000"/>
          <w:sz w:val="20"/>
          <w:szCs w:val="20"/>
        </w:rPr>
        <w:t xml:space="preserve">We consider entities to be Variable Interest Entities (“VIEs”) when they have insufficient equity to finance their activities without additional subordinated financial support provided by other parties, or the </w:t>
      </w:r>
      <w:r>
        <w:rPr>
          <w:rFonts w:eastAsia="Times New Roman"/>
          <w:color w:val="000000"/>
          <w:sz w:val="20"/>
          <w:szCs w:val="20"/>
        </w:rPr>
        <w:t>equity holders as a group do not have a controlling financial interest. In addition, we have general partner interests in limited partnerships along with third-party investors to develop, construct or operate self-storage facilities. As the general partner</w:t>
      </w:r>
      <w:r>
        <w:rPr>
          <w:rFonts w:eastAsia="Times New Roman"/>
          <w:color w:val="000000"/>
          <w:sz w:val="20"/>
          <w:szCs w:val="20"/>
        </w:rPr>
        <w:t>, we consider the limited partnerships to be VIEs if the limited partners lack both substantive participating rights and substantive kick-out rights. We consolidate VIEs when we have (i) the power to direct the activities most significantly impacting econo</w:t>
      </w:r>
      <w:r>
        <w:rPr>
          <w:rFonts w:eastAsia="Times New Roman"/>
          <w:color w:val="000000"/>
          <w:sz w:val="20"/>
          <w:szCs w:val="20"/>
        </w:rPr>
        <w:t xml:space="preserve">mic performance, and (ii) either the obligation to absorb losses or the right to receive benefits from the VIE. The total assets, primarily real estate assets, and the total liabilities of our consolidated VIEs are not material as of December 31, 2021. We </w:t>
      </w:r>
      <w:r>
        <w:rPr>
          <w:rFonts w:eastAsia="Times New Roman"/>
          <w:color w:val="000000"/>
          <w:sz w:val="20"/>
          <w:szCs w:val="20"/>
        </w:rPr>
        <w:t>consolidate all other entities when we control them through voting shares or contractual rights. We refer to the entities we consolidate, for the period in which the reference applies, collectively as the “Subsidiaries,” and we eliminate intercompany trans</w:t>
      </w:r>
      <w:r>
        <w:rPr>
          <w:rFonts w:eastAsia="Times New Roman"/>
          <w:color w:val="000000"/>
          <w:sz w:val="20"/>
          <w:szCs w:val="20"/>
        </w:rPr>
        <w:t xml:space="preserve">actions and balances. </w:t>
      </w:r>
    </w:p>
    <w:p w:rsidR="00000000" w:rsidRDefault="00D04F4B">
      <w:pPr>
        <w:ind w:firstLine="720"/>
        <w:jc w:val="both"/>
        <w:divId w:val="1112162849"/>
        <w:rPr>
          <w:rFonts w:eastAsia="Times New Roman"/>
        </w:rPr>
      </w:pPr>
      <w:r>
        <w:rPr>
          <w:rFonts w:eastAsia="Times New Roman"/>
          <w:color w:val="000000"/>
          <w:sz w:val="20"/>
          <w:szCs w:val="20"/>
        </w:rPr>
        <w:t>We account for our investments in entities that we do not consolidate but over which we have significant influence using the equity method of accounting. We refer to these entities, for the periods in which the reference applies, col</w:t>
      </w:r>
      <w:r>
        <w:rPr>
          <w:rFonts w:eastAsia="Times New Roman"/>
          <w:color w:val="000000"/>
          <w:sz w:val="20"/>
          <w:szCs w:val="20"/>
        </w:rPr>
        <w:t>lectively as the “Unconsolidated Real Estate Entities,” and we eliminate intra-entity profits and losses and amortize any differences between the cost of our investment and the underlying equity in net assets against equity in earnings as if the Unconsolid</w:t>
      </w:r>
      <w:r>
        <w:rPr>
          <w:rFonts w:eastAsia="Times New Roman"/>
          <w:color w:val="000000"/>
          <w:sz w:val="20"/>
          <w:szCs w:val="20"/>
        </w:rPr>
        <w:t xml:space="preserve">ated Real Estate Entity were a consolidated subsidiary. </w:t>
      </w:r>
    </w:p>
    <w:p w:rsidR="00000000" w:rsidRDefault="00D04F4B">
      <w:pPr>
        <w:jc w:val="center"/>
        <w:divId w:val="175267853"/>
        <w:rPr>
          <w:rFonts w:eastAsia="Times New Roman"/>
        </w:rPr>
      </w:pPr>
      <w:r>
        <w:rPr>
          <w:rFonts w:eastAsia="Times New Roman"/>
          <w:color w:val="000000"/>
          <w:sz w:val="20"/>
          <w:szCs w:val="20"/>
        </w:rPr>
        <w:t>F-10</w:t>
      </w:r>
    </w:p>
    <w:p w:rsidR="00000000" w:rsidRDefault="00D04F4B">
      <w:pPr>
        <w:rPr>
          <w:rFonts w:eastAsia="Times New Roman"/>
        </w:rPr>
      </w:pPr>
      <w:r>
        <w:rPr>
          <w:rFonts w:eastAsia="Times New Roman"/>
        </w:rPr>
        <w:pict>
          <v:rect id="_x0000_i1096" style="width:0;height:1.5pt" o:hralign="center" o:hrstd="t" o:hr="t" fillcolor="#a0a0a0" stroked="f"/>
        </w:pict>
      </w:r>
    </w:p>
    <w:p w:rsidR="00000000" w:rsidRDefault="00D04F4B">
      <w:pPr>
        <w:jc w:val="center"/>
        <w:divId w:val="1285430302"/>
        <w:rPr>
          <w:rFonts w:eastAsia="Times New Roman"/>
        </w:rPr>
      </w:pPr>
    </w:p>
    <w:p w:rsidR="00000000" w:rsidRDefault="00D04F4B">
      <w:pPr>
        <w:jc w:val="center"/>
        <w:divId w:val="1285430302"/>
        <w:rPr>
          <w:rFonts w:eastAsia="Times New Roman"/>
        </w:rPr>
      </w:pPr>
      <w:r>
        <w:rPr>
          <w:rFonts w:eastAsia="Times New Roman"/>
          <w:b/>
          <w:bCs/>
          <w:color w:val="000000"/>
          <w:sz w:val="20"/>
          <w:szCs w:val="20"/>
        </w:rPr>
        <w:t>PUBLIC STORAGE</w:t>
      </w:r>
    </w:p>
    <w:p w:rsidR="00000000" w:rsidRDefault="00D04F4B">
      <w:pPr>
        <w:jc w:val="center"/>
        <w:divId w:val="1285430302"/>
        <w:rPr>
          <w:rFonts w:eastAsia="Times New Roman"/>
        </w:rPr>
      </w:pPr>
      <w:r>
        <w:rPr>
          <w:rFonts w:eastAsia="Times New Roman"/>
          <w:b/>
          <w:bCs/>
          <w:color w:val="000000"/>
          <w:sz w:val="20"/>
          <w:szCs w:val="20"/>
        </w:rPr>
        <w:t>NOTES TO FINANCIAL STATEMENTS</w:t>
      </w:r>
    </w:p>
    <w:p w:rsidR="00000000" w:rsidRDefault="00D04F4B">
      <w:pPr>
        <w:jc w:val="center"/>
        <w:divId w:val="1285430302"/>
        <w:rPr>
          <w:rFonts w:eastAsia="Times New Roman"/>
        </w:rPr>
      </w:pPr>
      <w:r>
        <w:rPr>
          <w:rFonts w:eastAsia="Times New Roman"/>
          <w:b/>
          <w:bCs/>
          <w:color w:val="000000"/>
          <w:sz w:val="20"/>
          <w:szCs w:val="20"/>
        </w:rPr>
        <w:t>December 31, 2021</w:t>
      </w:r>
    </w:p>
    <w:p w:rsidR="00000000" w:rsidRDefault="00D04F4B">
      <w:pPr>
        <w:jc w:val="center"/>
        <w:divId w:val="1285430302"/>
        <w:rPr>
          <w:rFonts w:eastAsia="Times New Roman"/>
        </w:rPr>
      </w:pPr>
    </w:p>
    <w:p w:rsidR="00000000" w:rsidRDefault="00D04F4B">
      <w:pPr>
        <w:ind w:firstLine="720"/>
        <w:jc w:val="both"/>
        <w:divId w:val="814836081"/>
        <w:rPr>
          <w:rFonts w:eastAsia="Times New Roman"/>
        </w:rPr>
      </w:pPr>
      <w:r>
        <w:rPr>
          <w:rFonts w:eastAsia="Times New Roman"/>
          <w:color w:val="000000"/>
          <w:sz w:val="20"/>
          <w:szCs w:val="20"/>
        </w:rPr>
        <w:t>Equity in earnings of unconsolidated real estate entities presented on our income statements represents our pro-rata share of the earnings of the Unconsolidated Real Estate Entities. The dividends we receive from the Unconsolidated Real Estate Entities are</w:t>
      </w:r>
      <w:r>
        <w:rPr>
          <w:rFonts w:eastAsia="Times New Roman"/>
          <w:color w:val="000000"/>
          <w:sz w:val="20"/>
          <w:szCs w:val="20"/>
        </w:rPr>
        <w:t xml:space="preserve"> reflected on our consolidated statements of cash flows as “distributions from cumulative equity in earnings of unconsolidated real estate entities” to the extent of our cumulative equity in earnings, with any excess classified as “distributions in excess </w:t>
      </w:r>
      <w:r>
        <w:rPr>
          <w:rFonts w:eastAsia="Times New Roman"/>
          <w:color w:val="000000"/>
          <w:sz w:val="20"/>
          <w:szCs w:val="20"/>
        </w:rPr>
        <w:t xml:space="preserve">of cumulative equity in earnings from unconsolidated real estate entities.” </w:t>
      </w:r>
    </w:p>
    <w:p w:rsidR="00000000" w:rsidRDefault="00D04F4B">
      <w:pPr>
        <w:divId w:val="1179154045"/>
        <w:rPr>
          <w:rFonts w:eastAsia="Times New Roman"/>
        </w:rPr>
      </w:pPr>
      <w:r>
        <w:rPr>
          <w:rFonts w:eastAsia="Times New Roman"/>
          <w:color w:val="000000"/>
          <w:sz w:val="20"/>
          <w:szCs w:val="20"/>
          <w:u w:val="single"/>
        </w:rPr>
        <w:t>Use of Estimates</w:t>
      </w:r>
    </w:p>
    <w:p w:rsidR="00000000" w:rsidRDefault="00D04F4B">
      <w:pPr>
        <w:ind w:firstLine="720"/>
        <w:jc w:val="both"/>
        <w:divId w:val="1021277528"/>
        <w:rPr>
          <w:rFonts w:eastAsia="Times New Roman"/>
        </w:rPr>
      </w:pPr>
      <w:r>
        <w:rPr>
          <w:rFonts w:eastAsia="Times New Roman"/>
          <w:color w:val="000000"/>
          <w:sz w:val="20"/>
          <w:szCs w:val="20"/>
        </w:rPr>
        <w:t xml:space="preserve">The preparation of consolidated financial statements and accompanying notes in conformity with GAAP requires us to make estimates and assumptions that affect the </w:t>
      </w:r>
      <w:r>
        <w:rPr>
          <w:rFonts w:eastAsia="Times New Roman"/>
          <w:color w:val="000000"/>
          <w:sz w:val="20"/>
          <w:szCs w:val="20"/>
        </w:rPr>
        <w:t>amounts reported. Actual results could differ from those estimates and assumptions.</w:t>
      </w:r>
    </w:p>
    <w:p w:rsidR="00000000" w:rsidRDefault="00D04F4B">
      <w:pPr>
        <w:divId w:val="1248268972"/>
        <w:rPr>
          <w:rFonts w:eastAsia="Times New Roman"/>
        </w:rPr>
      </w:pPr>
      <w:r>
        <w:rPr>
          <w:rFonts w:eastAsia="Times New Roman"/>
          <w:color w:val="000000"/>
          <w:sz w:val="20"/>
          <w:szCs w:val="20"/>
          <w:u w:val="single"/>
        </w:rPr>
        <w:t>Cash Equivalents and Restricted Cash</w:t>
      </w:r>
    </w:p>
    <w:p w:rsidR="00000000" w:rsidRDefault="00D04F4B">
      <w:pPr>
        <w:ind w:firstLine="720"/>
        <w:jc w:val="both"/>
        <w:divId w:val="1534922670"/>
        <w:rPr>
          <w:rFonts w:eastAsia="Times New Roman"/>
        </w:rPr>
      </w:pPr>
      <w:r>
        <w:rPr>
          <w:rFonts w:eastAsia="Times New Roman"/>
          <w:color w:val="000000"/>
          <w:sz w:val="20"/>
          <w:szCs w:val="20"/>
        </w:rPr>
        <w:t>Cash equivalents represent highly liquid financial instruments that mature within three months of acquisition such as money market fund</w:t>
      </w:r>
      <w:r>
        <w:rPr>
          <w:rFonts w:eastAsia="Times New Roman"/>
          <w:color w:val="000000"/>
          <w:sz w:val="20"/>
          <w:szCs w:val="20"/>
        </w:rPr>
        <w:t>s with a rating of at least AAA by Standard &amp; Poor's, commercial paper that is rated A1 by Standard &amp; Poor's or deposits with highly rated commercial banks. Restricted cash, which represent amounts used to collateralize our insurance obligations and are re</w:t>
      </w:r>
      <w:r>
        <w:rPr>
          <w:rFonts w:eastAsia="Times New Roman"/>
          <w:color w:val="000000"/>
          <w:sz w:val="20"/>
          <w:szCs w:val="20"/>
        </w:rPr>
        <w:t>stricted from general corporate use, are included in other assets.</w:t>
      </w:r>
    </w:p>
    <w:p w:rsidR="00000000" w:rsidRDefault="00D04F4B">
      <w:pPr>
        <w:divId w:val="382481859"/>
        <w:rPr>
          <w:rFonts w:eastAsia="Times New Roman"/>
        </w:rPr>
      </w:pPr>
      <w:r>
        <w:rPr>
          <w:rFonts w:eastAsia="Times New Roman"/>
          <w:color w:val="000000"/>
          <w:sz w:val="20"/>
          <w:szCs w:val="20"/>
          <w:u w:val="single"/>
        </w:rPr>
        <w:t>Fair Value</w:t>
      </w:r>
    </w:p>
    <w:p w:rsidR="00000000" w:rsidRDefault="00D04F4B">
      <w:pPr>
        <w:ind w:firstLine="720"/>
        <w:jc w:val="both"/>
        <w:divId w:val="2145466179"/>
        <w:rPr>
          <w:rFonts w:eastAsia="Times New Roman"/>
        </w:rPr>
      </w:pPr>
      <w:r>
        <w:rPr>
          <w:rFonts w:eastAsia="Times New Roman"/>
          <w:color w:val="000000"/>
          <w:sz w:val="20"/>
          <w:szCs w:val="20"/>
        </w:rPr>
        <w:t xml:space="preserve">As used herein, the term “fair value” is the price that would be received to sell an asset or paid to transfer a liability in an orderly transaction between market participants. </w:t>
      </w:r>
      <w:r>
        <w:rPr>
          <w:rFonts w:eastAsia="Times New Roman"/>
          <w:color w:val="000000"/>
          <w:sz w:val="20"/>
          <w:szCs w:val="20"/>
        </w:rPr>
        <w:t>In the absence of active markets for identical assets or liabilities, such measurements involve developing assumptions based on market observable data and, in the absence of such data, internal information that is consistent with what market participants w</w:t>
      </w:r>
      <w:r>
        <w:rPr>
          <w:rFonts w:eastAsia="Times New Roman"/>
          <w:color w:val="000000"/>
          <w:sz w:val="20"/>
          <w:szCs w:val="20"/>
        </w:rPr>
        <w:t xml:space="preserve">ould use in a hypothetical transaction that occurs at the balance sheet date. </w:t>
      </w:r>
    </w:p>
    <w:p w:rsidR="00000000" w:rsidRDefault="00D04F4B">
      <w:pPr>
        <w:ind w:firstLine="720"/>
        <w:jc w:val="both"/>
        <w:divId w:val="492569647"/>
        <w:rPr>
          <w:rFonts w:eastAsia="Times New Roman"/>
        </w:rPr>
      </w:pPr>
      <w:r>
        <w:rPr>
          <w:rFonts w:eastAsia="Times New Roman"/>
          <w:color w:val="000000"/>
          <w:sz w:val="20"/>
          <w:szCs w:val="20"/>
        </w:rPr>
        <w:t>Assets and liabilities recorded at fair value are measured and classified in accordance with a three-tier fair value hierarchy based on the observability of the inputs available</w:t>
      </w:r>
      <w:r>
        <w:rPr>
          <w:rFonts w:eastAsia="Times New Roman"/>
          <w:color w:val="000000"/>
          <w:sz w:val="20"/>
          <w:szCs w:val="20"/>
        </w:rPr>
        <w:t xml:space="preserve"> in the market used to measure fair value:</w:t>
      </w:r>
    </w:p>
    <w:p w:rsidR="00000000" w:rsidRDefault="00D04F4B">
      <w:pPr>
        <w:ind w:firstLine="720"/>
        <w:jc w:val="both"/>
        <w:divId w:val="253901653"/>
        <w:rPr>
          <w:rFonts w:eastAsia="Times New Roman"/>
        </w:rPr>
      </w:pPr>
      <w:r>
        <w:rPr>
          <w:rFonts w:eastAsia="Times New Roman"/>
          <w:color w:val="000000"/>
          <w:sz w:val="20"/>
          <w:szCs w:val="20"/>
        </w:rPr>
        <w:t xml:space="preserve">Level 1 Quoted prices in active markets for identical assets or liabilities at the measurement date. </w:t>
      </w:r>
    </w:p>
    <w:p w:rsidR="00000000" w:rsidRDefault="00D04F4B">
      <w:pPr>
        <w:ind w:firstLine="720"/>
        <w:jc w:val="both"/>
        <w:divId w:val="1268536177"/>
        <w:rPr>
          <w:rFonts w:eastAsia="Times New Roman"/>
        </w:rPr>
      </w:pPr>
      <w:r>
        <w:rPr>
          <w:rFonts w:eastAsia="Times New Roman"/>
          <w:color w:val="000000"/>
          <w:sz w:val="20"/>
          <w:szCs w:val="20"/>
        </w:rPr>
        <w:t>Level 2 Significant observable inputs other than Level 1, that are observable for the asset or liability, eithe</w:t>
      </w:r>
      <w:r>
        <w:rPr>
          <w:rFonts w:eastAsia="Times New Roman"/>
          <w:color w:val="000000"/>
          <w:sz w:val="20"/>
          <w:szCs w:val="20"/>
        </w:rPr>
        <w:t xml:space="preserve">r directly or indirectly through corroboration with observable market data. </w:t>
      </w:r>
    </w:p>
    <w:p w:rsidR="00000000" w:rsidRDefault="00D04F4B">
      <w:pPr>
        <w:ind w:firstLine="720"/>
        <w:jc w:val="both"/>
        <w:divId w:val="829105581"/>
        <w:rPr>
          <w:rFonts w:eastAsia="Times New Roman"/>
        </w:rPr>
      </w:pPr>
      <w:r>
        <w:rPr>
          <w:rFonts w:eastAsia="Times New Roman"/>
          <w:color w:val="000000"/>
          <w:sz w:val="20"/>
          <w:szCs w:val="20"/>
        </w:rPr>
        <w:t xml:space="preserve">Level 3 Unobservable inputs that are supported by little or no market data for the related assets or liabilities. </w:t>
      </w:r>
    </w:p>
    <w:p w:rsidR="00000000" w:rsidRDefault="00D04F4B">
      <w:pPr>
        <w:ind w:firstLine="720"/>
        <w:jc w:val="both"/>
        <w:divId w:val="1663897505"/>
        <w:rPr>
          <w:rFonts w:eastAsia="Times New Roman"/>
        </w:rPr>
      </w:pPr>
      <w:r>
        <w:rPr>
          <w:rFonts w:eastAsia="Times New Roman"/>
          <w:color w:val="000000"/>
          <w:sz w:val="20"/>
          <w:szCs w:val="20"/>
        </w:rPr>
        <w:t>The categorization of a financial instrument within the valuatio</w:t>
      </w:r>
      <w:r>
        <w:rPr>
          <w:rFonts w:eastAsia="Times New Roman"/>
          <w:color w:val="000000"/>
          <w:sz w:val="20"/>
          <w:szCs w:val="20"/>
        </w:rPr>
        <w:t>n hierarchy is based upon the lowest level of input that is significant to the fair value measurement.</w:t>
      </w:r>
    </w:p>
    <w:p w:rsidR="00000000" w:rsidRDefault="00D04F4B">
      <w:pPr>
        <w:ind w:firstLine="720"/>
        <w:jc w:val="both"/>
        <w:divId w:val="637954431"/>
        <w:rPr>
          <w:rFonts w:eastAsia="Times New Roman"/>
        </w:rPr>
      </w:pPr>
      <w:r>
        <w:rPr>
          <w:rFonts w:eastAsia="Times New Roman"/>
          <w:color w:val="000000"/>
          <w:sz w:val="20"/>
          <w:szCs w:val="20"/>
        </w:rPr>
        <w:t>Our financial instruments consist of cash and cash equivalents, restricted cash, other assets, other liabilities, and notes payable. Cash equivalents, re</w:t>
      </w:r>
      <w:r>
        <w:rPr>
          <w:rFonts w:eastAsia="Times New Roman"/>
          <w:color w:val="000000"/>
          <w:sz w:val="20"/>
          <w:szCs w:val="20"/>
        </w:rPr>
        <w:t xml:space="preserve">stricted cash, other assets and other liabilities are stated at book value, which approximates fair value as of the balance sheet date due to the short time period to maturity. </w:t>
      </w:r>
    </w:p>
    <w:p w:rsidR="00000000" w:rsidRDefault="00D04F4B">
      <w:pPr>
        <w:ind w:firstLine="720"/>
        <w:jc w:val="both"/>
        <w:divId w:val="1597785694"/>
        <w:rPr>
          <w:rFonts w:eastAsia="Times New Roman"/>
        </w:rPr>
      </w:pPr>
      <w:r>
        <w:rPr>
          <w:rFonts w:eastAsia="Times New Roman"/>
          <w:color w:val="000000"/>
          <w:sz w:val="20"/>
          <w:szCs w:val="20"/>
        </w:rPr>
        <w:t>We estimate and disclose the fair value of our notes payable using Level 2 inp</w:t>
      </w:r>
      <w:r>
        <w:rPr>
          <w:rFonts w:eastAsia="Times New Roman"/>
          <w:color w:val="000000"/>
          <w:sz w:val="20"/>
          <w:szCs w:val="20"/>
        </w:rPr>
        <w:t>uts by discounting the related future cash flows at a rate based upon quoted interest rates for securities that have similar characteristics such as credit quality and time to maturity.</w:t>
      </w:r>
    </w:p>
    <w:p w:rsidR="00000000" w:rsidRDefault="00D04F4B">
      <w:pPr>
        <w:ind w:firstLine="720"/>
        <w:jc w:val="both"/>
        <w:divId w:val="251551334"/>
        <w:rPr>
          <w:rFonts w:eastAsia="Times New Roman"/>
        </w:rPr>
      </w:pPr>
      <w:r>
        <w:rPr>
          <w:rFonts w:eastAsia="Times New Roman"/>
          <w:color w:val="000000"/>
          <w:sz w:val="20"/>
          <w:szCs w:val="20"/>
        </w:rPr>
        <w:t>We use significant judgment to estimate fair values of real estate fac</w:t>
      </w:r>
      <w:r>
        <w:rPr>
          <w:rFonts w:eastAsia="Times New Roman"/>
          <w:color w:val="000000"/>
          <w:sz w:val="20"/>
          <w:szCs w:val="20"/>
        </w:rPr>
        <w:t>ilities, goodwill, and other intangible assets for the purposes of purchase price allocation or impairment analysis. In estimating their values, we consider Level 3 inputs such as market prices of land, market capitalization rates, expected returns, earnin</w:t>
      </w:r>
      <w:r>
        <w:rPr>
          <w:rFonts w:eastAsia="Times New Roman"/>
          <w:color w:val="000000"/>
          <w:sz w:val="20"/>
          <w:szCs w:val="20"/>
        </w:rPr>
        <w:t xml:space="preserve">gs multiples, projected levels of earnings, costs of construction, and functional depreciation. </w:t>
      </w:r>
    </w:p>
    <w:p w:rsidR="00000000" w:rsidRDefault="00D04F4B">
      <w:pPr>
        <w:jc w:val="both"/>
        <w:divId w:val="465126484"/>
        <w:rPr>
          <w:rFonts w:eastAsia="Times New Roman"/>
        </w:rPr>
      </w:pPr>
    </w:p>
    <w:p w:rsidR="00000000" w:rsidRDefault="00D04F4B">
      <w:pPr>
        <w:jc w:val="center"/>
        <w:divId w:val="1469785023"/>
        <w:rPr>
          <w:rFonts w:eastAsia="Times New Roman"/>
        </w:rPr>
      </w:pPr>
      <w:r>
        <w:rPr>
          <w:rFonts w:eastAsia="Times New Roman"/>
          <w:color w:val="000000"/>
          <w:sz w:val="20"/>
          <w:szCs w:val="20"/>
        </w:rPr>
        <w:t>F-11</w:t>
      </w:r>
    </w:p>
    <w:p w:rsidR="00000000" w:rsidRDefault="00D04F4B">
      <w:pPr>
        <w:rPr>
          <w:rFonts w:eastAsia="Times New Roman"/>
        </w:rPr>
      </w:pPr>
      <w:r>
        <w:rPr>
          <w:rFonts w:eastAsia="Times New Roman"/>
        </w:rPr>
        <w:pict>
          <v:rect id="_x0000_i1097" style="width:0;height:1.5pt" o:hralign="center" o:hrstd="t" o:hr="t" fillcolor="#a0a0a0" stroked="f"/>
        </w:pict>
      </w:r>
    </w:p>
    <w:p w:rsidR="00000000" w:rsidRDefault="00D04F4B">
      <w:pPr>
        <w:jc w:val="center"/>
        <w:divId w:val="224951428"/>
        <w:rPr>
          <w:rFonts w:eastAsia="Times New Roman"/>
        </w:rPr>
      </w:pPr>
    </w:p>
    <w:p w:rsidR="00000000" w:rsidRDefault="00D04F4B">
      <w:pPr>
        <w:jc w:val="center"/>
        <w:divId w:val="224951428"/>
        <w:rPr>
          <w:rFonts w:eastAsia="Times New Roman"/>
        </w:rPr>
      </w:pPr>
      <w:r>
        <w:rPr>
          <w:rFonts w:eastAsia="Times New Roman"/>
          <w:b/>
          <w:bCs/>
          <w:color w:val="000000"/>
          <w:sz w:val="20"/>
          <w:szCs w:val="20"/>
        </w:rPr>
        <w:t>PUBLIC STORAGE</w:t>
      </w:r>
    </w:p>
    <w:p w:rsidR="00000000" w:rsidRDefault="00D04F4B">
      <w:pPr>
        <w:jc w:val="center"/>
        <w:divId w:val="224951428"/>
        <w:rPr>
          <w:rFonts w:eastAsia="Times New Roman"/>
        </w:rPr>
      </w:pPr>
      <w:r>
        <w:rPr>
          <w:rFonts w:eastAsia="Times New Roman"/>
          <w:b/>
          <w:bCs/>
          <w:color w:val="000000"/>
          <w:sz w:val="20"/>
          <w:szCs w:val="20"/>
        </w:rPr>
        <w:t>NOTES TO FINANCIAL STATEMENTS</w:t>
      </w:r>
    </w:p>
    <w:p w:rsidR="00000000" w:rsidRDefault="00D04F4B">
      <w:pPr>
        <w:jc w:val="center"/>
        <w:divId w:val="224951428"/>
        <w:rPr>
          <w:rFonts w:eastAsia="Times New Roman"/>
        </w:rPr>
      </w:pPr>
      <w:r>
        <w:rPr>
          <w:rFonts w:eastAsia="Times New Roman"/>
          <w:b/>
          <w:bCs/>
          <w:color w:val="000000"/>
          <w:sz w:val="20"/>
          <w:szCs w:val="20"/>
        </w:rPr>
        <w:t>December 31, 2021</w:t>
      </w:r>
    </w:p>
    <w:p w:rsidR="00000000" w:rsidRDefault="00D04F4B">
      <w:pPr>
        <w:jc w:val="center"/>
        <w:divId w:val="224951428"/>
        <w:rPr>
          <w:rFonts w:eastAsia="Times New Roman"/>
        </w:rPr>
      </w:pPr>
    </w:p>
    <w:p w:rsidR="00000000" w:rsidRDefault="00D04F4B">
      <w:pPr>
        <w:jc w:val="both"/>
        <w:divId w:val="1929732113"/>
        <w:rPr>
          <w:rFonts w:eastAsia="Times New Roman"/>
        </w:rPr>
      </w:pPr>
      <w:r>
        <w:rPr>
          <w:rFonts w:eastAsia="Times New Roman"/>
          <w:color w:val="000000"/>
          <w:sz w:val="20"/>
          <w:szCs w:val="20"/>
          <w:u w:val="single"/>
        </w:rPr>
        <w:t>Real Estate Facilities</w:t>
      </w:r>
    </w:p>
    <w:p w:rsidR="00000000" w:rsidRDefault="00D04F4B">
      <w:pPr>
        <w:ind w:firstLine="720"/>
        <w:jc w:val="both"/>
        <w:divId w:val="276716811"/>
        <w:rPr>
          <w:rFonts w:eastAsia="Times New Roman"/>
        </w:rPr>
      </w:pPr>
      <w:r>
        <w:rPr>
          <w:rFonts w:eastAsia="Times New Roman"/>
          <w:color w:val="000000"/>
          <w:sz w:val="20"/>
          <w:szCs w:val="20"/>
        </w:rPr>
        <w:t>We record real estate facilities at cost. We capitalize all costs incurred to acquire, develop, construct, renovate and improve fa</w:t>
      </w:r>
      <w:r>
        <w:rPr>
          <w:rFonts w:eastAsia="Times New Roman"/>
          <w:color w:val="000000"/>
          <w:sz w:val="20"/>
          <w:szCs w:val="20"/>
        </w:rPr>
        <w:t>cilities as part of major repair and maintenance programs, including interest and property taxes incurred during the construction period. We expense the costs of demolition of existing facilities associated with a renovation as incurred. We allocate the ne</w:t>
      </w:r>
      <w:r>
        <w:rPr>
          <w:rFonts w:eastAsia="Times New Roman"/>
          <w:color w:val="000000"/>
          <w:sz w:val="20"/>
          <w:szCs w:val="20"/>
        </w:rPr>
        <w:t xml:space="preserve">t acquisition cost of acquired real estate facilities to the underlying land, buildings, and identified intangible assets based upon their respective individual estimated fair values. </w:t>
      </w:r>
    </w:p>
    <w:p w:rsidR="00000000" w:rsidRDefault="00D04F4B">
      <w:pPr>
        <w:ind w:firstLine="720"/>
        <w:jc w:val="both"/>
        <w:divId w:val="536817230"/>
        <w:rPr>
          <w:rFonts w:eastAsia="Times New Roman"/>
        </w:rPr>
      </w:pPr>
      <w:r>
        <w:rPr>
          <w:rFonts w:eastAsia="Times New Roman"/>
          <w:color w:val="000000"/>
          <w:sz w:val="20"/>
          <w:szCs w:val="20"/>
        </w:rPr>
        <w:t>We expense costs associated with dispositions of real estate, as well a</w:t>
      </w:r>
      <w:r>
        <w:rPr>
          <w:rFonts w:eastAsia="Times New Roman"/>
          <w:color w:val="000000"/>
          <w:sz w:val="20"/>
          <w:szCs w:val="20"/>
        </w:rPr>
        <w:t>s routine repairs and maintenance costs, as incurred. We depreciate buildings and improvements on a straight-line basis over estimated useful lives ranging generally between 5 to 25 years.</w:t>
      </w:r>
    </w:p>
    <w:p w:rsidR="00000000" w:rsidRDefault="00D04F4B">
      <w:pPr>
        <w:ind w:firstLine="720"/>
        <w:jc w:val="both"/>
        <w:divId w:val="1908567766"/>
        <w:rPr>
          <w:rFonts w:eastAsia="Times New Roman"/>
        </w:rPr>
      </w:pPr>
      <w:r>
        <w:rPr>
          <w:rFonts w:eastAsia="Times New Roman"/>
          <w:color w:val="000000"/>
          <w:sz w:val="20"/>
          <w:szCs w:val="20"/>
        </w:rPr>
        <w:t>When we sell a full or partial interest in a real estate facility w</w:t>
      </w:r>
      <w:r>
        <w:rPr>
          <w:rFonts w:eastAsia="Times New Roman"/>
          <w:color w:val="000000"/>
          <w:sz w:val="20"/>
          <w:szCs w:val="20"/>
        </w:rPr>
        <w:t>ithout retaining a controlling interest following sale, we recognize a gain or loss on sale as if 100% of the property was sold at fair value. If we retain a controlling interest following the sale, we record a noncontrolling interest for the book value of</w:t>
      </w:r>
      <w:r>
        <w:rPr>
          <w:rFonts w:eastAsia="Times New Roman"/>
          <w:color w:val="000000"/>
          <w:sz w:val="20"/>
          <w:szCs w:val="20"/>
        </w:rPr>
        <w:t xml:space="preserve"> the partial interest sold, and recognize additional paid-in capital for the difference between the consideration received and the partial interest at book value.</w:t>
      </w:r>
    </w:p>
    <w:p w:rsidR="00000000" w:rsidRDefault="00D04F4B">
      <w:pPr>
        <w:jc w:val="both"/>
        <w:divId w:val="723145158"/>
        <w:rPr>
          <w:rFonts w:eastAsia="Times New Roman"/>
        </w:rPr>
      </w:pPr>
      <w:r>
        <w:rPr>
          <w:rFonts w:eastAsia="Times New Roman"/>
          <w:color w:val="000000"/>
          <w:sz w:val="20"/>
          <w:szCs w:val="20"/>
          <w:u w:val="single"/>
        </w:rPr>
        <w:t xml:space="preserve">Goodwill and Other Intangible Assets </w:t>
      </w:r>
    </w:p>
    <w:p w:rsidR="00000000" w:rsidRDefault="00D04F4B">
      <w:pPr>
        <w:ind w:firstLine="720"/>
        <w:jc w:val="both"/>
        <w:divId w:val="974481376"/>
        <w:rPr>
          <w:rFonts w:eastAsia="Times New Roman"/>
        </w:rPr>
      </w:pPr>
      <w:r>
        <w:rPr>
          <w:rFonts w:eastAsia="Times New Roman"/>
          <w:color w:val="000000"/>
          <w:sz w:val="20"/>
          <w:szCs w:val="20"/>
        </w:rPr>
        <w:t>Intangible assets consist of goodwill, the Shurgard® tr</w:t>
      </w:r>
      <w:r>
        <w:rPr>
          <w:rFonts w:eastAsia="Times New Roman"/>
          <w:color w:val="000000"/>
          <w:sz w:val="20"/>
          <w:szCs w:val="20"/>
        </w:rPr>
        <w:t>ade name, which Shurgard uses pursuant to a fee-based licensing agreement, and finite-lived assets. Goodwill and the Shurgard® trade name have indefinite lives and are not amortized. Our finite-lived assets consist primarily of (i) acquired customers in pl</w:t>
      </w:r>
      <w:r>
        <w:rPr>
          <w:rFonts w:eastAsia="Times New Roman"/>
          <w:color w:val="000000"/>
          <w:sz w:val="20"/>
          <w:szCs w:val="20"/>
        </w:rPr>
        <w:t>ace amortized relative to the benefit of the customers in place, with such amortization reflected as depreciation and amortization expense on our income statement and (ii) property tax abatements acquired and amortized relative to the reduction in property</w:t>
      </w:r>
      <w:r>
        <w:rPr>
          <w:rFonts w:eastAsia="Times New Roman"/>
          <w:color w:val="000000"/>
          <w:sz w:val="20"/>
          <w:szCs w:val="20"/>
        </w:rPr>
        <w:t xml:space="preserve"> tax paid, with such amortization reflected as self-storage cost of operations on our income statement.</w:t>
      </w:r>
    </w:p>
    <w:p w:rsidR="00000000" w:rsidRDefault="00D04F4B">
      <w:pPr>
        <w:jc w:val="both"/>
        <w:divId w:val="894663886"/>
        <w:rPr>
          <w:rFonts w:eastAsia="Times New Roman"/>
        </w:rPr>
      </w:pPr>
      <w:r>
        <w:rPr>
          <w:rFonts w:eastAsia="Times New Roman"/>
          <w:color w:val="000000"/>
          <w:sz w:val="20"/>
          <w:szCs w:val="20"/>
          <w:u w:val="single"/>
        </w:rPr>
        <w:t>Evaluation of Asset Impairment</w:t>
      </w:r>
    </w:p>
    <w:p w:rsidR="00000000" w:rsidRDefault="00D04F4B">
      <w:pPr>
        <w:ind w:firstLine="720"/>
        <w:jc w:val="both"/>
        <w:divId w:val="441805540"/>
        <w:rPr>
          <w:rFonts w:eastAsia="Times New Roman"/>
        </w:rPr>
      </w:pPr>
      <w:r>
        <w:rPr>
          <w:rFonts w:eastAsia="Times New Roman"/>
          <w:color w:val="000000"/>
          <w:sz w:val="20"/>
          <w:szCs w:val="20"/>
        </w:rPr>
        <w:t>We evaluate our real estate and finite-lived intangible assets for impairment each quarter. If there are indicators of im</w:t>
      </w:r>
      <w:r>
        <w:rPr>
          <w:rFonts w:eastAsia="Times New Roman"/>
          <w:color w:val="000000"/>
          <w:sz w:val="20"/>
          <w:szCs w:val="20"/>
        </w:rPr>
        <w:t>pairment and we determine that the asset is not recoverable from future undiscounted cash flows to be received through the asset’s remaining life (or, if earlier, the expected disposal date), we record an impairment charge to the extent the carrying amount</w:t>
      </w:r>
      <w:r>
        <w:rPr>
          <w:rFonts w:eastAsia="Times New Roman"/>
          <w:color w:val="000000"/>
          <w:sz w:val="20"/>
          <w:szCs w:val="20"/>
        </w:rPr>
        <w:t xml:space="preserve"> exceeds the asset’s estimated fair value or net proceeds from expected disposal. </w:t>
      </w:r>
    </w:p>
    <w:p w:rsidR="00000000" w:rsidRDefault="00D04F4B">
      <w:pPr>
        <w:ind w:firstLine="720"/>
        <w:jc w:val="both"/>
        <w:divId w:val="1138960914"/>
        <w:rPr>
          <w:rFonts w:eastAsia="Times New Roman"/>
        </w:rPr>
      </w:pPr>
      <w:r>
        <w:rPr>
          <w:rFonts w:eastAsia="Times New Roman"/>
          <w:color w:val="000000"/>
          <w:sz w:val="20"/>
          <w:szCs w:val="20"/>
        </w:rPr>
        <w:t>We evaluate our investments in unconsolidated real estate entities for impairment quarterly. We record an impairment charge to the extent the carrying amount exceeds estimat</w:t>
      </w:r>
      <w:r>
        <w:rPr>
          <w:rFonts w:eastAsia="Times New Roman"/>
          <w:color w:val="000000"/>
          <w:sz w:val="20"/>
          <w:szCs w:val="20"/>
        </w:rPr>
        <w:t xml:space="preserve">ed fair value, when we believe any such shortfall is other than temporary. </w:t>
      </w:r>
    </w:p>
    <w:p w:rsidR="00000000" w:rsidRDefault="00D04F4B">
      <w:pPr>
        <w:ind w:firstLine="720"/>
        <w:jc w:val="both"/>
        <w:divId w:val="2014019294"/>
        <w:rPr>
          <w:rFonts w:eastAsia="Times New Roman"/>
        </w:rPr>
      </w:pPr>
      <w:r>
        <w:rPr>
          <w:rFonts w:eastAsia="Times New Roman"/>
          <w:color w:val="000000"/>
          <w:sz w:val="20"/>
          <w:szCs w:val="20"/>
        </w:rPr>
        <w:t>We evaluate goodwill for impairment annually and whenever relevant events, circumstances, and other related factors indicate that fair value of the related reporting unit may be le</w:t>
      </w:r>
      <w:r>
        <w:rPr>
          <w:rFonts w:eastAsia="Times New Roman"/>
          <w:color w:val="000000"/>
          <w:sz w:val="20"/>
          <w:szCs w:val="20"/>
        </w:rPr>
        <w:t>ss than the carrying amount. If we determine that the fair value of the reporting unit exceeds the aggregate carrying amount, no impairment charge is recorded. Otherwise, we record an impairment charge to the extent the carrying amount of the goodwill exce</w:t>
      </w:r>
      <w:r>
        <w:rPr>
          <w:rFonts w:eastAsia="Times New Roman"/>
          <w:color w:val="000000"/>
          <w:sz w:val="20"/>
          <w:szCs w:val="20"/>
        </w:rPr>
        <w:t xml:space="preserve">eds the amount that would be allocated to goodwill if the reporting unit were acquired for estimated fair value. </w:t>
      </w:r>
    </w:p>
    <w:p w:rsidR="00000000" w:rsidRDefault="00D04F4B">
      <w:pPr>
        <w:ind w:firstLine="720"/>
        <w:jc w:val="both"/>
        <w:divId w:val="1170484029"/>
        <w:rPr>
          <w:rFonts w:eastAsia="Times New Roman"/>
        </w:rPr>
      </w:pPr>
      <w:r>
        <w:rPr>
          <w:rFonts w:eastAsia="Times New Roman"/>
          <w:color w:val="000000"/>
          <w:sz w:val="20"/>
          <w:szCs w:val="20"/>
        </w:rPr>
        <w:t xml:space="preserve">We evaluate other indefinite-lived intangible assets, such as the Shurgard® trade name for impairment at least annually and whenever relevant </w:t>
      </w:r>
      <w:r>
        <w:rPr>
          <w:rFonts w:eastAsia="Times New Roman"/>
          <w:color w:val="000000"/>
          <w:sz w:val="20"/>
          <w:szCs w:val="20"/>
        </w:rPr>
        <w:t>events, circumstances and other related factors indicate that the fair value is less than the carrying amount. When we conclude that it is likely that the asset is not impaired, we do not record an impairment charge and no further analysis is performed. Ot</w:t>
      </w:r>
      <w:r>
        <w:rPr>
          <w:rFonts w:eastAsia="Times New Roman"/>
          <w:color w:val="000000"/>
          <w:sz w:val="20"/>
          <w:szCs w:val="20"/>
        </w:rPr>
        <w:t xml:space="preserve">herwise, we record an impairment charge to the extent the carrying amount exceeds the asset’s estimated fair value. </w:t>
      </w:r>
    </w:p>
    <w:p w:rsidR="00000000" w:rsidRDefault="00D04F4B">
      <w:pPr>
        <w:ind w:firstLine="720"/>
        <w:jc w:val="both"/>
        <w:divId w:val="1405880618"/>
        <w:rPr>
          <w:rFonts w:eastAsia="Times New Roman"/>
        </w:rPr>
      </w:pPr>
      <w:r>
        <w:rPr>
          <w:rFonts w:eastAsia="Times New Roman"/>
          <w:color w:val="000000"/>
          <w:sz w:val="20"/>
          <w:szCs w:val="20"/>
        </w:rPr>
        <w:t>No impairments were recorded in any of our evaluations for any period presented herein.</w:t>
      </w:r>
    </w:p>
    <w:p w:rsidR="00000000" w:rsidRDefault="00D04F4B">
      <w:pPr>
        <w:jc w:val="both"/>
        <w:divId w:val="151723516"/>
        <w:rPr>
          <w:rFonts w:eastAsia="Times New Roman"/>
        </w:rPr>
      </w:pPr>
      <w:r>
        <w:rPr>
          <w:rFonts w:eastAsia="Times New Roman"/>
          <w:color w:val="000000"/>
          <w:sz w:val="20"/>
          <w:szCs w:val="20"/>
          <w:u w:val="single"/>
        </w:rPr>
        <w:t>Revenue and Expense Recognition</w:t>
      </w:r>
    </w:p>
    <w:p w:rsidR="00000000" w:rsidRDefault="00D04F4B">
      <w:pPr>
        <w:ind w:firstLine="720"/>
        <w:jc w:val="both"/>
        <w:divId w:val="1797068758"/>
        <w:rPr>
          <w:rFonts w:eastAsia="Times New Roman"/>
        </w:rPr>
      </w:pPr>
      <w:r>
        <w:rPr>
          <w:rFonts w:eastAsia="Times New Roman"/>
          <w:color w:val="000000"/>
          <w:sz w:val="20"/>
          <w:szCs w:val="20"/>
        </w:rPr>
        <w:t>We recognize revenu</w:t>
      </w:r>
      <w:r>
        <w:rPr>
          <w:rFonts w:eastAsia="Times New Roman"/>
          <w:color w:val="000000"/>
          <w:sz w:val="20"/>
          <w:szCs w:val="20"/>
        </w:rPr>
        <w:t xml:space="preserve">es from self-storage facilities, which primarily comprise rental income earned pursuant to month-to-month leases, as well as associated late charges and administrative fees, as earned. Promotional discounts </w:t>
      </w:r>
    </w:p>
    <w:p w:rsidR="00000000" w:rsidRDefault="00D04F4B">
      <w:pPr>
        <w:jc w:val="center"/>
        <w:divId w:val="115637219"/>
        <w:rPr>
          <w:rFonts w:eastAsia="Times New Roman"/>
        </w:rPr>
      </w:pPr>
      <w:r>
        <w:rPr>
          <w:rFonts w:eastAsia="Times New Roman"/>
          <w:color w:val="000000"/>
          <w:sz w:val="20"/>
          <w:szCs w:val="20"/>
        </w:rPr>
        <w:t>F-12</w:t>
      </w:r>
    </w:p>
    <w:p w:rsidR="00000000" w:rsidRDefault="00D04F4B">
      <w:pPr>
        <w:rPr>
          <w:rFonts w:eastAsia="Times New Roman"/>
        </w:rPr>
      </w:pPr>
      <w:r>
        <w:rPr>
          <w:rFonts w:eastAsia="Times New Roman"/>
        </w:rPr>
        <w:pict>
          <v:rect id="_x0000_i1098" style="width:0;height:1.5pt" o:hralign="center" o:hrstd="t" o:hr="t" fillcolor="#a0a0a0" stroked="f"/>
        </w:pict>
      </w:r>
    </w:p>
    <w:p w:rsidR="00000000" w:rsidRDefault="00D04F4B">
      <w:pPr>
        <w:jc w:val="center"/>
        <w:divId w:val="1742219141"/>
        <w:rPr>
          <w:rFonts w:eastAsia="Times New Roman"/>
        </w:rPr>
      </w:pPr>
    </w:p>
    <w:p w:rsidR="00000000" w:rsidRDefault="00D04F4B">
      <w:pPr>
        <w:jc w:val="center"/>
        <w:divId w:val="1742219141"/>
        <w:rPr>
          <w:rFonts w:eastAsia="Times New Roman"/>
        </w:rPr>
      </w:pPr>
      <w:r>
        <w:rPr>
          <w:rFonts w:eastAsia="Times New Roman"/>
          <w:b/>
          <w:bCs/>
          <w:color w:val="000000"/>
          <w:sz w:val="20"/>
          <w:szCs w:val="20"/>
        </w:rPr>
        <w:t>PUBL</w:t>
      </w:r>
      <w:r>
        <w:rPr>
          <w:rFonts w:eastAsia="Times New Roman"/>
          <w:b/>
          <w:bCs/>
          <w:color w:val="000000"/>
          <w:sz w:val="20"/>
          <w:szCs w:val="20"/>
        </w:rPr>
        <w:t>IC STORAGE</w:t>
      </w:r>
    </w:p>
    <w:p w:rsidR="00000000" w:rsidRDefault="00D04F4B">
      <w:pPr>
        <w:jc w:val="center"/>
        <w:divId w:val="1742219141"/>
        <w:rPr>
          <w:rFonts w:eastAsia="Times New Roman"/>
        </w:rPr>
      </w:pPr>
      <w:r>
        <w:rPr>
          <w:rFonts w:eastAsia="Times New Roman"/>
          <w:b/>
          <w:bCs/>
          <w:color w:val="000000"/>
          <w:sz w:val="20"/>
          <w:szCs w:val="20"/>
        </w:rPr>
        <w:t>NOTES TO FINANCIAL STATEMENTS</w:t>
      </w:r>
    </w:p>
    <w:p w:rsidR="00000000" w:rsidRDefault="00D04F4B">
      <w:pPr>
        <w:jc w:val="center"/>
        <w:divId w:val="1742219141"/>
        <w:rPr>
          <w:rFonts w:eastAsia="Times New Roman"/>
        </w:rPr>
      </w:pPr>
      <w:r>
        <w:rPr>
          <w:rFonts w:eastAsia="Times New Roman"/>
          <w:b/>
          <w:bCs/>
          <w:color w:val="000000"/>
          <w:sz w:val="20"/>
          <w:szCs w:val="20"/>
        </w:rPr>
        <w:t>December 31, 2021</w:t>
      </w:r>
    </w:p>
    <w:p w:rsidR="00000000" w:rsidRDefault="00D04F4B">
      <w:pPr>
        <w:jc w:val="center"/>
        <w:divId w:val="1742219141"/>
        <w:rPr>
          <w:rFonts w:eastAsia="Times New Roman"/>
        </w:rPr>
      </w:pPr>
    </w:p>
    <w:p w:rsidR="00000000" w:rsidRDefault="00D04F4B">
      <w:pPr>
        <w:jc w:val="both"/>
        <w:divId w:val="498276380"/>
        <w:rPr>
          <w:rFonts w:eastAsia="Times New Roman"/>
        </w:rPr>
      </w:pPr>
      <w:r>
        <w:rPr>
          <w:rFonts w:eastAsia="Times New Roman"/>
          <w:color w:val="000000"/>
          <w:sz w:val="20"/>
          <w:szCs w:val="20"/>
        </w:rPr>
        <w:t xml:space="preserve">reduce rental income over the promotional period, which is generally one month. We recognize ancillary revenues when earned. </w:t>
      </w:r>
    </w:p>
    <w:p w:rsidR="00000000" w:rsidRDefault="00D04F4B">
      <w:pPr>
        <w:ind w:firstLine="720"/>
        <w:jc w:val="both"/>
        <w:divId w:val="1721900750"/>
        <w:rPr>
          <w:rFonts w:eastAsia="Times New Roman"/>
        </w:rPr>
      </w:pPr>
      <w:r>
        <w:rPr>
          <w:rFonts w:eastAsia="Times New Roman"/>
          <w:color w:val="000000"/>
          <w:sz w:val="20"/>
          <w:szCs w:val="20"/>
        </w:rPr>
        <w:t>We accrue for property tax expense based upon actual amounts billed and, in some circumstances, estimates when bills or assessment</w:t>
      </w:r>
      <w:r>
        <w:rPr>
          <w:rFonts w:eastAsia="Times New Roman"/>
          <w:color w:val="000000"/>
          <w:sz w:val="20"/>
          <w:szCs w:val="20"/>
        </w:rPr>
        <w:t>s have not been received from the taxing authorities. If these estimates are incorrect, the timing and amount of expense recognition could be incorrect. We expense cost of operations (including advertising expenditures), general and administrative expense,</w:t>
      </w:r>
      <w:r>
        <w:rPr>
          <w:rFonts w:eastAsia="Times New Roman"/>
          <w:color w:val="000000"/>
          <w:sz w:val="20"/>
          <w:szCs w:val="20"/>
        </w:rPr>
        <w:t xml:space="preserve"> and interest expense as incurred. </w:t>
      </w:r>
    </w:p>
    <w:p w:rsidR="00000000" w:rsidRDefault="00D04F4B">
      <w:pPr>
        <w:jc w:val="both"/>
        <w:divId w:val="1381516009"/>
        <w:rPr>
          <w:rFonts w:eastAsia="Times New Roman"/>
        </w:rPr>
      </w:pPr>
      <w:r>
        <w:rPr>
          <w:rFonts w:eastAsia="Times New Roman"/>
          <w:color w:val="000000"/>
          <w:sz w:val="20"/>
          <w:szCs w:val="20"/>
          <w:u w:val="single"/>
        </w:rPr>
        <w:t>Foreign Currency Exchange Translation</w:t>
      </w:r>
    </w:p>
    <w:p w:rsidR="00000000" w:rsidRDefault="00D04F4B">
      <w:pPr>
        <w:ind w:firstLine="720"/>
        <w:jc w:val="both"/>
        <w:divId w:val="122895765"/>
        <w:rPr>
          <w:rFonts w:eastAsia="Times New Roman"/>
        </w:rPr>
      </w:pPr>
      <w:r>
        <w:rPr>
          <w:rFonts w:eastAsia="Times New Roman"/>
          <w:color w:val="000000"/>
          <w:sz w:val="20"/>
          <w:szCs w:val="20"/>
        </w:rPr>
        <w:t xml:space="preserve">The local currency (primarily the Euro) is the functional currency for our interests in foreign operations. The related balance sheet amounts are translated into U.S. Dollars at the </w:t>
      </w:r>
      <w:r>
        <w:rPr>
          <w:rFonts w:eastAsia="Times New Roman"/>
          <w:color w:val="000000"/>
          <w:sz w:val="20"/>
          <w:szCs w:val="20"/>
        </w:rPr>
        <w:t>exchange rates at the respective financial statement date, while amounts on our consolidated statements of income are translated at the average exchange rates during the respective period. Cumulative translation adjustments, to the extent not included in c</w:t>
      </w:r>
      <w:r>
        <w:rPr>
          <w:rFonts w:eastAsia="Times New Roman"/>
          <w:color w:val="000000"/>
          <w:sz w:val="20"/>
          <w:szCs w:val="20"/>
        </w:rPr>
        <w:t>umulative net income, are included in equity as a component of accumulated other comprehensive income (loss).</w:t>
      </w:r>
    </w:p>
    <w:p w:rsidR="00000000" w:rsidRDefault="00D04F4B">
      <w:pPr>
        <w:ind w:firstLine="720"/>
        <w:jc w:val="both"/>
        <w:divId w:val="629168001"/>
        <w:rPr>
          <w:rFonts w:eastAsia="Times New Roman"/>
        </w:rPr>
      </w:pPr>
      <w:r>
        <w:rPr>
          <w:rFonts w:eastAsia="Times New Roman"/>
          <w:color w:val="000000"/>
          <w:sz w:val="20"/>
          <w:szCs w:val="20"/>
        </w:rPr>
        <w:t xml:space="preserve">When financial instruments denominated in a currency other than the U.S. Dollar are expected to be settled in cash in the foreseeable future, the </w:t>
      </w:r>
      <w:r>
        <w:rPr>
          <w:rFonts w:eastAsia="Times New Roman"/>
          <w:color w:val="000000"/>
          <w:sz w:val="20"/>
          <w:szCs w:val="20"/>
        </w:rPr>
        <w:t>impact of changes in the U.S. Dollar equivalent are reflected in current earnings.</w:t>
      </w:r>
    </w:p>
    <w:p w:rsidR="00000000" w:rsidRDefault="00D04F4B">
      <w:pPr>
        <w:ind w:firstLine="720"/>
        <w:jc w:val="both"/>
        <w:divId w:val="48766702"/>
        <w:rPr>
          <w:rFonts w:eastAsia="Times New Roman"/>
        </w:rPr>
      </w:pPr>
      <w:r>
        <w:rPr>
          <w:rFonts w:eastAsia="Times New Roman"/>
          <w:color w:val="000000"/>
          <w:sz w:val="20"/>
          <w:szCs w:val="20"/>
        </w:rPr>
        <w:t xml:space="preserve">At December 31, 2021, due primarily to our investment in Shurgard (Note 4) and our notes payable denominated in Euros (Note 7), our operating results and financial position </w:t>
      </w:r>
      <w:r>
        <w:rPr>
          <w:rFonts w:eastAsia="Times New Roman"/>
          <w:color w:val="000000"/>
          <w:sz w:val="20"/>
          <w:szCs w:val="20"/>
        </w:rPr>
        <w:t>are affected by fluctuations in currency exchange rates between the Euro, and to a lesser extent, other European currencies, against the U.S. Dollar. The Euro was translated at exchange rates of approximately 1.134 U.S. Dollars per Euro at December 31, 202</w:t>
      </w:r>
      <w:r>
        <w:rPr>
          <w:rFonts w:eastAsia="Times New Roman"/>
          <w:color w:val="000000"/>
          <w:sz w:val="20"/>
          <w:szCs w:val="20"/>
        </w:rPr>
        <w:t xml:space="preserve">1 (1.226 at December 31, 2020), and average exchange rates of 1.183, 1.141 and 1.120 for the years ended December 31, 2021, 2020, and 2019, respectively. </w:t>
      </w:r>
    </w:p>
    <w:p w:rsidR="00000000" w:rsidRDefault="00D04F4B">
      <w:pPr>
        <w:jc w:val="both"/>
        <w:divId w:val="425199976"/>
        <w:rPr>
          <w:rFonts w:eastAsia="Times New Roman"/>
        </w:rPr>
      </w:pPr>
      <w:r>
        <w:rPr>
          <w:rFonts w:eastAsia="Times New Roman"/>
          <w:color w:val="000000"/>
          <w:sz w:val="20"/>
          <w:szCs w:val="20"/>
          <w:u w:val="single"/>
        </w:rPr>
        <w:t>Income Taxes</w:t>
      </w:r>
    </w:p>
    <w:p w:rsidR="00000000" w:rsidRDefault="00D04F4B">
      <w:pPr>
        <w:ind w:firstLine="720"/>
        <w:jc w:val="both"/>
        <w:divId w:val="2021882102"/>
        <w:rPr>
          <w:rFonts w:eastAsia="Times New Roman"/>
        </w:rPr>
      </w:pPr>
      <w:r>
        <w:rPr>
          <w:rFonts w:eastAsia="Times New Roman"/>
          <w:color w:val="000000"/>
          <w:sz w:val="20"/>
          <w:szCs w:val="20"/>
        </w:rPr>
        <w:t>We have elected to be treated as a REIT, as defined in the Internal Revenue Code of 1986</w:t>
      </w:r>
      <w:r>
        <w:rPr>
          <w:rFonts w:eastAsia="Times New Roman"/>
          <w:color w:val="000000"/>
          <w:sz w:val="20"/>
          <w:szCs w:val="20"/>
        </w:rPr>
        <w:t>, as amended (the “Code”). For each taxable year in which we qualify for taxation as a REIT, we will not be subject to U.S. federal corporate income tax on our “REIT taxable income” (generally, taxable income subject to specified adjustments, including a d</w:t>
      </w:r>
      <w:r>
        <w:rPr>
          <w:rFonts w:eastAsia="Times New Roman"/>
          <w:color w:val="000000"/>
          <w:sz w:val="20"/>
          <w:szCs w:val="20"/>
        </w:rPr>
        <w:t>eduction for dividends paid and excluding our net capital gain) that is distributed to our shareholders. We believe we have met these REIT requirements for all periods presented herein. Accordingly, we have recorded no U.S. federal corporate income tax exp</w:t>
      </w:r>
      <w:r>
        <w:rPr>
          <w:rFonts w:eastAsia="Times New Roman"/>
          <w:color w:val="000000"/>
          <w:sz w:val="20"/>
          <w:szCs w:val="20"/>
        </w:rPr>
        <w:t xml:space="preserve">ense related to our REIT taxable income. </w:t>
      </w:r>
    </w:p>
    <w:p w:rsidR="00000000" w:rsidRDefault="00D04F4B">
      <w:pPr>
        <w:ind w:firstLine="720"/>
        <w:jc w:val="both"/>
        <w:divId w:val="562447927"/>
        <w:rPr>
          <w:rFonts w:eastAsia="Times New Roman"/>
        </w:rPr>
      </w:pPr>
      <w:r>
        <w:rPr>
          <w:rFonts w:eastAsia="Times New Roman"/>
          <w:color w:val="000000"/>
          <w:sz w:val="20"/>
          <w:szCs w:val="20"/>
        </w:rPr>
        <w:t>Our tenant reinsurance, merchandise, and third party management operations are subject to corporate income tax and such taxes are included in general and administrative expenses. We also incur income and other taxe</w:t>
      </w:r>
      <w:r>
        <w:rPr>
          <w:rFonts w:eastAsia="Times New Roman"/>
          <w:color w:val="000000"/>
          <w:sz w:val="20"/>
          <w:szCs w:val="20"/>
        </w:rPr>
        <w:t xml:space="preserve">s in certain states, which are included in general and administrative expense. </w:t>
      </w:r>
    </w:p>
    <w:p w:rsidR="00000000" w:rsidRDefault="00D04F4B">
      <w:pPr>
        <w:ind w:firstLine="720"/>
        <w:jc w:val="both"/>
        <w:divId w:val="1406029004"/>
        <w:rPr>
          <w:rFonts w:eastAsia="Times New Roman"/>
        </w:rPr>
      </w:pPr>
      <w:r>
        <w:rPr>
          <w:rFonts w:eastAsia="Times New Roman"/>
          <w:color w:val="000000"/>
          <w:sz w:val="20"/>
          <w:szCs w:val="20"/>
        </w:rPr>
        <w:t>We recognize tax benefits of uncertain income tax positions that are subject to audit only if we believe it is more likely than not that the position would ultimately be sustai</w:t>
      </w:r>
      <w:r>
        <w:rPr>
          <w:rFonts w:eastAsia="Times New Roman"/>
          <w:color w:val="000000"/>
          <w:sz w:val="20"/>
          <w:szCs w:val="20"/>
        </w:rPr>
        <w:t>ned assuming the relevant taxing authorities had full knowledge of the relevant facts and circumstances of our positions. As of December 31, 2021, we had no tax benefits that were not recognized.</w:t>
      </w:r>
    </w:p>
    <w:p w:rsidR="00000000" w:rsidRDefault="00D04F4B">
      <w:pPr>
        <w:ind w:firstLine="360"/>
        <w:jc w:val="both"/>
        <w:divId w:val="1071393394"/>
        <w:rPr>
          <w:rFonts w:eastAsia="Times New Roman"/>
        </w:rPr>
      </w:pPr>
      <w:r>
        <w:rPr>
          <w:rFonts w:eastAsia="Times New Roman"/>
          <w:color w:val="000000"/>
          <w:sz w:val="20"/>
          <w:szCs w:val="20"/>
          <w:u w:val="single"/>
        </w:rPr>
        <w:t>Share-Based Compensation</w:t>
      </w:r>
    </w:p>
    <w:p w:rsidR="00000000" w:rsidRDefault="00D04F4B">
      <w:pPr>
        <w:ind w:firstLine="720"/>
        <w:jc w:val="both"/>
        <w:divId w:val="1741371075"/>
        <w:rPr>
          <w:rFonts w:eastAsia="Times New Roman"/>
        </w:rPr>
      </w:pPr>
      <w:r>
        <w:rPr>
          <w:rFonts w:eastAsia="Times New Roman"/>
          <w:color w:val="000000"/>
          <w:sz w:val="20"/>
          <w:szCs w:val="20"/>
        </w:rPr>
        <w:t>We generally estimate the fair valu</w:t>
      </w:r>
      <w:r>
        <w:rPr>
          <w:rFonts w:eastAsia="Times New Roman"/>
          <w:color w:val="000000"/>
          <w:sz w:val="20"/>
          <w:szCs w:val="20"/>
        </w:rPr>
        <w:t>e of share-based payment awards on the date of grant. We determine the fair value of restricted share units ("RSUs") based on the closing market price of the Company’s common stock on the date of grant. We value stock options with no market conditions at t</w:t>
      </w:r>
      <w:r>
        <w:rPr>
          <w:rFonts w:eastAsia="Times New Roman"/>
          <w:color w:val="000000"/>
          <w:sz w:val="20"/>
          <w:szCs w:val="20"/>
        </w:rPr>
        <w:t>he grant date using the Black-Scholes option-pricing model. We value stock options with market conditions at the grant date using a Monte-Carlo valuation simulation. Our determination of the fair value of share-based payment awards on the date of grant usi</w:t>
      </w:r>
      <w:r>
        <w:rPr>
          <w:rFonts w:eastAsia="Times New Roman"/>
          <w:color w:val="000000"/>
          <w:sz w:val="20"/>
          <w:szCs w:val="20"/>
        </w:rPr>
        <w:t>ng an option-pricing model or Monte-Carlo valuation simulation is affected by our stock price as well as assumptions regarding a number of subjective and complex variables. These variables include, but are not limited to, our expected stock price volatilit</w:t>
      </w:r>
      <w:r>
        <w:rPr>
          <w:rFonts w:eastAsia="Times New Roman"/>
          <w:color w:val="000000"/>
          <w:sz w:val="20"/>
          <w:szCs w:val="20"/>
        </w:rPr>
        <w:t>y over the expected term of the awards and actual and projected stock option exercise behaviors. For performance-based restricted share units and stock options, we adjust compensation cost each quarter as needed for any changes in the assessment of the pro</w:t>
      </w:r>
      <w:r>
        <w:rPr>
          <w:rFonts w:eastAsia="Times New Roman"/>
          <w:color w:val="000000"/>
          <w:sz w:val="20"/>
          <w:szCs w:val="20"/>
        </w:rPr>
        <w:t>bability that the specified performance criteria will be achieved.</w:t>
      </w:r>
    </w:p>
    <w:p w:rsidR="00000000" w:rsidRDefault="00D04F4B">
      <w:pPr>
        <w:jc w:val="center"/>
        <w:divId w:val="1623851281"/>
        <w:rPr>
          <w:rFonts w:eastAsia="Times New Roman"/>
        </w:rPr>
      </w:pPr>
      <w:r>
        <w:rPr>
          <w:rFonts w:eastAsia="Times New Roman"/>
          <w:color w:val="000000"/>
          <w:sz w:val="20"/>
          <w:szCs w:val="20"/>
        </w:rPr>
        <w:t>F-13</w:t>
      </w:r>
    </w:p>
    <w:p w:rsidR="00000000" w:rsidRDefault="00D04F4B">
      <w:pPr>
        <w:rPr>
          <w:rFonts w:eastAsia="Times New Roman"/>
        </w:rPr>
      </w:pPr>
      <w:r>
        <w:rPr>
          <w:rFonts w:eastAsia="Times New Roman"/>
        </w:rPr>
        <w:pict>
          <v:rect id="_x0000_i1099" style="width:0;height:1.5pt" o:hralign="center" o:hrstd="t" o:hr="t" fillcolor="#a0a0a0" stroked="f"/>
        </w:pict>
      </w:r>
    </w:p>
    <w:p w:rsidR="00000000" w:rsidRDefault="00D04F4B">
      <w:pPr>
        <w:jc w:val="center"/>
        <w:divId w:val="1349873503"/>
        <w:rPr>
          <w:rFonts w:eastAsia="Times New Roman"/>
        </w:rPr>
      </w:pPr>
    </w:p>
    <w:p w:rsidR="00000000" w:rsidRDefault="00D04F4B">
      <w:pPr>
        <w:jc w:val="center"/>
        <w:divId w:val="1349873503"/>
        <w:rPr>
          <w:rFonts w:eastAsia="Times New Roman"/>
        </w:rPr>
      </w:pPr>
      <w:r>
        <w:rPr>
          <w:rFonts w:eastAsia="Times New Roman"/>
          <w:b/>
          <w:bCs/>
          <w:color w:val="000000"/>
          <w:sz w:val="20"/>
          <w:szCs w:val="20"/>
        </w:rPr>
        <w:t>PUBLIC STORAGE</w:t>
      </w:r>
    </w:p>
    <w:p w:rsidR="00000000" w:rsidRDefault="00D04F4B">
      <w:pPr>
        <w:jc w:val="center"/>
        <w:divId w:val="1349873503"/>
        <w:rPr>
          <w:rFonts w:eastAsia="Times New Roman"/>
        </w:rPr>
      </w:pPr>
      <w:r>
        <w:rPr>
          <w:rFonts w:eastAsia="Times New Roman"/>
          <w:b/>
          <w:bCs/>
          <w:color w:val="000000"/>
          <w:sz w:val="20"/>
          <w:szCs w:val="20"/>
        </w:rPr>
        <w:t>NOTES TO FINANCIAL STATEMENTS</w:t>
      </w:r>
    </w:p>
    <w:p w:rsidR="00000000" w:rsidRDefault="00D04F4B">
      <w:pPr>
        <w:jc w:val="center"/>
        <w:divId w:val="1349873503"/>
        <w:rPr>
          <w:rFonts w:eastAsia="Times New Roman"/>
        </w:rPr>
      </w:pPr>
      <w:r>
        <w:rPr>
          <w:rFonts w:eastAsia="Times New Roman"/>
          <w:b/>
          <w:bCs/>
          <w:color w:val="000000"/>
          <w:sz w:val="20"/>
          <w:szCs w:val="20"/>
        </w:rPr>
        <w:t>December 31, 2021</w:t>
      </w:r>
    </w:p>
    <w:p w:rsidR="00000000" w:rsidRDefault="00D04F4B">
      <w:pPr>
        <w:jc w:val="center"/>
        <w:divId w:val="1349873503"/>
        <w:rPr>
          <w:rFonts w:eastAsia="Times New Roman"/>
        </w:rPr>
      </w:pPr>
    </w:p>
    <w:p w:rsidR="00000000" w:rsidRDefault="00D04F4B">
      <w:pPr>
        <w:ind w:firstLine="720"/>
        <w:jc w:val="both"/>
        <w:divId w:val="989941843"/>
        <w:rPr>
          <w:rFonts w:eastAsia="Times New Roman"/>
        </w:rPr>
      </w:pPr>
      <w:r>
        <w:rPr>
          <w:rFonts w:eastAsia="Times New Roman"/>
          <w:color w:val="000000"/>
          <w:sz w:val="20"/>
          <w:szCs w:val="20"/>
        </w:rPr>
        <w:t xml:space="preserve">We amortize the grant-date fair value of awards as compensation expense over the </w:t>
      </w:r>
      <w:r>
        <w:rPr>
          <w:rFonts w:eastAsia="Times New Roman"/>
          <w:color w:val="000000"/>
          <w:sz w:val="20"/>
          <w:szCs w:val="20"/>
        </w:rPr>
        <w:t>service period, which begins on the grant date and ends on the expected vesting date. For awards that are earned solely upon the passage of time and continued service, the entire cost of the award is amortized on a straight-line basis over the service peri</w:t>
      </w:r>
      <w:r>
        <w:rPr>
          <w:rFonts w:eastAsia="Times New Roman"/>
          <w:color w:val="000000"/>
          <w:sz w:val="20"/>
          <w:szCs w:val="20"/>
        </w:rPr>
        <w:t>od. For awards with market and/or performance conditions, the individual cost of each vesting is amortized separately over each individual service period (the “accelerated attribution” method). The estimated number of stock awards that will ultimately vest</w:t>
      </w:r>
      <w:r>
        <w:rPr>
          <w:rFonts w:eastAsia="Times New Roman"/>
          <w:color w:val="000000"/>
          <w:sz w:val="20"/>
          <w:szCs w:val="20"/>
        </w:rPr>
        <w:t xml:space="preserve"> requires judgment, and to the extent actual results or updated estimates differ from our current estimates, such amounts will be recorded as a cumulative adjustment in the period estimates are revised. In amortizing share-based compensation expense, we do</w:t>
      </w:r>
      <w:r>
        <w:rPr>
          <w:rFonts w:eastAsia="Times New Roman"/>
          <w:color w:val="000000"/>
          <w:sz w:val="20"/>
          <w:szCs w:val="20"/>
        </w:rPr>
        <w:t xml:space="preserve"> not estimate future forfeitures. Instead, we reverse previously amortized share-based compensation expense with respect to grants that are forfeited in the period the employee terminates employment.</w:t>
      </w:r>
    </w:p>
    <w:p w:rsidR="00000000" w:rsidRDefault="00D04F4B">
      <w:pPr>
        <w:ind w:firstLine="720"/>
        <w:jc w:val="both"/>
        <w:divId w:val="271859121"/>
        <w:rPr>
          <w:rFonts w:eastAsia="Times New Roman"/>
        </w:rPr>
      </w:pPr>
      <w:r>
        <w:rPr>
          <w:rFonts w:eastAsia="Times New Roman"/>
          <w:color w:val="000000"/>
          <w:sz w:val="20"/>
          <w:szCs w:val="20"/>
        </w:rPr>
        <w:t>In July 2020, we modified our share-based compensation p</w:t>
      </w:r>
      <w:r>
        <w:rPr>
          <w:rFonts w:eastAsia="Times New Roman"/>
          <w:color w:val="000000"/>
          <w:sz w:val="20"/>
          <w:szCs w:val="20"/>
        </w:rPr>
        <w:t>lans to allow immediate vesting upon retirement (“Retirement Acceleration”), and to extend the exercisability of outstanding stock options up to a year after retirement, for currently outstanding and future grants. Prior to the modification, unvested award</w:t>
      </w:r>
      <w:r>
        <w:rPr>
          <w:rFonts w:eastAsia="Times New Roman"/>
          <w:color w:val="000000"/>
          <w:sz w:val="20"/>
          <w:szCs w:val="20"/>
        </w:rPr>
        <w:t>s were forfeited, and outstanding vested stock options were cancelled, upon retirement. Employees are eligible for Retirement Acceleration if they meet certain conditions including length of service, age, notice of intent to retire, and facilitation of suc</w:t>
      </w:r>
      <w:r>
        <w:rPr>
          <w:rFonts w:eastAsia="Times New Roman"/>
          <w:color w:val="000000"/>
          <w:sz w:val="20"/>
          <w:szCs w:val="20"/>
        </w:rPr>
        <w:t>cession for their role. This modification results in accelerating amortization of compensation expense for each grant by changing the end of the service period from the original vesting date to the date an employee is expected to be eligible for Retirement</w:t>
      </w:r>
      <w:r>
        <w:rPr>
          <w:rFonts w:eastAsia="Times New Roman"/>
          <w:color w:val="000000"/>
          <w:sz w:val="20"/>
          <w:szCs w:val="20"/>
        </w:rPr>
        <w:t xml:space="preserve"> Acceleration, if earlier.</w:t>
      </w:r>
    </w:p>
    <w:p w:rsidR="00000000" w:rsidRDefault="00D04F4B">
      <w:pPr>
        <w:ind w:hanging="360"/>
        <w:divId w:val="1274433780"/>
        <w:rPr>
          <w:rFonts w:eastAsia="Times New Roman"/>
        </w:rPr>
      </w:pPr>
      <w:r>
        <w:rPr>
          <w:rFonts w:eastAsia="Times New Roman"/>
          <w:color w:val="000000"/>
          <w:sz w:val="20"/>
          <w:szCs w:val="20"/>
        </w:rPr>
        <w:t>3.</w:t>
      </w:r>
      <w:r>
        <w:rPr>
          <w:rFonts w:eastAsia="Times New Roman"/>
          <w:color w:val="000000"/>
          <w:sz w:val="20"/>
          <w:szCs w:val="20"/>
          <w:u w:val="single"/>
        </w:rPr>
        <w:t>Real Estate Facilities</w:t>
      </w:r>
    </w:p>
    <w:p w:rsidR="00000000" w:rsidRDefault="00D04F4B">
      <w:pPr>
        <w:divId w:val="1309630138"/>
        <w:rPr>
          <w:rFonts w:eastAsia="Times New Roman"/>
        </w:rPr>
      </w:pPr>
    </w:p>
    <w:p w:rsidR="00000000" w:rsidRDefault="00D04F4B">
      <w:pPr>
        <w:ind w:firstLine="720"/>
        <w:divId w:val="404495099"/>
        <w:rPr>
          <w:rFonts w:eastAsia="Times New Roman"/>
        </w:rPr>
      </w:pPr>
      <w:r>
        <w:rPr>
          <w:rFonts w:eastAsia="Times New Roman"/>
          <w:color w:val="000000"/>
          <w:sz w:val="20"/>
          <w:szCs w:val="20"/>
        </w:rPr>
        <w:t>Activity in real estate facilities during 2021, 2020, and 2019 is as follows:</w:t>
      </w:r>
    </w:p>
    <w:tbl>
      <w:tblPr>
        <w:tblW w:w="4984" w:type="pct"/>
        <w:jc w:val="center"/>
        <w:tblCellMar>
          <w:top w:w="15" w:type="dxa"/>
          <w:left w:w="15" w:type="dxa"/>
          <w:bottom w:w="15" w:type="dxa"/>
          <w:right w:w="15" w:type="dxa"/>
        </w:tblCellMar>
        <w:tblLook w:val="04A0" w:firstRow="1" w:lastRow="0" w:firstColumn="1" w:lastColumn="0" w:noHBand="0" w:noVBand="1"/>
      </w:tblPr>
      <w:tblGrid>
        <w:gridCol w:w="39"/>
        <w:gridCol w:w="4601"/>
        <w:gridCol w:w="38"/>
        <w:gridCol w:w="120"/>
        <w:gridCol w:w="980"/>
        <w:gridCol w:w="36"/>
        <w:gridCol w:w="36"/>
        <w:gridCol w:w="36"/>
        <w:gridCol w:w="36"/>
        <w:gridCol w:w="120"/>
        <w:gridCol w:w="968"/>
        <w:gridCol w:w="36"/>
        <w:gridCol w:w="36"/>
        <w:gridCol w:w="36"/>
        <w:gridCol w:w="36"/>
        <w:gridCol w:w="120"/>
        <w:gridCol w:w="969"/>
        <w:gridCol w:w="36"/>
      </w:tblGrid>
      <w:tr w:rsidR="00000000">
        <w:trPr>
          <w:jc w:val="center"/>
        </w:trPr>
        <w:tc>
          <w:tcPr>
            <w:tcW w:w="50" w:type="pct"/>
            <w:vAlign w:val="center"/>
            <w:hideMark/>
          </w:tcPr>
          <w:p w:rsidR="00000000" w:rsidRDefault="00D04F4B">
            <w:pPr>
              <w:ind w:firstLine="720"/>
              <w:rPr>
                <w:rFonts w:eastAsia="Times New Roman"/>
              </w:rPr>
            </w:pPr>
          </w:p>
        </w:tc>
        <w:tc>
          <w:tcPr>
            <w:tcW w:w="280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2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4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2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4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2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For the Years Ended December 31,</w:t>
            </w:r>
          </w:p>
        </w:tc>
      </w:tr>
      <w:tr w:rsidR="00000000">
        <w:trPr>
          <w:jc w:val="center"/>
        </w:trPr>
        <w:tc>
          <w:tcPr>
            <w:tcW w:w="0" w:type="auto"/>
            <w:gridSpan w:val="3"/>
            <w:tcMar>
              <w:top w:w="30" w:type="dxa"/>
              <w:left w:w="20" w:type="dxa"/>
              <w:bottom w:w="30" w:type="dxa"/>
              <w:right w:w="20" w:type="dxa"/>
            </w:tcMar>
            <w:vAlign w:val="center"/>
            <w:hideMark/>
          </w:tcPr>
          <w:p w:rsidR="00000000" w:rsidRDefault="00D04F4B">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r>
      <w:tr w:rsidR="00000000">
        <w:trPr>
          <w:jc w:val="center"/>
        </w:trPr>
        <w:tc>
          <w:tcPr>
            <w:tcW w:w="0" w:type="auto"/>
            <w:gridSpan w:val="3"/>
            <w:tcMar>
              <w:top w:w="30" w:type="dxa"/>
              <w:left w:w="20" w:type="dxa"/>
              <w:bottom w:w="30" w:type="dxa"/>
              <w:right w:w="20" w:type="dxa"/>
            </w:tcMar>
            <w:vAlign w:val="center"/>
            <w:hideMark/>
          </w:tcPr>
          <w:p w:rsidR="00000000" w:rsidRDefault="00D04F4B">
            <w:pPr>
              <w:spacing w:after="100"/>
              <w:jc w:val="both"/>
              <w:rPr>
                <w:rFonts w:eastAsia="Times New Roman"/>
              </w:rPr>
            </w:pPr>
            <w:r>
              <w:rPr>
                <w:rFonts w:eastAsia="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(Amounts in thousands)</w:t>
            </w: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Operating facilities, at cost:</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Beginning balance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17,372,627 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16,289,146 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15,296,844 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Capital expenditures to maintain real estate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284,200 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163,834 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192,539 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Acquisitions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4,940,413 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781,219 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421,097 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Dispositions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(7,408)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(303)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(426)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or expanded facilities opened for operation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218,001 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138,731 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379,092 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22,807,833 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17,372,627 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16,289,146 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Accumulated depreciation: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Beginning balance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(7,152,135)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w:t>
            </w:r>
            <w:r>
              <w:rPr>
                <w:rFonts w:eastAsia="Times New Roman"/>
                <w:color w:val="000000"/>
                <w:sz w:val="20"/>
                <w:szCs w:val="20"/>
              </w:rPr>
              <w:t>6,623,475)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(6,140,072)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Depreciation expense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(625,968)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(528,660)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(483,408)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Dispositions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4,795 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(7,773,308)</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(7,152,135)</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(6,623,475)</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Construction in process: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Beginning balance </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188,079 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141,934 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285,339 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Costs incurred to develop and expand real estate facilities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302,393 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188,102 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235,687 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Write-off of cancelled projects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(3,226)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Developed or expanded facilities opened for operation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(218,001)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(138,731)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(379,092)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327"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272,471 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188,079 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141,934 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divId w:val="839008395"/>
              <w:rPr>
                <w:rFonts w:eastAsia="Times New Roman"/>
              </w:rPr>
            </w:pPr>
            <w:r>
              <w:rPr>
                <w:rFonts w:eastAsia="Times New Roman"/>
                <w:color w:val="000000"/>
                <w:sz w:val="20"/>
                <w:szCs w:val="20"/>
              </w:rPr>
              <w:t xml:space="preserve">Total real estate facilities at December 31,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15,306,996 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10,408,571 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9,807,605 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ind w:firstLine="720"/>
        <w:jc w:val="both"/>
        <w:divId w:val="1823690800"/>
        <w:rPr>
          <w:rFonts w:eastAsia="Times New Roman"/>
        </w:rPr>
      </w:pPr>
      <w:r>
        <w:rPr>
          <w:rFonts w:eastAsia="Times New Roman"/>
          <w:color w:val="000000"/>
          <w:sz w:val="20"/>
          <w:szCs w:val="20"/>
        </w:rPr>
        <w:t>During 2021, we acquired 232 self-storage facilities (21,830,000 net rentable square feet of storage space), for a total cost of $5.1 billion, consisting $5.0 billion in cash and $68.2 million in partnership units in our subsidiary. Approximatel</w:t>
      </w:r>
      <w:r>
        <w:rPr>
          <w:rFonts w:eastAsia="Times New Roman"/>
          <w:color w:val="000000"/>
          <w:sz w:val="20"/>
          <w:szCs w:val="20"/>
        </w:rPr>
        <w:t xml:space="preserve">y $174.9 million of the total cost was allocated to intangible assets. We completed development and redevelopment activities costing $218.0 million during 2021, adding 1.6 million net rentable square feet of self-storage </w:t>
      </w:r>
    </w:p>
    <w:p w:rsidR="00000000" w:rsidRDefault="00D04F4B">
      <w:pPr>
        <w:jc w:val="center"/>
        <w:divId w:val="1522358659"/>
        <w:rPr>
          <w:rFonts w:eastAsia="Times New Roman"/>
        </w:rPr>
      </w:pPr>
      <w:r>
        <w:rPr>
          <w:rFonts w:eastAsia="Times New Roman"/>
          <w:color w:val="000000"/>
          <w:sz w:val="20"/>
          <w:szCs w:val="20"/>
        </w:rPr>
        <w:t>F-14</w:t>
      </w:r>
    </w:p>
    <w:p w:rsidR="00000000" w:rsidRDefault="00D04F4B">
      <w:pPr>
        <w:rPr>
          <w:rFonts w:eastAsia="Times New Roman"/>
        </w:rPr>
      </w:pPr>
      <w:r>
        <w:rPr>
          <w:rFonts w:eastAsia="Times New Roman"/>
        </w:rPr>
        <w:pict>
          <v:rect id="_x0000_i1100" style="width:0;height:1.5pt" o:hralign="center" o:hrstd="t" o:hr="t" fillcolor="#a0a0a0" stroked="f"/>
        </w:pict>
      </w:r>
    </w:p>
    <w:p w:rsidR="00000000" w:rsidRDefault="00D04F4B">
      <w:pPr>
        <w:jc w:val="center"/>
        <w:divId w:val="1212687863"/>
        <w:rPr>
          <w:rFonts w:eastAsia="Times New Roman"/>
        </w:rPr>
      </w:pPr>
    </w:p>
    <w:p w:rsidR="00000000" w:rsidRDefault="00D04F4B">
      <w:pPr>
        <w:jc w:val="center"/>
        <w:divId w:val="1212687863"/>
        <w:rPr>
          <w:rFonts w:eastAsia="Times New Roman"/>
        </w:rPr>
      </w:pPr>
      <w:r>
        <w:rPr>
          <w:rFonts w:eastAsia="Times New Roman"/>
          <w:b/>
          <w:bCs/>
          <w:color w:val="000000"/>
          <w:sz w:val="20"/>
          <w:szCs w:val="20"/>
        </w:rPr>
        <w:t>PUBLIC STORAGE</w:t>
      </w:r>
    </w:p>
    <w:p w:rsidR="00000000" w:rsidRDefault="00D04F4B">
      <w:pPr>
        <w:jc w:val="center"/>
        <w:divId w:val="1212687863"/>
        <w:rPr>
          <w:rFonts w:eastAsia="Times New Roman"/>
        </w:rPr>
      </w:pPr>
      <w:r>
        <w:rPr>
          <w:rFonts w:eastAsia="Times New Roman"/>
          <w:b/>
          <w:bCs/>
          <w:color w:val="000000"/>
          <w:sz w:val="20"/>
          <w:szCs w:val="20"/>
        </w:rPr>
        <w:t>NOTES TO FINANCIAL STATEMENTS</w:t>
      </w:r>
    </w:p>
    <w:p w:rsidR="00000000" w:rsidRDefault="00D04F4B">
      <w:pPr>
        <w:jc w:val="center"/>
        <w:divId w:val="1212687863"/>
        <w:rPr>
          <w:rFonts w:eastAsia="Times New Roman"/>
        </w:rPr>
      </w:pPr>
      <w:r>
        <w:rPr>
          <w:rFonts w:eastAsia="Times New Roman"/>
          <w:b/>
          <w:bCs/>
          <w:color w:val="000000"/>
          <w:sz w:val="20"/>
          <w:szCs w:val="20"/>
        </w:rPr>
        <w:t>December 31, 2021</w:t>
      </w:r>
    </w:p>
    <w:p w:rsidR="00000000" w:rsidRDefault="00D04F4B">
      <w:pPr>
        <w:jc w:val="center"/>
        <w:divId w:val="1212687863"/>
        <w:rPr>
          <w:rFonts w:eastAsia="Times New Roman"/>
        </w:rPr>
      </w:pPr>
    </w:p>
    <w:p w:rsidR="00000000" w:rsidRDefault="00D04F4B">
      <w:pPr>
        <w:jc w:val="both"/>
        <w:divId w:val="257299405"/>
        <w:rPr>
          <w:rFonts w:eastAsia="Times New Roman"/>
        </w:rPr>
      </w:pPr>
      <w:r>
        <w:rPr>
          <w:rFonts w:eastAsia="Times New Roman"/>
          <w:color w:val="000000"/>
          <w:sz w:val="20"/>
          <w:szCs w:val="20"/>
        </w:rPr>
        <w:t>space. Construction in process at December 31, 2021 consists of projects to develop new self-storage facilities and expand existing self-storage faciliti</w:t>
      </w:r>
      <w:r>
        <w:rPr>
          <w:rFonts w:eastAsia="Times New Roman"/>
          <w:color w:val="000000"/>
          <w:sz w:val="20"/>
          <w:szCs w:val="20"/>
        </w:rPr>
        <w:t xml:space="preserve">es. </w:t>
      </w:r>
    </w:p>
    <w:p w:rsidR="00000000" w:rsidRDefault="00D04F4B">
      <w:pPr>
        <w:ind w:firstLine="720"/>
        <w:jc w:val="both"/>
        <w:divId w:val="707536427"/>
        <w:rPr>
          <w:rFonts w:eastAsia="Times New Roman"/>
        </w:rPr>
      </w:pPr>
      <w:r>
        <w:rPr>
          <w:rFonts w:eastAsia="Times New Roman"/>
          <w:color w:val="000000"/>
          <w:sz w:val="20"/>
          <w:szCs w:val="20"/>
        </w:rPr>
        <w:t>During 2021, we sold portions of real estate facilities in connection with eminent domain proceedings for $16.3 million in cash proceeds and recorded a related gain on sale of real estate of approximately $13.7 million.</w:t>
      </w:r>
    </w:p>
    <w:p w:rsidR="00000000" w:rsidRDefault="00D04F4B">
      <w:pPr>
        <w:ind w:firstLine="720"/>
        <w:jc w:val="both"/>
        <w:divId w:val="1468860798"/>
        <w:rPr>
          <w:rFonts w:eastAsia="Times New Roman"/>
        </w:rPr>
      </w:pPr>
      <w:r>
        <w:rPr>
          <w:rFonts w:eastAsia="Times New Roman"/>
          <w:color w:val="000000"/>
          <w:sz w:val="20"/>
          <w:szCs w:val="20"/>
        </w:rPr>
        <w:t>During 2020, we acquired 62 sel</w:t>
      </w:r>
      <w:r>
        <w:rPr>
          <w:rFonts w:eastAsia="Times New Roman"/>
          <w:color w:val="000000"/>
          <w:sz w:val="20"/>
          <w:szCs w:val="20"/>
        </w:rPr>
        <w:t>f-storage facilities (5.1 million net rentable square feet of storage space), for a total cost of $792.3 million which includes the assumption of a $3.8 million liability. Approximately $14.9 million of the total cost was allocated to intangible assets. We</w:t>
      </w:r>
      <w:r>
        <w:rPr>
          <w:rFonts w:eastAsia="Times New Roman"/>
          <w:color w:val="000000"/>
          <w:sz w:val="20"/>
          <w:szCs w:val="20"/>
        </w:rPr>
        <w:t xml:space="preserve"> completed development and redevelopment activities costing $138.7 million during 2020, adding 1.1 million net rentable square feet of self-storage space. Included in general and administrative expense in 2020 is $3.2 million in development projects which </w:t>
      </w:r>
      <w:r>
        <w:rPr>
          <w:rFonts w:eastAsia="Times New Roman"/>
          <w:color w:val="000000"/>
          <w:sz w:val="20"/>
          <w:szCs w:val="20"/>
        </w:rPr>
        <w:t>were cancelled.</w:t>
      </w:r>
    </w:p>
    <w:p w:rsidR="00000000" w:rsidRDefault="00D04F4B">
      <w:pPr>
        <w:ind w:firstLine="720"/>
        <w:jc w:val="both"/>
        <w:divId w:val="894389217"/>
        <w:rPr>
          <w:rFonts w:eastAsia="Times New Roman"/>
        </w:rPr>
      </w:pPr>
      <w:r>
        <w:rPr>
          <w:rFonts w:eastAsia="Times New Roman"/>
          <w:color w:val="000000"/>
          <w:sz w:val="20"/>
          <w:szCs w:val="20"/>
        </w:rPr>
        <w:t xml:space="preserve">During 2019, we acquired 44 self-storage facilities and one commercial facility (3.1 million net rentable square feet of storage space and 46,000 net rentable square feet of commercial space), for a total cost of $439.6 million, consisting </w:t>
      </w:r>
      <w:r>
        <w:rPr>
          <w:rFonts w:eastAsia="Times New Roman"/>
          <w:color w:val="000000"/>
          <w:sz w:val="20"/>
          <w:szCs w:val="20"/>
        </w:rPr>
        <w:t>of $437.8 million in cash and the assumption of $1.8 million in mortgage notes. Approximately $18.5 million of the total cost was allocated to intangible assets. We completed development and redevelopment activities costing $379.1 million during 2019, addi</w:t>
      </w:r>
      <w:r>
        <w:rPr>
          <w:rFonts w:eastAsia="Times New Roman"/>
          <w:color w:val="000000"/>
          <w:sz w:val="20"/>
          <w:szCs w:val="20"/>
        </w:rPr>
        <w:t>ng 3.7 million net rentable square feet of self-storage space.</w:t>
      </w:r>
    </w:p>
    <w:p w:rsidR="00000000" w:rsidRDefault="00D04F4B">
      <w:pPr>
        <w:ind w:firstLine="720"/>
        <w:jc w:val="both"/>
        <w:divId w:val="666057864"/>
        <w:rPr>
          <w:rFonts w:eastAsia="Times New Roman"/>
        </w:rPr>
      </w:pPr>
      <w:r>
        <w:rPr>
          <w:rFonts w:eastAsia="Times New Roman"/>
          <w:color w:val="000000"/>
          <w:sz w:val="20"/>
          <w:szCs w:val="20"/>
        </w:rPr>
        <w:t>At December 31, 2021, the adjusted basis of real estate facilities for U.S. federal tax purposes was approximately $15.8 billion (unaudited).</w:t>
      </w:r>
    </w:p>
    <w:p w:rsidR="00000000" w:rsidRDefault="00D04F4B">
      <w:pPr>
        <w:divId w:val="996811735"/>
        <w:rPr>
          <w:rFonts w:eastAsia="Times New Roman"/>
        </w:rPr>
      </w:pPr>
    </w:p>
    <w:p w:rsidR="00000000" w:rsidRDefault="00D04F4B">
      <w:pPr>
        <w:jc w:val="center"/>
        <w:divId w:val="2140226228"/>
        <w:rPr>
          <w:rFonts w:eastAsia="Times New Roman"/>
        </w:rPr>
      </w:pPr>
      <w:r>
        <w:rPr>
          <w:rFonts w:eastAsia="Times New Roman"/>
          <w:color w:val="000000"/>
          <w:sz w:val="20"/>
          <w:szCs w:val="20"/>
        </w:rPr>
        <w:t>F-15</w:t>
      </w:r>
    </w:p>
    <w:p w:rsidR="00000000" w:rsidRDefault="00D04F4B">
      <w:pPr>
        <w:rPr>
          <w:rFonts w:eastAsia="Times New Roman"/>
        </w:rPr>
      </w:pPr>
      <w:r>
        <w:rPr>
          <w:rFonts w:eastAsia="Times New Roman"/>
        </w:rPr>
        <w:pict>
          <v:rect id="_x0000_i1101" style="width:0;height:1.5pt" o:hralign="center" o:hrstd="t" o:hr="t" fillcolor="#a0a0a0" stroked="f"/>
        </w:pict>
      </w:r>
    </w:p>
    <w:p w:rsidR="00000000" w:rsidRDefault="00D04F4B">
      <w:pPr>
        <w:jc w:val="center"/>
        <w:divId w:val="1077021064"/>
        <w:rPr>
          <w:rFonts w:eastAsia="Times New Roman"/>
        </w:rPr>
      </w:pPr>
    </w:p>
    <w:p w:rsidR="00000000" w:rsidRDefault="00D04F4B">
      <w:pPr>
        <w:jc w:val="center"/>
        <w:divId w:val="1077021064"/>
        <w:rPr>
          <w:rFonts w:eastAsia="Times New Roman"/>
        </w:rPr>
      </w:pPr>
      <w:r>
        <w:rPr>
          <w:rFonts w:eastAsia="Times New Roman"/>
          <w:b/>
          <w:bCs/>
          <w:color w:val="000000"/>
          <w:sz w:val="20"/>
          <w:szCs w:val="20"/>
        </w:rPr>
        <w:t>PUBLIC</w:t>
      </w:r>
      <w:r>
        <w:rPr>
          <w:rFonts w:eastAsia="Times New Roman"/>
          <w:b/>
          <w:bCs/>
          <w:color w:val="000000"/>
          <w:sz w:val="20"/>
          <w:szCs w:val="20"/>
        </w:rPr>
        <w:t xml:space="preserve"> STORAGE</w:t>
      </w:r>
    </w:p>
    <w:p w:rsidR="00000000" w:rsidRDefault="00D04F4B">
      <w:pPr>
        <w:jc w:val="center"/>
        <w:divId w:val="1077021064"/>
        <w:rPr>
          <w:rFonts w:eastAsia="Times New Roman"/>
        </w:rPr>
      </w:pPr>
      <w:r>
        <w:rPr>
          <w:rFonts w:eastAsia="Times New Roman"/>
          <w:b/>
          <w:bCs/>
          <w:color w:val="000000"/>
          <w:sz w:val="20"/>
          <w:szCs w:val="20"/>
        </w:rPr>
        <w:t>NOTES TO FINANCIAL STATEMENTS</w:t>
      </w:r>
    </w:p>
    <w:p w:rsidR="00000000" w:rsidRDefault="00D04F4B">
      <w:pPr>
        <w:jc w:val="center"/>
        <w:divId w:val="1077021064"/>
        <w:rPr>
          <w:rFonts w:eastAsia="Times New Roman"/>
        </w:rPr>
      </w:pPr>
      <w:r>
        <w:rPr>
          <w:rFonts w:eastAsia="Times New Roman"/>
          <w:b/>
          <w:bCs/>
          <w:color w:val="000000"/>
          <w:sz w:val="20"/>
          <w:szCs w:val="20"/>
        </w:rPr>
        <w:t>December 31, 2021</w:t>
      </w:r>
    </w:p>
    <w:p w:rsidR="00000000" w:rsidRDefault="00D04F4B">
      <w:pPr>
        <w:jc w:val="center"/>
        <w:divId w:val="1077021064"/>
        <w:rPr>
          <w:rFonts w:eastAsia="Times New Roman"/>
        </w:rPr>
      </w:pPr>
    </w:p>
    <w:p w:rsidR="00000000" w:rsidRDefault="00D04F4B">
      <w:pPr>
        <w:ind w:hanging="360"/>
        <w:divId w:val="1092313667"/>
        <w:rPr>
          <w:rFonts w:eastAsia="Times New Roman"/>
        </w:rPr>
      </w:pPr>
      <w:r>
        <w:rPr>
          <w:rFonts w:eastAsia="Times New Roman"/>
          <w:color w:val="000000"/>
          <w:sz w:val="20"/>
          <w:szCs w:val="20"/>
        </w:rPr>
        <w:t>4.</w:t>
      </w:r>
      <w:r>
        <w:rPr>
          <w:rFonts w:eastAsia="Times New Roman"/>
          <w:color w:val="000000"/>
          <w:sz w:val="20"/>
          <w:szCs w:val="20"/>
          <w:u w:val="single"/>
        </w:rPr>
        <w:t>Investments in Unconsolidated Real Estate Entities</w:t>
      </w:r>
    </w:p>
    <w:p w:rsidR="00000000" w:rsidRDefault="00D04F4B">
      <w:pPr>
        <w:ind w:firstLine="720"/>
        <w:jc w:val="both"/>
        <w:divId w:val="1198422078"/>
        <w:rPr>
          <w:rFonts w:eastAsia="Times New Roman"/>
        </w:rPr>
      </w:pPr>
      <w:r>
        <w:rPr>
          <w:rFonts w:eastAsia="Times New Roman"/>
          <w:color w:val="000000"/>
          <w:sz w:val="20"/>
          <w:szCs w:val="20"/>
        </w:rPr>
        <w:t>The following table sets forth our investments in, and equity in earnings of, the Unconsolidated Real Estate Entities (amounts in thousands):</w:t>
      </w:r>
    </w:p>
    <w:tbl>
      <w:tblPr>
        <w:tblW w:w="4825" w:type="pct"/>
        <w:jc w:val="center"/>
        <w:tblCellMar>
          <w:top w:w="15" w:type="dxa"/>
          <w:left w:w="15" w:type="dxa"/>
          <w:bottom w:w="15" w:type="dxa"/>
          <w:right w:w="15" w:type="dxa"/>
        </w:tblCellMar>
        <w:tblLook w:val="04A0" w:firstRow="1" w:lastRow="0" w:firstColumn="1" w:lastColumn="0" w:noHBand="0" w:noVBand="1"/>
      </w:tblPr>
      <w:tblGrid>
        <w:gridCol w:w="71"/>
        <w:gridCol w:w="759"/>
        <w:gridCol w:w="36"/>
        <w:gridCol w:w="121"/>
        <w:gridCol w:w="1159"/>
        <w:gridCol w:w="38"/>
        <w:gridCol w:w="37"/>
        <w:gridCol w:w="37"/>
        <w:gridCol w:w="36"/>
        <w:gridCol w:w="120"/>
        <w:gridCol w:w="1194"/>
        <w:gridCol w:w="37"/>
        <w:gridCol w:w="36"/>
        <w:gridCol w:w="36"/>
        <w:gridCol w:w="36"/>
        <w:gridCol w:w="121"/>
        <w:gridCol w:w="1177"/>
        <w:gridCol w:w="38"/>
        <w:gridCol w:w="37"/>
        <w:gridCol w:w="37"/>
        <w:gridCol w:w="37"/>
        <w:gridCol w:w="121"/>
        <w:gridCol w:w="1195"/>
        <w:gridCol w:w="37"/>
        <w:gridCol w:w="36"/>
        <w:gridCol w:w="36"/>
        <w:gridCol w:w="36"/>
        <w:gridCol w:w="120"/>
        <w:gridCol w:w="1197"/>
        <w:gridCol w:w="37"/>
      </w:tblGrid>
      <w:tr w:rsidR="00000000">
        <w:trPr>
          <w:jc w:val="center"/>
        </w:trPr>
        <w:tc>
          <w:tcPr>
            <w:tcW w:w="50" w:type="pct"/>
            <w:vAlign w:val="center"/>
            <w:hideMark/>
          </w:tcPr>
          <w:p w:rsidR="00000000" w:rsidRDefault="00D04F4B">
            <w:pPr>
              <w:ind w:firstLine="720"/>
              <w:jc w:val="both"/>
              <w:rPr>
                <w:rFonts w:eastAsia="Times New Roman"/>
              </w:rPr>
            </w:pPr>
          </w:p>
        </w:tc>
        <w:tc>
          <w:tcPr>
            <w:tcW w:w="54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9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9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6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9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9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9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Investments in Unconsolidated Real Estate Entities at December 31,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Equity in Earnings of Unconsolidated Real Estate for the Year Ended December 31,</w:t>
            </w:r>
          </w:p>
        </w:tc>
      </w:tr>
      <w:tr w:rsidR="00000000">
        <w:trPr>
          <w:jc w:val="center"/>
        </w:trPr>
        <w:tc>
          <w:tcPr>
            <w:tcW w:w="0" w:type="auto"/>
            <w:gridSpan w:val="3"/>
            <w:tcMar>
              <w:top w:w="30" w:type="dxa"/>
              <w:left w:w="20" w:type="dxa"/>
              <w:bottom w:w="30" w:type="dxa"/>
              <w:right w:w="20" w:type="dxa"/>
            </w:tcMar>
            <w:vAlign w:val="center"/>
            <w:hideMark/>
          </w:tcPr>
          <w:p w:rsidR="00000000" w:rsidRDefault="00D04F4B">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r>
      <w:tr w:rsidR="00000000">
        <w:trPr>
          <w:trHeight w:val="120"/>
          <w:jc w:val="center"/>
        </w:trPr>
        <w:tc>
          <w:tcPr>
            <w:tcW w:w="0" w:type="auto"/>
            <w:gridSpan w:val="12"/>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515,312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431,963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207,722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64,835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54,090</w:t>
            </w: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313,451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341,083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24,371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15,662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15,457</w:t>
            </w: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828,763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773,046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232,093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80,497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69,547</w:t>
            </w:r>
          </w:p>
        </w:tc>
      </w:tr>
    </w:tbl>
    <w:p w:rsidR="00000000" w:rsidRDefault="00D04F4B">
      <w:pPr>
        <w:jc w:val="center"/>
        <w:rPr>
          <w:rFonts w:eastAsia="Times New Roman"/>
        </w:rPr>
      </w:pPr>
    </w:p>
    <w:p w:rsidR="00000000" w:rsidRDefault="00D04F4B">
      <w:pPr>
        <w:ind w:firstLine="720"/>
        <w:jc w:val="both"/>
        <w:rPr>
          <w:rFonts w:eastAsia="Times New Roman"/>
        </w:rPr>
      </w:pPr>
      <w:r>
        <w:rPr>
          <w:rFonts w:eastAsia="Times New Roman"/>
          <w:color w:val="000000"/>
          <w:sz w:val="20"/>
          <w:szCs w:val="20"/>
        </w:rPr>
        <w:t>The following tables represent summarized financial information for PSB and Shurgard in aggregate derived from their respective reported financi</w:t>
      </w:r>
      <w:r>
        <w:rPr>
          <w:rFonts w:eastAsia="Times New Roman"/>
          <w:color w:val="000000"/>
          <w:sz w:val="20"/>
          <w:szCs w:val="20"/>
        </w:rPr>
        <w:t>al statements prepared under US GAAP before our basis difference adjustments for the years ended December 31, 2021, 2020, and 2019 (amounts in thousands):</w:t>
      </w:r>
    </w:p>
    <w:p w:rsidR="00000000" w:rsidRDefault="00D04F4B">
      <w:pPr>
        <w:ind w:firstLine="720"/>
        <w:jc w:val="both"/>
        <w:rPr>
          <w:rFonts w:eastAsia="Times New Roman"/>
        </w:rPr>
      </w:pPr>
    </w:p>
    <w:tbl>
      <w:tblPr>
        <w:tblW w:w="3939" w:type="pct"/>
        <w:jc w:val="center"/>
        <w:tblCellMar>
          <w:top w:w="15" w:type="dxa"/>
          <w:left w:w="15" w:type="dxa"/>
          <w:bottom w:w="15" w:type="dxa"/>
          <w:right w:w="15" w:type="dxa"/>
        </w:tblCellMar>
        <w:tblLook w:val="04A0" w:firstRow="1" w:lastRow="0" w:firstColumn="1" w:lastColumn="0" w:noHBand="0" w:noVBand="1"/>
      </w:tblPr>
      <w:tblGrid>
        <w:gridCol w:w="38"/>
        <w:gridCol w:w="2072"/>
        <w:gridCol w:w="36"/>
        <w:gridCol w:w="36"/>
        <w:gridCol w:w="36"/>
        <w:gridCol w:w="36"/>
        <w:gridCol w:w="122"/>
        <w:gridCol w:w="1217"/>
        <w:gridCol w:w="38"/>
        <w:gridCol w:w="37"/>
        <w:gridCol w:w="37"/>
        <w:gridCol w:w="37"/>
        <w:gridCol w:w="122"/>
        <w:gridCol w:w="1221"/>
        <w:gridCol w:w="37"/>
        <w:gridCol w:w="36"/>
        <w:gridCol w:w="36"/>
        <w:gridCol w:w="36"/>
        <w:gridCol w:w="121"/>
        <w:gridCol w:w="1155"/>
        <w:gridCol w:w="37"/>
      </w:tblGrid>
      <w:tr w:rsidR="00000000">
        <w:trPr>
          <w:jc w:val="center"/>
        </w:trPr>
        <w:tc>
          <w:tcPr>
            <w:tcW w:w="50" w:type="pct"/>
            <w:vAlign w:val="center"/>
            <w:hideMark/>
          </w:tcPr>
          <w:p w:rsidR="00000000" w:rsidRDefault="00D04F4B">
            <w:pPr>
              <w:ind w:firstLine="720"/>
              <w:jc w:val="both"/>
              <w:rPr>
                <w:rFonts w:eastAsia="Times New Roman"/>
              </w:rPr>
            </w:pPr>
          </w:p>
        </w:tc>
        <w:tc>
          <w:tcPr>
            <w:tcW w:w="166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7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98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98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98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 xml:space="preserve">Year Ended December 31, </w:t>
            </w:r>
          </w:p>
        </w:tc>
      </w:tr>
      <w:tr w:rsidR="00000000">
        <w:trPr>
          <w:jc w:val="center"/>
        </w:trPr>
        <w:tc>
          <w:tcPr>
            <w:tcW w:w="0" w:type="auto"/>
            <w:gridSpan w:val="3"/>
            <w:tcMar>
              <w:top w:w="30" w:type="dxa"/>
              <w:left w:w="20" w:type="dxa"/>
              <w:bottom w:w="30" w:type="dxa"/>
              <w:right w:w="20" w:type="dxa"/>
            </w:tcMar>
            <w:vAlign w:val="center"/>
            <w:hideMark/>
          </w:tcPr>
          <w:p w:rsidR="00000000" w:rsidRDefault="00D04F4B">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04F4B">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Revenues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790,461</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721,393</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713,867</w:t>
            </w: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Costs of operations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263,398</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242,992</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237,586</w:t>
            </w: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Operating income</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333,624</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290,901</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288,179</w:t>
            </w: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Gain on sale of real estate</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359,904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27,234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16,641</w:t>
            </w: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Net Income</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639,062</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275,680</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268,054</w:t>
            </w:r>
          </w:p>
        </w:tc>
      </w:tr>
    </w:tbl>
    <w:p w:rsidR="00000000" w:rsidRDefault="00D04F4B">
      <w:pPr>
        <w:ind w:firstLine="720"/>
        <w:jc w:val="center"/>
        <w:rPr>
          <w:rFonts w:eastAsia="Times New Roman"/>
        </w:rPr>
      </w:pPr>
    </w:p>
    <w:tbl>
      <w:tblPr>
        <w:tblW w:w="3946" w:type="pct"/>
        <w:jc w:val="center"/>
        <w:tblCellMar>
          <w:top w:w="15" w:type="dxa"/>
          <w:left w:w="15" w:type="dxa"/>
          <w:bottom w:w="15" w:type="dxa"/>
          <w:right w:w="15" w:type="dxa"/>
        </w:tblCellMar>
        <w:tblLook w:val="04A0" w:firstRow="1" w:lastRow="0" w:firstColumn="1" w:lastColumn="0" w:noHBand="0" w:noVBand="1"/>
      </w:tblPr>
      <w:tblGrid>
        <w:gridCol w:w="39"/>
        <w:gridCol w:w="3334"/>
        <w:gridCol w:w="38"/>
        <w:gridCol w:w="121"/>
        <w:gridCol w:w="1359"/>
        <w:gridCol w:w="37"/>
        <w:gridCol w:w="37"/>
        <w:gridCol w:w="37"/>
        <w:gridCol w:w="37"/>
        <w:gridCol w:w="120"/>
        <w:gridCol w:w="1360"/>
        <w:gridCol w:w="36"/>
      </w:tblGrid>
      <w:tr w:rsidR="00000000">
        <w:trPr>
          <w:jc w:val="center"/>
        </w:trPr>
        <w:tc>
          <w:tcPr>
            <w:tcW w:w="50" w:type="pct"/>
            <w:vAlign w:val="center"/>
            <w:hideMark/>
          </w:tcPr>
          <w:p w:rsidR="00000000" w:rsidRDefault="00D04F4B">
            <w:pPr>
              <w:ind w:firstLine="720"/>
              <w:jc w:val="center"/>
              <w:rPr>
                <w:rFonts w:eastAsia="Times New Roman"/>
              </w:rPr>
            </w:pPr>
          </w:p>
        </w:tc>
        <w:tc>
          <w:tcPr>
            <w:tcW w:w="262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08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08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At December 31,</w:t>
            </w:r>
          </w:p>
        </w:tc>
      </w:tr>
      <w:tr w:rsidR="00000000">
        <w:trPr>
          <w:jc w:val="center"/>
        </w:trPr>
        <w:tc>
          <w:tcPr>
            <w:tcW w:w="0" w:type="auto"/>
            <w:gridSpan w:val="3"/>
            <w:tcMar>
              <w:top w:w="30" w:type="dxa"/>
              <w:left w:w="20" w:type="dxa"/>
              <w:bottom w:w="30" w:type="dxa"/>
              <w:right w:w="20" w:type="dxa"/>
            </w:tcMar>
            <w:vAlign w:val="center"/>
            <w:hideMark/>
          </w:tcPr>
          <w:p w:rsidR="00000000" w:rsidRDefault="00D04F4B">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r>
      <w:tr w:rsidR="00000000">
        <w:trPr>
          <w:trHeight w:val="120"/>
          <w:jc w:val="center"/>
        </w:trPr>
        <w:tc>
          <w:tcPr>
            <w:tcW w:w="0" w:type="auto"/>
            <w:gridSpan w:val="12"/>
            <w:tcMar>
              <w:top w:w="0" w:type="dxa"/>
              <w:left w:w="20" w:type="dxa"/>
              <w:bottom w:w="0" w:type="dxa"/>
              <w:right w:w="20" w:type="dxa"/>
            </w:tcMar>
            <w:vAlign w:val="center"/>
            <w:hideMark/>
          </w:tcPr>
          <w:p w:rsidR="00000000" w:rsidRDefault="00D04F4B">
            <w:pPr>
              <w:spacing w:after="100"/>
              <w:jc w:val="center"/>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Real estate assets</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3,437,115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3,353,862</w:t>
            </w: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Other assets</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481,403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374,615</w:t>
            </w:r>
          </w:p>
        </w:tc>
      </w:tr>
      <w:tr w:rsidR="00000000">
        <w:trPr>
          <w:jc w:val="center"/>
        </w:trPr>
        <w:tc>
          <w:tcPr>
            <w:tcW w:w="0" w:type="auto"/>
            <w:gridSpan w:val="3"/>
            <w:tcMar>
              <w:top w:w="30" w:type="dxa"/>
              <w:left w:w="32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Total assets </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3,918,518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3,728,477</w:t>
            </w:r>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Debt </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943,276</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742,390</w:t>
            </w: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Other liabilities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298,787</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274,950</w:t>
            </w: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Noncontrolling interests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262,243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221,630</w:t>
            </w:r>
          </w:p>
        </w:tc>
      </w:tr>
      <w:tr w:rsidR="00000000">
        <w:trPr>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Shareholders' equity</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2,414,212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2,489,507</w:t>
            </w:r>
          </w:p>
        </w:tc>
      </w:tr>
      <w:tr w:rsidR="00000000">
        <w:trPr>
          <w:jc w:val="center"/>
        </w:trPr>
        <w:tc>
          <w:tcPr>
            <w:tcW w:w="0" w:type="auto"/>
            <w:gridSpan w:val="3"/>
            <w:tcMar>
              <w:top w:w="30" w:type="dxa"/>
              <w:left w:w="323"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Total liabilities and equity</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3,918,518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3,728,477</w:t>
            </w:r>
          </w:p>
        </w:tc>
      </w:tr>
    </w:tbl>
    <w:p w:rsidR="00000000" w:rsidRDefault="00D04F4B">
      <w:pPr>
        <w:ind w:firstLine="720"/>
        <w:jc w:val="both"/>
        <w:rPr>
          <w:rFonts w:eastAsia="Times New Roman"/>
        </w:rPr>
      </w:pPr>
    </w:p>
    <w:p w:rsidR="00000000" w:rsidRDefault="00D04F4B">
      <w:pPr>
        <w:jc w:val="both"/>
        <w:divId w:val="640885091"/>
        <w:rPr>
          <w:rFonts w:eastAsia="Times New Roman"/>
        </w:rPr>
      </w:pPr>
      <w:r>
        <w:rPr>
          <w:rFonts w:eastAsia="Times New Roman"/>
          <w:color w:val="000000"/>
          <w:sz w:val="20"/>
          <w:szCs w:val="20"/>
          <w:u w:val="single"/>
        </w:rPr>
        <w:t>Investment in PSB</w:t>
      </w:r>
    </w:p>
    <w:p w:rsidR="00000000" w:rsidRDefault="00D04F4B">
      <w:pPr>
        <w:ind w:firstLine="720"/>
        <w:jc w:val="both"/>
        <w:divId w:val="1473134257"/>
        <w:rPr>
          <w:rFonts w:eastAsia="Times New Roman"/>
        </w:rPr>
      </w:pPr>
      <w:r>
        <w:rPr>
          <w:rFonts w:eastAsia="Times New Roman"/>
          <w:color w:val="000000"/>
          <w:sz w:val="20"/>
          <w:szCs w:val="20"/>
        </w:rPr>
        <w:t xml:space="preserve">Throughout all periods presented, we owned 7,158,354 shares of PSB’s common stock and 7,305,355 </w:t>
      </w:r>
      <w:r>
        <w:rPr>
          <w:rFonts w:eastAsia="Times New Roman"/>
          <w:color w:val="000000"/>
          <w:sz w:val="20"/>
          <w:szCs w:val="20"/>
        </w:rPr>
        <w:t>limited partnership units in an operating partnership controlled by PSB, representing an approximate 41% common equity interest as of December 31, 2021 (42% as of December 31, 2020). The limited partnership units are convertible at our option, subject to c</w:t>
      </w:r>
      <w:r>
        <w:rPr>
          <w:rFonts w:eastAsia="Times New Roman"/>
          <w:color w:val="000000"/>
          <w:sz w:val="20"/>
          <w:szCs w:val="20"/>
        </w:rPr>
        <w:t xml:space="preserve">ertain conditions, on a one-for-one basis into PSB common stock. </w:t>
      </w:r>
    </w:p>
    <w:p w:rsidR="00000000" w:rsidRDefault="00D04F4B">
      <w:pPr>
        <w:ind w:firstLine="720"/>
        <w:jc w:val="both"/>
        <w:divId w:val="895973060"/>
        <w:rPr>
          <w:rFonts w:eastAsia="Times New Roman"/>
        </w:rPr>
      </w:pPr>
      <w:r>
        <w:rPr>
          <w:rFonts w:eastAsia="Times New Roman"/>
          <w:color w:val="000000"/>
          <w:sz w:val="20"/>
          <w:szCs w:val="20"/>
        </w:rPr>
        <w:t>Based upon the closing price at December 31, 2021 ($184.17 per share of PSB common stock), the shares and units we owned had a market value of approximately $2.7 billion. During each of 2021</w:t>
      </w:r>
      <w:r>
        <w:rPr>
          <w:rFonts w:eastAsia="Times New Roman"/>
          <w:color w:val="000000"/>
          <w:sz w:val="20"/>
          <w:szCs w:val="20"/>
        </w:rPr>
        <w:t>, 2020, and 2019, we received cash distributions from PSB totaling $127.3 million, $60.7 million and $60.7 million, respectively.</w:t>
      </w:r>
    </w:p>
    <w:p w:rsidR="00000000" w:rsidRDefault="00D04F4B">
      <w:pPr>
        <w:ind w:firstLine="720"/>
        <w:jc w:val="both"/>
        <w:divId w:val="1889100357"/>
        <w:rPr>
          <w:rFonts w:eastAsia="Times New Roman"/>
        </w:rPr>
      </w:pPr>
      <w:r>
        <w:rPr>
          <w:rFonts w:eastAsia="Times New Roman"/>
          <w:color w:val="000000"/>
          <w:sz w:val="20"/>
          <w:szCs w:val="20"/>
        </w:rPr>
        <w:t xml:space="preserve">PSB is a publicly held entity traded on the New York Stock Exchange under the symbol “PSB”. </w:t>
      </w:r>
    </w:p>
    <w:p w:rsidR="00000000" w:rsidRDefault="00D04F4B">
      <w:pPr>
        <w:jc w:val="center"/>
        <w:divId w:val="500850633"/>
        <w:rPr>
          <w:rFonts w:eastAsia="Times New Roman"/>
        </w:rPr>
      </w:pPr>
      <w:r>
        <w:rPr>
          <w:rFonts w:eastAsia="Times New Roman"/>
          <w:color w:val="000000"/>
          <w:sz w:val="20"/>
          <w:szCs w:val="20"/>
        </w:rPr>
        <w:t>F-16</w:t>
      </w:r>
    </w:p>
    <w:p w:rsidR="00000000" w:rsidRDefault="00D04F4B">
      <w:pPr>
        <w:rPr>
          <w:rFonts w:eastAsia="Times New Roman"/>
        </w:rPr>
      </w:pPr>
      <w:r>
        <w:rPr>
          <w:rFonts w:eastAsia="Times New Roman"/>
        </w:rPr>
        <w:pict>
          <v:rect id="_x0000_i1102" style="width:0;height:1.5pt" o:hralign="center" o:hrstd="t" o:hr="t" fillcolor="#a0a0a0" stroked="f"/>
        </w:pict>
      </w:r>
    </w:p>
    <w:p w:rsidR="00000000" w:rsidRDefault="00D04F4B">
      <w:pPr>
        <w:jc w:val="center"/>
        <w:divId w:val="1967395187"/>
        <w:rPr>
          <w:rFonts w:eastAsia="Times New Roman"/>
        </w:rPr>
      </w:pPr>
    </w:p>
    <w:p w:rsidR="00000000" w:rsidRDefault="00D04F4B">
      <w:pPr>
        <w:jc w:val="center"/>
        <w:divId w:val="1967395187"/>
        <w:rPr>
          <w:rFonts w:eastAsia="Times New Roman"/>
        </w:rPr>
      </w:pPr>
      <w:r>
        <w:rPr>
          <w:rFonts w:eastAsia="Times New Roman"/>
          <w:b/>
          <w:bCs/>
          <w:color w:val="000000"/>
          <w:sz w:val="20"/>
          <w:szCs w:val="20"/>
        </w:rPr>
        <w:t>PUBLIC STORAGE</w:t>
      </w:r>
    </w:p>
    <w:p w:rsidR="00000000" w:rsidRDefault="00D04F4B">
      <w:pPr>
        <w:jc w:val="center"/>
        <w:divId w:val="1967395187"/>
        <w:rPr>
          <w:rFonts w:eastAsia="Times New Roman"/>
        </w:rPr>
      </w:pPr>
      <w:r>
        <w:rPr>
          <w:rFonts w:eastAsia="Times New Roman"/>
          <w:b/>
          <w:bCs/>
          <w:color w:val="000000"/>
          <w:sz w:val="20"/>
          <w:szCs w:val="20"/>
        </w:rPr>
        <w:t>NOTES TO FINANCIAL STATEMENTS</w:t>
      </w:r>
    </w:p>
    <w:p w:rsidR="00000000" w:rsidRDefault="00D04F4B">
      <w:pPr>
        <w:jc w:val="center"/>
        <w:divId w:val="1967395187"/>
        <w:rPr>
          <w:rFonts w:eastAsia="Times New Roman"/>
        </w:rPr>
      </w:pPr>
      <w:r>
        <w:rPr>
          <w:rFonts w:eastAsia="Times New Roman"/>
          <w:b/>
          <w:bCs/>
          <w:color w:val="000000"/>
          <w:sz w:val="20"/>
          <w:szCs w:val="20"/>
        </w:rPr>
        <w:t>December 31, 2021</w:t>
      </w:r>
    </w:p>
    <w:p w:rsidR="00000000" w:rsidRDefault="00D04F4B">
      <w:pPr>
        <w:jc w:val="center"/>
        <w:divId w:val="1967395187"/>
        <w:rPr>
          <w:rFonts w:eastAsia="Times New Roman"/>
        </w:rPr>
      </w:pPr>
    </w:p>
    <w:p w:rsidR="00000000" w:rsidRDefault="00D04F4B">
      <w:pPr>
        <w:jc w:val="both"/>
        <w:divId w:val="43070424"/>
        <w:rPr>
          <w:rFonts w:eastAsia="Times New Roman"/>
        </w:rPr>
      </w:pPr>
      <w:r>
        <w:rPr>
          <w:rFonts w:eastAsia="Times New Roman"/>
          <w:color w:val="000000"/>
          <w:sz w:val="20"/>
          <w:szCs w:val="20"/>
          <w:u w:val="single"/>
        </w:rPr>
        <w:t>Investment in Shurgard</w:t>
      </w:r>
    </w:p>
    <w:p w:rsidR="00000000" w:rsidRDefault="00D04F4B">
      <w:pPr>
        <w:ind w:firstLine="720"/>
        <w:jc w:val="both"/>
        <w:divId w:val="2146116588"/>
        <w:rPr>
          <w:rFonts w:eastAsia="Times New Roman"/>
        </w:rPr>
      </w:pPr>
      <w:r>
        <w:rPr>
          <w:rFonts w:eastAsia="Times New Roman"/>
          <w:color w:val="000000"/>
          <w:sz w:val="20"/>
          <w:szCs w:val="20"/>
        </w:rPr>
        <w:t xml:space="preserve">Throughout all periods presented, we effectively owned, directly and indirectly 31,268,459 </w:t>
      </w:r>
      <w:r>
        <w:rPr>
          <w:rFonts w:eastAsia="Times New Roman"/>
          <w:color w:val="000000"/>
          <w:sz w:val="20"/>
          <w:szCs w:val="20"/>
        </w:rPr>
        <w:t xml:space="preserve">Shurgard common shares, representing an approximate 35% equity interest in Shurgard. </w:t>
      </w:r>
    </w:p>
    <w:p w:rsidR="00000000" w:rsidRDefault="00D04F4B">
      <w:pPr>
        <w:ind w:firstLine="720"/>
        <w:jc w:val="both"/>
        <w:divId w:val="585455438"/>
        <w:rPr>
          <w:rFonts w:eastAsia="Times New Roman"/>
        </w:rPr>
      </w:pPr>
      <w:r>
        <w:rPr>
          <w:rFonts w:eastAsia="Times New Roman"/>
          <w:color w:val="000000"/>
          <w:sz w:val="20"/>
          <w:szCs w:val="20"/>
        </w:rPr>
        <w:t>Based upon the closing price at December 31, 2021 (€57.50 per share of Shurgard common stock, at 1.134 exchange rate of US Dollars to the Euro), the shares we owned had a</w:t>
      </w:r>
      <w:r>
        <w:rPr>
          <w:rFonts w:eastAsia="Times New Roman"/>
          <w:color w:val="000000"/>
          <w:sz w:val="20"/>
          <w:szCs w:val="20"/>
        </w:rPr>
        <w:t xml:space="preserve"> market value of approximately $2.0 billion. </w:t>
      </w:r>
    </w:p>
    <w:p w:rsidR="00000000" w:rsidRDefault="00D04F4B">
      <w:pPr>
        <w:ind w:firstLine="720"/>
        <w:jc w:val="both"/>
        <w:divId w:val="2122986927"/>
        <w:rPr>
          <w:rFonts w:eastAsia="Times New Roman"/>
        </w:rPr>
      </w:pPr>
      <w:r>
        <w:rPr>
          <w:rFonts w:eastAsia="Times New Roman"/>
          <w:color w:val="000000"/>
          <w:sz w:val="20"/>
          <w:szCs w:val="20"/>
        </w:rPr>
        <w:t>Our equity in earnings of Shurgard comprised our equity share of Shurgard’s net income, less amortization of the Shurgard Basis Differential (defined below). We eliminated $1.2 million, $1.1 million and $1.0 mi</w:t>
      </w:r>
      <w:r>
        <w:rPr>
          <w:rFonts w:eastAsia="Times New Roman"/>
          <w:color w:val="000000"/>
          <w:sz w:val="20"/>
          <w:szCs w:val="20"/>
        </w:rPr>
        <w:t>llion intra-entity profits and losses for 2021, 2020, and 2019, respectively, representing our equity share of the trademark license fees that Shurgard pays to us for the use of the Shurgard® trademark. We classify the remaining license fees we receive fro</w:t>
      </w:r>
      <w:r>
        <w:rPr>
          <w:rFonts w:eastAsia="Times New Roman"/>
          <w:color w:val="000000"/>
          <w:sz w:val="20"/>
          <w:szCs w:val="20"/>
        </w:rPr>
        <w:t xml:space="preserve">m Shurgard as interest and other income on our income statement. During 2021, 2020, and 2019, we received cash dividend distribution from Shurgard totaling $41.5 million, $34.9 million and $23.1 million, respectively. </w:t>
      </w:r>
    </w:p>
    <w:p w:rsidR="00000000" w:rsidRDefault="00D04F4B">
      <w:pPr>
        <w:ind w:firstLine="720"/>
        <w:jc w:val="both"/>
        <w:divId w:val="235171278"/>
        <w:rPr>
          <w:rFonts w:eastAsia="Times New Roman"/>
        </w:rPr>
      </w:pPr>
      <w:r>
        <w:rPr>
          <w:rFonts w:eastAsia="Times New Roman"/>
          <w:color w:val="000000"/>
          <w:sz w:val="20"/>
          <w:szCs w:val="20"/>
        </w:rPr>
        <w:t>At December 31, 2021, our pro-rata in</w:t>
      </w:r>
      <w:r>
        <w:rPr>
          <w:rFonts w:eastAsia="Times New Roman"/>
          <w:color w:val="000000"/>
          <w:sz w:val="20"/>
          <w:szCs w:val="20"/>
        </w:rPr>
        <w:t>vestment in Shurgard’s real estate assets included in investment in unconsolidated real estate entities exceeds our pro-rata share of the underlying amounts on Shurgard’s balance sheet by approximately $74.7 million ($83.1 million at December 31, 2020). Th</w:t>
      </w:r>
      <w:r>
        <w:rPr>
          <w:rFonts w:eastAsia="Times New Roman"/>
          <w:color w:val="000000"/>
          <w:sz w:val="20"/>
          <w:szCs w:val="20"/>
        </w:rPr>
        <w:t xml:space="preserve">is differential (the “Shurgard Basis Differential”) includes our cost basis adjustment in Shurgard’s real estate assets net of related deferred income taxes. The real estate assets basis differential is being amortized as a reduction to equity in earnings </w:t>
      </w:r>
      <w:r>
        <w:rPr>
          <w:rFonts w:eastAsia="Times New Roman"/>
          <w:color w:val="000000"/>
          <w:sz w:val="20"/>
          <w:szCs w:val="20"/>
        </w:rPr>
        <w:t xml:space="preserve">of the Unconsolidated Real Estate Entities. Such amortization totaled approximately $8.4 million, $5.8 million and $5.5 million during 2021, 2020, and 2019, respectively. </w:t>
      </w:r>
    </w:p>
    <w:p w:rsidR="00000000" w:rsidRDefault="00D04F4B">
      <w:pPr>
        <w:ind w:firstLine="720"/>
        <w:jc w:val="both"/>
        <w:divId w:val="808204819"/>
        <w:rPr>
          <w:rFonts w:eastAsia="Times New Roman"/>
        </w:rPr>
      </w:pPr>
      <w:r>
        <w:rPr>
          <w:rFonts w:eastAsia="Times New Roman"/>
          <w:color w:val="000000"/>
          <w:sz w:val="20"/>
          <w:szCs w:val="20"/>
        </w:rPr>
        <w:t>Shurgard is a publicly held entity trading on Euronext Brussels under the symbol “SH</w:t>
      </w:r>
      <w:r>
        <w:rPr>
          <w:rFonts w:eastAsia="Times New Roman"/>
          <w:color w:val="000000"/>
          <w:sz w:val="20"/>
          <w:szCs w:val="20"/>
        </w:rPr>
        <w:t>UR”.</w:t>
      </w:r>
    </w:p>
    <w:p w:rsidR="00000000" w:rsidRDefault="00D04F4B">
      <w:pPr>
        <w:ind w:hanging="360"/>
        <w:jc w:val="both"/>
        <w:divId w:val="125467831"/>
        <w:rPr>
          <w:rFonts w:eastAsia="Times New Roman"/>
        </w:rPr>
      </w:pPr>
      <w:r>
        <w:rPr>
          <w:rFonts w:eastAsia="Times New Roman"/>
          <w:color w:val="000000"/>
          <w:sz w:val="20"/>
          <w:szCs w:val="20"/>
        </w:rPr>
        <w:t>5.</w:t>
      </w:r>
      <w:r>
        <w:rPr>
          <w:rFonts w:eastAsia="Times New Roman"/>
          <w:color w:val="000000"/>
          <w:sz w:val="20"/>
          <w:szCs w:val="20"/>
          <w:u w:val="single"/>
        </w:rPr>
        <w:t>Goodwill and Other Intangible Assets</w:t>
      </w:r>
    </w:p>
    <w:p w:rsidR="00000000" w:rsidRDefault="00D04F4B">
      <w:pPr>
        <w:jc w:val="both"/>
        <w:rPr>
          <w:rFonts w:eastAsia="Times New Roman"/>
        </w:rPr>
      </w:pPr>
    </w:p>
    <w:p w:rsidR="00000000" w:rsidRDefault="00D04F4B">
      <w:pPr>
        <w:ind w:firstLine="720"/>
        <w:jc w:val="both"/>
        <w:divId w:val="459154159"/>
        <w:rPr>
          <w:rFonts w:eastAsia="Times New Roman"/>
        </w:rPr>
      </w:pPr>
      <w:r>
        <w:rPr>
          <w:rFonts w:eastAsia="Times New Roman"/>
          <w:color w:val="000000"/>
          <w:sz w:val="20"/>
          <w:szCs w:val="20"/>
        </w:rPr>
        <w:t>Goodwill and other intangible assets consisted of the following (amounts in thousands):</w:t>
      </w:r>
    </w:p>
    <w:tbl>
      <w:tblPr>
        <w:tblW w:w="4893" w:type="pct"/>
        <w:jc w:val="center"/>
        <w:tblCellMar>
          <w:top w:w="15" w:type="dxa"/>
          <w:left w:w="15" w:type="dxa"/>
          <w:bottom w:w="15" w:type="dxa"/>
          <w:right w:w="15" w:type="dxa"/>
        </w:tblCellMar>
        <w:tblLook w:val="04A0" w:firstRow="1" w:lastRow="0" w:firstColumn="1" w:lastColumn="0" w:noHBand="0" w:noVBand="1"/>
      </w:tblPr>
      <w:tblGrid>
        <w:gridCol w:w="53"/>
        <w:gridCol w:w="1588"/>
        <w:gridCol w:w="38"/>
        <w:gridCol w:w="120"/>
        <w:gridCol w:w="735"/>
        <w:gridCol w:w="36"/>
        <w:gridCol w:w="36"/>
        <w:gridCol w:w="36"/>
        <w:gridCol w:w="36"/>
        <w:gridCol w:w="121"/>
        <w:gridCol w:w="1014"/>
        <w:gridCol w:w="36"/>
        <w:gridCol w:w="36"/>
        <w:gridCol w:w="36"/>
        <w:gridCol w:w="36"/>
        <w:gridCol w:w="120"/>
        <w:gridCol w:w="736"/>
        <w:gridCol w:w="36"/>
        <w:gridCol w:w="36"/>
        <w:gridCol w:w="36"/>
        <w:gridCol w:w="36"/>
        <w:gridCol w:w="120"/>
        <w:gridCol w:w="736"/>
        <w:gridCol w:w="36"/>
        <w:gridCol w:w="36"/>
        <w:gridCol w:w="36"/>
        <w:gridCol w:w="36"/>
        <w:gridCol w:w="121"/>
        <w:gridCol w:w="1014"/>
        <w:gridCol w:w="36"/>
        <w:gridCol w:w="36"/>
        <w:gridCol w:w="36"/>
        <w:gridCol w:w="36"/>
        <w:gridCol w:w="120"/>
        <w:gridCol w:w="736"/>
        <w:gridCol w:w="36"/>
      </w:tblGrid>
      <w:tr w:rsidR="00000000">
        <w:trPr>
          <w:jc w:val="center"/>
        </w:trPr>
        <w:tc>
          <w:tcPr>
            <w:tcW w:w="50" w:type="pct"/>
            <w:vAlign w:val="center"/>
            <w:hideMark/>
          </w:tcPr>
          <w:p w:rsidR="00000000" w:rsidRDefault="00D04F4B">
            <w:pPr>
              <w:ind w:firstLine="720"/>
              <w:jc w:val="both"/>
              <w:rPr>
                <w:rFonts w:eastAsia="Times New Roman"/>
              </w:rPr>
            </w:pPr>
          </w:p>
        </w:tc>
        <w:tc>
          <w:tcPr>
            <w:tcW w:w="112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3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3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3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0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3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At December 31, 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At December 31, 2020</w:t>
            </w:r>
          </w:p>
        </w:tc>
      </w:tr>
      <w:tr w:rsidR="00000000">
        <w:trPr>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Gross Book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Net Book Value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Gross Book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Net Book Value</w:t>
            </w:r>
          </w:p>
        </w:tc>
      </w:tr>
      <w:tr w:rsidR="00000000">
        <w:trPr>
          <w:jc w:val="center"/>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Goodwill</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 xml:space="preserve">Shurgard® </w:t>
            </w:r>
            <w:r>
              <w:rPr>
                <w:rFonts w:eastAsia="Times New Roman"/>
                <w:color w:val="000000"/>
                <w:sz w:val="20"/>
                <w:szCs w:val="20"/>
              </w:rPr>
              <w:t>Trade Name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Finite-lived intangible assets, subject to amortization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198,180 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(79,953)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118,227 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47,321 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(27,334)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19,987 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Total goodwill and other intangible assets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382,847 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(79,953)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302,894 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231,988 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(27,334)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204,654 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ind w:firstLine="720"/>
        <w:divId w:val="1674145862"/>
        <w:rPr>
          <w:rFonts w:eastAsia="Times New Roman"/>
        </w:rPr>
      </w:pPr>
    </w:p>
    <w:p w:rsidR="00000000" w:rsidRDefault="00D04F4B">
      <w:pPr>
        <w:ind w:firstLine="720"/>
        <w:jc w:val="both"/>
        <w:divId w:val="1410928011"/>
        <w:rPr>
          <w:rFonts w:eastAsia="Times New Roman"/>
        </w:rPr>
      </w:pPr>
      <w:r>
        <w:rPr>
          <w:rFonts w:eastAsia="Times New Roman"/>
          <w:color w:val="000000"/>
          <w:sz w:val="20"/>
          <w:szCs w:val="20"/>
        </w:rPr>
        <w:t>Amortization expense related to intangible assets subject to amortization was $</w:t>
      </w:r>
      <w:r>
        <w:rPr>
          <w:rFonts w:eastAsia="Times New Roman"/>
          <w:color w:val="000000"/>
          <w:sz w:val="20"/>
          <w:szCs w:val="20"/>
        </w:rPr>
        <w:t>76.6 million, $16.1 million and $16.8 million in 2021, 2020, and 2019, respectively. During 2021, 2020, and 2019, intangibles increased $174.9 million, $14.9 million and $18.5 million, respectively, in connection with the acquisition of self-storage facili</w:t>
      </w:r>
      <w:r>
        <w:rPr>
          <w:rFonts w:eastAsia="Times New Roman"/>
          <w:color w:val="000000"/>
          <w:sz w:val="20"/>
          <w:szCs w:val="20"/>
        </w:rPr>
        <w:t xml:space="preserve">ties (Note 3). </w:t>
      </w:r>
    </w:p>
    <w:p w:rsidR="00000000" w:rsidRDefault="00D04F4B">
      <w:pPr>
        <w:ind w:firstLine="720"/>
        <w:jc w:val="both"/>
        <w:divId w:val="515971382"/>
        <w:rPr>
          <w:rFonts w:eastAsia="Times New Roman"/>
        </w:rPr>
      </w:pPr>
      <w:r>
        <w:rPr>
          <w:rFonts w:eastAsia="Times New Roman"/>
          <w:color w:val="000000"/>
          <w:sz w:val="20"/>
          <w:szCs w:val="20"/>
        </w:rPr>
        <w:t>The remaining amortization expense will be recognized over a weighted average life of approximately 1.1 years. The estimated future amortization expense for our finite-lived intangible assets at December 31, 2021 is as follows (amounts in t</w:t>
      </w:r>
      <w:r>
        <w:rPr>
          <w:rFonts w:eastAsia="Times New Roman"/>
          <w:color w:val="000000"/>
          <w:sz w:val="20"/>
          <w:szCs w:val="20"/>
        </w:rPr>
        <w:t>housands):</w:t>
      </w:r>
    </w:p>
    <w:tbl>
      <w:tblPr>
        <w:tblW w:w="1954" w:type="pct"/>
        <w:jc w:val="center"/>
        <w:tblCellMar>
          <w:top w:w="15" w:type="dxa"/>
          <w:left w:w="15" w:type="dxa"/>
          <w:bottom w:w="15" w:type="dxa"/>
          <w:right w:w="15" w:type="dxa"/>
        </w:tblCellMar>
        <w:tblLook w:val="04A0" w:firstRow="1" w:lastRow="0" w:firstColumn="1" w:lastColumn="0" w:noHBand="0" w:noVBand="1"/>
      </w:tblPr>
      <w:tblGrid>
        <w:gridCol w:w="38"/>
        <w:gridCol w:w="1487"/>
        <w:gridCol w:w="36"/>
        <w:gridCol w:w="36"/>
        <w:gridCol w:w="36"/>
        <w:gridCol w:w="36"/>
        <w:gridCol w:w="120"/>
        <w:gridCol w:w="1421"/>
        <w:gridCol w:w="36"/>
      </w:tblGrid>
      <w:tr w:rsidR="00000000">
        <w:trPr>
          <w:divId w:val="891622992"/>
          <w:jc w:val="center"/>
        </w:trPr>
        <w:tc>
          <w:tcPr>
            <w:tcW w:w="50" w:type="pct"/>
            <w:vAlign w:val="center"/>
            <w:hideMark/>
          </w:tcPr>
          <w:p w:rsidR="00000000" w:rsidRDefault="00D04F4B">
            <w:pPr>
              <w:ind w:firstLine="720"/>
              <w:jc w:val="both"/>
              <w:rPr>
                <w:rFonts w:eastAsia="Times New Roman"/>
              </w:rPr>
            </w:pPr>
          </w:p>
        </w:tc>
        <w:tc>
          <w:tcPr>
            <w:tcW w:w="240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6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240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891622992"/>
          <w:jc w:val="center"/>
        </w:trPr>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Amount</w:t>
            </w:r>
          </w:p>
        </w:tc>
      </w:tr>
      <w:tr w:rsidR="00000000">
        <w:trPr>
          <w:divId w:val="89162299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86,759 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89162299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24,417</w:t>
            </w:r>
          </w:p>
        </w:tc>
      </w:tr>
      <w:tr w:rsidR="00000000">
        <w:trPr>
          <w:divId w:val="89162299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7,051 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89162299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118,227 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jc w:val="center"/>
        <w:divId w:val="2028947404"/>
        <w:rPr>
          <w:rFonts w:eastAsia="Times New Roman"/>
        </w:rPr>
      </w:pPr>
      <w:r>
        <w:rPr>
          <w:rFonts w:eastAsia="Times New Roman"/>
          <w:color w:val="000000"/>
          <w:sz w:val="20"/>
          <w:szCs w:val="20"/>
        </w:rPr>
        <w:t>F-17</w:t>
      </w:r>
    </w:p>
    <w:p w:rsidR="00000000" w:rsidRDefault="00D04F4B">
      <w:pPr>
        <w:rPr>
          <w:rFonts w:eastAsia="Times New Roman"/>
        </w:rPr>
      </w:pPr>
      <w:r>
        <w:rPr>
          <w:rFonts w:eastAsia="Times New Roman"/>
        </w:rPr>
        <w:pict>
          <v:rect id="_x0000_i1103" style="width:0;height:1.5pt" o:hralign="center" o:hrstd="t" o:hr="t" fillcolor="#a0a0a0" stroked="f"/>
        </w:pict>
      </w:r>
    </w:p>
    <w:p w:rsidR="00000000" w:rsidRDefault="00D04F4B">
      <w:pPr>
        <w:jc w:val="center"/>
        <w:divId w:val="931206568"/>
        <w:rPr>
          <w:rFonts w:eastAsia="Times New Roman"/>
        </w:rPr>
      </w:pPr>
    </w:p>
    <w:p w:rsidR="00000000" w:rsidRDefault="00D04F4B">
      <w:pPr>
        <w:jc w:val="center"/>
        <w:divId w:val="931206568"/>
        <w:rPr>
          <w:rFonts w:eastAsia="Times New Roman"/>
        </w:rPr>
      </w:pPr>
      <w:r>
        <w:rPr>
          <w:rFonts w:eastAsia="Times New Roman"/>
          <w:b/>
          <w:bCs/>
          <w:color w:val="000000"/>
          <w:sz w:val="20"/>
          <w:szCs w:val="20"/>
        </w:rPr>
        <w:t>PUBLIC STORAGE</w:t>
      </w:r>
    </w:p>
    <w:p w:rsidR="00000000" w:rsidRDefault="00D04F4B">
      <w:pPr>
        <w:jc w:val="center"/>
        <w:divId w:val="931206568"/>
        <w:rPr>
          <w:rFonts w:eastAsia="Times New Roman"/>
        </w:rPr>
      </w:pPr>
      <w:r>
        <w:rPr>
          <w:rFonts w:eastAsia="Times New Roman"/>
          <w:b/>
          <w:bCs/>
          <w:color w:val="000000"/>
          <w:sz w:val="20"/>
          <w:szCs w:val="20"/>
        </w:rPr>
        <w:t>NOTES TO FINANCIAL STATEMENTS</w:t>
      </w:r>
    </w:p>
    <w:p w:rsidR="00000000" w:rsidRDefault="00D04F4B">
      <w:pPr>
        <w:jc w:val="center"/>
        <w:divId w:val="931206568"/>
        <w:rPr>
          <w:rFonts w:eastAsia="Times New Roman"/>
        </w:rPr>
      </w:pPr>
      <w:r>
        <w:rPr>
          <w:rFonts w:eastAsia="Times New Roman"/>
          <w:b/>
          <w:bCs/>
          <w:color w:val="000000"/>
          <w:sz w:val="20"/>
          <w:szCs w:val="20"/>
        </w:rPr>
        <w:t>December 31, 2021</w:t>
      </w:r>
    </w:p>
    <w:p w:rsidR="00000000" w:rsidRDefault="00D04F4B">
      <w:pPr>
        <w:jc w:val="center"/>
        <w:divId w:val="931206568"/>
        <w:rPr>
          <w:rFonts w:eastAsia="Times New Roman"/>
        </w:rPr>
      </w:pPr>
    </w:p>
    <w:p w:rsidR="00000000" w:rsidRDefault="00D04F4B">
      <w:pPr>
        <w:ind w:hanging="360"/>
        <w:divId w:val="1706170210"/>
        <w:rPr>
          <w:rFonts w:eastAsia="Times New Roman"/>
        </w:rPr>
      </w:pPr>
      <w:r>
        <w:rPr>
          <w:rFonts w:eastAsia="Times New Roman"/>
          <w:color w:val="000000"/>
          <w:sz w:val="20"/>
          <w:szCs w:val="20"/>
        </w:rPr>
        <w:t>6.</w:t>
      </w:r>
      <w:r>
        <w:rPr>
          <w:rFonts w:eastAsia="Times New Roman"/>
          <w:color w:val="000000"/>
          <w:sz w:val="20"/>
          <w:szCs w:val="20"/>
          <w:u w:val="single"/>
        </w:rPr>
        <w:t>Credit Facility</w:t>
      </w:r>
    </w:p>
    <w:p w:rsidR="00000000" w:rsidRDefault="00D04F4B">
      <w:pPr>
        <w:ind w:firstLine="720"/>
        <w:jc w:val="both"/>
        <w:divId w:val="419957235"/>
        <w:rPr>
          <w:rFonts w:eastAsia="Times New Roman"/>
        </w:rPr>
      </w:pPr>
      <w:r>
        <w:rPr>
          <w:rFonts w:eastAsia="Times New Roman"/>
          <w:color w:val="000000"/>
          <w:sz w:val="20"/>
          <w:szCs w:val="20"/>
        </w:rPr>
        <w:t>We have a revolving credit agreement (the “Credit Facility”) with a $500 million borrowing limit that matures on April 19, 2024. Amount</w:t>
      </w:r>
      <w:r>
        <w:rPr>
          <w:rFonts w:eastAsia="Times New Roman"/>
          <w:color w:val="000000"/>
          <w:sz w:val="20"/>
          <w:szCs w:val="20"/>
        </w:rPr>
        <w:t>s drawn on the Credit Facility bear annual interest at rates ranging from LIBOR plus 0.7% to LIBOR plus 1.350% depending upon the ratio of our Total Indebtedness to Gross Asset Value (as defined in the Credit Facility) (LIBOR plus 0.75% at December 31, 202</w:t>
      </w:r>
      <w:r>
        <w:rPr>
          <w:rFonts w:eastAsia="Times New Roman"/>
          <w:color w:val="000000"/>
          <w:sz w:val="20"/>
          <w:szCs w:val="20"/>
        </w:rPr>
        <w:t>1). We are also required to pay a quarterly facility fee ranging from 0.07% per annum to 0.25% per annum depending upon the ratio of our Total Indebtedness to our Gross Asset Value (0.10% per annum at December 31, 2021). At December 31, 2021 and February 2</w:t>
      </w:r>
      <w:r>
        <w:rPr>
          <w:rFonts w:eastAsia="Times New Roman"/>
          <w:color w:val="000000"/>
          <w:sz w:val="20"/>
          <w:szCs w:val="20"/>
        </w:rPr>
        <w:t xml:space="preserve">2, 2022, we had no outstanding borrowings under this Credit Facility. We had undrawn standby letters of credit, which reduces our borrowing capacity, totaling $21.2 million at December 31, 2021 ($24.3 million at December 31, 2020). The Credit Facility has </w:t>
      </w:r>
      <w:r>
        <w:rPr>
          <w:rFonts w:eastAsia="Times New Roman"/>
          <w:color w:val="000000"/>
          <w:sz w:val="20"/>
          <w:szCs w:val="20"/>
        </w:rPr>
        <w:t xml:space="preserve">various customary restrictive covenants, with which we were in compliance at December 31, 2021. </w:t>
      </w:r>
    </w:p>
    <w:p w:rsidR="00000000" w:rsidRDefault="00D04F4B">
      <w:pPr>
        <w:ind w:hanging="360"/>
        <w:divId w:val="796148354"/>
        <w:rPr>
          <w:rFonts w:eastAsia="Times New Roman"/>
        </w:rPr>
      </w:pPr>
      <w:r>
        <w:rPr>
          <w:rFonts w:eastAsia="Times New Roman"/>
          <w:color w:val="000000"/>
          <w:sz w:val="20"/>
          <w:szCs w:val="20"/>
        </w:rPr>
        <w:t>7.</w:t>
      </w:r>
      <w:r>
        <w:rPr>
          <w:rFonts w:eastAsia="Times New Roman"/>
          <w:color w:val="000000"/>
          <w:sz w:val="20"/>
          <w:szCs w:val="20"/>
          <w:u w:val="single"/>
        </w:rPr>
        <w:t>Notes Payable</w:t>
      </w:r>
    </w:p>
    <w:p w:rsidR="00000000" w:rsidRDefault="00D04F4B">
      <w:pPr>
        <w:ind w:firstLine="547"/>
        <w:jc w:val="both"/>
        <w:divId w:val="77990604"/>
        <w:rPr>
          <w:rFonts w:eastAsia="Times New Roman"/>
        </w:rPr>
      </w:pPr>
      <w:r>
        <w:rPr>
          <w:rFonts w:eastAsia="Times New Roman"/>
          <w:color w:val="000000"/>
          <w:sz w:val="20"/>
          <w:szCs w:val="20"/>
        </w:rPr>
        <w:t>Our notes payable are reflected net of issuance costs (including original issue discounts), which are amortized as interest expense on the effe</w:t>
      </w:r>
      <w:r>
        <w:rPr>
          <w:rFonts w:eastAsia="Times New Roman"/>
          <w:color w:val="000000"/>
          <w:sz w:val="20"/>
          <w:szCs w:val="20"/>
        </w:rPr>
        <w:t>ctive interest method over the term of each respective note. Our notes payable at December 31, 2021 and 2020 are set forth in the tables below:</w:t>
      </w:r>
    </w:p>
    <w:p w:rsidR="00000000" w:rsidRDefault="00D04F4B">
      <w:pPr>
        <w:jc w:val="center"/>
        <w:divId w:val="1274173463"/>
        <w:rPr>
          <w:rFonts w:eastAsia="Times New Roman"/>
        </w:rPr>
      </w:pPr>
      <w:r>
        <w:rPr>
          <w:rFonts w:eastAsia="Times New Roman"/>
          <w:color w:val="000000"/>
          <w:sz w:val="20"/>
          <w:szCs w:val="20"/>
        </w:rPr>
        <w:t>F-18</w:t>
      </w:r>
    </w:p>
    <w:p w:rsidR="00000000" w:rsidRDefault="00D04F4B">
      <w:pPr>
        <w:rPr>
          <w:rFonts w:eastAsia="Times New Roman"/>
        </w:rPr>
      </w:pPr>
      <w:r>
        <w:rPr>
          <w:rFonts w:eastAsia="Times New Roman"/>
        </w:rPr>
        <w:pict>
          <v:rect id="_x0000_i1104" style="width:0;height:1.5pt" o:hralign="center" o:hrstd="t" o:hr="t" fillcolor="#a0a0a0" stroked="f"/>
        </w:pict>
      </w:r>
    </w:p>
    <w:p w:rsidR="00000000" w:rsidRDefault="00D04F4B">
      <w:pPr>
        <w:jc w:val="center"/>
        <w:divId w:val="886642351"/>
        <w:rPr>
          <w:rFonts w:eastAsia="Times New Roman"/>
        </w:rPr>
      </w:pPr>
    </w:p>
    <w:p w:rsidR="00000000" w:rsidRDefault="00D04F4B">
      <w:pPr>
        <w:jc w:val="center"/>
        <w:divId w:val="886642351"/>
        <w:rPr>
          <w:rFonts w:eastAsia="Times New Roman"/>
        </w:rPr>
      </w:pPr>
      <w:r>
        <w:rPr>
          <w:rFonts w:eastAsia="Times New Roman"/>
          <w:b/>
          <w:bCs/>
          <w:color w:val="000000"/>
          <w:sz w:val="20"/>
          <w:szCs w:val="20"/>
        </w:rPr>
        <w:t>PUBLIC STORAGE</w:t>
      </w:r>
    </w:p>
    <w:p w:rsidR="00000000" w:rsidRDefault="00D04F4B">
      <w:pPr>
        <w:jc w:val="center"/>
        <w:divId w:val="886642351"/>
        <w:rPr>
          <w:rFonts w:eastAsia="Times New Roman"/>
        </w:rPr>
      </w:pPr>
      <w:r>
        <w:rPr>
          <w:rFonts w:eastAsia="Times New Roman"/>
          <w:b/>
          <w:bCs/>
          <w:color w:val="000000"/>
          <w:sz w:val="20"/>
          <w:szCs w:val="20"/>
        </w:rPr>
        <w:t>NOTES TO FINANCIAL STATEMENTS</w:t>
      </w:r>
    </w:p>
    <w:p w:rsidR="00000000" w:rsidRDefault="00D04F4B">
      <w:pPr>
        <w:jc w:val="center"/>
        <w:divId w:val="886642351"/>
        <w:rPr>
          <w:rFonts w:eastAsia="Times New Roman"/>
        </w:rPr>
      </w:pPr>
      <w:r>
        <w:rPr>
          <w:rFonts w:eastAsia="Times New Roman"/>
          <w:b/>
          <w:bCs/>
          <w:color w:val="000000"/>
          <w:sz w:val="20"/>
          <w:szCs w:val="20"/>
        </w:rPr>
        <w:t>December 31, 2021</w:t>
      </w:r>
    </w:p>
    <w:p w:rsidR="00000000" w:rsidRDefault="00D04F4B">
      <w:pPr>
        <w:jc w:val="center"/>
        <w:divId w:val="886642351"/>
        <w:rPr>
          <w:rFonts w:eastAsia="Times New Roman"/>
        </w:rPr>
      </w:pPr>
    </w:p>
    <w:p w:rsidR="00000000" w:rsidRDefault="00D04F4B">
      <w:pPr>
        <w:ind w:firstLine="547"/>
        <w:jc w:val="both"/>
        <w:divId w:val="875313477"/>
        <w:rPr>
          <w:rFonts w:eastAsia="Times New Roman"/>
        </w:rPr>
      </w:pPr>
    </w:p>
    <w:tbl>
      <w:tblPr>
        <w:tblW w:w="4840" w:type="pct"/>
        <w:tblCellMar>
          <w:top w:w="15" w:type="dxa"/>
          <w:left w:w="15" w:type="dxa"/>
          <w:bottom w:w="15" w:type="dxa"/>
          <w:right w:w="15" w:type="dxa"/>
        </w:tblCellMar>
        <w:tblLook w:val="04A0" w:firstRow="1" w:lastRow="0" w:firstColumn="1" w:lastColumn="0" w:noHBand="0" w:noVBand="1"/>
      </w:tblPr>
      <w:tblGrid>
        <w:gridCol w:w="37"/>
        <w:gridCol w:w="1899"/>
        <w:gridCol w:w="36"/>
        <w:gridCol w:w="83"/>
        <w:gridCol w:w="967"/>
        <w:gridCol w:w="37"/>
        <w:gridCol w:w="36"/>
        <w:gridCol w:w="36"/>
        <w:gridCol w:w="36"/>
        <w:gridCol w:w="67"/>
        <w:gridCol w:w="627"/>
        <w:gridCol w:w="36"/>
        <w:gridCol w:w="36"/>
        <w:gridCol w:w="36"/>
        <w:gridCol w:w="36"/>
        <w:gridCol w:w="110"/>
        <w:gridCol w:w="765"/>
        <w:gridCol w:w="36"/>
        <w:gridCol w:w="36"/>
        <w:gridCol w:w="36"/>
        <w:gridCol w:w="36"/>
        <w:gridCol w:w="111"/>
        <w:gridCol w:w="829"/>
        <w:gridCol w:w="37"/>
        <w:gridCol w:w="36"/>
        <w:gridCol w:w="37"/>
        <w:gridCol w:w="36"/>
        <w:gridCol w:w="110"/>
        <w:gridCol w:w="765"/>
        <w:gridCol w:w="36"/>
        <w:gridCol w:w="36"/>
        <w:gridCol w:w="36"/>
        <w:gridCol w:w="36"/>
        <w:gridCol w:w="110"/>
        <w:gridCol w:w="765"/>
        <w:gridCol w:w="36"/>
      </w:tblGrid>
      <w:tr w:rsidR="00000000">
        <w:trPr>
          <w:divId w:val="1673333505"/>
        </w:trPr>
        <w:tc>
          <w:tcPr>
            <w:tcW w:w="50" w:type="pct"/>
            <w:vAlign w:val="center"/>
            <w:hideMark/>
          </w:tcPr>
          <w:p w:rsidR="00000000" w:rsidRDefault="00D04F4B">
            <w:pPr>
              <w:ind w:firstLine="547"/>
              <w:jc w:val="both"/>
              <w:rPr>
                <w:rFonts w:eastAsia="Times New Roman"/>
              </w:rPr>
            </w:pPr>
          </w:p>
        </w:tc>
        <w:tc>
          <w:tcPr>
            <w:tcW w:w="150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8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Amounts at December 31, 2021</w:t>
            </w: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Coupon Rate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Effective Rate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 Principal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Unamortized Costs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Book</w:t>
            </w:r>
            <w:r>
              <w:rPr>
                <w:rFonts w:eastAsia="Times New Roman"/>
                <w:color w:val="000000"/>
                <w:sz w:val="18"/>
                <w:szCs w:val="18"/>
              </w:rPr>
              <w:br/>
              <w:t>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Fair</w:t>
            </w:r>
            <w:r>
              <w:rPr>
                <w:rFonts w:eastAsia="Times New Roman"/>
                <w:color w:val="000000"/>
                <w:sz w:val="18"/>
                <w:szCs w:val="18"/>
              </w:rPr>
              <w:br/>
              <w:t> Value</w:t>
            </w:r>
          </w:p>
        </w:tc>
      </w:tr>
      <w:tr w:rsidR="00000000">
        <w:trPr>
          <w:divId w:val="1673333505"/>
          <w:trHeight w:val="6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 amounts in thousands)</w:t>
            </w:r>
          </w:p>
        </w:tc>
      </w:tr>
      <w:tr w:rsidR="00000000">
        <w:trPr>
          <w:divId w:val="1673333505"/>
        </w:trPr>
        <w:tc>
          <w:tcPr>
            <w:tcW w:w="0" w:type="auto"/>
            <w:gridSpan w:val="12"/>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i/>
                <w:iCs/>
                <w:color w:val="000000"/>
                <w:sz w:val="18"/>
                <w:szCs w:val="18"/>
              </w:rPr>
              <w:t>U.S. Dollar Denominated Unsecured Debt</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divId w:val="773475230"/>
              <w:rPr>
                <w:rFonts w:eastAsia="Times New Roman"/>
              </w:rPr>
            </w:pPr>
            <w:r>
              <w:rPr>
                <w:rFonts w:eastAsia="Times New Roman"/>
                <w:color w:val="000000"/>
                <w:sz w:val="18"/>
                <w:szCs w:val="18"/>
              </w:rPr>
              <w:t xml:space="preserve">Notes due September 15, 2022 </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2.370%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2.483%</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(363)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499,637 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506,362 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divId w:val="500123388"/>
              <w:rPr>
                <w:rFonts w:eastAsia="Times New Roman"/>
              </w:rPr>
            </w:pPr>
            <w:r>
              <w:rPr>
                <w:rFonts w:eastAsia="Times New Roman"/>
                <w:color w:val="000000"/>
                <w:sz w:val="18"/>
                <w:szCs w:val="18"/>
              </w:rPr>
              <w:t>Notes due April 23, 2024</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SOFR+0.47%</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0.617%</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700,000 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(1,628)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698,372 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700,314 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divId w:val="1560434203"/>
              <w:rPr>
                <w:rFonts w:eastAsia="Times New Roman"/>
              </w:rPr>
            </w:pPr>
            <w:r>
              <w:rPr>
                <w:rFonts w:eastAsia="Times New Roman"/>
                <w:color w:val="000000"/>
                <w:sz w:val="18"/>
                <w:szCs w:val="18"/>
              </w:rPr>
              <w:t>Notes due February 15, 2026</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0.875%</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1.030%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(3,061)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496,939 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488,141 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Notes due November 9, 2026</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1.500%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1.640%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(4,227)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645,773 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649,996 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divId w:val="2031294372"/>
              <w:rPr>
                <w:rFonts w:eastAsia="Times New Roman"/>
              </w:rPr>
            </w:pPr>
            <w:r>
              <w:rPr>
                <w:rFonts w:eastAsia="Times New Roman"/>
                <w:color w:val="000000"/>
                <w:sz w:val="18"/>
                <w:szCs w:val="18"/>
              </w:rPr>
              <w:t>Notes due September 15, 2027</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3.094%</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3.218%</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(3,020)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496,980 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535,206 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divId w:val="2139452211"/>
              <w:rPr>
                <w:rFonts w:eastAsia="Times New Roman"/>
              </w:rPr>
            </w:pPr>
            <w:r>
              <w:rPr>
                <w:rFonts w:eastAsia="Times New Roman"/>
                <w:color w:val="000000"/>
                <w:sz w:val="18"/>
                <w:szCs w:val="18"/>
              </w:rPr>
              <w:t>Notes due May 1, 2028</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1.850%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1.962%</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(4,276)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645,724 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649,221 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Notes due November 9, 2028</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1.950%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2.044%</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(3,299)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546,701 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548,241 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divId w:val="304698193"/>
              <w:rPr>
                <w:rFonts w:eastAsia="Times New Roman"/>
              </w:rPr>
            </w:pPr>
            <w:r>
              <w:rPr>
                <w:rFonts w:eastAsia="Times New Roman"/>
                <w:color w:val="000000"/>
                <w:sz w:val="18"/>
                <w:szCs w:val="18"/>
              </w:rPr>
              <w:t>Notes due May 1, 2029</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3.385%</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3.459%</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(2,257)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497,743 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545,580 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divId w:val="1776712390"/>
              <w:rPr>
                <w:rFonts w:eastAsia="Times New Roman"/>
              </w:rPr>
            </w:pPr>
            <w:r>
              <w:rPr>
                <w:rFonts w:eastAsia="Times New Roman"/>
                <w:color w:val="000000"/>
                <w:sz w:val="18"/>
                <w:szCs w:val="18"/>
              </w:rPr>
              <w:t>Notes due May 1, 2031</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2.300%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2.419%</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(6,383)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643,617 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656,546 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Notes due November 9, 2031</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2.250%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2.322%</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(3,488)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546,512 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551,932 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5,750,000 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(32,002)</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5,717,998 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5,831,539 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Height w:val="12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73333505"/>
        </w:trPr>
        <w:tc>
          <w:tcPr>
            <w:tcW w:w="0" w:type="auto"/>
            <w:gridSpan w:val="6"/>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i/>
                <w:iCs/>
                <w:color w:val="000000"/>
                <w:sz w:val="18"/>
                <w:szCs w:val="18"/>
              </w:rPr>
              <w:t>Euro Denominated Unsecured Debt</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divId w:val="669530223"/>
              <w:rPr>
                <w:rFonts w:eastAsia="Times New Roman"/>
              </w:rPr>
            </w:pPr>
            <w:r>
              <w:rPr>
                <w:rFonts w:eastAsia="Times New Roman"/>
                <w:color w:val="000000"/>
                <w:sz w:val="18"/>
                <w:szCs w:val="18"/>
              </w:rPr>
              <w:t>Notes due April 12, 2024</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1.540%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1.540%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113,431 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113,431 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117,526 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divId w:val="284973393"/>
              <w:rPr>
                <w:rFonts w:eastAsia="Times New Roman"/>
              </w:rPr>
            </w:pPr>
            <w:r>
              <w:rPr>
                <w:rFonts w:eastAsia="Times New Roman"/>
                <w:color w:val="000000"/>
                <w:sz w:val="18"/>
                <w:szCs w:val="18"/>
              </w:rPr>
              <w:t>Notes due November 3, 2025</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274,518 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274,518 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295,256 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Notes due September 9, 2030</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0.500%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0.640%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794,017 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(9,730)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784,287 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769,561 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divId w:val="220333531"/>
              <w:rPr>
                <w:rFonts w:eastAsia="Times New Roman"/>
              </w:rPr>
            </w:pPr>
            <w:r>
              <w:rPr>
                <w:rFonts w:eastAsia="Times New Roman"/>
                <w:color w:val="000000"/>
                <w:sz w:val="18"/>
                <w:szCs w:val="18"/>
              </w:rPr>
              <w:t>Notes due January 24, 2032</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0.875%</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0.978%</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567,155 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(5,394)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561,761 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551,842 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1,749,121 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(15,124)</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1,733,997 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1,734,185 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Height w:val="6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ind w:hanging="180"/>
              <w:divId w:val="621157814"/>
              <w:rPr>
                <w:rFonts w:eastAsia="Times New Roman"/>
              </w:rPr>
            </w:pPr>
            <w:r>
              <w:rPr>
                <w:rFonts w:eastAsia="Times New Roman"/>
                <w:color w:val="000000"/>
                <w:sz w:val="18"/>
                <w:szCs w:val="18"/>
              </w:rPr>
              <w:t> </w:t>
            </w:r>
            <w:r>
              <w:rPr>
                <w:rFonts w:eastAsia="Times New Roman"/>
                <w:b/>
                <w:bCs/>
                <w:i/>
                <w:iCs/>
                <w:color w:val="000000"/>
                <w:sz w:val="18"/>
                <w:szCs w:val="18"/>
              </w:rPr>
              <w:t>Mortgage Debt</w:t>
            </w:r>
            <w:r>
              <w:rPr>
                <w:rFonts w:eastAsia="Times New Roman"/>
                <w:color w:val="000000"/>
                <w:sz w:val="18"/>
                <w:szCs w:val="18"/>
              </w:rPr>
              <w:t>, secured by 11 real estate facilities with a net book value of $66.1 million</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3.878%</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3.897%</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23,284 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23,284 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24,208 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73333505"/>
          <w:trHeight w:val="6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73333505"/>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7,522,405 </w:t>
            </w:r>
          </w:p>
        </w:tc>
        <w:tc>
          <w:tcPr>
            <w:tcW w:w="0" w:type="auto"/>
            <w:tcBorders>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(47,126)</w:t>
            </w:r>
          </w:p>
        </w:tc>
        <w:tc>
          <w:tcPr>
            <w:tcW w:w="0" w:type="auto"/>
            <w:tcBorders>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7,475,279 </w:t>
            </w:r>
          </w:p>
        </w:tc>
        <w:tc>
          <w:tcPr>
            <w:tcW w:w="0" w:type="auto"/>
            <w:tcBorders>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7,589,932 </w:t>
            </w:r>
          </w:p>
        </w:tc>
        <w:tc>
          <w:tcPr>
            <w:tcW w:w="0" w:type="auto"/>
            <w:tcBorders>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tbl>
      <w:tblPr>
        <w:tblW w:w="4840" w:type="pct"/>
        <w:tblCellMar>
          <w:top w:w="15" w:type="dxa"/>
          <w:left w:w="15" w:type="dxa"/>
          <w:bottom w:w="15" w:type="dxa"/>
          <w:right w:w="15" w:type="dxa"/>
        </w:tblCellMar>
        <w:tblLook w:val="04A0" w:firstRow="1" w:lastRow="0" w:firstColumn="1" w:lastColumn="0" w:noHBand="0" w:noVBand="1"/>
      </w:tblPr>
      <w:tblGrid>
        <w:gridCol w:w="144"/>
        <w:gridCol w:w="6202"/>
        <w:gridCol w:w="144"/>
        <w:gridCol w:w="144"/>
        <w:gridCol w:w="754"/>
        <w:gridCol w:w="144"/>
        <w:gridCol w:w="144"/>
        <w:gridCol w:w="144"/>
        <w:gridCol w:w="144"/>
        <w:gridCol w:w="144"/>
        <w:gridCol w:w="754"/>
        <w:gridCol w:w="144"/>
      </w:tblGrid>
      <w:tr w:rsidR="00000000">
        <w:tc>
          <w:tcPr>
            <w:tcW w:w="50" w:type="pct"/>
            <w:vAlign w:val="center"/>
            <w:hideMark/>
          </w:tcPr>
          <w:p w:rsidR="00000000" w:rsidRDefault="00D04F4B">
            <w:pPr>
              <w:rPr>
                <w:rFonts w:eastAsia="Times New Roman"/>
              </w:rPr>
            </w:pPr>
          </w:p>
        </w:tc>
        <w:tc>
          <w:tcPr>
            <w:tcW w:w="385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 xml:space="preserve">Amounts at </w:t>
            </w: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December 31, 2020</w:t>
            </w: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Book Value</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Fair Value</w:t>
            </w: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 amounts in thousands)</w:t>
            </w: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i/>
                <w:iCs/>
                <w:color w:val="000000"/>
                <w:sz w:val="18"/>
                <w:szCs w:val="18"/>
              </w:rPr>
              <w:t>U.S. Dollar Denominated Unsecured Debt</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divId w:val="1105611764"/>
              <w:rPr>
                <w:rFonts w:eastAsia="Times New Roman"/>
              </w:rPr>
            </w:pPr>
            <w:r>
              <w:rPr>
                <w:rFonts w:eastAsia="Times New Roman"/>
                <w:color w:val="000000"/>
                <w:sz w:val="18"/>
                <w:szCs w:val="18"/>
              </w:rPr>
              <w:t>Notes due September 15, 2022</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499,109 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517,419 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divId w:val="1602837791"/>
              <w:rPr>
                <w:rFonts w:eastAsia="Times New Roman"/>
              </w:rPr>
            </w:pPr>
            <w:r>
              <w:rPr>
                <w:rFonts w:eastAsia="Times New Roman"/>
                <w:color w:val="000000"/>
                <w:sz w:val="18"/>
                <w:szCs w:val="18"/>
              </w:rPr>
              <w:t>Notes due September 15, 2027</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496,452 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560,833 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divId w:val="521431672"/>
              <w:rPr>
                <w:rFonts w:eastAsia="Times New Roman"/>
              </w:rPr>
            </w:pPr>
            <w:r>
              <w:rPr>
                <w:rFonts w:eastAsia="Times New Roman"/>
                <w:color w:val="000000"/>
                <w:sz w:val="18"/>
                <w:szCs w:val="18"/>
              </w:rPr>
              <w:t>Notes due May 1, 2029</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497,433 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574,833 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1,492,994 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1,653,085 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trHeight w:val="6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i/>
                <w:iCs/>
                <w:color w:val="000000"/>
                <w:sz w:val="18"/>
                <w:szCs w:val="18"/>
              </w:rPr>
              <w:t>Euro Denominated Unsecured Debt</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divId w:val="751465874"/>
              <w:rPr>
                <w:rFonts w:eastAsia="Times New Roman"/>
              </w:rPr>
            </w:pPr>
            <w:r>
              <w:rPr>
                <w:rFonts w:eastAsia="Times New Roman"/>
                <w:color w:val="000000"/>
                <w:sz w:val="18"/>
                <w:szCs w:val="18"/>
              </w:rPr>
              <w:t>Notes due April 12, 2024</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122,646 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129,192 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divId w:val="2114090828"/>
              <w:rPr>
                <w:rFonts w:eastAsia="Times New Roman"/>
              </w:rPr>
            </w:pPr>
            <w:r>
              <w:rPr>
                <w:rFonts w:eastAsia="Times New Roman"/>
                <w:color w:val="000000"/>
                <w:sz w:val="18"/>
                <w:szCs w:val="18"/>
              </w:rPr>
              <w:t>Notes due November 3, 2025</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296,821 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323,552 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divId w:val="932973008"/>
              <w:rPr>
                <w:rFonts w:eastAsia="Times New Roman"/>
              </w:rPr>
            </w:pPr>
            <w:r>
              <w:rPr>
                <w:rFonts w:eastAsia="Times New Roman"/>
                <w:color w:val="000000"/>
                <w:sz w:val="18"/>
                <w:szCs w:val="18"/>
              </w:rPr>
              <w:t>Notes due January 24, 2032</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607,301 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634,389 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1,026,768 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1,087,133 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trHeight w:val="6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i/>
                <w:iCs/>
                <w:color w:val="000000"/>
                <w:sz w:val="18"/>
                <w:szCs w:val="18"/>
              </w:rPr>
              <w:t>Mortgage Debt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25,230 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26,958 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trHeight w:val="6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tcBorders>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2,544,992 </w:t>
            </w:r>
          </w:p>
        </w:tc>
        <w:tc>
          <w:tcPr>
            <w:tcW w:w="0" w:type="auto"/>
            <w:tcBorders>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2,767,176 </w:t>
            </w:r>
          </w:p>
        </w:tc>
        <w:tc>
          <w:tcPr>
            <w:tcW w:w="0" w:type="auto"/>
            <w:tcBorders>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jc w:val="center"/>
        <w:divId w:val="339891578"/>
        <w:rPr>
          <w:rFonts w:eastAsia="Times New Roman"/>
        </w:rPr>
      </w:pPr>
      <w:r>
        <w:rPr>
          <w:rFonts w:eastAsia="Times New Roman"/>
          <w:color w:val="000000"/>
          <w:sz w:val="20"/>
          <w:szCs w:val="20"/>
        </w:rPr>
        <w:t>F-19</w:t>
      </w:r>
    </w:p>
    <w:p w:rsidR="00000000" w:rsidRDefault="00D04F4B">
      <w:pPr>
        <w:rPr>
          <w:rFonts w:eastAsia="Times New Roman"/>
        </w:rPr>
      </w:pPr>
      <w:r>
        <w:rPr>
          <w:rFonts w:eastAsia="Times New Roman"/>
        </w:rPr>
        <w:pict>
          <v:rect id="_x0000_i1105" style="width:0;height:1.5pt" o:hralign="center" o:hrstd="t" o:hr="t" fillcolor="#a0a0a0" stroked="f"/>
        </w:pict>
      </w:r>
    </w:p>
    <w:p w:rsidR="00000000" w:rsidRDefault="00D04F4B">
      <w:pPr>
        <w:jc w:val="center"/>
        <w:divId w:val="1960719098"/>
        <w:rPr>
          <w:rFonts w:eastAsia="Times New Roman"/>
        </w:rPr>
      </w:pPr>
    </w:p>
    <w:p w:rsidR="00000000" w:rsidRDefault="00D04F4B">
      <w:pPr>
        <w:jc w:val="center"/>
        <w:divId w:val="1960719098"/>
        <w:rPr>
          <w:rFonts w:eastAsia="Times New Roman"/>
        </w:rPr>
      </w:pPr>
      <w:r>
        <w:rPr>
          <w:rFonts w:eastAsia="Times New Roman"/>
          <w:b/>
          <w:bCs/>
          <w:color w:val="000000"/>
          <w:sz w:val="20"/>
          <w:szCs w:val="20"/>
        </w:rPr>
        <w:t>PUBLIC STORAGE</w:t>
      </w:r>
    </w:p>
    <w:p w:rsidR="00000000" w:rsidRDefault="00D04F4B">
      <w:pPr>
        <w:jc w:val="center"/>
        <w:divId w:val="1960719098"/>
        <w:rPr>
          <w:rFonts w:eastAsia="Times New Roman"/>
        </w:rPr>
      </w:pPr>
      <w:r>
        <w:rPr>
          <w:rFonts w:eastAsia="Times New Roman"/>
          <w:b/>
          <w:bCs/>
          <w:color w:val="000000"/>
          <w:sz w:val="20"/>
          <w:szCs w:val="20"/>
        </w:rPr>
        <w:t>NOTES TO FINANCIAL STATEMENTS</w:t>
      </w:r>
    </w:p>
    <w:p w:rsidR="00000000" w:rsidRDefault="00D04F4B">
      <w:pPr>
        <w:jc w:val="center"/>
        <w:divId w:val="1960719098"/>
        <w:rPr>
          <w:rFonts w:eastAsia="Times New Roman"/>
        </w:rPr>
      </w:pPr>
      <w:r>
        <w:rPr>
          <w:rFonts w:eastAsia="Times New Roman"/>
          <w:b/>
          <w:bCs/>
          <w:color w:val="000000"/>
          <w:sz w:val="20"/>
          <w:szCs w:val="20"/>
        </w:rPr>
        <w:t>December 31, 2021</w:t>
      </w:r>
    </w:p>
    <w:p w:rsidR="00000000" w:rsidRDefault="00D04F4B">
      <w:pPr>
        <w:jc w:val="center"/>
        <w:divId w:val="1960719098"/>
        <w:rPr>
          <w:rFonts w:eastAsia="Times New Roman"/>
        </w:rPr>
      </w:pPr>
    </w:p>
    <w:p w:rsidR="00000000" w:rsidRDefault="00D04F4B">
      <w:pPr>
        <w:ind w:firstLine="360"/>
        <w:jc w:val="both"/>
        <w:divId w:val="1016422648"/>
        <w:rPr>
          <w:rFonts w:eastAsia="Times New Roman"/>
        </w:rPr>
      </w:pPr>
      <w:r>
        <w:rPr>
          <w:rFonts w:eastAsia="Times New Roman"/>
          <w:color w:val="000000"/>
          <w:sz w:val="20"/>
          <w:szCs w:val="20"/>
          <w:u w:val="single"/>
        </w:rPr>
        <w:t>U.S. Dollar Denominated Unsecured Notes</w:t>
      </w:r>
    </w:p>
    <w:p w:rsidR="00000000" w:rsidRDefault="00D04F4B">
      <w:pPr>
        <w:ind w:firstLine="720"/>
        <w:jc w:val="both"/>
        <w:divId w:val="482620198"/>
        <w:rPr>
          <w:rFonts w:eastAsia="Times New Roman"/>
        </w:rPr>
      </w:pPr>
      <w:r>
        <w:rPr>
          <w:rFonts w:eastAsia="Times New Roman"/>
          <w:color w:val="000000"/>
          <w:sz w:val="20"/>
          <w:szCs w:val="20"/>
        </w:rPr>
        <w:t xml:space="preserve">On January 19, 2021, we completed a public offering of $500 </w:t>
      </w:r>
      <w:r>
        <w:rPr>
          <w:rFonts w:eastAsia="Times New Roman"/>
          <w:color w:val="000000"/>
          <w:sz w:val="20"/>
          <w:szCs w:val="20"/>
        </w:rPr>
        <w:t>million aggregate principal amount of senior notes bearing interest at an annual rate of 0.875% and maturing on February 15, 2026. Interest on the senior notes is payable semi-annually, commencing on August 15, 2021. In connection with the offering, we inc</w:t>
      </w:r>
      <w:r>
        <w:rPr>
          <w:rFonts w:eastAsia="Times New Roman"/>
          <w:color w:val="000000"/>
          <w:sz w:val="20"/>
          <w:szCs w:val="20"/>
        </w:rPr>
        <w:t xml:space="preserve">urred $3.8 million in costs. </w:t>
      </w:r>
    </w:p>
    <w:p w:rsidR="00000000" w:rsidRDefault="00D04F4B">
      <w:pPr>
        <w:ind w:firstLine="720"/>
        <w:jc w:val="both"/>
        <w:divId w:val="1434283343"/>
        <w:rPr>
          <w:rFonts w:eastAsia="Times New Roman"/>
        </w:rPr>
      </w:pPr>
      <w:r>
        <w:rPr>
          <w:rFonts w:eastAsia="Times New Roman"/>
          <w:color w:val="000000"/>
          <w:sz w:val="20"/>
          <w:szCs w:val="20"/>
        </w:rPr>
        <w:t xml:space="preserve">On April 23, 2021, we completed a public offering of $700 million, $650 million and $650 million aggregate principal amount of senior notes bearing interest at an annual rate of the Compounded Secured Overnight Financing Rate </w:t>
      </w:r>
      <w:r>
        <w:rPr>
          <w:rFonts w:eastAsia="Times New Roman"/>
          <w:color w:val="000000"/>
          <w:sz w:val="20"/>
          <w:szCs w:val="20"/>
        </w:rPr>
        <w:t xml:space="preserve">(“SOFR”) plus 0.47% (reset quarterly and at 0.52% as of December 31, 2021), 1.850% and 2.300%, respectively, and maturing on April 23, 2024, May 1, 2028 and May 1, 2031, respectively. Interest on the 2024 notes is payable quarterly, commencing on July 23, </w:t>
      </w:r>
      <w:r>
        <w:rPr>
          <w:rFonts w:eastAsia="Times New Roman"/>
          <w:color w:val="000000"/>
          <w:sz w:val="20"/>
          <w:szCs w:val="20"/>
        </w:rPr>
        <w:t>2021. Interest on the 2028 notes and 2031 notes is payable semi-annually, commencing on November 1, 2021. In connection with the offering, we incurred a total of $13.7 million in costs.</w:t>
      </w:r>
    </w:p>
    <w:p w:rsidR="00000000" w:rsidRDefault="00D04F4B">
      <w:pPr>
        <w:ind w:firstLine="720"/>
        <w:jc w:val="both"/>
        <w:divId w:val="324627399"/>
        <w:rPr>
          <w:rFonts w:eastAsia="Times New Roman"/>
        </w:rPr>
      </w:pPr>
      <w:r>
        <w:rPr>
          <w:rFonts w:eastAsia="Times New Roman"/>
          <w:color w:val="000000"/>
          <w:sz w:val="20"/>
          <w:szCs w:val="20"/>
        </w:rPr>
        <w:t>On November 9, 2021, we completed a public offering of $650 million, $</w:t>
      </w:r>
      <w:r>
        <w:rPr>
          <w:rFonts w:eastAsia="Times New Roman"/>
          <w:color w:val="000000"/>
          <w:sz w:val="20"/>
          <w:szCs w:val="20"/>
        </w:rPr>
        <w:t>550 million and $550 million aggregate principal amount of senior notes bearing interest at an annual rate of 1.500%, 1.950% and 2.250%, respectively, and maturing on November 9, 2026, November 9, 2028 and November 9, 2031, respectively. Interest on the se</w:t>
      </w:r>
      <w:r>
        <w:rPr>
          <w:rFonts w:eastAsia="Times New Roman"/>
          <w:color w:val="000000"/>
          <w:sz w:val="20"/>
          <w:szCs w:val="20"/>
        </w:rPr>
        <w:t>nior notes is payable semi-annually, commencing on May 9, 2022. In connection with the offering, we incurred a total of $11.3 million in costs.</w:t>
      </w:r>
    </w:p>
    <w:p w:rsidR="00000000" w:rsidRDefault="00D04F4B">
      <w:pPr>
        <w:ind w:firstLine="720"/>
        <w:jc w:val="both"/>
        <w:divId w:val="1329014173"/>
        <w:rPr>
          <w:rFonts w:eastAsia="Times New Roman"/>
        </w:rPr>
      </w:pPr>
      <w:r>
        <w:rPr>
          <w:rFonts w:eastAsia="Times New Roman"/>
          <w:color w:val="000000"/>
          <w:sz w:val="20"/>
          <w:szCs w:val="20"/>
        </w:rPr>
        <w:t xml:space="preserve">On April 12, 2019, we completed a public offering of $500 million in aggregate principal amount of senior notes </w:t>
      </w:r>
      <w:r>
        <w:rPr>
          <w:rFonts w:eastAsia="Times New Roman"/>
          <w:color w:val="000000"/>
          <w:sz w:val="20"/>
          <w:szCs w:val="20"/>
        </w:rPr>
        <w:t xml:space="preserve">bearing interest at an annual rate of 3.385% maturing on May 1, 2029. In connection with the offering, we incurred a total of $3.1 million in costs. </w:t>
      </w:r>
    </w:p>
    <w:p w:rsidR="00000000" w:rsidRDefault="00D04F4B">
      <w:pPr>
        <w:ind w:firstLine="720"/>
        <w:jc w:val="both"/>
        <w:divId w:val="468405858"/>
        <w:rPr>
          <w:rFonts w:eastAsia="Times New Roman"/>
        </w:rPr>
      </w:pPr>
      <w:r>
        <w:rPr>
          <w:rFonts w:eastAsia="Times New Roman"/>
          <w:color w:val="000000"/>
          <w:sz w:val="20"/>
          <w:szCs w:val="20"/>
        </w:rPr>
        <w:t>The U.S. Dollar Denominated Unsecured Notes have various financial covenants, with which we were in compli</w:t>
      </w:r>
      <w:r>
        <w:rPr>
          <w:rFonts w:eastAsia="Times New Roman"/>
          <w:color w:val="000000"/>
          <w:sz w:val="20"/>
          <w:szCs w:val="20"/>
        </w:rPr>
        <w:t>ance at December 31, 2021. Included in these covenants are (a) a maximum Debt to Total Assets of 65% (approximately 16% at December 31, 2021) and (b) a minimum ratio of Adjusted EBITDA to Interest Expense of 1.5x (approximately 30x for the twelve months en</w:t>
      </w:r>
      <w:r>
        <w:rPr>
          <w:rFonts w:eastAsia="Times New Roman"/>
          <w:color w:val="000000"/>
          <w:sz w:val="20"/>
          <w:szCs w:val="20"/>
        </w:rPr>
        <w:t xml:space="preserve">ded December 31, 2021) as well as covenants limiting the amount we can encumber our properties with mortgage debt. </w:t>
      </w:r>
    </w:p>
    <w:p w:rsidR="00000000" w:rsidRDefault="00D04F4B">
      <w:pPr>
        <w:ind w:firstLine="360"/>
        <w:jc w:val="both"/>
        <w:divId w:val="701982681"/>
        <w:rPr>
          <w:rFonts w:eastAsia="Times New Roman"/>
        </w:rPr>
      </w:pPr>
      <w:r>
        <w:rPr>
          <w:rFonts w:eastAsia="Times New Roman"/>
          <w:color w:val="000000"/>
          <w:sz w:val="20"/>
          <w:szCs w:val="20"/>
          <w:u w:val="single"/>
        </w:rPr>
        <w:t>Euro Denominated Unsecured Notes</w:t>
      </w:r>
    </w:p>
    <w:p w:rsidR="00000000" w:rsidRDefault="00D04F4B">
      <w:pPr>
        <w:ind w:firstLine="720"/>
        <w:jc w:val="both"/>
        <w:divId w:val="698162257"/>
        <w:rPr>
          <w:rFonts w:eastAsia="Times New Roman"/>
        </w:rPr>
      </w:pPr>
      <w:r>
        <w:rPr>
          <w:rFonts w:eastAsia="Times New Roman"/>
          <w:color w:val="000000"/>
          <w:sz w:val="20"/>
          <w:szCs w:val="20"/>
        </w:rPr>
        <w:t>Our Euro denominated unsecured notes (the “Euro Notes”) consist of four tranches: (i) €242.0 million issued</w:t>
      </w:r>
      <w:r>
        <w:rPr>
          <w:rFonts w:eastAsia="Times New Roman"/>
          <w:color w:val="000000"/>
          <w:sz w:val="20"/>
          <w:szCs w:val="20"/>
        </w:rPr>
        <w:t xml:space="preserve"> to institutional investors on November 3, 2015 for $264.3 million in net proceeds upon converting the Euros to U.S. Dollars, (ii) €100.0 million issued to institutional investors on April 12, 2016 for $113.6 million in net proceeds upon converting the Eur</w:t>
      </w:r>
      <w:r>
        <w:rPr>
          <w:rFonts w:eastAsia="Times New Roman"/>
          <w:color w:val="000000"/>
          <w:sz w:val="20"/>
          <w:szCs w:val="20"/>
        </w:rPr>
        <w:t>os to U.S. Dollars, (iii) €500.0 million issued in a public offering on January 24, 2020 for $545.2 million in net proceeds upon converting the Euros to U.S. Dollars, and (iv) €700.0 million issued in a public offering on September 9, 2021 for $817.6 milli</w:t>
      </w:r>
      <w:r>
        <w:rPr>
          <w:rFonts w:eastAsia="Times New Roman"/>
          <w:color w:val="000000"/>
          <w:sz w:val="20"/>
          <w:szCs w:val="20"/>
        </w:rPr>
        <w:t xml:space="preserve">on in net proceeds upon converting the Euros to U.S. Dollars. Interest is payable semi-annually on the notes issued November 3, 2015 and April 12, 2016, and annually on the notes issued January 24, 2020 and September 9, 2021. The Euro Notes have financial </w:t>
      </w:r>
      <w:r>
        <w:rPr>
          <w:rFonts w:eastAsia="Times New Roman"/>
          <w:color w:val="000000"/>
          <w:sz w:val="20"/>
          <w:szCs w:val="20"/>
        </w:rPr>
        <w:t xml:space="preserve">covenants similar to those of the U.S. Dollar Denominated Unsecured Notes. </w:t>
      </w:r>
    </w:p>
    <w:p w:rsidR="00000000" w:rsidRDefault="00D04F4B">
      <w:pPr>
        <w:ind w:firstLine="720"/>
        <w:jc w:val="both"/>
        <w:divId w:val="1707490467"/>
        <w:rPr>
          <w:rFonts w:eastAsia="Times New Roman"/>
        </w:rPr>
      </w:pPr>
      <w:r>
        <w:rPr>
          <w:rFonts w:eastAsia="Times New Roman"/>
          <w:color w:val="000000"/>
          <w:sz w:val="20"/>
          <w:szCs w:val="20"/>
        </w:rPr>
        <w:t>We reflect changes in the U.S. Dollar equivalent of the amount payable, as a result of changes in foreign exchange rates as “Foreign currency exchange gain (loss)” on our income st</w:t>
      </w:r>
      <w:r>
        <w:rPr>
          <w:rFonts w:eastAsia="Times New Roman"/>
          <w:color w:val="000000"/>
          <w:sz w:val="20"/>
          <w:szCs w:val="20"/>
        </w:rPr>
        <w:t>atement (gains of $111.8 million for 2021, as compared to losses of $98.0 million for 2020 and gains of $7.8 million for 2019).</w:t>
      </w:r>
    </w:p>
    <w:p w:rsidR="00000000" w:rsidRDefault="00D04F4B">
      <w:pPr>
        <w:jc w:val="both"/>
        <w:rPr>
          <w:rFonts w:eastAsia="Times New Roman"/>
        </w:rPr>
      </w:pPr>
      <w:r>
        <w:rPr>
          <w:rFonts w:eastAsia="Times New Roman"/>
          <w:color w:val="000000"/>
          <w:sz w:val="20"/>
          <w:szCs w:val="20"/>
          <w:u w:val="single"/>
        </w:rPr>
        <w:t>Mortgage Notes</w:t>
      </w:r>
    </w:p>
    <w:p w:rsidR="00000000" w:rsidRDefault="00D04F4B">
      <w:pPr>
        <w:ind w:firstLine="720"/>
        <w:jc w:val="both"/>
        <w:divId w:val="1412000568"/>
        <w:rPr>
          <w:rFonts w:eastAsia="Times New Roman"/>
        </w:rPr>
      </w:pPr>
      <w:r>
        <w:rPr>
          <w:rFonts w:eastAsia="Times New Roman"/>
          <w:color w:val="000000"/>
          <w:sz w:val="20"/>
          <w:szCs w:val="20"/>
        </w:rPr>
        <w:t xml:space="preserve">We assumed our non-recourse mortgage debt in connection with property acquisitions, and we recorded such debt at </w:t>
      </w:r>
      <w:r>
        <w:rPr>
          <w:rFonts w:eastAsia="Times New Roman"/>
          <w:color w:val="000000"/>
          <w:sz w:val="20"/>
          <w:szCs w:val="20"/>
        </w:rPr>
        <w:t xml:space="preserve">fair value with any premium or discount to the stated note balance amortized using the effective interest method. </w:t>
      </w:r>
    </w:p>
    <w:p w:rsidR="00000000" w:rsidRDefault="00D04F4B">
      <w:pPr>
        <w:ind w:firstLine="720"/>
        <w:jc w:val="both"/>
        <w:divId w:val="1952205404"/>
        <w:rPr>
          <w:rFonts w:eastAsia="Times New Roman"/>
        </w:rPr>
      </w:pPr>
      <w:r>
        <w:rPr>
          <w:rFonts w:eastAsia="Times New Roman"/>
          <w:color w:val="000000"/>
          <w:sz w:val="20"/>
          <w:szCs w:val="20"/>
        </w:rPr>
        <w:t>During 2019, we assumed a mortgage note with a contractual value of $1.8 million and an interest rate of 3.9%, which approximated market rate</w:t>
      </w:r>
      <w:r>
        <w:rPr>
          <w:rFonts w:eastAsia="Times New Roman"/>
          <w:color w:val="000000"/>
          <w:sz w:val="20"/>
          <w:szCs w:val="20"/>
        </w:rPr>
        <w:t>, in connection with the acquisition of a real estate facility.</w:t>
      </w:r>
    </w:p>
    <w:p w:rsidR="00000000" w:rsidRDefault="00D04F4B">
      <w:pPr>
        <w:ind w:firstLine="720"/>
        <w:jc w:val="both"/>
        <w:divId w:val="1344430767"/>
        <w:rPr>
          <w:rFonts w:eastAsia="Times New Roman"/>
        </w:rPr>
      </w:pPr>
      <w:r>
        <w:rPr>
          <w:rFonts w:eastAsia="Times New Roman"/>
          <w:color w:val="000000"/>
          <w:sz w:val="20"/>
          <w:szCs w:val="20"/>
        </w:rPr>
        <w:t>At December 31, 2021, the related contractual interest rates are fixed, ranging between 3.2% and 7.1%, and mature between November 1, 2022 and July 1, 2030.</w:t>
      </w:r>
    </w:p>
    <w:p w:rsidR="00000000" w:rsidRDefault="00D04F4B">
      <w:pPr>
        <w:jc w:val="center"/>
        <w:divId w:val="2061245267"/>
        <w:rPr>
          <w:rFonts w:eastAsia="Times New Roman"/>
        </w:rPr>
      </w:pPr>
      <w:r>
        <w:rPr>
          <w:rFonts w:eastAsia="Times New Roman"/>
          <w:color w:val="000000"/>
          <w:sz w:val="20"/>
          <w:szCs w:val="20"/>
        </w:rPr>
        <w:t>F-20</w:t>
      </w:r>
    </w:p>
    <w:p w:rsidR="00000000" w:rsidRDefault="00D04F4B">
      <w:pPr>
        <w:rPr>
          <w:rFonts w:eastAsia="Times New Roman"/>
        </w:rPr>
      </w:pPr>
      <w:r>
        <w:rPr>
          <w:rFonts w:eastAsia="Times New Roman"/>
        </w:rPr>
        <w:pict>
          <v:rect id="_x0000_i1106" style="width:0;height:1.5pt" o:hralign="center" o:hrstd="t" o:hr="t" fillcolor="#a0a0a0" stroked="f"/>
        </w:pict>
      </w:r>
    </w:p>
    <w:p w:rsidR="00000000" w:rsidRDefault="00D04F4B">
      <w:pPr>
        <w:jc w:val="center"/>
        <w:divId w:val="1038120173"/>
        <w:rPr>
          <w:rFonts w:eastAsia="Times New Roman"/>
        </w:rPr>
      </w:pPr>
    </w:p>
    <w:p w:rsidR="00000000" w:rsidRDefault="00D04F4B">
      <w:pPr>
        <w:jc w:val="center"/>
        <w:divId w:val="1038120173"/>
        <w:rPr>
          <w:rFonts w:eastAsia="Times New Roman"/>
        </w:rPr>
      </w:pPr>
      <w:r>
        <w:rPr>
          <w:rFonts w:eastAsia="Times New Roman"/>
          <w:b/>
          <w:bCs/>
          <w:color w:val="000000"/>
          <w:sz w:val="20"/>
          <w:szCs w:val="20"/>
        </w:rPr>
        <w:t>PUBLIC STORAGE</w:t>
      </w:r>
    </w:p>
    <w:p w:rsidR="00000000" w:rsidRDefault="00D04F4B">
      <w:pPr>
        <w:jc w:val="center"/>
        <w:divId w:val="1038120173"/>
        <w:rPr>
          <w:rFonts w:eastAsia="Times New Roman"/>
        </w:rPr>
      </w:pPr>
      <w:r>
        <w:rPr>
          <w:rFonts w:eastAsia="Times New Roman"/>
          <w:b/>
          <w:bCs/>
          <w:color w:val="000000"/>
          <w:sz w:val="20"/>
          <w:szCs w:val="20"/>
        </w:rPr>
        <w:t>NOTES TO FINANCIAL STATEMENTS</w:t>
      </w:r>
    </w:p>
    <w:p w:rsidR="00000000" w:rsidRDefault="00D04F4B">
      <w:pPr>
        <w:jc w:val="center"/>
        <w:divId w:val="1038120173"/>
        <w:rPr>
          <w:rFonts w:eastAsia="Times New Roman"/>
        </w:rPr>
      </w:pPr>
      <w:r>
        <w:rPr>
          <w:rFonts w:eastAsia="Times New Roman"/>
          <w:b/>
          <w:bCs/>
          <w:color w:val="000000"/>
          <w:sz w:val="20"/>
          <w:szCs w:val="20"/>
        </w:rPr>
        <w:t>December 31, 2021</w:t>
      </w:r>
    </w:p>
    <w:p w:rsidR="00000000" w:rsidRDefault="00D04F4B">
      <w:pPr>
        <w:jc w:val="center"/>
        <w:divId w:val="1038120173"/>
        <w:rPr>
          <w:rFonts w:eastAsia="Times New Roman"/>
        </w:rPr>
      </w:pPr>
    </w:p>
    <w:p w:rsidR="00000000" w:rsidRDefault="00D04F4B">
      <w:pPr>
        <w:ind w:firstLine="720"/>
        <w:jc w:val="both"/>
        <w:divId w:val="1700425722"/>
        <w:rPr>
          <w:rFonts w:eastAsia="Times New Roman"/>
        </w:rPr>
      </w:pPr>
      <w:r>
        <w:rPr>
          <w:rFonts w:eastAsia="Times New Roman"/>
          <w:color w:val="000000"/>
          <w:sz w:val="20"/>
          <w:szCs w:val="20"/>
        </w:rPr>
        <w:t>At December 31, 2021, approximate principal maturities of our Notes Payable are as follows (amounts in thousands):</w:t>
      </w:r>
    </w:p>
    <w:tbl>
      <w:tblPr>
        <w:tblW w:w="4765" w:type="pct"/>
        <w:tblCellMar>
          <w:top w:w="15" w:type="dxa"/>
          <w:left w:w="15" w:type="dxa"/>
          <w:bottom w:w="15" w:type="dxa"/>
          <w:right w:w="15" w:type="dxa"/>
        </w:tblCellMar>
        <w:tblLook w:val="04A0" w:firstRow="1" w:lastRow="0" w:firstColumn="1" w:lastColumn="0" w:noHBand="0" w:noVBand="1"/>
      </w:tblPr>
      <w:tblGrid>
        <w:gridCol w:w="38"/>
        <w:gridCol w:w="2621"/>
        <w:gridCol w:w="36"/>
        <w:gridCol w:w="121"/>
        <w:gridCol w:w="1575"/>
        <w:gridCol w:w="36"/>
        <w:gridCol w:w="36"/>
        <w:gridCol w:w="36"/>
        <w:gridCol w:w="36"/>
        <w:gridCol w:w="121"/>
        <w:gridCol w:w="1422"/>
        <w:gridCol w:w="36"/>
        <w:gridCol w:w="36"/>
        <w:gridCol w:w="36"/>
        <w:gridCol w:w="36"/>
        <w:gridCol w:w="122"/>
        <w:gridCol w:w="1536"/>
        <w:gridCol w:w="36"/>
      </w:tblGrid>
      <w:tr w:rsidR="00000000">
        <w:trPr>
          <w:divId w:val="787431724"/>
        </w:trPr>
        <w:tc>
          <w:tcPr>
            <w:tcW w:w="50" w:type="pct"/>
            <w:vAlign w:val="center"/>
            <w:hideMark/>
          </w:tcPr>
          <w:p w:rsidR="00000000" w:rsidRDefault="00D04F4B">
            <w:pPr>
              <w:ind w:firstLine="720"/>
              <w:jc w:val="both"/>
              <w:rPr>
                <w:rFonts w:eastAsia="Times New Roman"/>
              </w:rPr>
            </w:pPr>
          </w:p>
        </w:tc>
        <w:tc>
          <w:tcPr>
            <w:tcW w:w="169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02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95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02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787431724"/>
        </w:trPr>
        <w:tc>
          <w:tcPr>
            <w:tcW w:w="0" w:type="auto"/>
            <w:gridSpan w:val="3"/>
            <w:tcMar>
              <w:top w:w="30" w:type="dxa"/>
              <w:left w:w="20" w:type="dxa"/>
              <w:bottom w:w="30" w:type="dxa"/>
              <w:right w:w="20" w:type="dxa"/>
            </w:tcMar>
            <w:vAlign w:val="center"/>
            <w:hideMark/>
          </w:tcPr>
          <w:p w:rsidR="00000000" w:rsidRDefault="00D04F4B">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Unsecured Debt</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Mortgage Debt</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Total</w:t>
            </w:r>
          </w:p>
        </w:tc>
      </w:tr>
      <w:tr w:rsidR="00000000">
        <w:trPr>
          <w:divId w:val="787431724"/>
          <w:trHeight w:val="12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787431724"/>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2022</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500,000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2,483</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502,483</w:t>
            </w:r>
          </w:p>
        </w:tc>
      </w:tr>
      <w:tr w:rsidR="00000000">
        <w:trPr>
          <w:divId w:val="787431724"/>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19,219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19,219</w:t>
            </w:r>
          </w:p>
        </w:tc>
      </w:tr>
      <w:tr w:rsidR="00000000">
        <w:trPr>
          <w:divId w:val="787431724"/>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2024</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813,431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813,555</w:t>
            </w:r>
          </w:p>
        </w:tc>
      </w:tr>
      <w:tr w:rsidR="00000000">
        <w:trPr>
          <w:divId w:val="787431724"/>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274,518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274,649</w:t>
            </w:r>
          </w:p>
        </w:tc>
      </w:tr>
      <w:tr w:rsidR="00000000">
        <w:trPr>
          <w:divId w:val="787431724"/>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2026</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1,150,000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138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1,150,138</w:t>
            </w:r>
          </w:p>
        </w:tc>
      </w:tr>
      <w:tr w:rsidR="00000000">
        <w:trPr>
          <w:divId w:val="787431724"/>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Thereafter </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4,761,172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1,189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4,762,361</w:t>
            </w:r>
          </w:p>
        </w:tc>
      </w:tr>
      <w:tr w:rsidR="00000000">
        <w:trPr>
          <w:divId w:val="787431724"/>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D04F4B">
            <w:pPr>
              <w:spacing w:after="100"/>
              <w:jc w:val="right"/>
              <w:rPr>
                <w:rFonts w:eastAsia="Times New Roman"/>
              </w:rPr>
            </w:pPr>
            <w:r>
              <w:rPr>
                <w:rFonts w:eastAsia="Times New Roman"/>
                <w:color w:val="000000"/>
                <w:sz w:val="20"/>
                <w:szCs w:val="20"/>
              </w:rPr>
              <w:t>7,499,121</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D04F4B">
            <w:pPr>
              <w:spacing w:after="100"/>
              <w:jc w:val="right"/>
              <w:rPr>
                <w:rFonts w:eastAsia="Times New Roman"/>
              </w:rPr>
            </w:pPr>
            <w:r>
              <w:rPr>
                <w:rFonts w:eastAsia="Times New Roman"/>
                <w:color w:val="000000"/>
                <w:sz w:val="20"/>
                <w:szCs w:val="20"/>
              </w:rPr>
              <w:t>23,284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D04F4B">
            <w:pPr>
              <w:spacing w:after="100"/>
              <w:jc w:val="right"/>
              <w:rPr>
                <w:rFonts w:eastAsia="Times New Roman"/>
              </w:rPr>
            </w:pPr>
            <w:r>
              <w:rPr>
                <w:rFonts w:eastAsia="Times New Roman"/>
                <w:color w:val="000000"/>
                <w:sz w:val="20"/>
                <w:szCs w:val="20"/>
              </w:rPr>
              <w:t>7,522,405</w:t>
            </w:r>
          </w:p>
        </w:tc>
      </w:tr>
      <w:tr w:rsidR="00000000">
        <w:trPr>
          <w:divId w:val="787431724"/>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xml:space="preserve">Weighted average effective rate </w:t>
            </w: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D04F4B">
            <w:pPr>
              <w:spacing w:after="100"/>
              <w:jc w:val="right"/>
              <w:rPr>
                <w:rFonts w:eastAsia="Times New Roman"/>
              </w:rPr>
            </w:pPr>
            <w:r>
              <w:rPr>
                <w:rFonts w:eastAsia="Times New Roman"/>
                <w:color w:val="000000"/>
                <w:sz w:val="20"/>
                <w:szCs w:val="20"/>
              </w:rPr>
              <w:t>1.8%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D04F4B">
            <w:pPr>
              <w:spacing w:after="100"/>
              <w:jc w:val="right"/>
              <w:rPr>
                <w:rFonts w:eastAsia="Times New Roman"/>
              </w:rPr>
            </w:pPr>
            <w:r>
              <w:rPr>
                <w:rFonts w:eastAsia="Times New Roman"/>
                <w:color w:val="000000"/>
                <w:sz w:val="20"/>
                <w:szCs w:val="20"/>
              </w:rPr>
              <w:t>3.9%</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D04F4B">
            <w:pPr>
              <w:spacing w:after="100"/>
              <w:jc w:val="right"/>
              <w:rPr>
                <w:rFonts w:eastAsia="Times New Roman"/>
              </w:rPr>
            </w:pPr>
            <w:r>
              <w:rPr>
                <w:rFonts w:eastAsia="Times New Roman"/>
                <w:color w:val="000000"/>
                <w:sz w:val="20"/>
                <w:szCs w:val="20"/>
              </w:rPr>
              <w:t>1.8%</w:t>
            </w:r>
          </w:p>
        </w:tc>
      </w:tr>
    </w:tbl>
    <w:p w:rsidR="00000000" w:rsidRDefault="00D04F4B">
      <w:pPr>
        <w:ind w:firstLine="720"/>
        <w:jc w:val="both"/>
        <w:divId w:val="1258827776"/>
        <w:rPr>
          <w:rFonts w:eastAsia="Times New Roman"/>
        </w:rPr>
      </w:pPr>
      <w:r>
        <w:rPr>
          <w:rFonts w:eastAsia="Times New Roman"/>
          <w:color w:val="000000"/>
          <w:sz w:val="20"/>
          <w:szCs w:val="20"/>
        </w:rPr>
        <w:t>Cash paid for interest totaled $77.7 million, $52.7 </w:t>
      </w:r>
      <w:r>
        <w:rPr>
          <w:rFonts w:eastAsia="Times New Roman"/>
          <w:color w:val="000000"/>
          <w:sz w:val="20"/>
          <w:szCs w:val="20"/>
        </w:rPr>
        <w:t>million and $48.3 million for 2021, 2020, and 2019, respectively. Interest capitalized as real estate totaled $3.5 million, $3.4 million and $3.9 million for 2021, 2020, and 2019, respectively.</w:t>
      </w:r>
    </w:p>
    <w:p w:rsidR="00000000" w:rsidRDefault="00D04F4B">
      <w:pPr>
        <w:ind w:hanging="360"/>
        <w:jc w:val="both"/>
        <w:divId w:val="1953973061"/>
        <w:rPr>
          <w:rFonts w:eastAsia="Times New Roman"/>
        </w:rPr>
      </w:pPr>
      <w:r>
        <w:rPr>
          <w:rFonts w:eastAsia="Times New Roman"/>
          <w:color w:val="000000"/>
          <w:sz w:val="20"/>
          <w:szCs w:val="20"/>
        </w:rPr>
        <w:t>8.</w:t>
      </w:r>
      <w:r>
        <w:rPr>
          <w:rFonts w:eastAsia="Times New Roman"/>
          <w:color w:val="000000"/>
          <w:sz w:val="20"/>
          <w:szCs w:val="20"/>
          <w:u w:val="single"/>
        </w:rPr>
        <w:t>Noncontrolling Interests</w:t>
      </w:r>
    </w:p>
    <w:p w:rsidR="00000000" w:rsidRDefault="00D04F4B">
      <w:pPr>
        <w:ind w:firstLine="720"/>
        <w:jc w:val="both"/>
        <w:divId w:val="1438213903"/>
        <w:rPr>
          <w:rFonts w:eastAsia="Times New Roman"/>
        </w:rPr>
      </w:pPr>
      <w:r>
        <w:rPr>
          <w:rFonts w:eastAsia="Times New Roman"/>
          <w:color w:val="000000"/>
          <w:sz w:val="20"/>
          <w:szCs w:val="20"/>
        </w:rPr>
        <w:t>We have noncontrolling interests re</w:t>
      </w:r>
      <w:r>
        <w:rPr>
          <w:rFonts w:eastAsia="Times New Roman"/>
          <w:color w:val="000000"/>
          <w:sz w:val="20"/>
          <w:szCs w:val="20"/>
        </w:rPr>
        <w:t>lated to several subsidiaries we consolidate of which we do not own 100% of the equity. At December 31, 2021, certain of these subsidiaries issued 443,970 partnership units to third-parties that are convertible on a one-for-one basis (subject to certain li</w:t>
      </w:r>
      <w:r>
        <w:rPr>
          <w:rFonts w:eastAsia="Times New Roman"/>
          <w:color w:val="000000"/>
          <w:sz w:val="20"/>
          <w:szCs w:val="20"/>
        </w:rPr>
        <w:t>mitations) into common shares of the Company at the option of the unitholder. These include 211,992 partnership units of $68.2 million issued to third-parties in connection with our acquisition of a portfolio of self-storage facilities in the fourth quarte</w:t>
      </w:r>
      <w:r>
        <w:rPr>
          <w:rFonts w:eastAsia="Times New Roman"/>
          <w:color w:val="000000"/>
          <w:sz w:val="20"/>
          <w:szCs w:val="20"/>
        </w:rPr>
        <w:t>r of 2021. The unitholders of these 211,992 partnership units have the right to require us to redeem their partnership units in cash if common shares of the Company are not publicly listed. We classify these noncontrolling interests as redeemable noncontro</w:t>
      </w:r>
      <w:r>
        <w:rPr>
          <w:rFonts w:eastAsia="Times New Roman"/>
          <w:color w:val="000000"/>
          <w:sz w:val="20"/>
          <w:szCs w:val="20"/>
        </w:rPr>
        <w:t xml:space="preserve">lling interest outside of total equity in our consolidated balance sheets. At December 31, 2021, these noncontrolling interests are not currently redeemable or probable of becoming redeemable. </w:t>
      </w:r>
    </w:p>
    <w:p w:rsidR="00000000" w:rsidRDefault="00D04F4B">
      <w:pPr>
        <w:jc w:val="center"/>
        <w:divId w:val="1381855101"/>
        <w:rPr>
          <w:rFonts w:eastAsia="Times New Roman"/>
        </w:rPr>
      </w:pPr>
      <w:r>
        <w:rPr>
          <w:rFonts w:eastAsia="Times New Roman"/>
          <w:color w:val="000000"/>
          <w:sz w:val="20"/>
          <w:szCs w:val="20"/>
        </w:rPr>
        <w:t>F-21</w:t>
      </w:r>
    </w:p>
    <w:p w:rsidR="00000000" w:rsidRDefault="00D04F4B">
      <w:pPr>
        <w:rPr>
          <w:rFonts w:eastAsia="Times New Roman"/>
        </w:rPr>
      </w:pPr>
      <w:r>
        <w:rPr>
          <w:rFonts w:eastAsia="Times New Roman"/>
        </w:rPr>
        <w:pict>
          <v:rect id="_x0000_i1107" style="width:0;height:1.5pt" o:hralign="center" o:hrstd="t" o:hr="t" fillcolor="#a0a0a0" stroked="f"/>
        </w:pict>
      </w:r>
    </w:p>
    <w:p w:rsidR="00000000" w:rsidRDefault="00D04F4B">
      <w:pPr>
        <w:jc w:val="center"/>
        <w:divId w:val="1142389350"/>
        <w:rPr>
          <w:rFonts w:eastAsia="Times New Roman"/>
        </w:rPr>
      </w:pPr>
    </w:p>
    <w:p w:rsidR="00000000" w:rsidRDefault="00D04F4B">
      <w:pPr>
        <w:jc w:val="center"/>
        <w:divId w:val="1142389350"/>
        <w:rPr>
          <w:rFonts w:eastAsia="Times New Roman"/>
        </w:rPr>
      </w:pPr>
      <w:r>
        <w:rPr>
          <w:rFonts w:eastAsia="Times New Roman"/>
          <w:b/>
          <w:bCs/>
          <w:color w:val="000000"/>
          <w:sz w:val="20"/>
          <w:szCs w:val="20"/>
        </w:rPr>
        <w:t>PUBLIC STORAGE</w:t>
      </w:r>
    </w:p>
    <w:p w:rsidR="00000000" w:rsidRDefault="00D04F4B">
      <w:pPr>
        <w:jc w:val="center"/>
        <w:divId w:val="1142389350"/>
        <w:rPr>
          <w:rFonts w:eastAsia="Times New Roman"/>
        </w:rPr>
      </w:pPr>
      <w:r>
        <w:rPr>
          <w:rFonts w:eastAsia="Times New Roman"/>
          <w:b/>
          <w:bCs/>
          <w:color w:val="000000"/>
          <w:sz w:val="20"/>
          <w:szCs w:val="20"/>
        </w:rPr>
        <w:t>NOT</w:t>
      </w:r>
      <w:r>
        <w:rPr>
          <w:rFonts w:eastAsia="Times New Roman"/>
          <w:b/>
          <w:bCs/>
          <w:color w:val="000000"/>
          <w:sz w:val="20"/>
          <w:szCs w:val="20"/>
        </w:rPr>
        <w:t>ES TO FINANCIAL STATEMENTS</w:t>
      </w:r>
    </w:p>
    <w:p w:rsidR="00000000" w:rsidRDefault="00D04F4B">
      <w:pPr>
        <w:jc w:val="center"/>
        <w:divId w:val="1142389350"/>
        <w:rPr>
          <w:rFonts w:eastAsia="Times New Roman"/>
        </w:rPr>
      </w:pPr>
      <w:r>
        <w:rPr>
          <w:rFonts w:eastAsia="Times New Roman"/>
          <w:b/>
          <w:bCs/>
          <w:color w:val="000000"/>
          <w:sz w:val="20"/>
          <w:szCs w:val="20"/>
        </w:rPr>
        <w:t>December 31, 2021</w:t>
      </w:r>
    </w:p>
    <w:p w:rsidR="00000000" w:rsidRDefault="00D04F4B">
      <w:pPr>
        <w:jc w:val="center"/>
        <w:divId w:val="1142389350"/>
        <w:rPr>
          <w:rFonts w:eastAsia="Times New Roman"/>
        </w:rPr>
      </w:pPr>
    </w:p>
    <w:p w:rsidR="00000000" w:rsidRDefault="00D04F4B">
      <w:pPr>
        <w:ind w:hanging="360"/>
        <w:jc w:val="both"/>
        <w:divId w:val="1507402799"/>
        <w:rPr>
          <w:rFonts w:eastAsia="Times New Roman"/>
        </w:rPr>
      </w:pPr>
      <w:r>
        <w:rPr>
          <w:rFonts w:eastAsia="Times New Roman"/>
          <w:color w:val="000000"/>
          <w:sz w:val="20"/>
          <w:szCs w:val="20"/>
        </w:rPr>
        <w:t>9.</w:t>
      </w:r>
      <w:r>
        <w:rPr>
          <w:rFonts w:eastAsia="Times New Roman"/>
          <w:color w:val="000000"/>
          <w:sz w:val="20"/>
          <w:szCs w:val="20"/>
          <w:u w:val="single"/>
        </w:rPr>
        <w:t>Shareholders’ Equity</w:t>
      </w:r>
    </w:p>
    <w:p w:rsidR="00000000" w:rsidRDefault="00D04F4B">
      <w:pPr>
        <w:jc w:val="both"/>
        <w:rPr>
          <w:rFonts w:eastAsia="Times New Roman"/>
        </w:rPr>
      </w:pPr>
    </w:p>
    <w:p w:rsidR="00000000" w:rsidRDefault="00D04F4B">
      <w:pPr>
        <w:jc w:val="both"/>
        <w:divId w:val="816340215"/>
        <w:rPr>
          <w:rFonts w:eastAsia="Times New Roman"/>
        </w:rPr>
      </w:pPr>
      <w:r>
        <w:rPr>
          <w:rFonts w:eastAsia="Times New Roman"/>
          <w:color w:val="000000"/>
          <w:sz w:val="20"/>
          <w:szCs w:val="20"/>
          <w:u w:val="single"/>
        </w:rPr>
        <w:t>Preferred Shares</w:t>
      </w:r>
    </w:p>
    <w:p w:rsidR="00000000" w:rsidRDefault="00D04F4B">
      <w:pPr>
        <w:ind w:firstLine="720"/>
        <w:jc w:val="both"/>
        <w:rPr>
          <w:rFonts w:eastAsia="Times New Roman"/>
        </w:rPr>
      </w:pPr>
      <w:r>
        <w:rPr>
          <w:rFonts w:eastAsia="Times New Roman"/>
          <w:color w:val="000000"/>
          <w:sz w:val="20"/>
          <w:szCs w:val="20"/>
        </w:rPr>
        <w:t>At December 31, 2021 and 2020, we had the following series of Cumulative Preferred Shares (“Preferred Shares”) outstanding:</w:t>
      </w:r>
    </w:p>
    <w:p w:rsidR="00000000" w:rsidRDefault="00D04F4B">
      <w:pPr>
        <w:ind w:firstLine="720"/>
        <w:jc w:val="both"/>
        <w:rPr>
          <w:rFonts w:eastAsia="Times New Roman"/>
        </w:rPr>
      </w:pPr>
    </w:p>
    <w:tbl>
      <w:tblPr>
        <w:tblW w:w="4818" w:type="pct"/>
        <w:tblCellMar>
          <w:top w:w="15" w:type="dxa"/>
          <w:left w:w="15" w:type="dxa"/>
          <w:bottom w:w="15" w:type="dxa"/>
          <w:right w:w="15" w:type="dxa"/>
        </w:tblCellMar>
        <w:tblLook w:val="04A0" w:firstRow="1" w:lastRow="0" w:firstColumn="1" w:lastColumn="0" w:noHBand="0" w:noVBand="1"/>
      </w:tblPr>
      <w:tblGrid>
        <w:gridCol w:w="37"/>
        <w:gridCol w:w="1069"/>
        <w:gridCol w:w="36"/>
        <w:gridCol w:w="36"/>
        <w:gridCol w:w="36"/>
        <w:gridCol w:w="36"/>
        <w:gridCol w:w="77"/>
        <w:gridCol w:w="934"/>
        <w:gridCol w:w="36"/>
        <w:gridCol w:w="36"/>
        <w:gridCol w:w="36"/>
        <w:gridCol w:w="36"/>
        <w:gridCol w:w="59"/>
        <w:gridCol w:w="815"/>
        <w:gridCol w:w="187"/>
        <w:gridCol w:w="36"/>
        <w:gridCol w:w="36"/>
        <w:gridCol w:w="36"/>
        <w:gridCol w:w="77"/>
        <w:gridCol w:w="934"/>
        <w:gridCol w:w="36"/>
        <w:gridCol w:w="36"/>
        <w:gridCol w:w="36"/>
        <w:gridCol w:w="36"/>
        <w:gridCol w:w="120"/>
        <w:gridCol w:w="850"/>
        <w:gridCol w:w="36"/>
        <w:gridCol w:w="36"/>
        <w:gridCol w:w="36"/>
        <w:gridCol w:w="36"/>
        <w:gridCol w:w="77"/>
        <w:gridCol w:w="934"/>
        <w:gridCol w:w="36"/>
        <w:gridCol w:w="36"/>
        <w:gridCol w:w="36"/>
        <w:gridCol w:w="36"/>
        <w:gridCol w:w="120"/>
        <w:gridCol w:w="850"/>
        <w:gridCol w:w="36"/>
      </w:tblGrid>
      <w:tr w:rsidR="00000000">
        <w:trPr>
          <w:divId w:val="1660957601"/>
        </w:trPr>
        <w:tc>
          <w:tcPr>
            <w:tcW w:w="50" w:type="pct"/>
            <w:vAlign w:val="center"/>
            <w:hideMark/>
          </w:tcPr>
          <w:p w:rsidR="00000000" w:rsidRDefault="00D04F4B">
            <w:pPr>
              <w:ind w:firstLine="720"/>
              <w:jc w:val="both"/>
              <w:rPr>
                <w:rFonts w:eastAsia="Times New Roman"/>
              </w:rPr>
            </w:pPr>
          </w:p>
        </w:tc>
        <w:tc>
          <w:tcPr>
            <w:tcW w:w="69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13"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At December 31, 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At December 31, 2020</w:t>
            </w: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Series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Earliest Redemption Date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Dividend Rate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Shares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Liquidation Preference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Shares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Liquidation Preference</w:t>
            </w:r>
          </w:p>
        </w:tc>
      </w:tr>
      <w:tr w:rsidR="00000000">
        <w:trPr>
          <w:divId w:val="166095760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60957601"/>
        </w:trPr>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1"/>
            <w:tcMar>
              <w:top w:w="30" w:type="dxa"/>
              <w:left w:w="20" w:type="dxa"/>
              <w:bottom w:w="30" w:type="dxa"/>
              <w:right w:w="20" w:type="dxa"/>
            </w:tcMar>
            <w:hideMark/>
          </w:tcPr>
          <w:p w:rsidR="00000000" w:rsidRDefault="00D04F4B">
            <w:pPr>
              <w:spacing w:after="100"/>
              <w:jc w:val="center"/>
              <w:rPr>
                <w:rFonts w:eastAsia="Times New Roman"/>
              </w:rPr>
            </w:pPr>
            <w:r>
              <w:rPr>
                <w:rFonts w:eastAsia="Times New Roman"/>
                <w:color w:val="000000"/>
                <w:sz w:val="20"/>
                <w:szCs w:val="20"/>
              </w:rPr>
              <w:t>(Dollar amounts in thousands)</w:t>
            </w: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C</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5/17/2021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5.125 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8,000 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200,000 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D</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7/20/2021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4.950 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325,000 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E</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10/14/2021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4.900 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14,000 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350,000 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F</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6/2/2022</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5.150 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11,200 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11,200 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G</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8/9/2022</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5.050 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300,000 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300,000 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H</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3/11/2024</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5.600 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11,400 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285,000 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11,400 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285,000 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I</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9/12/2024</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4.875 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12,650 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316,250 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12,650 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316,250 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J</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11/15/2024</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4.700 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10,350 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258,750 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10,350 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258,750 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K</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12/20/2024</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4.750 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L</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6/17/2025</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4.625 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22,600 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565,000 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22,600 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565,000 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M</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8/14/2025</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4.125 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N</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10/6/2025</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3.875 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11,300 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282,500 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11,300 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282,500 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O</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11/17/2025</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3.900 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6,800 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6,800 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P</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6/16/2026</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24,150 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603,750 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Q</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8/17/2026</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3.950 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5,750 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143,750 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Series R</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11/19/2026</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17,400 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435,000 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60957601"/>
        </w:trPr>
        <w:tc>
          <w:tcPr>
            <w:tcW w:w="0" w:type="auto"/>
            <w:gridSpan w:val="9"/>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Total Preferred Shares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164,000 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4,100,000 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151,700 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3,792,500 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ind w:firstLine="720"/>
        <w:jc w:val="both"/>
        <w:divId w:val="809248459"/>
        <w:rPr>
          <w:rFonts w:eastAsia="Times New Roman"/>
        </w:rPr>
      </w:pPr>
      <w:r>
        <w:rPr>
          <w:rFonts w:eastAsia="Times New Roman"/>
          <w:color w:val="000000"/>
          <w:sz w:val="20"/>
          <w:szCs w:val="20"/>
        </w:rPr>
        <w:t>The holders of our Preferred Shares have general preference rights with respect to liquidation, quarterly di</w:t>
      </w:r>
      <w:r>
        <w:rPr>
          <w:rFonts w:eastAsia="Times New Roman"/>
          <w:color w:val="000000"/>
          <w:sz w:val="20"/>
          <w:szCs w:val="20"/>
        </w:rPr>
        <w:t>stributions, and any accumulated unpaid distributions. Except as noted below, holders of the Preferred Shares do not have voting rights. In the event of a cumulative arrearage equal to six quarterly dividends, holders of all outstanding series of preferred</w:t>
      </w:r>
      <w:r>
        <w:rPr>
          <w:rFonts w:eastAsia="Times New Roman"/>
          <w:color w:val="000000"/>
          <w:sz w:val="20"/>
          <w:szCs w:val="20"/>
        </w:rPr>
        <w:t xml:space="preserve"> shares (voting as a single class without regard to series) will have the right to elect two additional members to serve on our Board of Trustees (our “Board”) until the arrearage has been cured. At December 31, 2021, there were no dividends in arrears. Th</w:t>
      </w:r>
      <w:r>
        <w:rPr>
          <w:rFonts w:eastAsia="Times New Roman"/>
          <w:color w:val="000000"/>
          <w:sz w:val="20"/>
          <w:szCs w:val="20"/>
        </w:rPr>
        <w:t xml:space="preserve">e affirmative vote of at least 66.67% of the outstanding shares of a series of Preferred Shares is required for any material and adverse amendment to the terms of such series. The affirmative vote of at least 66.67% of the outstanding shares of all of our </w:t>
      </w:r>
      <w:r>
        <w:rPr>
          <w:rFonts w:eastAsia="Times New Roman"/>
          <w:color w:val="000000"/>
          <w:sz w:val="20"/>
          <w:szCs w:val="20"/>
        </w:rPr>
        <w:t>Preferred Shares, voting as a single class, is required to issue shares ranking senior to our Preferred Shares.</w:t>
      </w:r>
    </w:p>
    <w:p w:rsidR="00000000" w:rsidRDefault="00D04F4B">
      <w:pPr>
        <w:ind w:firstLine="720"/>
        <w:jc w:val="both"/>
        <w:divId w:val="1361276657"/>
        <w:rPr>
          <w:rFonts w:eastAsia="Times New Roman"/>
        </w:rPr>
      </w:pPr>
      <w:r>
        <w:rPr>
          <w:rFonts w:eastAsia="Times New Roman"/>
          <w:color w:val="000000"/>
          <w:sz w:val="20"/>
          <w:szCs w:val="20"/>
        </w:rPr>
        <w:t>Except under certain conditions relating to the Company’s qualification as a REIT, the Preferred Shares are not redeemable prior to the dates in</w:t>
      </w:r>
      <w:r>
        <w:rPr>
          <w:rFonts w:eastAsia="Times New Roman"/>
          <w:color w:val="000000"/>
          <w:sz w:val="20"/>
          <w:szCs w:val="20"/>
        </w:rPr>
        <w:t>dicated on the table above. On or after the respective dates, each of the series of Preferred Shares is redeemable at our option, in whole or in part, at $25.00 per depositary share, plus accrued and unpaid dividends. Holders of the Preferred Shares cannot</w:t>
      </w:r>
      <w:r>
        <w:rPr>
          <w:rFonts w:eastAsia="Times New Roman"/>
          <w:color w:val="000000"/>
          <w:sz w:val="20"/>
          <w:szCs w:val="20"/>
        </w:rPr>
        <w:t xml:space="preserve"> require us to redeem such shares.</w:t>
      </w:r>
    </w:p>
    <w:p w:rsidR="00000000" w:rsidRDefault="00D04F4B">
      <w:pPr>
        <w:ind w:firstLine="720"/>
        <w:jc w:val="both"/>
        <w:divId w:val="1063606811"/>
        <w:rPr>
          <w:rFonts w:eastAsia="Times New Roman"/>
        </w:rPr>
      </w:pPr>
      <w:r>
        <w:rPr>
          <w:rFonts w:eastAsia="Times New Roman"/>
          <w:color w:val="000000"/>
          <w:sz w:val="20"/>
          <w:szCs w:val="20"/>
        </w:rPr>
        <w:t>Upon issuance of our Preferred Shares, we classify the liquidation value as preferred equity on our consolidated balance sheet with any issuance costs recorded as a reduction to Paid-in capital.</w:t>
      </w:r>
    </w:p>
    <w:p w:rsidR="00000000" w:rsidRDefault="00D04F4B">
      <w:pPr>
        <w:ind w:firstLine="720"/>
        <w:jc w:val="both"/>
        <w:divId w:val="1557546635"/>
        <w:rPr>
          <w:rFonts w:eastAsia="Times New Roman"/>
        </w:rPr>
      </w:pPr>
    </w:p>
    <w:p w:rsidR="00000000" w:rsidRDefault="00D04F4B">
      <w:pPr>
        <w:jc w:val="center"/>
        <w:divId w:val="1644236155"/>
        <w:rPr>
          <w:rFonts w:eastAsia="Times New Roman"/>
        </w:rPr>
      </w:pPr>
      <w:r>
        <w:rPr>
          <w:rFonts w:eastAsia="Times New Roman"/>
          <w:color w:val="000000"/>
          <w:sz w:val="20"/>
          <w:szCs w:val="20"/>
        </w:rPr>
        <w:t>F-22</w:t>
      </w:r>
    </w:p>
    <w:p w:rsidR="00000000" w:rsidRDefault="00D04F4B">
      <w:pPr>
        <w:rPr>
          <w:rFonts w:eastAsia="Times New Roman"/>
        </w:rPr>
      </w:pPr>
      <w:r>
        <w:rPr>
          <w:rFonts w:eastAsia="Times New Roman"/>
        </w:rPr>
        <w:pict>
          <v:rect id="_x0000_i1108" style="width:0;height:1.5pt" o:hralign="center" o:hrstd="t" o:hr="t" fillcolor="#a0a0a0" stroked="f"/>
        </w:pict>
      </w:r>
    </w:p>
    <w:p w:rsidR="00000000" w:rsidRDefault="00D04F4B">
      <w:pPr>
        <w:jc w:val="center"/>
        <w:divId w:val="200942733"/>
        <w:rPr>
          <w:rFonts w:eastAsia="Times New Roman"/>
        </w:rPr>
      </w:pPr>
    </w:p>
    <w:p w:rsidR="00000000" w:rsidRDefault="00D04F4B">
      <w:pPr>
        <w:jc w:val="center"/>
        <w:divId w:val="200942733"/>
        <w:rPr>
          <w:rFonts w:eastAsia="Times New Roman"/>
        </w:rPr>
      </w:pPr>
      <w:r>
        <w:rPr>
          <w:rFonts w:eastAsia="Times New Roman"/>
          <w:b/>
          <w:bCs/>
          <w:color w:val="000000"/>
          <w:sz w:val="20"/>
          <w:szCs w:val="20"/>
        </w:rPr>
        <w:t>PUBLIC STORAGE</w:t>
      </w:r>
    </w:p>
    <w:p w:rsidR="00000000" w:rsidRDefault="00D04F4B">
      <w:pPr>
        <w:jc w:val="center"/>
        <w:divId w:val="200942733"/>
        <w:rPr>
          <w:rFonts w:eastAsia="Times New Roman"/>
        </w:rPr>
      </w:pPr>
      <w:r>
        <w:rPr>
          <w:rFonts w:eastAsia="Times New Roman"/>
          <w:b/>
          <w:bCs/>
          <w:color w:val="000000"/>
          <w:sz w:val="20"/>
          <w:szCs w:val="20"/>
        </w:rPr>
        <w:t>NOTES TO FINANCIAL STATEMENTS</w:t>
      </w:r>
    </w:p>
    <w:p w:rsidR="00000000" w:rsidRDefault="00D04F4B">
      <w:pPr>
        <w:jc w:val="center"/>
        <w:divId w:val="200942733"/>
        <w:rPr>
          <w:rFonts w:eastAsia="Times New Roman"/>
        </w:rPr>
      </w:pPr>
      <w:r>
        <w:rPr>
          <w:rFonts w:eastAsia="Times New Roman"/>
          <w:b/>
          <w:bCs/>
          <w:color w:val="000000"/>
          <w:sz w:val="20"/>
          <w:szCs w:val="20"/>
        </w:rPr>
        <w:t>December 31, 2021</w:t>
      </w:r>
    </w:p>
    <w:p w:rsidR="00000000" w:rsidRDefault="00D04F4B">
      <w:pPr>
        <w:jc w:val="center"/>
        <w:divId w:val="200942733"/>
        <w:rPr>
          <w:rFonts w:eastAsia="Times New Roman"/>
        </w:rPr>
      </w:pPr>
    </w:p>
    <w:p w:rsidR="00000000" w:rsidRDefault="00D04F4B">
      <w:pPr>
        <w:ind w:firstLine="720"/>
        <w:jc w:val="both"/>
        <w:divId w:val="1440561384"/>
        <w:rPr>
          <w:rFonts w:eastAsia="Times New Roman"/>
        </w:rPr>
      </w:pPr>
      <w:r>
        <w:rPr>
          <w:rFonts w:eastAsia="Times New Roman"/>
          <w:color w:val="000000"/>
          <w:sz w:val="20"/>
          <w:szCs w:val="20"/>
        </w:rPr>
        <w:t>During 2021, 2020, and 2019, we issued the following series of Preferred Shares at an issuance price of $25.00 per depository share with each depository share representing 0.001 of a share of Preferred Share (amounts in thousands):</w:t>
      </w:r>
    </w:p>
    <w:tbl>
      <w:tblPr>
        <w:tblW w:w="3969" w:type="pct"/>
        <w:jc w:val="center"/>
        <w:tblCellMar>
          <w:top w:w="15" w:type="dxa"/>
          <w:left w:w="15" w:type="dxa"/>
          <w:bottom w:w="15" w:type="dxa"/>
          <w:right w:w="15" w:type="dxa"/>
        </w:tblCellMar>
        <w:tblLook w:val="04A0" w:firstRow="1" w:lastRow="0" w:firstColumn="1" w:lastColumn="0" w:noHBand="0" w:noVBand="1"/>
      </w:tblPr>
      <w:tblGrid>
        <w:gridCol w:w="37"/>
        <w:gridCol w:w="1082"/>
        <w:gridCol w:w="36"/>
        <w:gridCol w:w="36"/>
        <w:gridCol w:w="36"/>
        <w:gridCol w:w="36"/>
        <w:gridCol w:w="37"/>
        <w:gridCol w:w="1054"/>
        <w:gridCol w:w="36"/>
        <w:gridCol w:w="36"/>
        <w:gridCol w:w="36"/>
        <w:gridCol w:w="36"/>
        <w:gridCol w:w="38"/>
        <w:gridCol w:w="1055"/>
        <w:gridCol w:w="36"/>
        <w:gridCol w:w="36"/>
        <w:gridCol w:w="36"/>
        <w:gridCol w:w="36"/>
        <w:gridCol w:w="120"/>
        <w:gridCol w:w="1068"/>
        <w:gridCol w:w="36"/>
        <w:gridCol w:w="36"/>
        <w:gridCol w:w="36"/>
        <w:gridCol w:w="36"/>
        <w:gridCol w:w="120"/>
        <w:gridCol w:w="1370"/>
        <w:gridCol w:w="36"/>
      </w:tblGrid>
      <w:tr w:rsidR="00000000">
        <w:trPr>
          <w:divId w:val="1641180803"/>
          <w:jc w:val="center"/>
        </w:trPr>
        <w:tc>
          <w:tcPr>
            <w:tcW w:w="50" w:type="pct"/>
            <w:vAlign w:val="center"/>
            <w:hideMark/>
          </w:tcPr>
          <w:p w:rsidR="00000000" w:rsidRDefault="00D04F4B">
            <w:pPr>
              <w:ind w:firstLine="720"/>
              <w:jc w:val="both"/>
              <w:rPr>
                <w:rFonts w:eastAsia="Times New Roman"/>
              </w:rPr>
            </w:pPr>
          </w:p>
        </w:tc>
        <w:tc>
          <w:tcPr>
            <w:tcW w:w="86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3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86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3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86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3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86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3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09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641180803"/>
          <w:jc w:val="center"/>
        </w:trPr>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Series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Shares</w:t>
            </w:r>
          </w:p>
        </w:tc>
        <w:tc>
          <w:tcPr>
            <w:tcW w:w="0" w:type="auto"/>
            <w:gridSpan w:val="3"/>
            <w:shd w:val="clear" w:color="auto" w:fill="FFFFFF"/>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Gross Proceeds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Issuance Costs</w:t>
            </w:r>
          </w:p>
        </w:tc>
      </w:tr>
      <w:tr w:rsidR="00000000">
        <w:trPr>
          <w:divId w:val="1641180803"/>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P, Q and R</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47,300 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1,182,500 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35,045 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41180803"/>
          <w:jc w:val="center"/>
        </w:trPr>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L, M, N and O</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49,900 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1,247,500 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39,294 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41180803"/>
          <w:jc w:val="center"/>
        </w:trPr>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H, I, J and K</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43,600 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1,090,000 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30,844 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ind w:firstLine="720"/>
        <w:jc w:val="both"/>
        <w:rPr>
          <w:rFonts w:eastAsia="Times New Roman"/>
        </w:rPr>
      </w:pPr>
      <w:r>
        <w:rPr>
          <w:rFonts w:eastAsia="Times New Roman"/>
          <w:color w:val="000000"/>
          <w:sz w:val="20"/>
          <w:szCs w:val="20"/>
        </w:rPr>
        <w:t>During 2021, 2020, and 2019, we redeemed the following series of Preferred Shares at par (amounts in thousands):</w:t>
      </w:r>
    </w:p>
    <w:tbl>
      <w:tblPr>
        <w:tblW w:w="3977" w:type="pct"/>
        <w:jc w:val="center"/>
        <w:tblCellMar>
          <w:top w:w="15" w:type="dxa"/>
          <w:left w:w="15" w:type="dxa"/>
          <w:bottom w:w="15" w:type="dxa"/>
          <w:right w:w="15" w:type="dxa"/>
        </w:tblCellMar>
        <w:tblLook w:val="04A0" w:firstRow="1" w:lastRow="0" w:firstColumn="1" w:lastColumn="0" w:noHBand="0" w:noVBand="1"/>
      </w:tblPr>
      <w:tblGrid>
        <w:gridCol w:w="37"/>
        <w:gridCol w:w="1364"/>
        <w:gridCol w:w="36"/>
        <w:gridCol w:w="36"/>
        <w:gridCol w:w="36"/>
        <w:gridCol w:w="36"/>
        <w:gridCol w:w="37"/>
        <w:gridCol w:w="1182"/>
        <w:gridCol w:w="36"/>
        <w:gridCol w:w="36"/>
        <w:gridCol w:w="36"/>
        <w:gridCol w:w="36"/>
        <w:gridCol w:w="121"/>
        <w:gridCol w:w="1299"/>
        <w:gridCol w:w="36"/>
        <w:gridCol w:w="36"/>
        <w:gridCol w:w="36"/>
        <w:gridCol w:w="36"/>
        <w:gridCol w:w="121"/>
        <w:gridCol w:w="1978"/>
        <w:gridCol w:w="36"/>
      </w:tblGrid>
      <w:tr w:rsidR="00000000">
        <w:trPr>
          <w:jc w:val="center"/>
        </w:trPr>
        <w:tc>
          <w:tcPr>
            <w:tcW w:w="50" w:type="pct"/>
            <w:vAlign w:val="center"/>
            <w:hideMark/>
          </w:tcPr>
          <w:p w:rsidR="00000000" w:rsidRDefault="00D04F4B">
            <w:pPr>
              <w:ind w:firstLine="720"/>
              <w:jc w:val="both"/>
              <w:rPr>
                <w:rFonts w:eastAsia="Times New Roman"/>
              </w:rPr>
            </w:pPr>
          </w:p>
        </w:tc>
        <w:tc>
          <w:tcPr>
            <w:tcW w:w="107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3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96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3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04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3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155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Year</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Series</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Aggregate Redemption Amount</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Allocation of Income to Preferred Shares Holders in Connection with Redemption</w:t>
            </w: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 D and E</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875,000 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28,914 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 (a)</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V, W, X and B</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1,520,000 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48,265 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Y, Z, U and A</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1,050,000 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32,693 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ind w:hanging="360"/>
        <w:jc w:val="both"/>
        <w:divId w:val="1685279469"/>
        <w:rPr>
          <w:rFonts w:eastAsia="Times New Roman"/>
        </w:rPr>
      </w:pPr>
      <w:r>
        <w:rPr>
          <w:rFonts w:eastAsia="Times New Roman"/>
          <w:color w:val="000000"/>
          <w:sz w:val="20"/>
          <w:szCs w:val="20"/>
        </w:rPr>
        <w:t>(a)On December 14, 2020, we called for redemption of, and on January 20, 2021, we redeemed Series B Preferred Shares. The liquidation value (at par) was reclassified as a liability as of December 31, 2020 and we recorded allocation of income to the holders</w:t>
      </w:r>
      <w:r>
        <w:rPr>
          <w:rFonts w:eastAsia="Times New Roman"/>
          <w:color w:val="000000"/>
          <w:sz w:val="20"/>
          <w:szCs w:val="20"/>
        </w:rPr>
        <w:t xml:space="preserve"> of our Preferred Shares in 2020 in connection with this redemption.</w:t>
      </w:r>
    </w:p>
    <w:p w:rsidR="00000000" w:rsidRDefault="00D04F4B">
      <w:pPr>
        <w:ind w:firstLine="720"/>
        <w:jc w:val="both"/>
        <w:rPr>
          <w:rFonts w:eastAsia="Times New Roman"/>
        </w:rPr>
      </w:pPr>
    </w:p>
    <w:p w:rsidR="00000000" w:rsidRDefault="00D04F4B">
      <w:pPr>
        <w:jc w:val="both"/>
        <w:divId w:val="2105345702"/>
        <w:rPr>
          <w:rFonts w:eastAsia="Times New Roman"/>
        </w:rPr>
      </w:pPr>
      <w:r>
        <w:rPr>
          <w:rFonts w:eastAsia="Times New Roman"/>
          <w:color w:val="000000"/>
          <w:sz w:val="20"/>
          <w:szCs w:val="20"/>
          <w:u w:val="single"/>
        </w:rPr>
        <w:t>Common Shares</w:t>
      </w:r>
    </w:p>
    <w:p w:rsidR="00000000" w:rsidRDefault="00D04F4B">
      <w:pPr>
        <w:ind w:firstLine="720"/>
        <w:divId w:val="228883852"/>
        <w:rPr>
          <w:rFonts w:eastAsia="Times New Roman"/>
        </w:rPr>
      </w:pPr>
      <w:r>
        <w:rPr>
          <w:rFonts w:eastAsia="Times New Roman"/>
          <w:color w:val="000000"/>
          <w:sz w:val="20"/>
          <w:szCs w:val="20"/>
        </w:rPr>
        <w:t>During 2021, 2020, and 2019, activity with respect to the issuance of our common shares was as follows (dollar amounts in thousands):</w:t>
      </w:r>
    </w:p>
    <w:tbl>
      <w:tblPr>
        <w:tblW w:w="4878" w:type="pct"/>
        <w:jc w:val="center"/>
        <w:tblCellMar>
          <w:top w:w="15" w:type="dxa"/>
          <w:left w:w="15" w:type="dxa"/>
          <w:bottom w:w="15" w:type="dxa"/>
          <w:right w:w="15" w:type="dxa"/>
        </w:tblCellMar>
        <w:tblLook w:val="04A0" w:firstRow="1" w:lastRow="0" w:firstColumn="1" w:lastColumn="0" w:noHBand="0" w:noVBand="1"/>
      </w:tblPr>
      <w:tblGrid>
        <w:gridCol w:w="44"/>
        <w:gridCol w:w="2909"/>
        <w:gridCol w:w="36"/>
        <w:gridCol w:w="75"/>
        <w:gridCol w:w="645"/>
        <w:gridCol w:w="36"/>
        <w:gridCol w:w="36"/>
        <w:gridCol w:w="36"/>
        <w:gridCol w:w="36"/>
        <w:gridCol w:w="120"/>
        <w:gridCol w:w="628"/>
        <w:gridCol w:w="36"/>
        <w:gridCol w:w="36"/>
        <w:gridCol w:w="36"/>
        <w:gridCol w:w="36"/>
        <w:gridCol w:w="75"/>
        <w:gridCol w:w="645"/>
        <w:gridCol w:w="36"/>
        <w:gridCol w:w="36"/>
        <w:gridCol w:w="36"/>
        <w:gridCol w:w="36"/>
        <w:gridCol w:w="120"/>
        <w:gridCol w:w="605"/>
        <w:gridCol w:w="36"/>
        <w:gridCol w:w="36"/>
        <w:gridCol w:w="36"/>
        <w:gridCol w:w="36"/>
        <w:gridCol w:w="75"/>
        <w:gridCol w:w="645"/>
        <w:gridCol w:w="36"/>
        <w:gridCol w:w="36"/>
        <w:gridCol w:w="36"/>
        <w:gridCol w:w="36"/>
        <w:gridCol w:w="120"/>
        <w:gridCol w:w="605"/>
        <w:gridCol w:w="36"/>
      </w:tblGrid>
      <w:tr w:rsidR="00000000">
        <w:trPr>
          <w:divId w:val="1403673912"/>
          <w:jc w:val="center"/>
        </w:trPr>
        <w:tc>
          <w:tcPr>
            <w:tcW w:w="50" w:type="pct"/>
            <w:vAlign w:val="center"/>
            <w:hideMark/>
          </w:tcPr>
          <w:p w:rsidR="00000000" w:rsidRDefault="00D04F4B">
            <w:pPr>
              <w:ind w:firstLine="720"/>
              <w:rPr>
                <w:rFonts w:eastAsia="Times New Roman"/>
              </w:rPr>
            </w:pPr>
          </w:p>
        </w:tc>
        <w:tc>
          <w:tcPr>
            <w:tcW w:w="181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3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3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3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3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3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34"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403673912"/>
          <w:jc w:val="center"/>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r>
      <w:tr w:rsidR="00000000">
        <w:trPr>
          <w:divId w:val="1403673912"/>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Amount</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Amount</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Amount</w:t>
            </w:r>
          </w:p>
        </w:tc>
      </w:tr>
      <w:tr w:rsidR="00000000">
        <w:trPr>
          <w:divId w:val="1403673912"/>
          <w:jc w:val="center"/>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Employee stock-based compensation and exercise of stock options (Note 11)</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552,713 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95,860 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163,127 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12,664 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287,734 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33,564 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ind w:firstLine="720"/>
        <w:jc w:val="both"/>
        <w:divId w:val="1415542977"/>
        <w:rPr>
          <w:rFonts w:eastAsia="Times New Roman"/>
        </w:rPr>
      </w:pPr>
      <w:r>
        <w:rPr>
          <w:rFonts w:eastAsia="Times New Roman"/>
          <w:color w:val="000000"/>
          <w:sz w:val="20"/>
          <w:szCs w:val="20"/>
        </w:rPr>
        <w:t xml:space="preserve">Our Board previously authorized the repurchase from time to time of up to 35.0 million of our common shares on the open market or in privately negotiated transactions. Through December 31, 2021, we repurchased approximately 23.7 million shares pursuant to </w:t>
      </w:r>
      <w:r>
        <w:rPr>
          <w:rFonts w:eastAsia="Times New Roman"/>
          <w:color w:val="000000"/>
          <w:sz w:val="20"/>
          <w:szCs w:val="20"/>
        </w:rPr>
        <w:t>this authorization; none of which were repurchased during the three years ended December 31, 2021.</w:t>
      </w:r>
    </w:p>
    <w:p w:rsidR="00000000" w:rsidRDefault="00D04F4B">
      <w:pPr>
        <w:ind w:firstLine="720"/>
        <w:jc w:val="both"/>
        <w:divId w:val="939723972"/>
        <w:rPr>
          <w:rFonts w:eastAsia="Times New Roman"/>
        </w:rPr>
      </w:pPr>
      <w:r>
        <w:rPr>
          <w:rFonts w:eastAsia="Times New Roman"/>
          <w:color w:val="000000"/>
          <w:sz w:val="20"/>
          <w:szCs w:val="20"/>
        </w:rPr>
        <w:t>The unaudited characterization of dividends for U.S. federal corporate income tax purposes is made based upon earnings and profits of the Company, as defined</w:t>
      </w:r>
      <w:r>
        <w:rPr>
          <w:rFonts w:eastAsia="Times New Roman"/>
          <w:color w:val="000000"/>
          <w:sz w:val="20"/>
          <w:szCs w:val="20"/>
        </w:rPr>
        <w:t xml:space="preserve"> by the Code. Common share dividends, including amounts paid to our restricted share unitholders, totaled $1.402 billion ($8.00 per share), $1.399 billion ($8.00 per share) and $1.399 billion ($8.00 per share) for the years ended December 31, 2021, 2020, a</w:t>
      </w:r>
      <w:r>
        <w:rPr>
          <w:rFonts w:eastAsia="Times New Roman"/>
          <w:color w:val="000000"/>
          <w:sz w:val="20"/>
          <w:szCs w:val="20"/>
        </w:rPr>
        <w:t>nd 2019, respectively. Preferred share dividends totaled $186.6 million, $207.1 million and $210.2 million for the years ended December 31, 2021, 2020, and 2019, respectively.</w:t>
      </w:r>
    </w:p>
    <w:p w:rsidR="00000000" w:rsidRDefault="00D04F4B">
      <w:pPr>
        <w:ind w:firstLine="720"/>
        <w:jc w:val="both"/>
        <w:divId w:val="1330712454"/>
        <w:rPr>
          <w:rFonts w:eastAsia="Times New Roman"/>
        </w:rPr>
      </w:pPr>
      <w:r>
        <w:rPr>
          <w:rFonts w:eastAsia="Times New Roman"/>
          <w:color w:val="000000"/>
          <w:sz w:val="20"/>
          <w:szCs w:val="20"/>
        </w:rPr>
        <w:t>For the tax year ended December 31, 2021, distributions for the common shares an</w:t>
      </w:r>
      <w:r>
        <w:rPr>
          <w:rFonts w:eastAsia="Times New Roman"/>
          <w:color w:val="000000"/>
          <w:sz w:val="20"/>
          <w:szCs w:val="20"/>
        </w:rPr>
        <w:t>d all the various series of preferred shares were classified as follows:</w:t>
      </w:r>
    </w:p>
    <w:tbl>
      <w:tblPr>
        <w:tblW w:w="4931" w:type="pct"/>
        <w:jc w:val="center"/>
        <w:tblCellMar>
          <w:top w:w="15" w:type="dxa"/>
          <w:left w:w="15" w:type="dxa"/>
          <w:bottom w:w="15" w:type="dxa"/>
          <w:right w:w="15" w:type="dxa"/>
        </w:tblCellMar>
        <w:tblLook w:val="04A0" w:firstRow="1" w:lastRow="0" w:firstColumn="1" w:lastColumn="0" w:noHBand="0" w:noVBand="1"/>
      </w:tblPr>
      <w:tblGrid>
        <w:gridCol w:w="38"/>
        <w:gridCol w:w="3390"/>
        <w:gridCol w:w="37"/>
        <w:gridCol w:w="49"/>
        <w:gridCol w:w="909"/>
        <w:gridCol w:w="187"/>
        <w:gridCol w:w="36"/>
        <w:gridCol w:w="36"/>
        <w:gridCol w:w="36"/>
        <w:gridCol w:w="49"/>
        <w:gridCol w:w="849"/>
        <w:gridCol w:w="187"/>
        <w:gridCol w:w="36"/>
        <w:gridCol w:w="36"/>
        <w:gridCol w:w="36"/>
        <w:gridCol w:w="49"/>
        <w:gridCol w:w="849"/>
        <w:gridCol w:w="187"/>
        <w:gridCol w:w="36"/>
        <w:gridCol w:w="36"/>
        <w:gridCol w:w="36"/>
        <w:gridCol w:w="49"/>
        <w:gridCol w:w="851"/>
        <w:gridCol w:w="187"/>
      </w:tblGrid>
      <w:tr w:rsidR="00000000">
        <w:trPr>
          <w:divId w:val="1237401289"/>
          <w:jc w:val="center"/>
        </w:trPr>
        <w:tc>
          <w:tcPr>
            <w:tcW w:w="50" w:type="pct"/>
            <w:vAlign w:val="center"/>
            <w:hideMark/>
          </w:tcPr>
          <w:p w:rsidR="00000000" w:rsidRDefault="00D04F4B">
            <w:pPr>
              <w:ind w:firstLine="720"/>
              <w:jc w:val="both"/>
              <w:rPr>
                <w:rFonts w:eastAsia="Times New Roman"/>
              </w:rPr>
            </w:pPr>
          </w:p>
        </w:tc>
        <w:tc>
          <w:tcPr>
            <w:tcW w:w="212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2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237401289"/>
          <w:jc w:val="center"/>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 (unaudited)</w:t>
            </w:r>
          </w:p>
        </w:tc>
      </w:tr>
      <w:tr w:rsidR="00000000">
        <w:trPr>
          <w:divId w:val="1237401289"/>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1st Quarter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2nd Quarter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3rd Quarter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4th Quarter</w:t>
            </w:r>
          </w:p>
        </w:tc>
      </w:tr>
      <w:tr w:rsidR="00000000">
        <w:trPr>
          <w:divId w:val="1237401289"/>
          <w:jc w:val="center"/>
        </w:trPr>
        <w:tc>
          <w:tcPr>
            <w:tcW w:w="0" w:type="auto"/>
            <w:gridSpan w:val="3"/>
            <w:tcMar>
              <w:top w:w="30" w:type="dxa"/>
              <w:left w:w="29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Ordinary Dividends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94.55 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94.54 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94.55 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94.57 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237401289"/>
          <w:jc w:val="center"/>
        </w:trPr>
        <w:tc>
          <w:tcPr>
            <w:tcW w:w="0" w:type="auto"/>
            <w:gridSpan w:val="3"/>
            <w:tcMar>
              <w:top w:w="30" w:type="dxa"/>
              <w:left w:w="29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Capital Gain Distributions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r w:rsidR="00000000">
        <w:trPr>
          <w:divId w:val="1237401289"/>
          <w:jc w:val="center"/>
        </w:trPr>
        <w:tc>
          <w:tcPr>
            <w:tcW w:w="0" w:type="auto"/>
            <w:gridSpan w:val="3"/>
            <w:tcMar>
              <w:top w:w="30" w:type="dxa"/>
              <w:left w:w="29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r>
              <w:rPr>
                <w:rFonts w:eastAsia="Times New Roman"/>
                <w:color w:val="000000"/>
                <w:sz w:val="20"/>
                <w:szCs w:val="20"/>
              </w:rPr>
              <w:t>%</w:t>
            </w:r>
          </w:p>
        </w:tc>
      </w:tr>
    </w:tbl>
    <w:p w:rsidR="00000000" w:rsidRDefault="00D04F4B">
      <w:pPr>
        <w:jc w:val="center"/>
        <w:divId w:val="1284531055"/>
        <w:rPr>
          <w:rFonts w:eastAsia="Times New Roman"/>
        </w:rPr>
      </w:pPr>
      <w:r>
        <w:rPr>
          <w:rFonts w:eastAsia="Times New Roman"/>
          <w:color w:val="000000"/>
          <w:sz w:val="20"/>
          <w:szCs w:val="20"/>
        </w:rPr>
        <w:t>F-23</w:t>
      </w:r>
    </w:p>
    <w:p w:rsidR="00000000" w:rsidRDefault="00D04F4B">
      <w:pPr>
        <w:rPr>
          <w:rFonts w:eastAsia="Times New Roman"/>
        </w:rPr>
      </w:pPr>
      <w:r>
        <w:rPr>
          <w:rFonts w:eastAsia="Times New Roman"/>
        </w:rPr>
        <w:pict>
          <v:rect id="_x0000_i1109" style="width:0;height:1.5pt" o:hralign="center" o:hrstd="t" o:hr="t" fillcolor="#a0a0a0" stroked="f"/>
        </w:pict>
      </w:r>
    </w:p>
    <w:p w:rsidR="00000000" w:rsidRDefault="00D04F4B">
      <w:pPr>
        <w:jc w:val="center"/>
        <w:divId w:val="1098871399"/>
        <w:rPr>
          <w:rFonts w:eastAsia="Times New Roman"/>
        </w:rPr>
      </w:pPr>
    </w:p>
    <w:p w:rsidR="00000000" w:rsidRDefault="00D04F4B">
      <w:pPr>
        <w:jc w:val="center"/>
        <w:divId w:val="1098871399"/>
        <w:rPr>
          <w:rFonts w:eastAsia="Times New Roman"/>
        </w:rPr>
      </w:pPr>
      <w:r>
        <w:rPr>
          <w:rFonts w:eastAsia="Times New Roman"/>
          <w:b/>
          <w:bCs/>
          <w:color w:val="000000"/>
          <w:sz w:val="20"/>
          <w:szCs w:val="20"/>
        </w:rPr>
        <w:t>PUBLIC STORAGE</w:t>
      </w:r>
    </w:p>
    <w:p w:rsidR="00000000" w:rsidRDefault="00D04F4B">
      <w:pPr>
        <w:jc w:val="center"/>
        <w:divId w:val="1098871399"/>
        <w:rPr>
          <w:rFonts w:eastAsia="Times New Roman"/>
        </w:rPr>
      </w:pPr>
      <w:r>
        <w:rPr>
          <w:rFonts w:eastAsia="Times New Roman"/>
          <w:b/>
          <w:bCs/>
          <w:color w:val="000000"/>
          <w:sz w:val="20"/>
          <w:szCs w:val="20"/>
        </w:rPr>
        <w:t>NOTES TO FINANCIAL STATEMENTS</w:t>
      </w:r>
    </w:p>
    <w:p w:rsidR="00000000" w:rsidRDefault="00D04F4B">
      <w:pPr>
        <w:jc w:val="center"/>
        <w:divId w:val="1098871399"/>
        <w:rPr>
          <w:rFonts w:eastAsia="Times New Roman"/>
        </w:rPr>
      </w:pPr>
      <w:r>
        <w:rPr>
          <w:rFonts w:eastAsia="Times New Roman"/>
          <w:b/>
          <w:bCs/>
          <w:color w:val="000000"/>
          <w:sz w:val="20"/>
          <w:szCs w:val="20"/>
        </w:rPr>
        <w:t>December 31, 2021</w:t>
      </w:r>
    </w:p>
    <w:p w:rsidR="00000000" w:rsidRDefault="00D04F4B">
      <w:pPr>
        <w:jc w:val="center"/>
        <w:divId w:val="1098871399"/>
        <w:rPr>
          <w:rFonts w:eastAsia="Times New Roman"/>
        </w:rPr>
      </w:pPr>
    </w:p>
    <w:p w:rsidR="00000000" w:rsidRDefault="00D04F4B">
      <w:pPr>
        <w:ind w:firstLine="720"/>
        <w:jc w:val="both"/>
        <w:divId w:val="2045328342"/>
        <w:rPr>
          <w:rFonts w:eastAsia="Times New Roman"/>
        </w:rPr>
      </w:pPr>
      <w:r>
        <w:rPr>
          <w:rFonts w:eastAsia="Times New Roman"/>
          <w:color w:val="000000"/>
          <w:sz w:val="20"/>
          <w:szCs w:val="20"/>
        </w:rPr>
        <w:t>The ordinary income dividends distributed for the tax year ended December 31, 2021 are not qualified dividends under the Internal Revenue Code; however, they are subject to the 20% deduction under IRS Section 199A.</w:t>
      </w:r>
    </w:p>
    <w:p w:rsidR="00000000" w:rsidRDefault="00D04F4B">
      <w:pPr>
        <w:ind w:hanging="360"/>
        <w:jc w:val="both"/>
        <w:divId w:val="463886985"/>
        <w:rPr>
          <w:rFonts w:eastAsia="Times New Roman"/>
        </w:rPr>
      </w:pPr>
      <w:r>
        <w:rPr>
          <w:rFonts w:eastAsia="Times New Roman"/>
          <w:color w:val="000000"/>
          <w:sz w:val="20"/>
          <w:szCs w:val="20"/>
        </w:rPr>
        <w:t>10.</w:t>
      </w:r>
      <w:r>
        <w:rPr>
          <w:rFonts w:eastAsia="Times New Roman"/>
          <w:color w:val="000000"/>
          <w:sz w:val="20"/>
          <w:szCs w:val="20"/>
          <w:u w:val="single"/>
        </w:rPr>
        <w:t>Related Party Transactions</w:t>
      </w:r>
    </w:p>
    <w:p w:rsidR="00000000" w:rsidRDefault="00D04F4B">
      <w:pPr>
        <w:ind w:firstLine="720"/>
        <w:jc w:val="both"/>
        <w:divId w:val="1260092662"/>
        <w:rPr>
          <w:rFonts w:eastAsia="Times New Roman"/>
        </w:rPr>
      </w:pPr>
      <w:r>
        <w:rPr>
          <w:rFonts w:eastAsia="Times New Roman"/>
          <w:color w:val="000000"/>
          <w:sz w:val="20"/>
          <w:szCs w:val="20"/>
        </w:rPr>
        <w:t>At December</w:t>
      </w:r>
      <w:r>
        <w:rPr>
          <w:rFonts w:eastAsia="Times New Roman"/>
          <w:color w:val="000000"/>
          <w:sz w:val="20"/>
          <w:szCs w:val="20"/>
        </w:rPr>
        <w:t> 31, 2021, Tamara Hughes Gustavson, a current member of our Board and her adult children owned and controlled 65 self-storage facilities in Canada. These facilities operate under the Public Storage® tradename, which we license to the owners of these facili</w:t>
      </w:r>
      <w:r>
        <w:rPr>
          <w:rFonts w:eastAsia="Times New Roman"/>
          <w:color w:val="000000"/>
          <w:sz w:val="20"/>
          <w:szCs w:val="20"/>
        </w:rPr>
        <w:t>ties for use in Canada on a royalty-free, non-exclusive basis. We have no ownership interest in these facilities and we do not own or operate any facilities in Canada. If we chose to acquire or develop our own facilities in Canada, we would have to share t</w:t>
      </w:r>
      <w:r>
        <w:rPr>
          <w:rFonts w:eastAsia="Times New Roman"/>
          <w:color w:val="000000"/>
          <w:sz w:val="20"/>
          <w:szCs w:val="20"/>
        </w:rPr>
        <w:t>he use of the Public Storage® name in Canada. We have a right of first refusal, subject to limitations, to acquire the stock or assets of the corporation engaged in the operation of these facilities if their owners agree to sell them. Our subsidiaries rein</w:t>
      </w:r>
      <w:r>
        <w:rPr>
          <w:rFonts w:eastAsia="Times New Roman"/>
          <w:color w:val="000000"/>
          <w:sz w:val="20"/>
          <w:szCs w:val="20"/>
        </w:rPr>
        <w:t>sure risks relating to loss of goods stored by customers in these facilities, and have received premium payments of approximately $2.1 million, $1.6 million and $1.5 million for the years ended December 31, 2021, 2020, and 2019, respectively.</w:t>
      </w:r>
    </w:p>
    <w:p w:rsidR="00000000" w:rsidRDefault="00D04F4B">
      <w:pPr>
        <w:ind w:hanging="360"/>
        <w:jc w:val="both"/>
        <w:divId w:val="636420371"/>
        <w:rPr>
          <w:rFonts w:eastAsia="Times New Roman"/>
        </w:rPr>
      </w:pPr>
      <w:r>
        <w:rPr>
          <w:rFonts w:eastAsia="Times New Roman"/>
          <w:color w:val="000000"/>
          <w:sz w:val="20"/>
          <w:szCs w:val="20"/>
        </w:rPr>
        <w:t>11.</w:t>
      </w:r>
      <w:r>
        <w:rPr>
          <w:rFonts w:eastAsia="Times New Roman"/>
          <w:color w:val="000000"/>
          <w:sz w:val="20"/>
          <w:szCs w:val="20"/>
          <w:u w:val="single"/>
        </w:rPr>
        <w:t>Share-Base</w:t>
      </w:r>
      <w:r>
        <w:rPr>
          <w:rFonts w:eastAsia="Times New Roman"/>
          <w:color w:val="000000"/>
          <w:sz w:val="20"/>
          <w:szCs w:val="20"/>
          <w:u w:val="single"/>
        </w:rPr>
        <w:t>d Compensation</w:t>
      </w:r>
    </w:p>
    <w:p w:rsidR="00000000" w:rsidRDefault="00D04F4B">
      <w:pPr>
        <w:ind w:firstLine="720"/>
        <w:jc w:val="both"/>
        <w:divId w:val="1000812123"/>
        <w:rPr>
          <w:rFonts w:eastAsia="Times New Roman"/>
        </w:rPr>
      </w:pPr>
      <w:r>
        <w:rPr>
          <w:rFonts w:eastAsia="Times New Roman"/>
          <w:color w:val="000000"/>
          <w:sz w:val="20"/>
          <w:szCs w:val="20"/>
        </w:rPr>
        <w:t>Under various share-based compensation plans and under terms established or modified by our Board or a committee thereof, we grant non-qualified options to purchase the Company’s common shares, as well as RSUs, to trustees, officers, and key</w:t>
      </w:r>
      <w:r>
        <w:rPr>
          <w:rFonts w:eastAsia="Times New Roman"/>
          <w:color w:val="000000"/>
          <w:sz w:val="20"/>
          <w:szCs w:val="20"/>
        </w:rPr>
        <w:t xml:space="preserve"> employees. </w:t>
      </w:r>
    </w:p>
    <w:p w:rsidR="00000000" w:rsidRDefault="00D04F4B">
      <w:pPr>
        <w:ind w:firstLine="720"/>
        <w:jc w:val="both"/>
        <w:divId w:val="1791514354"/>
        <w:rPr>
          <w:rFonts w:eastAsia="Times New Roman"/>
        </w:rPr>
      </w:pPr>
      <w:r>
        <w:rPr>
          <w:rFonts w:eastAsia="Times New Roman"/>
          <w:color w:val="000000"/>
          <w:sz w:val="20"/>
          <w:szCs w:val="20"/>
        </w:rPr>
        <w:t>On April 26, 2021, the Company’s Shareholders approved the 2021 Equity and Performance-Based Incentive Compensation Plan ("2021 Plan"), which authorizes an additional three million shares available for future issuance of equity-based awards. A</w:t>
      </w:r>
      <w:r>
        <w:rPr>
          <w:rFonts w:eastAsia="Times New Roman"/>
          <w:color w:val="000000"/>
          <w:sz w:val="20"/>
          <w:szCs w:val="20"/>
        </w:rPr>
        <w:t>s of December 31, 2021, there were a total of 2,252,321 shares reserved for granting of future options and stock awards under the 2021 plan.</w:t>
      </w:r>
    </w:p>
    <w:p w:rsidR="00000000" w:rsidRDefault="00D04F4B">
      <w:pPr>
        <w:ind w:firstLine="720"/>
        <w:jc w:val="both"/>
        <w:divId w:val="874999325"/>
        <w:rPr>
          <w:rFonts w:eastAsia="Times New Roman"/>
        </w:rPr>
      </w:pPr>
      <w:r>
        <w:rPr>
          <w:rFonts w:eastAsia="Times New Roman"/>
          <w:color w:val="000000"/>
          <w:sz w:val="20"/>
          <w:szCs w:val="20"/>
        </w:rPr>
        <w:t>We recorded share-based compensation expense associated with stock options and RSUs in the various expense categori</w:t>
      </w:r>
      <w:r>
        <w:rPr>
          <w:rFonts w:eastAsia="Times New Roman"/>
          <w:color w:val="000000"/>
          <w:sz w:val="20"/>
          <w:szCs w:val="20"/>
        </w:rPr>
        <w:t>es in the Consolidated Statements of Income as set forth in the following table. In addition, $3.9 million share-based compensation cost was capitalized as real estate facilities for the year ended December 31, 2021.</w:t>
      </w:r>
    </w:p>
    <w:tbl>
      <w:tblPr>
        <w:tblW w:w="4765" w:type="pct"/>
        <w:tblCellMar>
          <w:top w:w="15" w:type="dxa"/>
          <w:left w:w="15" w:type="dxa"/>
          <w:bottom w:w="15" w:type="dxa"/>
          <w:right w:w="15" w:type="dxa"/>
        </w:tblCellMar>
        <w:tblLook w:val="04A0" w:firstRow="1" w:lastRow="0" w:firstColumn="1" w:lastColumn="0" w:noHBand="0" w:noVBand="1"/>
      </w:tblPr>
      <w:tblGrid>
        <w:gridCol w:w="38"/>
        <w:gridCol w:w="3870"/>
        <w:gridCol w:w="37"/>
        <w:gridCol w:w="120"/>
        <w:gridCol w:w="1122"/>
        <w:gridCol w:w="36"/>
        <w:gridCol w:w="36"/>
        <w:gridCol w:w="36"/>
        <w:gridCol w:w="36"/>
        <w:gridCol w:w="120"/>
        <w:gridCol w:w="1082"/>
        <w:gridCol w:w="36"/>
        <w:gridCol w:w="36"/>
        <w:gridCol w:w="36"/>
        <w:gridCol w:w="36"/>
        <w:gridCol w:w="120"/>
        <w:gridCol w:w="1083"/>
        <w:gridCol w:w="36"/>
      </w:tblGrid>
      <w:tr w:rsidR="00000000">
        <w:trPr>
          <w:divId w:val="985086398"/>
        </w:trPr>
        <w:tc>
          <w:tcPr>
            <w:tcW w:w="50" w:type="pct"/>
            <w:vAlign w:val="center"/>
            <w:hideMark/>
          </w:tcPr>
          <w:p w:rsidR="00000000" w:rsidRDefault="00D04F4B">
            <w:pPr>
              <w:ind w:firstLine="720"/>
              <w:jc w:val="both"/>
              <w:rPr>
                <w:rFonts w:eastAsia="Times New Roman"/>
              </w:rPr>
            </w:pPr>
          </w:p>
        </w:tc>
        <w:tc>
          <w:tcPr>
            <w:tcW w:w="248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3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3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4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985086398"/>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For Years Ended December 31,</w:t>
            </w:r>
          </w:p>
        </w:tc>
      </w:tr>
      <w:tr w:rsidR="00000000">
        <w:trPr>
          <w:divId w:val="985086398"/>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r>
      <w:tr w:rsidR="00000000">
        <w:trPr>
          <w:divId w:val="985086398"/>
          <w:trHeight w:val="6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985086398"/>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(Amounts in thousands)</w:t>
            </w:r>
          </w:p>
        </w:tc>
      </w:tr>
      <w:tr w:rsidR="00000000">
        <w:trPr>
          <w:divId w:val="985086398"/>
          <w:trHeight w:val="120"/>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985086398"/>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Self-storage cost of operations</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20,544 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14,904 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12,090 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985086398"/>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Ancillary cost of operations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1,561 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985086398"/>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37,760 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18,586 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13,871 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985086398"/>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59,865 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33,490 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25,961 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ind w:firstLine="720"/>
        <w:jc w:val="both"/>
        <w:rPr>
          <w:rFonts w:eastAsia="Times New Roman"/>
        </w:rPr>
      </w:pPr>
    </w:p>
    <w:p w:rsidR="00000000" w:rsidRDefault="00D04F4B">
      <w:pPr>
        <w:divId w:val="1008755488"/>
        <w:rPr>
          <w:rFonts w:eastAsia="Times New Roman"/>
        </w:rPr>
      </w:pPr>
      <w:r>
        <w:rPr>
          <w:rFonts w:eastAsia="Times New Roman"/>
          <w:color w:val="000000"/>
          <w:sz w:val="20"/>
          <w:szCs w:val="20"/>
          <w:u w:val="single"/>
        </w:rPr>
        <w:t>Stock Options</w:t>
      </w:r>
    </w:p>
    <w:p w:rsidR="00000000" w:rsidRDefault="00D04F4B">
      <w:pPr>
        <w:ind w:firstLine="720"/>
        <w:jc w:val="both"/>
        <w:divId w:val="1479951885"/>
        <w:rPr>
          <w:rFonts w:eastAsia="Times New Roman"/>
        </w:rPr>
      </w:pPr>
      <w:r>
        <w:rPr>
          <w:rFonts w:eastAsia="Times New Roman"/>
          <w:color w:val="000000"/>
          <w:sz w:val="20"/>
          <w:szCs w:val="20"/>
        </w:rPr>
        <w:t>Stock options vest over 3 to 5 years, expire 10 years after the grant date, and have an exercise price equal to the closing trading price of our common shares on the grant date. New shares are issued for options exercised. Employee</w:t>
      </w:r>
      <w:r>
        <w:rPr>
          <w:rFonts w:eastAsia="Times New Roman"/>
          <w:color w:val="000000"/>
          <w:sz w:val="20"/>
          <w:szCs w:val="20"/>
        </w:rPr>
        <w:t xml:space="preserve">s cannot require the Company to settle their award in cash. </w:t>
      </w:r>
    </w:p>
    <w:p w:rsidR="00000000" w:rsidRDefault="00D04F4B">
      <w:pPr>
        <w:ind w:firstLine="720"/>
        <w:jc w:val="both"/>
        <w:divId w:val="1785881589"/>
        <w:rPr>
          <w:rFonts w:eastAsia="Times New Roman"/>
        </w:rPr>
      </w:pPr>
      <w:r>
        <w:rPr>
          <w:rFonts w:eastAsia="Times New Roman"/>
          <w:color w:val="000000"/>
          <w:sz w:val="20"/>
          <w:szCs w:val="20"/>
        </w:rPr>
        <w:t>For the years ended December </w:t>
      </w:r>
      <w:r>
        <w:rPr>
          <w:rFonts w:eastAsia="Times New Roman"/>
          <w:color w:val="000000"/>
          <w:sz w:val="20"/>
          <w:szCs w:val="20"/>
        </w:rPr>
        <w:t>31, 2021, 2020, and 2019, we incurred share-based compensation cost for outstanding stock options of $25.1 million, $7.6 million and $5.0 million, respectively. The amounts for the years ended December 31, 2021 and 2020 include $4.5 million and $0.3 millio</w:t>
      </w:r>
      <w:r>
        <w:rPr>
          <w:rFonts w:eastAsia="Times New Roman"/>
          <w:color w:val="000000"/>
          <w:sz w:val="20"/>
          <w:szCs w:val="20"/>
        </w:rPr>
        <w:t xml:space="preserve">n, respectively, in connection with the Retirement Acceleration as discussed in Note 2 (none for 2019). </w:t>
      </w:r>
    </w:p>
    <w:p w:rsidR="00000000" w:rsidRDefault="00D04F4B">
      <w:pPr>
        <w:ind w:firstLine="720"/>
        <w:jc w:val="both"/>
        <w:divId w:val="1323043378"/>
        <w:rPr>
          <w:rFonts w:eastAsia="Times New Roman"/>
        </w:rPr>
      </w:pPr>
      <w:r>
        <w:rPr>
          <w:rFonts w:eastAsia="Times New Roman"/>
          <w:color w:val="000000"/>
          <w:sz w:val="20"/>
          <w:szCs w:val="20"/>
        </w:rPr>
        <w:t xml:space="preserve">During 2021, we incurred share-based compensation cost of $1.5 million in connection with the initial 15,000 stock option awards issued to each of the </w:t>
      </w:r>
      <w:r>
        <w:rPr>
          <w:rFonts w:eastAsia="Times New Roman"/>
          <w:color w:val="000000"/>
          <w:sz w:val="20"/>
          <w:szCs w:val="20"/>
        </w:rPr>
        <w:t>five trustees who joined our Board in January 2021.</w:t>
      </w:r>
    </w:p>
    <w:p w:rsidR="00000000" w:rsidRDefault="00D04F4B">
      <w:pPr>
        <w:jc w:val="center"/>
        <w:divId w:val="535970691"/>
        <w:rPr>
          <w:rFonts w:eastAsia="Times New Roman"/>
        </w:rPr>
      </w:pPr>
      <w:r>
        <w:rPr>
          <w:rFonts w:eastAsia="Times New Roman"/>
          <w:color w:val="000000"/>
          <w:sz w:val="20"/>
          <w:szCs w:val="20"/>
        </w:rPr>
        <w:t>F-24</w:t>
      </w:r>
    </w:p>
    <w:p w:rsidR="00000000" w:rsidRDefault="00D04F4B">
      <w:pPr>
        <w:rPr>
          <w:rFonts w:eastAsia="Times New Roman"/>
        </w:rPr>
      </w:pPr>
      <w:r>
        <w:rPr>
          <w:rFonts w:eastAsia="Times New Roman"/>
        </w:rPr>
        <w:pict>
          <v:rect id="_x0000_i1110" style="width:0;height:1.5pt" o:hralign="center" o:hrstd="t" o:hr="t" fillcolor="#a0a0a0" stroked="f"/>
        </w:pict>
      </w:r>
    </w:p>
    <w:p w:rsidR="00000000" w:rsidRDefault="00D04F4B">
      <w:pPr>
        <w:jc w:val="center"/>
        <w:divId w:val="2098820593"/>
        <w:rPr>
          <w:rFonts w:eastAsia="Times New Roman"/>
        </w:rPr>
      </w:pPr>
    </w:p>
    <w:p w:rsidR="00000000" w:rsidRDefault="00D04F4B">
      <w:pPr>
        <w:jc w:val="center"/>
        <w:divId w:val="2098820593"/>
        <w:rPr>
          <w:rFonts w:eastAsia="Times New Roman"/>
        </w:rPr>
      </w:pPr>
      <w:r>
        <w:rPr>
          <w:rFonts w:eastAsia="Times New Roman"/>
          <w:b/>
          <w:bCs/>
          <w:color w:val="000000"/>
          <w:sz w:val="20"/>
          <w:szCs w:val="20"/>
        </w:rPr>
        <w:t>PUBLIC STORAGE</w:t>
      </w:r>
    </w:p>
    <w:p w:rsidR="00000000" w:rsidRDefault="00D04F4B">
      <w:pPr>
        <w:jc w:val="center"/>
        <w:divId w:val="2098820593"/>
        <w:rPr>
          <w:rFonts w:eastAsia="Times New Roman"/>
        </w:rPr>
      </w:pPr>
      <w:r>
        <w:rPr>
          <w:rFonts w:eastAsia="Times New Roman"/>
          <w:b/>
          <w:bCs/>
          <w:color w:val="000000"/>
          <w:sz w:val="20"/>
          <w:szCs w:val="20"/>
        </w:rPr>
        <w:t>NOTES TO FINANCIAL STATEMENTS</w:t>
      </w:r>
    </w:p>
    <w:p w:rsidR="00000000" w:rsidRDefault="00D04F4B">
      <w:pPr>
        <w:jc w:val="center"/>
        <w:divId w:val="2098820593"/>
        <w:rPr>
          <w:rFonts w:eastAsia="Times New Roman"/>
        </w:rPr>
      </w:pPr>
      <w:r>
        <w:rPr>
          <w:rFonts w:eastAsia="Times New Roman"/>
          <w:b/>
          <w:bCs/>
          <w:color w:val="000000"/>
          <w:sz w:val="20"/>
          <w:szCs w:val="20"/>
        </w:rPr>
        <w:t>December 31, 2021</w:t>
      </w:r>
    </w:p>
    <w:p w:rsidR="00000000" w:rsidRDefault="00D04F4B">
      <w:pPr>
        <w:jc w:val="center"/>
        <w:divId w:val="2098820593"/>
        <w:rPr>
          <w:rFonts w:eastAsia="Times New Roman"/>
        </w:rPr>
      </w:pPr>
    </w:p>
    <w:p w:rsidR="00000000" w:rsidRDefault="00D04F4B">
      <w:pPr>
        <w:ind w:firstLine="720"/>
        <w:jc w:val="both"/>
        <w:divId w:val="1149248258"/>
        <w:rPr>
          <w:rFonts w:eastAsia="Times New Roman"/>
        </w:rPr>
      </w:pPr>
      <w:r>
        <w:rPr>
          <w:rFonts w:eastAsia="Times New Roman"/>
          <w:color w:val="000000"/>
          <w:sz w:val="20"/>
          <w:szCs w:val="20"/>
        </w:rPr>
        <w:t>During 2021, 245,000 stock options were awarded where vesting is dependent upon meeting certain</w:t>
      </w:r>
      <w:r>
        <w:rPr>
          <w:rFonts w:eastAsia="Times New Roman"/>
          <w:color w:val="000000"/>
          <w:sz w:val="20"/>
          <w:szCs w:val="20"/>
        </w:rPr>
        <w:t xml:space="preserve"> performance targets with respect to 2021, 2022, and 2023 and continued service through 2025. These awards contain a relative Total Shareholder Return modifier that will adjust the payout based on relative performance as compared to the market. As of Decem</w:t>
      </w:r>
      <w:r>
        <w:rPr>
          <w:rFonts w:eastAsia="Times New Roman"/>
          <w:color w:val="000000"/>
          <w:sz w:val="20"/>
          <w:szCs w:val="20"/>
        </w:rPr>
        <w:t>ber 31, 2021, these targets are expected to be met at 100% achievement. These options resulted in $8.1 million in related compensation cost during 2021.</w:t>
      </w:r>
    </w:p>
    <w:p w:rsidR="00000000" w:rsidRDefault="00D04F4B">
      <w:pPr>
        <w:ind w:firstLine="720"/>
        <w:jc w:val="both"/>
        <w:divId w:val="130905261"/>
        <w:rPr>
          <w:rFonts w:eastAsia="Times New Roman"/>
        </w:rPr>
      </w:pPr>
      <w:r>
        <w:rPr>
          <w:rFonts w:eastAsia="Times New Roman"/>
          <w:color w:val="000000"/>
          <w:sz w:val="20"/>
          <w:szCs w:val="20"/>
        </w:rPr>
        <w:t>During 2020, 770,000 stock options were awarded where vesting is dependent upon meeting certain perform</w:t>
      </w:r>
      <w:r>
        <w:rPr>
          <w:rFonts w:eastAsia="Times New Roman"/>
          <w:color w:val="000000"/>
          <w:sz w:val="20"/>
          <w:szCs w:val="20"/>
        </w:rPr>
        <w:t>ance targets with respect to 2020, 2021, and 2022 and continued service through 2024. As of December 31, 2021, these targets are expected to be met at 125% achievement, an increase from 100% as of December 31, 2020. $10.9 million and $3.0 million in relate</w:t>
      </w:r>
      <w:r>
        <w:rPr>
          <w:rFonts w:eastAsia="Times New Roman"/>
          <w:color w:val="000000"/>
          <w:sz w:val="20"/>
          <w:szCs w:val="20"/>
        </w:rPr>
        <w:t xml:space="preserve">d compensation cost was recorded during 2021 and 2020, respectively. </w:t>
      </w:r>
    </w:p>
    <w:p w:rsidR="00000000" w:rsidRDefault="00D04F4B">
      <w:pPr>
        <w:ind w:firstLine="720"/>
        <w:jc w:val="both"/>
        <w:divId w:val="765881818"/>
        <w:rPr>
          <w:rFonts w:eastAsia="Times New Roman"/>
        </w:rPr>
      </w:pPr>
      <w:r>
        <w:rPr>
          <w:rFonts w:eastAsia="Times New Roman"/>
          <w:color w:val="000000"/>
          <w:sz w:val="20"/>
          <w:szCs w:val="20"/>
        </w:rPr>
        <w:t>The stock options outstanding at December 31, 2021 have an aggregate intrinsic value (the excess, if any, of each option’s market value over the exercise price) of approximately $481.9 m</w:t>
      </w:r>
      <w:r>
        <w:rPr>
          <w:rFonts w:eastAsia="Times New Roman"/>
          <w:color w:val="000000"/>
          <w:sz w:val="20"/>
          <w:szCs w:val="20"/>
        </w:rPr>
        <w:t>illion and remaining average contractual lives of approximately six years. Total compensation cost related to nonvested stock options that has not yet been recognized is $23.3 million and is expected to be recognized as compensation cost over approximately</w:t>
      </w:r>
      <w:r>
        <w:rPr>
          <w:rFonts w:eastAsia="Times New Roman"/>
          <w:color w:val="000000"/>
          <w:sz w:val="20"/>
          <w:szCs w:val="20"/>
        </w:rPr>
        <w:t xml:space="preserve"> three years on average. Exercisable stock options have an aggregate intrinsic value of approximately $251.3 million at December 31, 2021 and remaining average contractual lives of approximately four years.</w:t>
      </w:r>
    </w:p>
    <w:p w:rsidR="00000000" w:rsidRDefault="00D04F4B">
      <w:pPr>
        <w:ind w:firstLine="720"/>
        <w:jc w:val="both"/>
        <w:divId w:val="1658991827"/>
        <w:rPr>
          <w:rFonts w:eastAsia="Times New Roman"/>
        </w:rPr>
      </w:pPr>
      <w:r>
        <w:rPr>
          <w:rFonts w:eastAsia="Times New Roman"/>
          <w:color w:val="000000"/>
          <w:sz w:val="20"/>
          <w:szCs w:val="20"/>
        </w:rPr>
        <w:t>Additional information with respect to stock options during 2021, 2020, and 2019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71"/>
        <w:gridCol w:w="36"/>
        <w:gridCol w:w="77"/>
        <w:gridCol w:w="708"/>
        <w:gridCol w:w="36"/>
        <w:gridCol w:w="36"/>
        <w:gridCol w:w="36"/>
        <w:gridCol w:w="36"/>
        <w:gridCol w:w="111"/>
        <w:gridCol w:w="670"/>
        <w:gridCol w:w="37"/>
        <w:gridCol w:w="36"/>
        <w:gridCol w:w="36"/>
        <w:gridCol w:w="36"/>
        <w:gridCol w:w="77"/>
        <w:gridCol w:w="708"/>
        <w:gridCol w:w="37"/>
        <w:gridCol w:w="37"/>
        <w:gridCol w:w="37"/>
        <w:gridCol w:w="36"/>
        <w:gridCol w:w="111"/>
        <w:gridCol w:w="670"/>
        <w:gridCol w:w="37"/>
        <w:gridCol w:w="36"/>
        <w:gridCol w:w="36"/>
        <w:gridCol w:w="36"/>
        <w:gridCol w:w="77"/>
        <w:gridCol w:w="708"/>
        <w:gridCol w:w="36"/>
        <w:gridCol w:w="36"/>
        <w:gridCol w:w="36"/>
        <w:gridCol w:w="36"/>
        <w:gridCol w:w="111"/>
        <w:gridCol w:w="673"/>
        <w:gridCol w:w="36"/>
      </w:tblGrid>
      <w:tr w:rsidR="00000000">
        <w:trPr>
          <w:divId w:val="610285738"/>
          <w:jc w:val="center"/>
        </w:trPr>
        <w:tc>
          <w:tcPr>
            <w:tcW w:w="50" w:type="pct"/>
            <w:vAlign w:val="center"/>
            <w:hideMark/>
          </w:tcPr>
          <w:p w:rsidR="00000000" w:rsidRDefault="00D04F4B">
            <w:pPr>
              <w:ind w:firstLine="720"/>
              <w:jc w:val="both"/>
              <w:rPr>
                <w:rFonts w:eastAsia="Times New Roman"/>
              </w:rPr>
            </w:pPr>
          </w:p>
        </w:tc>
        <w:tc>
          <w:tcPr>
            <w:tcW w:w="170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6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610285738"/>
          <w:jc w:val="center"/>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Service-Based</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Performance-Based</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Total</w:t>
            </w:r>
          </w:p>
        </w:tc>
      </w:tr>
      <w:tr w:rsidR="00000000">
        <w:trPr>
          <w:divId w:val="610285738"/>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Number</w:t>
            </w:r>
            <w:r>
              <w:rPr>
                <w:rFonts w:eastAsia="Times New Roman"/>
                <w:color w:val="000000"/>
                <w:sz w:val="18"/>
                <w:szCs w:val="18"/>
              </w:rPr>
              <w:br/>
              <w:t>of</w:t>
            </w:r>
            <w:r>
              <w:rPr>
                <w:rFonts w:eastAsia="Times New Roman"/>
                <w:color w:val="000000"/>
                <w:sz w:val="18"/>
                <w:szCs w:val="18"/>
              </w:rPr>
              <w:br/>
              <w:t>Options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Weighted</w:t>
            </w:r>
            <w:r>
              <w:rPr>
                <w:rFonts w:eastAsia="Times New Roman"/>
                <w:color w:val="000000"/>
                <w:sz w:val="18"/>
                <w:szCs w:val="18"/>
              </w:rPr>
              <w:br/>
              <w:t>Average</w:t>
            </w:r>
            <w:r>
              <w:rPr>
                <w:rFonts w:eastAsia="Times New Roman"/>
                <w:color w:val="000000"/>
                <w:sz w:val="18"/>
                <w:szCs w:val="18"/>
              </w:rPr>
              <w:br/>
            </w:r>
            <w:r>
              <w:rPr>
                <w:rFonts w:eastAsia="Times New Roman"/>
                <w:color w:val="000000"/>
                <w:sz w:val="18"/>
                <w:szCs w:val="18"/>
              </w:rPr>
              <w:t>Exercise</w:t>
            </w:r>
            <w:r>
              <w:rPr>
                <w:rFonts w:eastAsia="Times New Roman"/>
                <w:color w:val="000000"/>
                <w:sz w:val="18"/>
                <w:szCs w:val="18"/>
              </w:rPr>
              <w:br/>
              <w:t>Price</w:t>
            </w:r>
            <w:r>
              <w:rPr>
                <w:rFonts w:eastAsia="Times New Roman"/>
                <w:color w:val="000000"/>
                <w:sz w:val="18"/>
                <w:szCs w:val="18"/>
              </w:rPr>
              <w:br/>
              <w:t>per Share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Number</w:t>
            </w:r>
            <w:r>
              <w:rPr>
                <w:rFonts w:eastAsia="Times New Roman"/>
                <w:color w:val="000000"/>
                <w:sz w:val="18"/>
                <w:szCs w:val="18"/>
              </w:rPr>
              <w:br/>
              <w:t>of</w:t>
            </w:r>
            <w:r>
              <w:rPr>
                <w:rFonts w:eastAsia="Times New Roman"/>
                <w:color w:val="000000"/>
                <w:sz w:val="18"/>
                <w:szCs w:val="18"/>
              </w:rPr>
              <w:br/>
              <w:t>Options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Weighted</w:t>
            </w:r>
            <w:r>
              <w:rPr>
                <w:rFonts w:eastAsia="Times New Roman"/>
                <w:color w:val="000000"/>
                <w:sz w:val="18"/>
                <w:szCs w:val="18"/>
              </w:rPr>
              <w:br/>
              <w:t>Average</w:t>
            </w:r>
            <w:r>
              <w:rPr>
                <w:rFonts w:eastAsia="Times New Roman"/>
                <w:color w:val="000000"/>
                <w:sz w:val="18"/>
                <w:szCs w:val="18"/>
              </w:rPr>
              <w:br/>
              <w:t>Exercise</w:t>
            </w:r>
            <w:r>
              <w:rPr>
                <w:rFonts w:eastAsia="Times New Roman"/>
                <w:color w:val="000000"/>
                <w:sz w:val="18"/>
                <w:szCs w:val="18"/>
              </w:rPr>
              <w:br/>
              <w:t>Price</w:t>
            </w:r>
            <w:r>
              <w:rPr>
                <w:rFonts w:eastAsia="Times New Roman"/>
                <w:color w:val="000000"/>
                <w:sz w:val="18"/>
                <w:szCs w:val="18"/>
              </w:rPr>
              <w:br/>
              <w:t>per Share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Number</w:t>
            </w:r>
            <w:r>
              <w:rPr>
                <w:rFonts w:eastAsia="Times New Roman"/>
                <w:color w:val="000000"/>
                <w:sz w:val="18"/>
                <w:szCs w:val="18"/>
              </w:rPr>
              <w:br/>
              <w:t>of</w:t>
            </w:r>
            <w:r>
              <w:rPr>
                <w:rFonts w:eastAsia="Times New Roman"/>
                <w:color w:val="000000"/>
                <w:sz w:val="18"/>
                <w:szCs w:val="18"/>
              </w:rPr>
              <w:br/>
              <w:t>Options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Weighted</w:t>
            </w:r>
            <w:r>
              <w:rPr>
                <w:rFonts w:eastAsia="Times New Roman"/>
                <w:color w:val="000000"/>
                <w:sz w:val="18"/>
                <w:szCs w:val="18"/>
              </w:rPr>
              <w:br/>
              <w:t>Average</w:t>
            </w:r>
            <w:r>
              <w:rPr>
                <w:rFonts w:eastAsia="Times New Roman"/>
                <w:color w:val="000000"/>
                <w:sz w:val="18"/>
                <w:szCs w:val="18"/>
              </w:rPr>
              <w:br/>
              <w:t>Exercise</w:t>
            </w:r>
            <w:r>
              <w:rPr>
                <w:rFonts w:eastAsia="Times New Roman"/>
                <w:color w:val="000000"/>
                <w:sz w:val="18"/>
                <w:szCs w:val="18"/>
              </w:rPr>
              <w:br/>
              <w:t>Price</w:t>
            </w:r>
            <w:r>
              <w:rPr>
                <w:rFonts w:eastAsia="Times New Roman"/>
                <w:color w:val="000000"/>
                <w:sz w:val="18"/>
                <w:szCs w:val="18"/>
              </w:rPr>
              <w:br/>
              <w:t>per Share</w:t>
            </w:r>
          </w:p>
        </w:tc>
      </w:tr>
      <w:tr w:rsidR="00000000">
        <w:trPr>
          <w:divId w:val="610285738"/>
          <w:jc w:val="center"/>
        </w:trPr>
        <w:tc>
          <w:tcPr>
            <w:tcW w:w="0" w:type="auto"/>
            <w:gridSpan w:val="3"/>
            <w:tcMar>
              <w:top w:w="30" w:type="dxa"/>
              <w:left w:w="20" w:type="dxa"/>
              <w:bottom w:w="30" w:type="dxa"/>
              <w:right w:w="20" w:type="dxa"/>
            </w:tcMar>
            <w:vAlign w:val="bottom"/>
            <w:hideMark/>
          </w:tcPr>
          <w:p w:rsidR="00000000" w:rsidRDefault="00D04F4B">
            <w:pPr>
              <w:spacing w:after="100"/>
              <w:divId w:val="383717665"/>
              <w:rPr>
                <w:rFonts w:eastAsia="Times New Roman"/>
              </w:rPr>
            </w:pPr>
            <w:r>
              <w:rPr>
                <w:rFonts w:eastAsia="Times New Roman"/>
                <w:color w:val="000000"/>
                <w:sz w:val="18"/>
                <w:szCs w:val="18"/>
              </w:rPr>
              <w:t>Options outstanding January 1, 2019</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2,420,922 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201.31 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2,420,922 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201.31 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10285738"/>
          <w:jc w:val="center"/>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Granted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10285738"/>
          <w:jc w:val="center"/>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Exercised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(191,255)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(191,255)</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10285738"/>
          <w:jc w:val="center"/>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Cancelled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10285738"/>
          <w:jc w:val="center"/>
        </w:trPr>
        <w:tc>
          <w:tcPr>
            <w:tcW w:w="0" w:type="auto"/>
            <w:gridSpan w:val="3"/>
            <w:tcMar>
              <w:top w:w="30" w:type="dxa"/>
              <w:left w:w="20" w:type="dxa"/>
              <w:bottom w:w="30" w:type="dxa"/>
              <w:right w:w="20" w:type="dxa"/>
            </w:tcMar>
            <w:vAlign w:val="bottom"/>
            <w:hideMark/>
          </w:tcPr>
          <w:p w:rsidR="00000000" w:rsidRDefault="00D04F4B">
            <w:pPr>
              <w:spacing w:after="100"/>
              <w:divId w:val="919556991"/>
              <w:rPr>
                <w:rFonts w:eastAsia="Times New Roman"/>
              </w:rPr>
            </w:pPr>
            <w:r>
              <w:rPr>
                <w:rFonts w:eastAsia="Times New Roman"/>
                <w:color w:val="000000"/>
                <w:sz w:val="18"/>
                <w:szCs w:val="18"/>
              </w:rPr>
              <w:t>Options outstanding December 31, 2019</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2,339,667 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204.53 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2,339,667 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204.53 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10285738"/>
          <w:jc w:val="center"/>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Granted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770,000 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840,000 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10285738"/>
          <w:jc w:val="center"/>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Exercised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(71,500)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(71,500)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10285738"/>
          <w:jc w:val="center"/>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Cancelled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(107,000)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(147,000)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10285738"/>
          <w:jc w:val="center"/>
        </w:trPr>
        <w:tc>
          <w:tcPr>
            <w:tcW w:w="0" w:type="auto"/>
            <w:gridSpan w:val="3"/>
            <w:tcMar>
              <w:top w:w="30" w:type="dxa"/>
              <w:left w:w="20" w:type="dxa"/>
              <w:bottom w:w="30" w:type="dxa"/>
              <w:right w:w="20" w:type="dxa"/>
            </w:tcMar>
            <w:vAlign w:val="bottom"/>
            <w:hideMark/>
          </w:tcPr>
          <w:p w:rsidR="00000000" w:rsidRDefault="00D04F4B">
            <w:pPr>
              <w:spacing w:after="100"/>
              <w:divId w:val="1199661824"/>
              <w:rPr>
                <w:rFonts w:eastAsia="Times New Roman"/>
              </w:rPr>
            </w:pPr>
            <w:r>
              <w:rPr>
                <w:rFonts w:eastAsia="Times New Roman"/>
                <w:color w:val="000000"/>
                <w:sz w:val="18"/>
                <w:szCs w:val="18"/>
              </w:rPr>
              <w:t>Options outstanding December 31, 2020</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2,231,167 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204.60 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730,000 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228.94 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2,961,167 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210.59 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10285738"/>
          <w:jc w:val="center"/>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Granted (a)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420,000 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560,000 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10285738"/>
          <w:jc w:val="center"/>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Exercised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(471,216)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(471,216)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10285738"/>
          <w:jc w:val="center"/>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Cancelled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(10,000)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610285738"/>
          <w:jc w:val="center"/>
        </w:trPr>
        <w:tc>
          <w:tcPr>
            <w:tcW w:w="0" w:type="auto"/>
            <w:gridSpan w:val="3"/>
            <w:tcMar>
              <w:top w:w="30" w:type="dxa"/>
              <w:left w:w="20" w:type="dxa"/>
              <w:bottom w:w="30" w:type="dxa"/>
              <w:right w:w="20" w:type="dxa"/>
            </w:tcMar>
            <w:vAlign w:val="bottom"/>
            <w:hideMark/>
          </w:tcPr>
          <w:p w:rsidR="00000000" w:rsidRDefault="00D04F4B">
            <w:pPr>
              <w:spacing w:after="100"/>
              <w:divId w:val="427121091"/>
              <w:rPr>
                <w:rFonts w:eastAsia="Times New Roman"/>
              </w:rPr>
            </w:pPr>
            <w:r>
              <w:rPr>
                <w:rFonts w:eastAsia="Times New Roman"/>
                <w:color w:val="000000"/>
                <w:sz w:val="18"/>
                <w:szCs w:val="18"/>
              </w:rPr>
              <w:t>Options outstanding December 31, 2021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1,899,951 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208.16 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1,140,000 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229.16 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3,039,951 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216.04 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610285738"/>
          <w:jc w:val="center"/>
        </w:trPr>
        <w:tc>
          <w:tcPr>
            <w:tcW w:w="0" w:type="auto"/>
            <w:gridSpan w:val="3"/>
            <w:tcMar>
              <w:top w:w="30" w:type="dxa"/>
              <w:left w:w="20" w:type="dxa"/>
              <w:bottom w:w="30" w:type="dxa"/>
              <w:right w:w="20" w:type="dxa"/>
            </w:tcMar>
            <w:vAlign w:val="bottom"/>
            <w:hideMark/>
          </w:tcPr>
          <w:p w:rsidR="00000000" w:rsidRDefault="00D04F4B">
            <w:pPr>
              <w:spacing w:after="100"/>
              <w:divId w:val="690373063"/>
              <w:rPr>
                <w:rFonts w:eastAsia="Times New Roman"/>
              </w:rPr>
            </w:pPr>
            <w:r>
              <w:rPr>
                <w:rFonts w:eastAsia="Times New Roman"/>
                <w:color w:val="000000"/>
                <w:sz w:val="18"/>
                <w:szCs w:val="18"/>
              </w:rPr>
              <w:t>Options exercisable at December 31, 2021</w:t>
            </w: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1,464,411 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202.97 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1,464,411 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202.97 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divId w:val="2056738724"/>
        <w:rPr>
          <w:rFonts w:eastAsia="Times New Roman"/>
        </w:rPr>
      </w:pPr>
    </w:p>
    <w:p w:rsidR="00000000" w:rsidRDefault="00D04F4B">
      <w:pPr>
        <w:jc w:val="center"/>
        <w:divId w:val="1064134938"/>
        <w:rPr>
          <w:rFonts w:eastAsia="Times New Roman"/>
        </w:rPr>
      </w:pPr>
      <w:r>
        <w:rPr>
          <w:rFonts w:eastAsia="Times New Roman"/>
          <w:color w:val="000000"/>
          <w:sz w:val="20"/>
          <w:szCs w:val="20"/>
        </w:rPr>
        <w:t>F-25</w:t>
      </w:r>
    </w:p>
    <w:p w:rsidR="00000000" w:rsidRDefault="00D04F4B">
      <w:pPr>
        <w:rPr>
          <w:rFonts w:eastAsia="Times New Roman"/>
        </w:rPr>
      </w:pPr>
      <w:r>
        <w:rPr>
          <w:rFonts w:eastAsia="Times New Roman"/>
        </w:rPr>
        <w:pict>
          <v:rect id="_x0000_i1111" style="width:0;height:1.5pt" o:hralign="center" o:hrstd="t" o:hr="t" fillcolor="#a0a0a0" stroked="f"/>
        </w:pict>
      </w:r>
    </w:p>
    <w:p w:rsidR="00000000" w:rsidRDefault="00D04F4B">
      <w:pPr>
        <w:jc w:val="center"/>
        <w:divId w:val="1542133324"/>
        <w:rPr>
          <w:rFonts w:eastAsia="Times New Roman"/>
        </w:rPr>
      </w:pPr>
    </w:p>
    <w:p w:rsidR="00000000" w:rsidRDefault="00D04F4B">
      <w:pPr>
        <w:jc w:val="center"/>
        <w:divId w:val="1542133324"/>
        <w:rPr>
          <w:rFonts w:eastAsia="Times New Roman"/>
        </w:rPr>
      </w:pPr>
      <w:r>
        <w:rPr>
          <w:rFonts w:eastAsia="Times New Roman"/>
          <w:b/>
          <w:bCs/>
          <w:color w:val="000000"/>
          <w:sz w:val="20"/>
          <w:szCs w:val="20"/>
        </w:rPr>
        <w:t>PUBLIC STORAGE</w:t>
      </w:r>
    </w:p>
    <w:p w:rsidR="00000000" w:rsidRDefault="00D04F4B">
      <w:pPr>
        <w:jc w:val="center"/>
        <w:divId w:val="1542133324"/>
        <w:rPr>
          <w:rFonts w:eastAsia="Times New Roman"/>
        </w:rPr>
      </w:pPr>
      <w:r>
        <w:rPr>
          <w:rFonts w:eastAsia="Times New Roman"/>
          <w:b/>
          <w:bCs/>
          <w:color w:val="000000"/>
          <w:sz w:val="20"/>
          <w:szCs w:val="20"/>
        </w:rPr>
        <w:t>NOTES TO FINANCIAL STATEMENTS</w:t>
      </w:r>
    </w:p>
    <w:p w:rsidR="00000000" w:rsidRDefault="00D04F4B">
      <w:pPr>
        <w:jc w:val="center"/>
        <w:divId w:val="1542133324"/>
        <w:rPr>
          <w:rFonts w:eastAsia="Times New Roman"/>
        </w:rPr>
      </w:pPr>
      <w:r>
        <w:rPr>
          <w:rFonts w:eastAsia="Times New Roman"/>
          <w:b/>
          <w:bCs/>
          <w:color w:val="000000"/>
          <w:sz w:val="20"/>
          <w:szCs w:val="20"/>
        </w:rPr>
        <w:t>D</w:t>
      </w:r>
      <w:r>
        <w:rPr>
          <w:rFonts w:eastAsia="Times New Roman"/>
          <w:b/>
          <w:bCs/>
          <w:color w:val="000000"/>
          <w:sz w:val="20"/>
          <w:szCs w:val="20"/>
        </w:rPr>
        <w:t>ecember 31, 2021</w:t>
      </w:r>
    </w:p>
    <w:p w:rsidR="00000000" w:rsidRDefault="00D04F4B">
      <w:pPr>
        <w:jc w:val="center"/>
        <w:divId w:val="154213332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195"/>
        <w:gridCol w:w="37"/>
        <w:gridCol w:w="111"/>
        <w:gridCol w:w="735"/>
        <w:gridCol w:w="36"/>
        <w:gridCol w:w="37"/>
        <w:gridCol w:w="121"/>
        <w:gridCol w:w="36"/>
        <w:gridCol w:w="111"/>
        <w:gridCol w:w="736"/>
        <w:gridCol w:w="36"/>
        <w:gridCol w:w="37"/>
        <w:gridCol w:w="121"/>
        <w:gridCol w:w="36"/>
        <w:gridCol w:w="111"/>
        <w:gridCol w:w="736"/>
        <w:gridCol w:w="36"/>
      </w:tblGrid>
      <w:tr w:rsidR="00000000">
        <w:trPr>
          <w:divId w:val="422797288"/>
        </w:trPr>
        <w:tc>
          <w:tcPr>
            <w:tcW w:w="50" w:type="pct"/>
            <w:vAlign w:val="center"/>
            <w:hideMark/>
          </w:tcPr>
          <w:p w:rsidR="00000000" w:rsidRDefault="00D04F4B">
            <w:pPr>
              <w:jc w:val="center"/>
              <w:rPr>
                <w:rFonts w:eastAsia="Times New Roman"/>
              </w:rPr>
            </w:pPr>
          </w:p>
        </w:tc>
        <w:tc>
          <w:tcPr>
            <w:tcW w:w="321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9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9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49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422797288"/>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2019</w:t>
            </w:r>
          </w:p>
        </w:tc>
      </w:tr>
      <w:tr w:rsidR="00000000">
        <w:trPr>
          <w:divId w:val="422797288"/>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color w:val="000000"/>
                <w:sz w:val="18"/>
                <w:szCs w:val="18"/>
              </w:rPr>
              <w:t>Aggregate exercise date intrinsic value of options exercised during the year (in 000's)</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44,613</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3,433</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11,848</w:t>
            </w:r>
          </w:p>
        </w:tc>
      </w:tr>
      <w:tr w:rsidR="00000000">
        <w:trPr>
          <w:divId w:val="422797288"/>
          <w:trHeight w:val="28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22797288"/>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b/>
                <w:bCs/>
                <w:color w:val="000000"/>
                <w:sz w:val="18"/>
                <w:szCs w:val="18"/>
              </w:rPr>
              <w:t>Average assumptions used in valuing options with the Black-Scholes method:</w:t>
            </w:r>
          </w:p>
        </w:tc>
        <w:tc>
          <w:tcPr>
            <w:tcW w:w="0" w:type="auto"/>
            <w:gridSpan w:val="3"/>
            <w:tcMar>
              <w:top w:w="0" w:type="dxa"/>
              <w:left w:w="20" w:type="dxa"/>
              <w:bottom w:w="0" w:type="dxa"/>
              <w:right w:w="20" w:type="dxa"/>
            </w:tcMar>
            <w:vAlign w:val="center"/>
            <w:hideMark/>
          </w:tcPr>
          <w:p w:rsidR="00000000" w:rsidRDefault="00D04F4B">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22797288"/>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Expected life of options in years, based upon historical experience</w:t>
            </w: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5</w:t>
            </w:r>
          </w:p>
        </w:tc>
      </w:tr>
      <w:tr w:rsidR="00000000">
        <w:trPr>
          <w:divId w:val="422797288"/>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Risk-free interest rate</w:t>
            </w: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0.8%</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0.4%</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2.3%</w:t>
            </w:r>
          </w:p>
        </w:tc>
      </w:tr>
      <w:tr w:rsidR="00000000">
        <w:trPr>
          <w:divId w:val="422797288"/>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Expected volatility, based upon historical volatility</w:t>
            </w: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24.1%</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21.6%</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8.9%</w:t>
            </w:r>
          </w:p>
        </w:tc>
      </w:tr>
      <w:tr w:rsidR="00000000">
        <w:trPr>
          <w:divId w:val="422797288"/>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Expected dividend yield</w:t>
            </w: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2.9%</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3.8%</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3.6%</w:t>
            </w:r>
          </w:p>
        </w:tc>
      </w:tr>
      <w:tr w:rsidR="00000000">
        <w:trPr>
          <w:divId w:val="422797288"/>
          <w:trHeight w:val="280"/>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22797288"/>
        </w:trPr>
        <w:tc>
          <w:tcPr>
            <w:tcW w:w="0" w:type="auto"/>
            <w:gridSpan w:val="3"/>
            <w:tcMar>
              <w:top w:w="30" w:type="dxa"/>
              <w:left w:w="110" w:type="dxa"/>
              <w:bottom w:w="30" w:type="dxa"/>
              <w:right w:w="20" w:type="dxa"/>
            </w:tcMar>
            <w:vAlign w:val="bottom"/>
            <w:hideMark/>
          </w:tcPr>
          <w:p w:rsidR="00000000" w:rsidRDefault="00D04F4B">
            <w:pPr>
              <w:spacing w:after="100"/>
              <w:ind w:hanging="90"/>
              <w:rPr>
                <w:rFonts w:eastAsia="Times New Roman"/>
              </w:rPr>
            </w:pPr>
            <w:r>
              <w:rPr>
                <w:rFonts w:eastAsia="Times New Roman"/>
                <w:b/>
                <w:bCs/>
                <w:color w:val="000000"/>
                <w:sz w:val="18"/>
                <w:szCs w:val="18"/>
              </w:rPr>
              <w:t>Average assumptions used in valuing options with market conditions with the Monte-Carlo simulation method:</w:t>
            </w:r>
          </w:p>
        </w:tc>
        <w:tc>
          <w:tcPr>
            <w:tcW w:w="0" w:type="auto"/>
            <w:gridSpan w:val="3"/>
            <w:tcMar>
              <w:top w:w="0" w:type="dxa"/>
              <w:left w:w="20" w:type="dxa"/>
              <w:bottom w:w="0" w:type="dxa"/>
              <w:right w:w="20" w:type="dxa"/>
            </w:tcMar>
            <w:vAlign w:val="center"/>
            <w:hideMark/>
          </w:tcPr>
          <w:p w:rsidR="00000000" w:rsidRDefault="00D04F4B">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22797288"/>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Expected life of options in years, based upon historical experience</w:t>
            </w: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5</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14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04F4B">
            <w:pPr>
              <w:spacing w:after="100"/>
              <w:rPr>
                <w:rFonts w:eastAsia="Times New Roman"/>
                <w:sz w:val="20"/>
                <w:szCs w:val="20"/>
              </w:rPr>
            </w:pPr>
          </w:p>
        </w:tc>
      </w:tr>
      <w:tr w:rsidR="00000000">
        <w:trPr>
          <w:divId w:val="422797288"/>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Risk-free interest rate</w:t>
            </w: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0.9%</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140" w:type="dxa"/>
            </w:tcMar>
            <w:vAlign w:val="center"/>
            <w:hideMark/>
          </w:tcPr>
          <w:p w:rsidR="00000000" w:rsidRDefault="00D04F4B">
            <w:pPr>
              <w:spacing w:after="100"/>
              <w:rPr>
                <w:rFonts w:eastAsia="Times New Roman"/>
                <w:sz w:val="20"/>
                <w:szCs w:val="20"/>
              </w:rPr>
            </w:pPr>
          </w:p>
        </w:tc>
        <w:tc>
          <w:tcPr>
            <w:tcW w:w="0" w:type="auto"/>
            <w:gridSpan w:val="3"/>
            <w:tcMar>
              <w:top w:w="0" w:type="dxa"/>
              <w:left w:w="14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04F4B">
            <w:pPr>
              <w:spacing w:after="100"/>
              <w:rPr>
                <w:rFonts w:eastAsia="Times New Roman"/>
                <w:sz w:val="20"/>
                <w:szCs w:val="20"/>
              </w:rPr>
            </w:pPr>
          </w:p>
        </w:tc>
      </w:tr>
      <w:tr w:rsidR="00000000">
        <w:trPr>
          <w:divId w:val="422797288"/>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Expected volatility, based upon historical volatility</w:t>
            </w: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26.5%</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140" w:type="dxa"/>
            </w:tcMar>
            <w:vAlign w:val="center"/>
            <w:hideMark/>
          </w:tcPr>
          <w:p w:rsidR="00000000" w:rsidRDefault="00D04F4B">
            <w:pPr>
              <w:spacing w:after="100"/>
              <w:rPr>
                <w:rFonts w:eastAsia="Times New Roman"/>
                <w:sz w:val="20"/>
                <w:szCs w:val="20"/>
              </w:rPr>
            </w:pPr>
          </w:p>
        </w:tc>
        <w:tc>
          <w:tcPr>
            <w:tcW w:w="0" w:type="auto"/>
            <w:gridSpan w:val="3"/>
            <w:tcMar>
              <w:top w:w="0" w:type="dxa"/>
              <w:left w:w="14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04F4B">
            <w:pPr>
              <w:spacing w:after="100"/>
              <w:rPr>
                <w:rFonts w:eastAsia="Times New Roman"/>
                <w:sz w:val="20"/>
                <w:szCs w:val="20"/>
              </w:rPr>
            </w:pPr>
          </w:p>
        </w:tc>
      </w:tr>
      <w:tr w:rsidR="00000000">
        <w:trPr>
          <w:divId w:val="422797288"/>
        </w:trPr>
        <w:tc>
          <w:tcPr>
            <w:tcW w:w="0" w:type="auto"/>
            <w:gridSpan w:val="3"/>
            <w:tcMar>
              <w:top w:w="30" w:type="dxa"/>
              <w:left w:w="11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Expected dividend yield</w:t>
            </w:r>
          </w:p>
        </w:tc>
        <w:tc>
          <w:tcPr>
            <w:tcW w:w="0" w:type="auto"/>
            <w:gridSpan w:val="3"/>
            <w:tcMar>
              <w:top w:w="30" w:type="dxa"/>
              <w:left w:w="2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2.9%</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140" w:type="dxa"/>
            </w:tcMar>
            <w:vAlign w:val="center"/>
            <w:hideMark/>
          </w:tcPr>
          <w:p w:rsidR="00000000" w:rsidRDefault="00D04F4B">
            <w:pPr>
              <w:spacing w:after="100"/>
              <w:rPr>
                <w:rFonts w:eastAsia="Times New Roman"/>
                <w:sz w:val="20"/>
                <w:szCs w:val="20"/>
              </w:rPr>
            </w:pPr>
          </w:p>
        </w:tc>
        <w:tc>
          <w:tcPr>
            <w:tcW w:w="0" w:type="auto"/>
            <w:gridSpan w:val="3"/>
            <w:tcMar>
              <w:top w:w="0" w:type="dxa"/>
              <w:left w:w="14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04F4B">
            <w:pPr>
              <w:spacing w:after="100"/>
              <w:rPr>
                <w:rFonts w:eastAsia="Times New Roman"/>
                <w:sz w:val="20"/>
                <w:szCs w:val="20"/>
              </w:rPr>
            </w:pPr>
          </w:p>
        </w:tc>
      </w:tr>
      <w:tr w:rsidR="00000000">
        <w:trPr>
          <w:divId w:val="422797288"/>
          <w:trHeight w:val="280"/>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22797288"/>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Average estimated value of options granted during the year</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62.66</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17.79</w:t>
            </w:r>
          </w:p>
        </w:tc>
        <w:tc>
          <w:tcPr>
            <w:tcW w:w="0" w:type="auto"/>
            <w:gridSpan w:val="3"/>
            <w:tcMar>
              <w:top w:w="0" w:type="dxa"/>
              <w:left w:w="140" w:type="dxa"/>
              <w:bottom w:w="0" w:type="dxa"/>
              <w:right w:w="20"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140" w:type="dxa"/>
            </w:tcMar>
            <w:vAlign w:val="bottom"/>
            <w:hideMark/>
          </w:tcPr>
          <w:p w:rsidR="00000000" w:rsidRDefault="00D04F4B">
            <w:pPr>
              <w:spacing w:after="100"/>
              <w:jc w:val="right"/>
              <w:rPr>
                <w:rFonts w:eastAsia="Times New Roman"/>
              </w:rPr>
            </w:pPr>
            <w:r>
              <w:rPr>
                <w:rFonts w:eastAsia="Times New Roman"/>
                <w:color w:val="000000"/>
                <w:sz w:val="18"/>
                <w:szCs w:val="18"/>
              </w:rPr>
              <w:t>9.61</w:t>
            </w:r>
          </w:p>
        </w:tc>
      </w:tr>
    </w:tbl>
    <w:p w:rsidR="00000000" w:rsidRDefault="00D04F4B">
      <w:pPr>
        <w:ind w:firstLine="360"/>
        <w:jc w:val="both"/>
        <w:divId w:val="1979068861"/>
        <w:rPr>
          <w:rFonts w:eastAsia="Times New Roman"/>
        </w:rPr>
      </w:pPr>
      <w:r>
        <w:rPr>
          <w:rFonts w:eastAsia="Times New Roman"/>
          <w:color w:val="000000"/>
          <w:sz w:val="20"/>
          <w:szCs w:val="20"/>
        </w:rPr>
        <w:t>(a) Amount granted for performance-based stock options includes performance adjustments above target for options granted in 2020.</w:t>
      </w:r>
    </w:p>
    <w:p w:rsidR="00000000" w:rsidRDefault="00D04F4B">
      <w:pPr>
        <w:ind w:firstLine="720"/>
        <w:divId w:val="1115322798"/>
        <w:rPr>
          <w:rFonts w:eastAsia="Times New Roman"/>
        </w:rPr>
      </w:pPr>
      <w:r>
        <w:rPr>
          <w:rFonts w:eastAsia="Times New Roman"/>
          <w:color w:val="000000"/>
          <w:sz w:val="20"/>
          <w:szCs w:val="20"/>
          <w:u w:val="single"/>
        </w:rPr>
        <w:t>Restricted Share Units</w:t>
      </w:r>
    </w:p>
    <w:p w:rsidR="00000000" w:rsidRDefault="00D04F4B">
      <w:pPr>
        <w:ind w:firstLine="720"/>
        <w:jc w:val="both"/>
        <w:divId w:val="630522012"/>
        <w:rPr>
          <w:rFonts w:eastAsia="Times New Roman"/>
        </w:rPr>
      </w:pPr>
      <w:r>
        <w:rPr>
          <w:rFonts w:eastAsia="Times New Roman"/>
          <w:color w:val="000000"/>
          <w:sz w:val="20"/>
          <w:szCs w:val="20"/>
        </w:rPr>
        <w:t>RSUs generally vest over 5 to 8 years from the grant date. The grantee receives dividends for each outs</w:t>
      </w:r>
      <w:r>
        <w:rPr>
          <w:rFonts w:eastAsia="Times New Roman"/>
          <w:color w:val="000000"/>
          <w:sz w:val="20"/>
          <w:szCs w:val="20"/>
        </w:rPr>
        <w:t>tanding RSU equal to the per-share dividends received by our common shareholders. We expense any dividends previously paid upon forfeiture of the related RSU. Upon vesting, the grantee receives new common shares equal to the number of vested RSUs, less com</w:t>
      </w:r>
      <w:r>
        <w:rPr>
          <w:rFonts w:eastAsia="Times New Roman"/>
          <w:color w:val="000000"/>
          <w:sz w:val="20"/>
          <w:szCs w:val="20"/>
        </w:rPr>
        <w:t xml:space="preserve">mon shares withheld in exchange for tax deposits made by the Company to satisfy the grantee’s statutory tax liabilities arising from the vesting. </w:t>
      </w:r>
    </w:p>
    <w:p w:rsidR="00000000" w:rsidRDefault="00D04F4B">
      <w:pPr>
        <w:ind w:firstLine="720"/>
        <w:jc w:val="both"/>
        <w:divId w:val="1858733486"/>
        <w:rPr>
          <w:rFonts w:eastAsia="Times New Roman"/>
        </w:rPr>
      </w:pPr>
      <w:r>
        <w:rPr>
          <w:rFonts w:eastAsia="Times New Roman"/>
          <w:color w:val="000000"/>
          <w:sz w:val="20"/>
          <w:szCs w:val="20"/>
        </w:rPr>
        <w:t xml:space="preserve">The fair value of our RSUs is determined based upon the applicable closing trading price of our common shares. </w:t>
      </w:r>
    </w:p>
    <w:p w:rsidR="00000000" w:rsidRDefault="00D04F4B">
      <w:pPr>
        <w:ind w:firstLine="720"/>
        <w:jc w:val="both"/>
        <w:divId w:val="1576936436"/>
        <w:rPr>
          <w:rFonts w:eastAsia="Times New Roman"/>
        </w:rPr>
      </w:pPr>
      <w:r>
        <w:rPr>
          <w:rFonts w:eastAsia="Times New Roman"/>
          <w:color w:val="000000"/>
          <w:sz w:val="20"/>
          <w:szCs w:val="20"/>
        </w:rPr>
        <w:t>For the years ended December 31, 2021, 2020, and 2019, we incurred share-based compensation cost for RSUs of $38.7 million, $25.9 million and $2</w:t>
      </w:r>
      <w:r>
        <w:rPr>
          <w:rFonts w:eastAsia="Times New Roman"/>
          <w:color w:val="000000"/>
          <w:sz w:val="20"/>
          <w:szCs w:val="20"/>
        </w:rPr>
        <w:t xml:space="preserve">1.0 million, respectively. The amounts for the years ended December 31, 2021 and 2020 include $11.4 million and $5.4 million, respectively, in connection with the Retirement Acceleration as discussed in Note 2 (none for 2019). </w:t>
      </w:r>
    </w:p>
    <w:p w:rsidR="00000000" w:rsidRDefault="00D04F4B">
      <w:pPr>
        <w:ind w:firstLine="720"/>
        <w:jc w:val="both"/>
        <w:divId w:val="1669943065"/>
        <w:rPr>
          <w:rFonts w:eastAsia="Times New Roman"/>
        </w:rPr>
      </w:pPr>
      <w:r>
        <w:rPr>
          <w:rFonts w:eastAsia="Times New Roman"/>
          <w:color w:val="000000"/>
          <w:sz w:val="20"/>
          <w:szCs w:val="20"/>
        </w:rPr>
        <w:t>During 2021, 37,000 RSUs wer</w:t>
      </w:r>
      <w:r>
        <w:rPr>
          <w:rFonts w:eastAsia="Times New Roman"/>
          <w:color w:val="000000"/>
          <w:sz w:val="20"/>
          <w:szCs w:val="20"/>
        </w:rPr>
        <w:t>e awarded where vesting is dependent upon meeting certain performance targets for 2021. As of December 31, 2021, these targets were met at 125% achievement. These RSUs resulted in $6.4 million in related compensation cost during 2021.</w:t>
      </w:r>
    </w:p>
    <w:p w:rsidR="00000000" w:rsidRDefault="00D04F4B">
      <w:pPr>
        <w:jc w:val="center"/>
        <w:divId w:val="478305529"/>
        <w:rPr>
          <w:rFonts w:eastAsia="Times New Roman"/>
        </w:rPr>
      </w:pPr>
      <w:r>
        <w:rPr>
          <w:rFonts w:eastAsia="Times New Roman"/>
          <w:color w:val="000000"/>
          <w:sz w:val="20"/>
          <w:szCs w:val="20"/>
        </w:rPr>
        <w:t>F-26</w:t>
      </w:r>
    </w:p>
    <w:p w:rsidR="00000000" w:rsidRDefault="00D04F4B">
      <w:pPr>
        <w:rPr>
          <w:rFonts w:eastAsia="Times New Roman"/>
        </w:rPr>
      </w:pPr>
      <w:r>
        <w:rPr>
          <w:rFonts w:eastAsia="Times New Roman"/>
        </w:rPr>
        <w:pict>
          <v:rect id="_x0000_i1112" style="width:0;height:1.5pt" o:hralign="center" o:hrstd="t" o:hr="t" fillcolor="#a0a0a0" stroked="f"/>
        </w:pict>
      </w:r>
    </w:p>
    <w:p w:rsidR="00000000" w:rsidRDefault="00D04F4B">
      <w:pPr>
        <w:jc w:val="center"/>
        <w:divId w:val="1839152774"/>
        <w:rPr>
          <w:rFonts w:eastAsia="Times New Roman"/>
        </w:rPr>
      </w:pPr>
    </w:p>
    <w:p w:rsidR="00000000" w:rsidRDefault="00D04F4B">
      <w:pPr>
        <w:jc w:val="center"/>
        <w:divId w:val="1839152774"/>
        <w:rPr>
          <w:rFonts w:eastAsia="Times New Roman"/>
        </w:rPr>
      </w:pPr>
      <w:r>
        <w:rPr>
          <w:rFonts w:eastAsia="Times New Roman"/>
          <w:b/>
          <w:bCs/>
          <w:color w:val="000000"/>
          <w:sz w:val="20"/>
          <w:szCs w:val="20"/>
        </w:rPr>
        <w:t>PUBLIC STORAGE</w:t>
      </w:r>
    </w:p>
    <w:p w:rsidR="00000000" w:rsidRDefault="00D04F4B">
      <w:pPr>
        <w:jc w:val="center"/>
        <w:divId w:val="1839152774"/>
        <w:rPr>
          <w:rFonts w:eastAsia="Times New Roman"/>
        </w:rPr>
      </w:pPr>
      <w:r>
        <w:rPr>
          <w:rFonts w:eastAsia="Times New Roman"/>
          <w:b/>
          <w:bCs/>
          <w:color w:val="000000"/>
          <w:sz w:val="20"/>
          <w:szCs w:val="20"/>
        </w:rPr>
        <w:t>NOTES TO FINANCIAL STATEMENTS</w:t>
      </w:r>
    </w:p>
    <w:p w:rsidR="00000000" w:rsidRDefault="00D04F4B">
      <w:pPr>
        <w:jc w:val="center"/>
        <w:divId w:val="1839152774"/>
        <w:rPr>
          <w:rFonts w:eastAsia="Times New Roman"/>
        </w:rPr>
      </w:pPr>
      <w:r>
        <w:rPr>
          <w:rFonts w:eastAsia="Times New Roman"/>
          <w:b/>
          <w:bCs/>
          <w:color w:val="000000"/>
          <w:sz w:val="20"/>
          <w:szCs w:val="20"/>
        </w:rPr>
        <w:t>December 31, 2021</w:t>
      </w:r>
    </w:p>
    <w:p w:rsidR="00000000" w:rsidRDefault="00D04F4B">
      <w:pPr>
        <w:jc w:val="center"/>
        <w:divId w:val="1839152774"/>
        <w:rPr>
          <w:rFonts w:eastAsia="Times New Roman"/>
        </w:rPr>
      </w:pPr>
    </w:p>
    <w:p w:rsidR="00000000" w:rsidRDefault="00D04F4B">
      <w:pPr>
        <w:ind w:firstLine="720"/>
        <w:jc w:val="both"/>
        <w:divId w:val="610014326"/>
        <w:rPr>
          <w:rFonts w:eastAsia="Times New Roman"/>
        </w:rPr>
      </w:pPr>
      <w:r>
        <w:rPr>
          <w:rFonts w:eastAsia="Times New Roman"/>
          <w:color w:val="000000"/>
          <w:sz w:val="20"/>
          <w:szCs w:val="20"/>
        </w:rPr>
        <w:t>Remaining compensation cost related to RSUs outstanding at December 31, 2021 totals approximately $94.1 million and is expected to be recognized over the</w:t>
      </w:r>
      <w:r>
        <w:rPr>
          <w:rFonts w:eastAsia="Times New Roman"/>
          <w:color w:val="000000"/>
          <w:sz w:val="20"/>
          <w:szCs w:val="20"/>
        </w:rPr>
        <w:t xml:space="preserve"> next 3 years on average. The following tables set forth relevant information with respect to restricted shares (dollar amounts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2130"/>
        <w:gridCol w:w="36"/>
        <w:gridCol w:w="67"/>
        <w:gridCol w:w="811"/>
        <w:gridCol w:w="36"/>
        <w:gridCol w:w="36"/>
        <w:gridCol w:w="36"/>
        <w:gridCol w:w="36"/>
        <w:gridCol w:w="111"/>
        <w:gridCol w:w="804"/>
        <w:gridCol w:w="36"/>
        <w:gridCol w:w="36"/>
        <w:gridCol w:w="36"/>
        <w:gridCol w:w="36"/>
        <w:gridCol w:w="67"/>
        <w:gridCol w:w="787"/>
        <w:gridCol w:w="36"/>
        <w:gridCol w:w="36"/>
        <w:gridCol w:w="36"/>
        <w:gridCol w:w="36"/>
        <w:gridCol w:w="111"/>
        <w:gridCol w:w="806"/>
        <w:gridCol w:w="36"/>
        <w:gridCol w:w="36"/>
        <w:gridCol w:w="36"/>
        <w:gridCol w:w="36"/>
        <w:gridCol w:w="67"/>
        <w:gridCol w:w="788"/>
        <w:gridCol w:w="36"/>
        <w:gridCol w:w="36"/>
        <w:gridCol w:w="36"/>
        <w:gridCol w:w="36"/>
        <w:gridCol w:w="111"/>
        <w:gridCol w:w="806"/>
        <w:gridCol w:w="36"/>
      </w:tblGrid>
      <w:tr w:rsidR="00000000">
        <w:trPr>
          <w:divId w:val="1807119111"/>
          <w:jc w:val="center"/>
        </w:trPr>
        <w:tc>
          <w:tcPr>
            <w:tcW w:w="50" w:type="pct"/>
            <w:vAlign w:val="center"/>
            <w:hideMark/>
          </w:tcPr>
          <w:p w:rsidR="00000000" w:rsidRDefault="00D04F4B">
            <w:pPr>
              <w:ind w:firstLine="720"/>
              <w:jc w:val="both"/>
              <w:rPr>
                <w:rFonts w:eastAsia="Times New Roman"/>
              </w:rPr>
            </w:pPr>
          </w:p>
        </w:tc>
        <w:tc>
          <w:tcPr>
            <w:tcW w:w="130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807119111"/>
          <w:jc w:val="center"/>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2019</w:t>
            </w:r>
          </w:p>
        </w:tc>
      </w:tr>
      <w:tr w:rsidR="00000000">
        <w:trPr>
          <w:divId w:val="1807119111"/>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Number of</w:t>
            </w:r>
            <w:r>
              <w:rPr>
                <w:rFonts w:eastAsia="Times New Roman"/>
                <w:color w:val="000000"/>
                <w:sz w:val="18"/>
                <w:szCs w:val="18"/>
              </w:rPr>
              <w:br/>
            </w:r>
            <w:r>
              <w:rPr>
                <w:rFonts w:eastAsia="Times New Roman"/>
                <w:color w:val="000000"/>
                <w:sz w:val="18"/>
                <w:szCs w:val="18"/>
              </w:rPr>
              <w:t>Restricted</w:t>
            </w:r>
            <w:r>
              <w:rPr>
                <w:rFonts w:eastAsia="Times New Roman"/>
                <w:color w:val="000000"/>
                <w:sz w:val="18"/>
                <w:szCs w:val="18"/>
              </w:rPr>
              <w:br/>
              <w:t>Share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Weighted-Average Grant-Date</w:t>
            </w:r>
            <w:r>
              <w:rPr>
                <w:rFonts w:eastAsia="Times New Roman"/>
                <w:color w:val="000000"/>
                <w:sz w:val="18"/>
                <w:szCs w:val="18"/>
              </w:rPr>
              <w:br/>
              <w:t>Fair Value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Number of</w:t>
            </w:r>
            <w:r>
              <w:rPr>
                <w:rFonts w:eastAsia="Times New Roman"/>
                <w:color w:val="000000"/>
                <w:sz w:val="18"/>
                <w:szCs w:val="18"/>
              </w:rPr>
              <w:br/>
              <w:t>Restricted</w:t>
            </w:r>
            <w:r>
              <w:rPr>
                <w:rFonts w:eastAsia="Times New Roman"/>
                <w:color w:val="000000"/>
                <w:sz w:val="18"/>
                <w:szCs w:val="18"/>
              </w:rPr>
              <w:br/>
              <w:t>Share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Weighted-Average Grant-Date</w:t>
            </w:r>
            <w:r>
              <w:rPr>
                <w:rFonts w:eastAsia="Times New Roman"/>
                <w:color w:val="000000"/>
                <w:sz w:val="18"/>
                <w:szCs w:val="18"/>
              </w:rPr>
              <w:br/>
              <w:t>Fair Value</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Number of</w:t>
            </w:r>
            <w:r>
              <w:rPr>
                <w:rFonts w:eastAsia="Times New Roman"/>
                <w:color w:val="000000"/>
                <w:sz w:val="18"/>
                <w:szCs w:val="18"/>
              </w:rPr>
              <w:br/>
              <w:t>Restricted</w:t>
            </w:r>
            <w:r>
              <w:rPr>
                <w:rFonts w:eastAsia="Times New Roman"/>
                <w:color w:val="000000"/>
                <w:sz w:val="18"/>
                <w:szCs w:val="18"/>
              </w:rPr>
              <w:br/>
              <w:t>Share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Weighted-Average Grant-Date</w:t>
            </w:r>
            <w:r>
              <w:rPr>
                <w:rFonts w:eastAsia="Times New Roman"/>
                <w:color w:val="000000"/>
                <w:sz w:val="18"/>
                <w:szCs w:val="18"/>
              </w:rPr>
              <w:br/>
              <w:t>Fair Value</w:t>
            </w:r>
          </w:p>
        </w:tc>
      </w:tr>
      <w:tr w:rsidR="00000000">
        <w:trPr>
          <w:divId w:val="1807119111"/>
          <w:jc w:val="center"/>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18"/>
                <w:szCs w:val="18"/>
              </w:rPr>
              <w:t>Restricted share units outstanding January 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552,788 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218.11 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619,150 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213.29 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717,696 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210.69 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07119111"/>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Granted (a)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189,318 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321.17 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110,755 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222.27 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97,140 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217.35 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07119111"/>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Vested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(138,420)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w:t>
            </w:r>
            <w:r>
              <w:rPr>
                <w:rFonts w:eastAsia="Times New Roman"/>
                <w:color w:val="000000"/>
                <w:sz w:val="18"/>
                <w:szCs w:val="18"/>
              </w:rPr>
              <w:t>216.63)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(140,089)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(200.88)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(160,329)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(204.04)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07119111"/>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Forfeited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(32,864)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(221.32)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(37,028)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(215.08)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(35,357)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(213.62)</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807119111"/>
          <w:jc w:val="center"/>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18"/>
                <w:szCs w:val="18"/>
              </w:rPr>
              <w:t>Restricted share units outstanding December 31,</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570,822 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251.95 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552,788 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218.11 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619,150 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213.29 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divId w:val="3855879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173"/>
        <w:gridCol w:w="36"/>
        <w:gridCol w:w="120"/>
        <w:gridCol w:w="817"/>
        <w:gridCol w:w="36"/>
        <w:gridCol w:w="36"/>
        <w:gridCol w:w="36"/>
        <w:gridCol w:w="36"/>
        <w:gridCol w:w="120"/>
        <w:gridCol w:w="779"/>
        <w:gridCol w:w="36"/>
        <w:gridCol w:w="36"/>
        <w:gridCol w:w="36"/>
        <w:gridCol w:w="36"/>
        <w:gridCol w:w="120"/>
        <w:gridCol w:w="780"/>
        <w:gridCol w:w="36"/>
      </w:tblGrid>
      <w:tr w:rsidR="00000000">
        <w:trPr>
          <w:jc w:val="center"/>
        </w:trPr>
        <w:tc>
          <w:tcPr>
            <w:tcW w:w="50" w:type="pct"/>
            <w:vAlign w:val="center"/>
            <w:hideMark/>
          </w:tcPr>
          <w:p w:rsidR="00000000" w:rsidRDefault="00D04F4B">
            <w:pPr>
              <w:rPr>
                <w:rFonts w:eastAsia="Times New Roman"/>
              </w:rPr>
            </w:pPr>
          </w:p>
        </w:tc>
        <w:tc>
          <w:tcPr>
            <w:tcW w:w="314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7"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52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2019</w:t>
            </w: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Amounts for the year (in 000's, except number of 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Fair value of vested shares on vesting date</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37,430 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31,076 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33,769 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Cash paid for taxes upon vesting in lieu of issuing common shares</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13,069 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10,518 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12,162 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20"/>
                <w:szCs w:val="20"/>
              </w:rPr>
              <w:t>Common shares issued upon vesting</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81,325 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91,627 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20"/>
                <w:szCs w:val="20"/>
              </w:rPr>
              <w:t>96,479 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ind w:firstLine="720"/>
        <w:jc w:val="both"/>
        <w:divId w:val="1419017480"/>
        <w:rPr>
          <w:rFonts w:eastAsia="Times New Roman"/>
        </w:rPr>
      </w:pPr>
      <w:r>
        <w:rPr>
          <w:rFonts w:eastAsia="Times New Roman"/>
          <w:color w:val="000000"/>
          <w:sz w:val="20"/>
          <w:szCs w:val="20"/>
        </w:rPr>
        <w:t>(a)</w:t>
      </w:r>
      <w:r>
        <w:rPr>
          <w:rFonts w:eastAsia="Times New Roman"/>
          <w:color w:val="000000"/>
          <w:sz w:val="20"/>
          <w:szCs w:val="20"/>
        </w:rPr>
        <w:t>Amount includes adjustments above target for performance-based RSUs granted in fiscal year 2021 based on achievement of performance criteria.</w:t>
      </w:r>
    </w:p>
    <w:p w:rsidR="00000000" w:rsidRDefault="00D04F4B">
      <w:pPr>
        <w:ind w:hanging="360"/>
        <w:jc w:val="both"/>
        <w:divId w:val="1512068330"/>
        <w:rPr>
          <w:rFonts w:eastAsia="Times New Roman"/>
        </w:rPr>
      </w:pPr>
    </w:p>
    <w:p w:rsidR="00000000" w:rsidRDefault="00D04F4B">
      <w:pPr>
        <w:jc w:val="center"/>
        <w:divId w:val="737022847"/>
        <w:rPr>
          <w:rFonts w:eastAsia="Times New Roman"/>
        </w:rPr>
      </w:pPr>
      <w:r>
        <w:rPr>
          <w:rFonts w:eastAsia="Times New Roman"/>
          <w:color w:val="000000"/>
          <w:sz w:val="20"/>
          <w:szCs w:val="20"/>
        </w:rPr>
        <w:t>F-27</w:t>
      </w:r>
    </w:p>
    <w:p w:rsidR="00000000" w:rsidRDefault="00D04F4B">
      <w:pPr>
        <w:rPr>
          <w:rFonts w:eastAsia="Times New Roman"/>
        </w:rPr>
      </w:pPr>
      <w:r>
        <w:rPr>
          <w:rFonts w:eastAsia="Times New Roman"/>
        </w:rPr>
        <w:pict>
          <v:rect id="_x0000_i1113" style="width:0;height:1.5pt" o:hralign="center" o:hrstd="t" o:hr="t" fillcolor="#a0a0a0" stroked="f"/>
        </w:pict>
      </w:r>
    </w:p>
    <w:p w:rsidR="00000000" w:rsidRDefault="00D04F4B">
      <w:pPr>
        <w:jc w:val="center"/>
        <w:divId w:val="468287065"/>
        <w:rPr>
          <w:rFonts w:eastAsia="Times New Roman"/>
        </w:rPr>
      </w:pPr>
    </w:p>
    <w:p w:rsidR="00000000" w:rsidRDefault="00D04F4B">
      <w:pPr>
        <w:jc w:val="center"/>
        <w:divId w:val="468287065"/>
        <w:rPr>
          <w:rFonts w:eastAsia="Times New Roman"/>
        </w:rPr>
      </w:pPr>
      <w:r>
        <w:rPr>
          <w:rFonts w:eastAsia="Times New Roman"/>
          <w:b/>
          <w:bCs/>
          <w:color w:val="000000"/>
          <w:sz w:val="20"/>
          <w:szCs w:val="20"/>
        </w:rPr>
        <w:t>PUBLIC STORAGE</w:t>
      </w:r>
    </w:p>
    <w:p w:rsidR="00000000" w:rsidRDefault="00D04F4B">
      <w:pPr>
        <w:jc w:val="center"/>
        <w:divId w:val="468287065"/>
        <w:rPr>
          <w:rFonts w:eastAsia="Times New Roman"/>
        </w:rPr>
      </w:pPr>
      <w:r>
        <w:rPr>
          <w:rFonts w:eastAsia="Times New Roman"/>
          <w:b/>
          <w:bCs/>
          <w:color w:val="000000"/>
          <w:sz w:val="20"/>
          <w:szCs w:val="20"/>
        </w:rPr>
        <w:t>NOTES TO FINANCIAL STATEMENTS</w:t>
      </w:r>
    </w:p>
    <w:p w:rsidR="00000000" w:rsidRDefault="00D04F4B">
      <w:pPr>
        <w:jc w:val="center"/>
        <w:divId w:val="468287065"/>
        <w:rPr>
          <w:rFonts w:eastAsia="Times New Roman"/>
        </w:rPr>
      </w:pPr>
      <w:r>
        <w:rPr>
          <w:rFonts w:eastAsia="Times New Roman"/>
          <w:b/>
          <w:bCs/>
          <w:color w:val="000000"/>
          <w:sz w:val="20"/>
          <w:szCs w:val="20"/>
        </w:rPr>
        <w:t>December 31, 2021</w:t>
      </w:r>
    </w:p>
    <w:p w:rsidR="00000000" w:rsidRDefault="00D04F4B">
      <w:pPr>
        <w:jc w:val="center"/>
        <w:divId w:val="468287065"/>
        <w:rPr>
          <w:rFonts w:eastAsia="Times New Roman"/>
        </w:rPr>
      </w:pPr>
    </w:p>
    <w:p w:rsidR="00000000" w:rsidRDefault="00D04F4B">
      <w:pPr>
        <w:ind w:hanging="360"/>
        <w:jc w:val="both"/>
        <w:divId w:val="1436250969"/>
        <w:rPr>
          <w:rFonts w:eastAsia="Times New Roman"/>
        </w:rPr>
      </w:pPr>
      <w:r>
        <w:rPr>
          <w:rFonts w:eastAsia="Times New Roman"/>
          <w:color w:val="000000"/>
          <w:sz w:val="20"/>
          <w:szCs w:val="20"/>
        </w:rPr>
        <w:t xml:space="preserve">12. </w:t>
      </w:r>
      <w:r>
        <w:rPr>
          <w:rFonts w:eastAsia="Times New Roman"/>
          <w:color w:val="000000"/>
          <w:sz w:val="20"/>
          <w:szCs w:val="20"/>
          <w:u w:val="single"/>
        </w:rPr>
        <w:t>Net Income per Common Share</w:t>
      </w:r>
    </w:p>
    <w:p w:rsidR="00000000" w:rsidRDefault="00D04F4B">
      <w:pPr>
        <w:ind w:firstLine="720"/>
        <w:jc w:val="both"/>
        <w:divId w:val="1327856387"/>
        <w:rPr>
          <w:rFonts w:eastAsia="Times New Roman"/>
        </w:rPr>
      </w:pPr>
      <w:r>
        <w:rPr>
          <w:rFonts w:eastAsia="Times New Roman"/>
          <w:color w:val="000000"/>
          <w:sz w:val="20"/>
          <w:szCs w:val="20"/>
        </w:rPr>
        <w:t>We allocate net income to (i) noncontrolling interests based upon their contractual rights in the respective subsidiaries or for participating noncontrolling interests based upon their participation in both distributed and undistributed earnings of the Com</w:t>
      </w:r>
      <w:r>
        <w:rPr>
          <w:rFonts w:eastAsia="Times New Roman"/>
          <w:color w:val="000000"/>
          <w:sz w:val="20"/>
          <w:szCs w:val="20"/>
        </w:rPr>
        <w:t>pany, (ii) preferred shareholders, for distributions paid or payable, (iii) preferred shareholders, to the extent redemption cost exceeds the related original net issuance proceeds (an “preferred share redemption charge”) and (iv) restricted share units, f</w:t>
      </w:r>
      <w:r>
        <w:rPr>
          <w:rFonts w:eastAsia="Times New Roman"/>
          <w:color w:val="000000"/>
          <w:sz w:val="20"/>
          <w:szCs w:val="20"/>
        </w:rPr>
        <w:t xml:space="preserve">or non-forfeitable dividends paid and adjusted for participation rights in undistributed earnings of the Company. </w:t>
      </w:r>
    </w:p>
    <w:p w:rsidR="00000000" w:rsidRDefault="00D04F4B">
      <w:pPr>
        <w:ind w:firstLine="720"/>
        <w:jc w:val="both"/>
        <w:divId w:val="1415124015"/>
        <w:rPr>
          <w:rFonts w:eastAsia="Times New Roman"/>
        </w:rPr>
      </w:pPr>
      <w:r>
        <w:rPr>
          <w:rFonts w:eastAsia="Times New Roman"/>
          <w:color w:val="000000"/>
          <w:sz w:val="20"/>
          <w:szCs w:val="20"/>
        </w:rPr>
        <w:t>We calculate basic and diluted net income per common share based upon net income allocable to common shareholders, divided by (i) weighted av</w:t>
      </w:r>
      <w:r>
        <w:rPr>
          <w:rFonts w:eastAsia="Times New Roman"/>
          <w:color w:val="000000"/>
          <w:sz w:val="20"/>
          <w:szCs w:val="20"/>
        </w:rPr>
        <w:t xml:space="preserve">erage common shares for basic net income per common share, and (ii) weighted average common shares adjusted for the impact of dilutive, of stock options outstanding for diluted net income per common share. </w:t>
      </w:r>
    </w:p>
    <w:p w:rsidR="00000000" w:rsidRDefault="00D04F4B">
      <w:pPr>
        <w:ind w:firstLine="720"/>
        <w:jc w:val="both"/>
        <w:divId w:val="1596744058"/>
        <w:rPr>
          <w:rFonts w:eastAsia="Times New Roman"/>
        </w:rPr>
      </w:pPr>
      <w:r>
        <w:rPr>
          <w:rFonts w:eastAsia="Times New Roman"/>
          <w:color w:val="000000"/>
          <w:sz w:val="20"/>
          <w:szCs w:val="20"/>
        </w:rPr>
        <w:t>The following table reconciles the numerators and</w:t>
      </w:r>
      <w:r>
        <w:rPr>
          <w:rFonts w:eastAsia="Times New Roman"/>
          <w:color w:val="000000"/>
          <w:sz w:val="20"/>
          <w:szCs w:val="20"/>
        </w:rPr>
        <w:t xml:space="preserve"> denominators of the basic and diluted net income per common shares computation for the year ended December 31, 2021, 2020, and 2019 (in thousands, except per share amounts):</w:t>
      </w:r>
    </w:p>
    <w:tbl>
      <w:tblPr>
        <w:tblW w:w="4833" w:type="pct"/>
        <w:jc w:val="center"/>
        <w:tblCellMar>
          <w:top w:w="15" w:type="dxa"/>
          <w:left w:w="15" w:type="dxa"/>
          <w:bottom w:w="15" w:type="dxa"/>
          <w:right w:w="15" w:type="dxa"/>
        </w:tblCellMar>
        <w:tblLook w:val="04A0" w:firstRow="1" w:lastRow="0" w:firstColumn="1" w:lastColumn="0" w:noHBand="0" w:noVBand="1"/>
      </w:tblPr>
      <w:tblGrid>
        <w:gridCol w:w="37"/>
        <w:gridCol w:w="4095"/>
        <w:gridCol w:w="36"/>
        <w:gridCol w:w="122"/>
        <w:gridCol w:w="1081"/>
        <w:gridCol w:w="38"/>
        <w:gridCol w:w="37"/>
        <w:gridCol w:w="37"/>
        <w:gridCol w:w="37"/>
        <w:gridCol w:w="122"/>
        <w:gridCol w:w="1040"/>
        <w:gridCol w:w="38"/>
        <w:gridCol w:w="37"/>
        <w:gridCol w:w="36"/>
        <w:gridCol w:w="36"/>
        <w:gridCol w:w="121"/>
        <w:gridCol w:w="1042"/>
        <w:gridCol w:w="37"/>
      </w:tblGrid>
      <w:tr w:rsidR="00000000">
        <w:trPr>
          <w:divId w:val="354312592"/>
          <w:jc w:val="center"/>
        </w:trPr>
        <w:tc>
          <w:tcPr>
            <w:tcW w:w="50" w:type="pct"/>
            <w:vAlign w:val="center"/>
            <w:hideMark/>
          </w:tcPr>
          <w:p w:rsidR="00000000" w:rsidRDefault="00D04F4B">
            <w:pPr>
              <w:ind w:firstLine="720"/>
              <w:jc w:val="both"/>
              <w:rPr>
                <w:rFonts w:eastAsia="Times New Roman"/>
              </w:rPr>
            </w:pPr>
          </w:p>
        </w:tc>
        <w:tc>
          <w:tcPr>
            <w:tcW w:w="2586"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0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0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9"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70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354312592"/>
          <w:jc w:val="center"/>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20"/>
                <w:szCs w:val="20"/>
              </w:rPr>
              <w:t>For the Years Ended December 31,</w:t>
            </w:r>
          </w:p>
        </w:tc>
      </w:tr>
      <w:tr w:rsidR="00000000">
        <w:trPr>
          <w:divId w:val="354312592"/>
          <w:jc w:val="center"/>
        </w:trPr>
        <w:tc>
          <w:tcPr>
            <w:tcW w:w="0" w:type="auto"/>
            <w:gridSpan w:val="3"/>
            <w:tcMar>
              <w:top w:w="30" w:type="dxa"/>
              <w:left w:w="20" w:type="dxa"/>
              <w:bottom w:w="30" w:type="dxa"/>
              <w:right w:w="20" w:type="dxa"/>
            </w:tcMar>
            <w:vAlign w:val="center"/>
            <w:hideMark/>
          </w:tcPr>
          <w:p w:rsidR="00000000" w:rsidRDefault="00D04F4B">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04F4B">
            <w:pPr>
              <w:spacing w:after="100"/>
              <w:jc w:val="center"/>
              <w:rPr>
                <w:rFonts w:eastAsia="Times New Roman"/>
              </w:rPr>
            </w:pPr>
            <w:r>
              <w:rPr>
                <w:rFonts w:eastAsia="Times New Roman"/>
                <w:color w:val="000000"/>
                <w:sz w:val="20"/>
                <w:szCs w:val="20"/>
              </w:rPr>
              <w:t>2019</w:t>
            </w:r>
          </w:p>
        </w:tc>
      </w:tr>
      <w:tr w:rsidR="00000000">
        <w:trPr>
          <w:divId w:val="354312592"/>
          <w:jc w:val="center"/>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Numerator for basic and dilutive net income per common share – net income allocable to common shareholders</w:t>
            </w: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1,732,444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1,098,335</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1,272,767</w:t>
            </w:r>
          </w:p>
        </w:tc>
      </w:tr>
      <w:tr w:rsidR="00000000">
        <w:trPr>
          <w:divId w:val="354312592"/>
          <w:trHeight w:val="300"/>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354312592"/>
          <w:jc w:val="center"/>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Denominator for basic net income per share - weighted average common shares outstanding</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174,858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174,494</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174,287</w:t>
            </w:r>
          </w:p>
        </w:tc>
      </w:tr>
      <w:tr w:rsidR="00000000">
        <w:trPr>
          <w:divId w:val="354312592"/>
          <w:jc w:val="center"/>
        </w:trPr>
        <w:tc>
          <w:tcPr>
            <w:tcW w:w="0" w:type="auto"/>
            <w:gridSpan w:val="3"/>
            <w:tcMar>
              <w:top w:w="30" w:type="dxa"/>
              <w:left w:w="44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Net effect of dilutive stock options - based on treasury stock method</w:t>
            </w: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710</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148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243</w:t>
            </w:r>
          </w:p>
        </w:tc>
      </w:tr>
      <w:tr w:rsidR="00000000">
        <w:trPr>
          <w:divId w:val="354312592"/>
          <w:jc w:val="center"/>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Denominator for dilutive net income per share - weighted average common shares outstanding</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175,568</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174,642</w:t>
            </w: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174,530</w:t>
            </w:r>
          </w:p>
        </w:tc>
      </w:tr>
      <w:tr w:rsidR="00000000">
        <w:trPr>
          <w:divId w:val="354312592"/>
          <w:trHeight w:val="300"/>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354312592"/>
          <w:jc w:val="center"/>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Net income per common share:</w:t>
            </w:r>
          </w:p>
        </w:tc>
        <w:tc>
          <w:tcPr>
            <w:tcW w:w="0" w:type="auto"/>
            <w:gridSpan w:val="3"/>
            <w:tcMar>
              <w:top w:w="0" w:type="dxa"/>
              <w:left w:w="20" w:type="dxa"/>
              <w:bottom w:w="0" w:type="dxa"/>
              <w:right w:w="20" w:type="dxa"/>
            </w:tcMar>
            <w:vAlign w:val="center"/>
            <w:hideMark/>
          </w:tcPr>
          <w:p w:rsidR="00000000" w:rsidRDefault="00D04F4B">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354312592"/>
          <w:jc w:val="center"/>
        </w:trPr>
        <w:tc>
          <w:tcPr>
            <w:tcW w:w="0" w:type="auto"/>
            <w:gridSpan w:val="3"/>
            <w:tcMar>
              <w:top w:w="30" w:type="dxa"/>
              <w:left w:w="44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9.91</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6.29</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7.30</w:t>
            </w:r>
          </w:p>
        </w:tc>
      </w:tr>
      <w:tr w:rsidR="00000000">
        <w:trPr>
          <w:divId w:val="354312592"/>
          <w:jc w:val="center"/>
        </w:trPr>
        <w:tc>
          <w:tcPr>
            <w:tcW w:w="0" w:type="auto"/>
            <w:gridSpan w:val="3"/>
            <w:tcMar>
              <w:top w:w="30" w:type="dxa"/>
              <w:left w:w="44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20"/>
                <w:szCs w:val="20"/>
              </w:rPr>
              <w:t>Dilutive</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9.87</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6.29</w:t>
            </w:r>
          </w:p>
        </w:tc>
        <w:tc>
          <w:tcPr>
            <w:tcW w:w="0" w:type="auto"/>
            <w:gridSpan w:val="3"/>
            <w:tcMar>
              <w:top w:w="0" w:type="dxa"/>
              <w:left w:w="20" w:type="dxa"/>
              <w:bottom w:w="0" w:type="dxa"/>
              <w:right w:w="39" w:type="dxa"/>
            </w:tcMar>
            <w:vAlign w:val="center"/>
            <w:hideMark/>
          </w:tcPr>
          <w:p w:rsidR="00000000" w:rsidRDefault="00D04F4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04F4B">
            <w:pPr>
              <w:spacing w:after="100"/>
              <w:jc w:val="right"/>
              <w:rPr>
                <w:rFonts w:eastAsia="Times New Roman"/>
              </w:rPr>
            </w:pPr>
            <w:r>
              <w:rPr>
                <w:rFonts w:eastAsia="Times New Roman"/>
                <w:color w:val="000000"/>
                <w:sz w:val="20"/>
                <w:szCs w:val="20"/>
              </w:rPr>
              <w:t>7.29</w:t>
            </w:r>
          </w:p>
        </w:tc>
      </w:tr>
    </w:tbl>
    <w:p w:rsidR="00000000" w:rsidRDefault="00D04F4B">
      <w:pPr>
        <w:jc w:val="both"/>
        <w:divId w:val="2013528382"/>
        <w:rPr>
          <w:rFonts w:eastAsia="Times New Roman"/>
        </w:rPr>
      </w:pPr>
    </w:p>
    <w:p w:rsidR="00000000" w:rsidRDefault="00D04F4B">
      <w:pPr>
        <w:jc w:val="center"/>
        <w:divId w:val="1098260601"/>
        <w:rPr>
          <w:rFonts w:eastAsia="Times New Roman"/>
        </w:rPr>
      </w:pPr>
      <w:r>
        <w:rPr>
          <w:rFonts w:eastAsia="Times New Roman"/>
          <w:color w:val="000000"/>
          <w:sz w:val="20"/>
          <w:szCs w:val="20"/>
        </w:rPr>
        <w:t>F-28</w:t>
      </w:r>
    </w:p>
    <w:p w:rsidR="00000000" w:rsidRDefault="00D04F4B">
      <w:pPr>
        <w:rPr>
          <w:rFonts w:eastAsia="Times New Roman"/>
        </w:rPr>
      </w:pPr>
      <w:r>
        <w:rPr>
          <w:rFonts w:eastAsia="Times New Roman"/>
        </w:rPr>
        <w:pict>
          <v:rect id="_x0000_i1114" style="width:0;height:1.5pt" o:hralign="center" o:hrstd="t" o:hr="t" fillcolor="#a0a0a0" stroked="f"/>
        </w:pict>
      </w:r>
    </w:p>
    <w:p w:rsidR="00000000" w:rsidRDefault="00D04F4B">
      <w:pPr>
        <w:jc w:val="center"/>
        <w:divId w:val="350641392"/>
        <w:rPr>
          <w:rFonts w:eastAsia="Times New Roman"/>
        </w:rPr>
      </w:pPr>
    </w:p>
    <w:p w:rsidR="00000000" w:rsidRDefault="00D04F4B">
      <w:pPr>
        <w:jc w:val="center"/>
        <w:divId w:val="350641392"/>
        <w:rPr>
          <w:rFonts w:eastAsia="Times New Roman"/>
        </w:rPr>
      </w:pPr>
      <w:r>
        <w:rPr>
          <w:rFonts w:eastAsia="Times New Roman"/>
          <w:b/>
          <w:bCs/>
          <w:color w:val="000000"/>
          <w:sz w:val="20"/>
          <w:szCs w:val="20"/>
        </w:rPr>
        <w:t>PUBLIC STORAGE</w:t>
      </w:r>
    </w:p>
    <w:p w:rsidR="00000000" w:rsidRDefault="00D04F4B">
      <w:pPr>
        <w:jc w:val="center"/>
        <w:divId w:val="350641392"/>
        <w:rPr>
          <w:rFonts w:eastAsia="Times New Roman"/>
        </w:rPr>
      </w:pPr>
      <w:r>
        <w:rPr>
          <w:rFonts w:eastAsia="Times New Roman"/>
          <w:b/>
          <w:bCs/>
          <w:color w:val="000000"/>
          <w:sz w:val="20"/>
          <w:szCs w:val="20"/>
        </w:rPr>
        <w:t>NOTES TO FINANCIAL STATEMENTS</w:t>
      </w:r>
    </w:p>
    <w:p w:rsidR="00000000" w:rsidRDefault="00D04F4B">
      <w:pPr>
        <w:jc w:val="center"/>
        <w:divId w:val="350641392"/>
        <w:rPr>
          <w:rFonts w:eastAsia="Times New Roman"/>
        </w:rPr>
      </w:pPr>
      <w:r>
        <w:rPr>
          <w:rFonts w:eastAsia="Times New Roman"/>
          <w:b/>
          <w:bCs/>
          <w:color w:val="000000"/>
          <w:sz w:val="20"/>
          <w:szCs w:val="20"/>
        </w:rPr>
        <w:t>December 31, 2021</w:t>
      </w:r>
    </w:p>
    <w:p w:rsidR="00000000" w:rsidRDefault="00D04F4B">
      <w:pPr>
        <w:jc w:val="center"/>
        <w:divId w:val="350641392"/>
        <w:rPr>
          <w:rFonts w:eastAsia="Times New Roman"/>
        </w:rPr>
      </w:pPr>
    </w:p>
    <w:p w:rsidR="00000000" w:rsidRDefault="00D04F4B">
      <w:pPr>
        <w:ind w:hanging="360"/>
        <w:jc w:val="both"/>
        <w:divId w:val="217862665"/>
        <w:rPr>
          <w:rFonts w:eastAsia="Times New Roman"/>
        </w:rPr>
      </w:pPr>
      <w:r>
        <w:rPr>
          <w:rFonts w:eastAsia="Times New Roman"/>
          <w:color w:val="000000"/>
          <w:sz w:val="20"/>
          <w:szCs w:val="20"/>
        </w:rPr>
        <w:t>13.</w:t>
      </w:r>
      <w:r>
        <w:rPr>
          <w:rFonts w:eastAsia="Times New Roman"/>
          <w:color w:val="000000"/>
          <w:sz w:val="20"/>
          <w:szCs w:val="20"/>
          <w:u w:val="single"/>
        </w:rPr>
        <w:t>Segment Information</w:t>
      </w:r>
    </w:p>
    <w:p w:rsidR="00000000" w:rsidRDefault="00D04F4B">
      <w:pPr>
        <w:ind w:firstLine="720"/>
        <w:jc w:val="both"/>
        <w:divId w:val="1078402469"/>
        <w:rPr>
          <w:rFonts w:eastAsia="Times New Roman"/>
        </w:rPr>
      </w:pPr>
      <w:r>
        <w:rPr>
          <w:rFonts w:eastAsia="Times New Roman"/>
          <w:color w:val="000000"/>
          <w:sz w:val="20"/>
          <w:szCs w:val="20"/>
        </w:rPr>
        <w:t xml:space="preserve">Our operating segments reflect the significant components of our operations where discrete financial information is evaluated separately by our chief operating decision maker (“CODM”). </w:t>
      </w:r>
    </w:p>
    <w:p w:rsidR="00000000" w:rsidRDefault="00D04F4B">
      <w:pPr>
        <w:ind w:firstLine="1080"/>
        <w:divId w:val="1176922461"/>
        <w:rPr>
          <w:rFonts w:eastAsia="Times New Roman"/>
        </w:rPr>
      </w:pPr>
      <w:r>
        <w:rPr>
          <w:rFonts w:eastAsia="Times New Roman"/>
          <w:color w:val="000000"/>
          <w:sz w:val="20"/>
          <w:szCs w:val="20"/>
          <w:u w:val="single"/>
        </w:rPr>
        <w:t>Self-Storage Operations</w:t>
      </w:r>
    </w:p>
    <w:p w:rsidR="00000000" w:rsidRDefault="00D04F4B">
      <w:pPr>
        <w:ind w:firstLine="720"/>
        <w:jc w:val="both"/>
        <w:divId w:val="1202085129"/>
        <w:rPr>
          <w:rFonts w:eastAsia="Times New Roman"/>
        </w:rPr>
      </w:pPr>
      <w:r>
        <w:rPr>
          <w:rFonts w:eastAsia="Times New Roman"/>
          <w:color w:val="000000"/>
          <w:sz w:val="20"/>
          <w:szCs w:val="20"/>
        </w:rPr>
        <w:t>The Self-Storage Operations reportable segment</w:t>
      </w:r>
      <w:r>
        <w:rPr>
          <w:rFonts w:eastAsia="Times New Roman"/>
          <w:color w:val="000000"/>
          <w:sz w:val="20"/>
          <w:szCs w:val="20"/>
        </w:rPr>
        <w:t xml:space="preserve"> reflects the aggregated rental operations from the self-storage facilities we own from (i) Same Store Facilities, (ii) Acquired Facilities, (iii) Developed and Expanded Facilities, and (iv) Other Non-Same Store Facilities. The presentation in the table be</w:t>
      </w:r>
      <w:r>
        <w:rPr>
          <w:rFonts w:eastAsia="Times New Roman"/>
          <w:color w:val="000000"/>
          <w:sz w:val="20"/>
          <w:szCs w:val="20"/>
        </w:rPr>
        <w:t>low sets forth the NOI of this reportable segment, as well as the related depreciation expense. For all periods presented, substantially all of our real estate facilities, goodwill and other intangible assets, other assets, and accrued and other liabilitie</w:t>
      </w:r>
      <w:r>
        <w:rPr>
          <w:rFonts w:eastAsia="Times New Roman"/>
          <w:color w:val="000000"/>
          <w:sz w:val="20"/>
          <w:szCs w:val="20"/>
        </w:rPr>
        <w:t xml:space="preserve">s are associated with the Self-Storage Operations reportable segment. </w:t>
      </w:r>
    </w:p>
    <w:p w:rsidR="00000000" w:rsidRDefault="00D04F4B">
      <w:pPr>
        <w:ind w:firstLine="720"/>
        <w:jc w:val="both"/>
        <w:divId w:val="1221794292"/>
        <w:rPr>
          <w:rFonts w:eastAsia="Times New Roman"/>
        </w:rPr>
      </w:pPr>
      <w:r>
        <w:rPr>
          <w:rFonts w:eastAsia="Times New Roman"/>
          <w:color w:val="000000"/>
          <w:sz w:val="20"/>
          <w:szCs w:val="20"/>
          <w:u w:val="single"/>
        </w:rPr>
        <w:t>Ancillary Operations</w:t>
      </w:r>
    </w:p>
    <w:p w:rsidR="00000000" w:rsidRDefault="00D04F4B">
      <w:pPr>
        <w:ind w:firstLine="720"/>
        <w:jc w:val="both"/>
        <w:divId w:val="1182401047"/>
        <w:rPr>
          <w:rFonts w:eastAsia="Times New Roman"/>
        </w:rPr>
      </w:pPr>
      <w:r>
        <w:rPr>
          <w:rFonts w:eastAsia="Times New Roman"/>
          <w:color w:val="000000"/>
          <w:sz w:val="20"/>
          <w:szCs w:val="20"/>
        </w:rPr>
        <w:t>The Ancillary Operations reflects the combined operations of our tenant loss reinsurance, merchandise sales, and third party property management operating segments.</w:t>
      </w:r>
      <w:r>
        <w:rPr>
          <w:rFonts w:eastAsia="Times New Roman"/>
          <w:color w:val="000000"/>
          <w:sz w:val="20"/>
          <w:szCs w:val="20"/>
        </w:rPr>
        <w:t xml:space="preserve"> </w:t>
      </w:r>
    </w:p>
    <w:p w:rsidR="00000000" w:rsidRDefault="00D04F4B">
      <w:pPr>
        <w:ind w:firstLine="720"/>
        <w:jc w:val="both"/>
        <w:divId w:val="616833959"/>
        <w:rPr>
          <w:rFonts w:eastAsia="Times New Roman"/>
        </w:rPr>
      </w:pPr>
      <w:r>
        <w:rPr>
          <w:rFonts w:eastAsia="Times New Roman"/>
          <w:color w:val="000000"/>
          <w:sz w:val="20"/>
          <w:szCs w:val="20"/>
          <w:u w:val="single"/>
        </w:rPr>
        <w:t>Presentation of Segment Information</w:t>
      </w:r>
    </w:p>
    <w:p w:rsidR="00000000" w:rsidRDefault="00D04F4B">
      <w:pPr>
        <w:ind w:firstLine="720"/>
        <w:jc w:val="both"/>
        <w:divId w:val="1103309257"/>
        <w:rPr>
          <w:rFonts w:eastAsia="Times New Roman"/>
        </w:rPr>
      </w:pPr>
      <w:r>
        <w:rPr>
          <w:rFonts w:eastAsia="Times New Roman"/>
          <w:color w:val="000000"/>
          <w:sz w:val="20"/>
          <w:szCs w:val="20"/>
        </w:rPr>
        <w:t>The following table reconciles NOI and net income attributable to our reportable segment to our consolidated net income:</w:t>
      </w:r>
    </w:p>
    <w:tbl>
      <w:tblPr>
        <w:tblW w:w="4863" w:type="pct"/>
        <w:jc w:val="center"/>
        <w:tblCellMar>
          <w:top w:w="15" w:type="dxa"/>
          <w:left w:w="15" w:type="dxa"/>
          <w:bottom w:w="15" w:type="dxa"/>
          <w:right w:w="15" w:type="dxa"/>
        </w:tblCellMar>
        <w:tblLook w:val="04A0" w:firstRow="1" w:lastRow="0" w:firstColumn="1" w:lastColumn="0" w:noHBand="0" w:noVBand="1"/>
      </w:tblPr>
      <w:tblGrid>
        <w:gridCol w:w="40"/>
        <w:gridCol w:w="4496"/>
        <w:gridCol w:w="39"/>
        <w:gridCol w:w="110"/>
        <w:gridCol w:w="973"/>
        <w:gridCol w:w="36"/>
        <w:gridCol w:w="36"/>
        <w:gridCol w:w="36"/>
        <w:gridCol w:w="36"/>
        <w:gridCol w:w="110"/>
        <w:gridCol w:w="937"/>
        <w:gridCol w:w="36"/>
        <w:gridCol w:w="36"/>
        <w:gridCol w:w="36"/>
        <w:gridCol w:w="36"/>
        <w:gridCol w:w="110"/>
        <w:gridCol w:w="939"/>
        <w:gridCol w:w="36"/>
      </w:tblGrid>
      <w:tr w:rsidR="00000000">
        <w:trPr>
          <w:divId w:val="450245174"/>
          <w:jc w:val="center"/>
        </w:trPr>
        <w:tc>
          <w:tcPr>
            <w:tcW w:w="50" w:type="pct"/>
            <w:vAlign w:val="center"/>
            <w:hideMark/>
          </w:tcPr>
          <w:p w:rsidR="00000000" w:rsidRDefault="00D04F4B">
            <w:pPr>
              <w:ind w:firstLine="720"/>
              <w:jc w:val="both"/>
              <w:rPr>
                <w:rFonts w:eastAsia="Times New Roman"/>
              </w:rPr>
            </w:pPr>
          </w:p>
        </w:tc>
        <w:tc>
          <w:tcPr>
            <w:tcW w:w="2811"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28"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6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For the Years Ended December 31,</w:t>
            </w: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2019</w:t>
            </w:r>
          </w:p>
        </w:tc>
      </w:tr>
      <w:tr w:rsidR="00000000">
        <w:trPr>
          <w:divId w:val="450245174"/>
          <w:trHeight w:val="60"/>
          <w:jc w:val="center"/>
        </w:trPr>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8"/>
                <w:szCs w:val="18"/>
              </w:rPr>
              <w:t>(amounts in thousands)</w:t>
            </w: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i/>
                <w:iCs/>
                <w:color w:val="000000"/>
                <w:sz w:val="18"/>
                <w:szCs w:val="18"/>
              </w:rPr>
              <w:t>Self-Storage Operations Reportable Segment</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Revenue</w:t>
            </w: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3,203,566 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2,721,630 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2,684,552 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Cost of operations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(852,030)</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(807,543)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(762,416)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r>
              <w:rPr>
                <w:rFonts w:eastAsia="Times New Roman"/>
                <w:color w:val="000000"/>
                <w:sz w:val="18"/>
                <w:szCs w:val="18"/>
              </w:rPr>
              <w:t> 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2,351,536 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1,914,087 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1,922,136 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(713,428)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(553,257)</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(512,918)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Net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1,638,108 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1,360,830 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1,409,218 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trHeight w:val="120"/>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i/>
                <w:iCs/>
                <w:color w:val="000000"/>
                <w:sz w:val="18"/>
                <w:szCs w:val="18"/>
              </w:rPr>
              <w:t>Ancillary Operations</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Revenue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212,258 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193,438 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170,556 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Cost of operations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(68,568)</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(59,919)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(50,736)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143,690 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133,519 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119,820 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trHeight w:val="120"/>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w:t>
            </w:r>
            <w:r>
              <w:rPr>
                <w:rFonts w:eastAsia="Times New Roman"/>
                <w:color w:val="000000"/>
                <w:sz w:val="18"/>
                <w:szCs w:val="18"/>
              </w:rPr>
              <w:t>Total net income allocated to segments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1,781,798 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1,494,349 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1,529,038 </w:t>
            </w:r>
          </w:p>
        </w:tc>
        <w:tc>
          <w:tcPr>
            <w:tcW w:w="0" w:type="auto"/>
            <w:tcBorders>
              <w:top w:val="single" w:sz="8"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trHeight w:val="120"/>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50245174"/>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b/>
                <w:bCs/>
                <w:i/>
                <w:iCs/>
                <w:color w:val="000000"/>
                <w:sz w:val="18"/>
                <w:szCs w:val="18"/>
              </w:rPr>
              <w:t xml:space="preserve">Other items not allocated to segments: </w:t>
            </w: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450245174"/>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General and administrative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(101,254)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(83,199)</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(62,146)</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Interest and other income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12,306 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22,323 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26,683 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Interest expense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(90,774)</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(56,283)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(45,641)</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Equity in earnings of unconsolidated real estate entities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232,093 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80,497 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69,547 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Foreign currency exchange gain (loss)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111,787 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(97,953)</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7,829 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Gain on sale of real estate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1,493 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341 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450245174"/>
          <w:jc w:val="center"/>
        </w:trPr>
        <w:tc>
          <w:tcPr>
            <w:tcW w:w="0" w:type="auto"/>
            <w:gridSpan w:val="3"/>
            <w:tcMar>
              <w:top w:w="30" w:type="dxa"/>
              <w:left w:w="83" w:type="dxa"/>
              <w:bottom w:w="30" w:type="dxa"/>
              <w:right w:w="20" w:type="dxa"/>
            </w:tcMar>
            <w:vAlign w:val="bottom"/>
            <w:hideMark/>
          </w:tcPr>
          <w:p w:rsidR="00000000" w:rsidRDefault="00D04F4B">
            <w:pPr>
              <w:spacing w:after="100"/>
              <w:rPr>
                <w:rFonts w:eastAsia="Times New Roman"/>
              </w:rPr>
            </w:pPr>
            <w:r>
              <w:rPr>
                <w:rFonts w:eastAsia="Times New Roman"/>
                <w:color w:val="000000"/>
                <w:sz w:val="18"/>
                <w:szCs w:val="18"/>
              </w:rPr>
              <w:t>     Net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1,959,639 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1,361,227 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8"/>
                <w:szCs w:val="18"/>
              </w:rPr>
              <w:t>1,525,651 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jc w:val="center"/>
        <w:divId w:val="1806964104"/>
        <w:rPr>
          <w:rFonts w:eastAsia="Times New Roman"/>
        </w:rPr>
      </w:pPr>
      <w:r>
        <w:rPr>
          <w:rFonts w:eastAsia="Times New Roman"/>
          <w:color w:val="000000"/>
          <w:sz w:val="20"/>
          <w:szCs w:val="20"/>
        </w:rPr>
        <w:t>F-29</w:t>
      </w:r>
    </w:p>
    <w:p w:rsidR="00000000" w:rsidRDefault="00D04F4B">
      <w:pPr>
        <w:rPr>
          <w:rFonts w:eastAsia="Times New Roman"/>
        </w:rPr>
      </w:pPr>
      <w:r>
        <w:rPr>
          <w:rFonts w:eastAsia="Times New Roman"/>
        </w:rPr>
        <w:pict>
          <v:rect id="_x0000_i1115" style="width:0;height:1.5pt" o:hralign="center" o:hrstd="t" o:hr="t" fillcolor="#a0a0a0" stroked="f"/>
        </w:pict>
      </w:r>
    </w:p>
    <w:p w:rsidR="00000000" w:rsidRDefault="00D04F4B">
      <w:pPr>
        <w:jc w:val="center"/>
        <w:divId w:val="924608807"/>
        <w:rPr>
          <w:rFonts w:eastAsia="Times New Roman"/>
        </w:rPr>
      </w:pPr>
    </w:p>
    <w:p w:rsidR="00000000" w:rsidRDefault="00D04F4B">
      <w:pPr>
        <w:jc w:val="center"/>
        <w:divId w:val="924608807"/>
        <w:rPr>
          <w:rFonts w:eastAsia="Times New Roman"/>
        </w:rPr>
      </w:pPr>
      <w:r>
        <w:rPr>
          <w:rFonts w:eastAsia="Times New Roman"/>
          <w:b/>
          <w:bCs/>
          <w:color w:val="000000"/>
          <w:sz w:val="20"/>
          <w:szCs w:val="20"/>
        </w:rPr>
        <w:t>PUBLIC STORAGE</w:t>
      </w:r>
    </w:p>
    <w:p w:rsidR="00000000" w:rsidRDefault="00D04F4B">
      <w:pPr>
        <w:jc w:val="center"/>
        <w:divId w:val="924608807"/>
        <w:rPr>
          <w:rFonts w:eastAsia="Times New Roman"/>
        </w:rPr>
      </w:pPr>
      <w:r>
        <w:rPr>
          <w:rFonts w:eastAsia="Times New Roman"/>
          <w:b/>
          <w:bCs/>
          <w:color w:val="000000"/>
          <w:sz w:val="20"/>
          <w:szCs w:val="20"/>
        </w:rPr>
        <w:t>NOTES TO FINANCIAL STATEMENTS</w:t>
      </w:r>
    </w:p>
    <w:p w:rsidR="00000000" w:rsidRDefault="00D04F4B">
      <w:pPr>
        <w:jc w:val="center"/>
        <w:divId w:val="924608807"/>
        <w:rPr>
          <w:rFonts w:eastAsia="Times New Roman"/>
        </w:rPr>
      </w:pPr>
      <w:r>
        <w:rPr>
          <w:rFonts w:eastAsia="Times New Roman"/>
          <w:b/>
          <w:bCs/>
          <w:color w:val="000000"/>
          <w:sz w:val="20"/>
          <w:szCs w:val="20"/>
        </w:rPr>
        <w:t>December 31, 2021</w:t>
      </w:r>
    </w:p>
    <w:p w:rsidR="00000000" w:rsidRDefault="00D04F4B">
      <w:pPr>
        <w:jc w:val="center"/>
        <w:divId w:val="924608807"/>
        <w:rPr>
          <w:rFonts w:eastAsia="Times New Roman"/>
        </w:rPr>
      </w:pPr>
    </w:p>
    <w:p w:rsidR="00000000" w:rsidRDefault="00D04F4B">
      <w:pPr>
        <w:divId w:val="856624441"/>
        <w:rPr>
          <w:rFonts w:eastAsia="Times New Roman"/>
        </w:rPr>
      </w:pPr>
      <w:r>
        <w:rPr>
          <w:rFonts w:eastAsia="Times New Roman"/>
          <w:color w:val="000000"/>
          <w:sz w:val="20"/>
          <w:szCs w:val="20"/>
        </w:rPr>
        <w:t xml:space="preserve">14. </w:t>
      </w:r>
      <w:r>
        <w:rPr>
          <w:rFonts w:eastAsia="Times New Roman"/>
          <w:color w:val="000000"/>
          <w:sz w:val="20"/>
          <w:szCs w:val="20"/>
          <w:u w:val="single"/>
        </w:rPr>
        <w:t>Commitments and Contingencies</w:t>
      </w:r>
    </w:p>
    <w:p w:rsidR="00000000" w:rsidRDefault="00D04F4B">
      <w:pPr>
        <w:ind w:firstLine="720"/>
        <w:jc w:val="both"/>
        <w:divId w:val="1159811296"/>
        <w:rPr>
          <w:rFonts w:eastAsia="Times New Roman"/>
        </w:rPr>
      </w:pPr>
      <w:r>
        <w:rPr>
          <w:rFonts w:eastAsia="Times New Roman"/>
          <w:color w:val="000000"/>
          <w:sz w:val="20"/>
          <w:szCs w:val="20"/>
          <w:u w:val="single"/>
        </w:rPr>
        <w:t>Contingent Losses</w:t>
      </w:r>
    </w:p>
    <w:p w:rsidR="00000000" w:rsidRDefault="00D04F4B">
      <w:pPr>
        <w:ind w:firstLine="720"/>
        <w:jc w:val="both"/>
        <w:divId w:val="1226723672"/>
        <w:rPr>
          <w:rFonts w:eastAsia="Times New Roman"/>
        </w:rPr>
      </w:pPr>
      <w:r>
        <w:rPr>
          <w:rFonts w:eastAsia="Times New Roman"/>
          <w:color w:val="000000"/>
          <w:sz w:val="20"/>
          <w:szCs w:val="20"/>
        </w:rPr>
        <w:t>We are a party to various legal proceedings and subject to various claims and complaints; however, we</w:t>
      </w:r>
      <w:r>
        <w:rPr>
          <w:rFonts w:eastAsia="Times New Roman"/>
          <w:color w:val="000000"/>
          <w:sz w:val="20"/>
          <w:szCs w:val="20"/>
        </w:rPr>
        <w:t xml:space="preserve"> believe that the likelihood of these contingencies resulting in a material loss to the Company, either individually or in the aggregate, is remote.</w:t>
      </w:r>
    </w:p>
    <w:p w:rsidR="00000000" w:rsidRDefault="00D04F4B">
      <w:pPr>
        <w:ind w:firstLine="720"/>
        <w:jc w:val="both"/>
        <w:divId w:val="995718253"/>
        <w:rPr>
          <w:rFonts w:eastAsia="Times New Roman"/>
        </w:rPr>
      </w:pPr>
      <w:r>
        <w:rPr>
          <w:rFonts w:eastAsia="Times New Roman"/>
          <w:color w:val="000000"/>
          <w:sz w:val="20"/>
          <w:szCs w:val="20"/>
          <w:u w:val="single"/>
        </w:rPr>
        <w:t>Insurance and Loss Exposure</w:t>
      </w:r>
    </w:p>
    <w:p w:rsidR="00000000" w:rsidRDefault="00D04F4B">
      <w:pPr>
        <w:ind w:firstLine="720"/>
        <w:jc w:val="both"/>
        <w:divId w:val="612248425"/>
        <w:rPr>
          <w:rFonts w:eastAsia="Times New Roman"/>
        </w:rPr>
      </w:pPr>
      <w:r>
        <w:rPr>
          <w:rFonts w:eastAsia="Times New Roman"/>
          <w:color w:val="000000"/>
          <w:sz w:val="20"/>
          <w:szCs w:val="20"/>
        </w:rPr>
        <w:t>We carry property, earthquake, general liability, employee medical insurance, a</w:t>
      </w:r>
      <w:r>
        <w:rPr>
          <w:rFonts w:eastAsia="Times New Roman"/>
          <w:color w:val="000000"/>
          <w:sz w:val="20"/>
          <w:szCs w:val="20"/>
        </w:rPr>
        <w:t>nd workers compensation coverage through internationally recognized insurance carriers, subject to deductibles. Our deductible for general liability is $2.0 million per occurrence. Our annual deductible for property loss is $25.0 million per occurrence. Th</w:t>
      </w:r>
      <w:r>
        <w:rPr>
          <w:rFonts w:eastAsia="Times New Roman"/>
          <w:color w:val="000000"/>
          <w:sz w:val="20"/>
          <w:szCs w:val="20"/>
        </w:rPr>
        <w:t>is deductible decreases to $5.0 million once we reach $35.0 million in aggregate losses for occurrences that exceed $5.0 million. Insurance carriers’ aggregate limits on these policies of $75.0 million for property losses and $102.0 million for general lia</w:t>
      </w:r>
      <w:r>
        <w:rPr>
          <w:rFonts w:eastAsia="Times New Roman"/>
          <w:color w:val="000000"/>
          <w:sz w:val="20"/>
          <w:szCs w:val="20"/>
        </w:rPr>
        <w:t>bility losses are higher than estimates of maximum probable losses that could occur from individual catastrophic events determined in recent engineering and actuarial studies; however, in case of multiple catastrophic events, these limits could be exceeded</w:t>
      </w:r>
      <w:r>
        <w:rPr>
          <w:rFonts w:eastAsia="Times New Roman"/>
          <w:color w:val="000000"/>
          <w:sz w:val="20"/>
          <w:szCs w:val="20"/>
        </w:rPr>
        <w:t>.</w:t>
      </w:r>
    </w:p>
    <w:p w:rsidR="00000000" w:rsidRDefault="00D04F4B">
      <w:pPr>
        <w:ind w:firstLine="720"/>
        <w:jc w:val="both"/>
        <w:divId w:val="1841386664"/>
        <w:rPr>
          <w:rFonts w:eastAsia="Times New Roman"/>
        </w:rPr>
      </w:pPr>
      <w:r>
        <w:rPr>
          <w:rFonts w:eastAsia="Times New Roman"/>
          <w:color w:val="000000"/>
          <w:sz w:val="20"/>
          <w:szCs w:val="20"/>
        </w:rPr>
        <w:t xml:space="preserve">We reinsure a program that provides insurance to our customers from an independent third-party insurer. This program covers customer claims for losses to goods stored at our facilities as a result of specific named perils (earthquakes are not covered by </w:t>
      </w:r>
      <w:r>
        <w:rPr>
          <w:rFonts w:eastAsia="Times New Roman"/>
          <w:color w:val="000000"/>
          <w:sz w:val="20"/>
          <w:szCs w:val="20"/>
        </w:rPr>
        <w:t>this program), up to a maximum limit of $5,000 per storage unit. We reinsure all risks in this program, but purchase insurance to cover this exposure for a limit of $15.0 million for losses in excess of $5.0 million per occurrence. We are subject to licens</w:t>
      </w:r>
      <w:r>
        <w:rPr>
          <w:rFonts w:eastAsia="Times New Roman"/>
          <w:color w:val="000000"/>
          <w:sz w:val="20"/>
          <w:szCs w:val="20"/>
        </w:rPr>
        <w:t>ing requirements and regulations in several states. Customers participate in the program at their option. At December 31, 2021, there were approximately 1.2 million certificates held by our self-storage customers, representing aggregate coverage of approxi</w:t>
      </w:r>
      <w:r>
        <w:rPr>
          <w:rFonts w:eastAsia="Times New Roman"/>
          <w:color w:val="000000"/>
          <w:sz w:val="20"/>
          <w:szCs w:val="20"/>
        </w:rPr>
        <w:t>mately $4.9 billion.</w:t>
      </w:r>
    </w:p>
    <w:p w:rsidR="00000000" w:rsidRDefault="00D04F4B">
      <w:pPr>
        <w:ind w:firstLine="720"/>
        <w:jc w:val="both"/>
        <w:divId w:val="1438602521"/>
        <w:rPr>
          <w:rFonts w:eastAsia="Times New Roman"/>
        </w:rPr>
      </w:pPr>
      <w:r>
        <w:rPr>
          <w:rFonts w:eastAsia="Times New Roman"/>
          <w:color w:val="000000"/>
          <w:sz w:val="20"/>
          <w:szCs w:val="20"/>
          <w:u w:val="single"/>
        </w:rPr>
        <w:t>Commitments</w:t>
      </w:r>
    </w:p>
    <w:p w:rsidR="00000000" w:rsidRDefault="00D04F4B">
      <w:pPr>
        <w:ind w:firstLine="720"/>
        <w:jc w:val="both"/>
        <w:divId w:val="1414357045"/>
        <w:rPr>
          <w:rFonts w:eastAsia="Times New Roman"/>
        </w:rPr>
      </w:pPr>
      <w:r>
        <w:rPr>
          <w:rFonts w:eastAsia="Times New Roman"/>
          <w:color w:val="000000"/>
          <w:sz w:val="20"/>
          <w:szCs w:val="20"/>
        </w:rPr>
        <w:t>We have construction commitments representing future expected payments for construction under contract totaling $166.8 million at December 31, 2021. We expect to pay approximately $142.7 million in 2022, $22.8 million in 2023 and $1.3 million in 2024 for t</w:t>
      </w:r>
      <w:r>
        <w:rPr>
          <w:rFonts w:eastAsia="Times New Roman"/>
          <w:color w:val="000000"/>
          <w:sz w:val="20"/>
          <w:szCs w:val="20"/>
        </w:rPr>
        <w:t>hese construction commitments.</w:t>
      </w:r>
    </w:p>
    <w:p w:rsidR="00000000" w:rsidRDefault="00D04F4B">
      <w:pPr>
        <w:ind w:firstLine="720"/>
        <w:jc w:val="both"/>
        <w:divId w:val="1844202610"/>
        <w:rPr>
          <w:rFonts w:eastAsia="Times New Roman"/>
        </w:rPr>
      </w:pPr>
      <w:r>
        <w:rPr>
          <w:rFonts w:eastAsia="Times New Roman"/>
          <w:color w:val="000000"/>
          <w:sz w:val="20"/>
          <w:szCs w:val="20"/>
        </w:rPr>
        <w:t>We have future contractual payments on land, equipment and office space under various lease commitments totaling $66.1 million at December 31, 2021. We expect to pay approximately $3.1 million in 2022, $3.0 million in each of</w:t>
      </w:r>
      <w:r>
        <w:rPr>
          <w:rFonts w:eastAsia="Times New Roman"/>
          <w:color w:val="000000"/>
          <w:sz w:val="20"/>
          <w:szCs w:val="20"/>
        </w:rPr>
        <w:t xml:space="preserve"> 2023 and 2024, $2.9 million in 2025, $3.0 million in 2026 and $51.1 million thereafter for these commitments.</w:t>
      </w:r>
    </w:p>
    <w:p w:rsidR="00000000" w:rsidRDefault="00D04F4B">
      <w:pPr>
        <w:ind w:hanging="360"/>
        <w:divId w:val="1065103819"/>
        <w:rPr>
          <w:rFonts w:eastAsia="Times New Roman"/>
        </w:rPr>
      </w:pPr>
      <w:r>
        <w:rPr>
          <w:rFonts w:eastAsia="Times New Roman"/>
          <w:color w:val="000000"/>
          <w:sz w:val="20"/>
          <w:szCs w:val="20"/>
        </w:rPr>
        <w:t>15.    </w:t>
      </w:r>
      <w:r>
        <w:rPr>
          <w:rFonts w:eastAsia="Times New Roman"/>
          <w:color w:val="000000"/>
          <w:sz w:val="20"/>
          <w:szCs w:val="20"/>
          <w:u w:val="single"/>
        </w:rPr>
        <w:t>Subsequent Events</w:t>
      </w:r>
    </w:p>
    <w:p w:rsidR="00000000" w:rsidRDefault="00D04F4B">
      <w:pPr>
        <w:ind w:firstLine="720"/>
        <w:jc w:val="both"/>
        <w:rPr>
          <w:rFonts w:eastAsia="Times New Roman"/>
        </w:rPr>
      </w:pPr>
      <w:r>
        <w:rPr>
          <w:rFonts w:eastAsia="Times New Roman"/>
          <w:color w:val="000000"/>
          <w:sz w:val="20"/>
          <w:szCs w:val="20"/>
        </w:rPr>
        <w:t>Subsequent to December 31, 2021, we acquired or were under contract to acquire 15 self-storage facilities across 10 stat</w:t>
      </w:r>
      <w:r>
        <w:rPr>
          <w:rFonts w:eastAsia="Times New Roman"/>
          <w:color w:val="000000"/>
          <w:sz w:val="20"/>
          <w:szCs w:val="20"/>
        </w:rPr>
        <w:t>es with 1.2 million net rentable square feet, for $212.4 million.</w:t>
      </w:r>
    </w:p>
    <w:p w:rsidR="00000000" w:rsidRDefault="00D04F4B">
      <w:pPr>
        <w:ind w:firstLine="720"/>
        <w:jc w:val="both"/>
        <w:rPr>
          <w:rFonts w:eastAsia="Times New Roman"/>
        </w:rPr>
      </w:pPr>
    </w:p>
    <w:p w:rsidR="00000000" w:rsidRDefault="00D04F4B">
      <w:pPr>
        <w:ind w:firstLine="720"/>
        <w:jc w:val="both"/>
        <w:rPr>
          <w:rFonts w:eastAsia="Times New Roman"/>
        </w:rPr>
      </w:pPr>
      <w:r>
        <w:rPr>
          <w:rFonts w:eastAsia="Times New Roman"/>
          <w:color w:val="000000"/>
          <w:sz w:val="20"/>
          <w:szCs w:val="20"/>
        </w:rPr>
        <w:t>On January 13, 2022, we issued 10.0 million depositary shares, each representing 0.001 of a share of our 4.100% Series S Preferred Shares, at an issuance price of $25.00 per depositary sha</w:t>
      </w:r>
      <w:r>
        <w:rPr>
          <w:rFonts w:eastAsia="Times New Roman"/>
          <w:color w:val="000000"/>
          <w:sz w:val="20"/>
          <w:szCs w:val="20"/>
        </w:rPr>
        <w:t>re, for a total of $250.0 million in gross proceeds, and we incurred $7.2 million in issuance costs.</w:t>
      </w:r>
    </w:p>
    <w:p w:rsidR="00000000" w:rsidRDefault="00D04F4B">
      <w:pPr>
        <w:jc w:val="center"/>
        <w:divId w:val="1222014406"/>
        <w:rPr>
          <w:rFonts w:eastAsia="Times New Roman"/>
        </w:rPr>
      </w:pPr>
      <w:r>
        <w:rPr>
          <w:rFonts w:eastAsia="Times New Roman"/>
          <w:color w:val="000000"/>
          <w:sz w:val="20"/>
          <w:szCs w:val="20"/>
        </w:rPr>
        <w:t>F-30</w:t>
      </w:r>
    </w:p>
    <w:p w:rsidR="00000000" w:rsidRDefault="00D04F4B">
      <w:pPr>
        <w:rPr>
          <w:rFonts w:eastAsia="Times New Roman"/>
        </w:rPr>
      </w:pPr>
      <w:r>
        <w:rPr>
          <w:rFonts w:eastAsia="Times New Roman"/>
        </w:rPr>
        <w:pict>
          <v:rect id="_x0000_i1116" style="width:0;height:1.5pt" o:hralign="center" o:hrstd="t" o:hr="t" fillcolor="#a0a0a0" stroked="f"/>
        </w:pict>
      </w:r>
    </w:p>
    <w:p w:rsidR="00000000" w:rsidRDefault="00D04F4B">
      <w:pPr>
        <w:divId w:val="1978878771"/>
        <w:rPr>
          <w:rFonts w:eastAsia="Times New Roman"/>
        </w:rPr>
      </w:pPr>
    </w:p>
    <w:p w:rsidR="00000000" w:rsidRDefault="00D04F4B">
      <w:pPr>
        <w:divId w:val="2026324670"/>
        <w:rPr>
          <w:rFonts w:eastAsia="Times New Roman"/>
        </w:rPr>
      </w:pPr>
    </w:p>
    <w:p w:rsidR="00000000" w:rsidRDefault="00D04F4B">
      <w:pPr>
        <w:jc w:val="center"/>
        <w:divId w:val="367073264"/>
        <w:rPr>
          <w:rFonts w:eastAsia="Times New Roman"/>
        </w:rPr>
      </w:pPr>
      <w:r>
        <w:rPr>
          <w:rFonts w:eastAsia="Times New Roman"/>
          <w:color w:val="000000"/>
          <w:sz w:val="20"/>
          <w:szCs w:val="20"/>
        </w:rPr>
        <w:t>PUBLIC STORAGE</w:t>
      </w:r>
    </w:p>
    <w:p w:rsidR="00000000" w:rsidRDefault="00D04F4B">
      <w:pPr>
        <w:jc w:val="center"/>
        <w:divId w:val="367073264"/>
        <w:rPr>
          <w:rFonts w:eastAsia="Times New Roman"/>
        </w:rPr>
      </w:pPr>
      <w:r>
        <w:rPr>
          <w:rFonts w:eastAsia="Times New Roman"/>
          <w:color w:val="000000"/>
          <w:sz w:val="20"/>
          <w:szCs w:val="20"/>
        </w:rPr>
        <w:t>SCHEDULE III - REAL ESTATE</w:t>
      </w:r>
    </w:p>
    <w:p w:rsidR="00000000" w:rsidRDefault="00D04F4B">
      <w:pPr>
        <w:jc w:val="center"/>
        <w:divId w:val="367073264"/>
        <w:rPr>
          <w:rFonts w:eastAsia="Times New Roman"/>
        </w:rPr>
      </w:pPr>
      <w:r>
        <w:rPr>
          <w:rFonts w:eastAsia="Times New Roman"/>
          <w:color w:val="000000"/>
          <w:sz w:val="20"/>
          <w:szCs w:val="20"/>
        </w:rPr>
        <w:t>AND ACCUMULATED DEPRECIATION</w:t>
      </w:r>
    </w:p>
    <w:p w:rsidR="00000000" w:rsidRDefault="00D04F4B">
      <w:pPr>
        <w:jc w:val="center"/>
        <w:divId w:val="367073264"/>
        <w:rPr>
          <w:rFonts w:eastAsia="Times New Roman"/>
        </w:rPr>
      </w:pPr>
      <w:r>
        <w:rPr>
          <w:rFonts w:eastAsia="Times New Roman"/>
          <w:color w:val="000000"/>
          <w:sz w:val="20"/>
          <w:szCs w:val="20"/>
        </w:rPr>
        <w:t>(Amounts in thousands, except number of properties)</w:t>
      </w:r>
    </w:p>
    <w:tbl>
      <w:tblPr>
        <w:tblW w:w="4971" w:type="pct"/>
        <w:jc w:val="center"/>
        <w:tblCellMar>
          <w:top w:w="15" w:type="dxa"/>
          <w:left w:w="15" w:type="dxa"/>
          <w:bottom w:w="15" w:type="dxa"/>
          <w:right w:w="15" w:type="dxa"/>
        </w:tblCellMar>
        <w:tblLook w:val="04A0" w:firstRow="1" w:lastRow="0" w:firstColumn="1" w:lastColumn="0" w:noHBand="0" w:noVBand="1"/>
      </w:tblPr>
      <w:tblGrid>
        <w:gridCol w:w="54"/>
        <w:gridCol w:w="954"/>
        <w:gridCol w:w="38"/>
        <w:gridCol w:w="72"/>
        <w:gridCol w:w="475"/>
        <w:gridCol w:w="36"/>
        <w:gridCol w:w="36"/>
        <w:gridCol w:w="36"/>
        <w:gridCol w:w="36"/>
        <w:gridCol w:w="70"/>
        <w:gridCol w:w="462"/>
        <w:gridCol w:w="36"/>
        <w:gridCol w:w="36"/>
        <w:gridCol w:w="36"/>
        <w:gridCol w:w="36"/>
        <w:gridCol w:w="63"/>
        <w:gridCol w:w="415"/>
        <w:gridCol w:w="36"/>
        <w:gridCol w:w="36"/>
        <w:gridCol w:w="36"/>
        <w:gridCol w:w="36"/>
        <w:gridCol w:w="68"/>
        <w:gridCol w:w="442"/>
        <w:gridCol w:w="37"/>
        <w:gridCol w:w="37"/>
        <w:gridCol w:w="36"/>
        <w:gridCol w:w="36"/>
        <w:gridCol w:w="111"/>
        <w:gridCol w:w="727"/>
        <w:gridCol w:w="36"/>
        <w:gridCol w:w="36"/>
        <w:gridCol w:w="36"/>
        <w:gridCol w:w="36"/>
        <w:gridCol w:w="91"/>
        <w:gridCol w:w="594"/>
        <w:gridCol w:w="36"/>
        <w:gridCol w:w="36"/>
        <w:gridCol w:w="36"/>
        <w:gridCol w:w="36"/>
        <w:gridCol w:w="68"/>
        <w:gridCol w:w="443"/>
        <w:gridCol w:w="38"/>
        <w:gridCol w:w="37"/>
        <w:gridCol w:w="37"/>
        <w:gridCol w:w="37"/>
        <w:gridCol w:w="81"/>
        <w:gridCol w:w="535"/>
        <w:gridCol w:w="37"/>
        <w:gridCol w:w="36"/>
        <w:gridCol w:w="36"/>
        <w:gridCol w:w="36"/>
        <w:gridCol w:w="81"/>
        <w:gridCol w:w="535"/>
        <w:gridCol w:w="37"/>
        <w:gridCol w:w="36"/>
        <w:gridCol w:w="36"/>
        <w:gridCol w:w="36"/>
        <w:gridCol w:w="103"/>
        <w:gridCol w:w="674"/>
        <w:gridCol w:w="36"/>
      </w:tblGrid>
      <w:tr w:rsidR="00000000">
        <w:trPr>
          <w:divId w:val="1639724852"/>
          <w:jc w:val="center"/>
        </w:trPr>
        <w:tc>
          <w:tcPr>
            <w:tcW w:w="50" w:type="pct"/>
            <w:vAlign w:val="center"/>
            <w:hideMark/>
          </w:tcPr>
          <w:p w:rsidR="00000000" w:rsidRDefault="00D04F4B">
            <w:pPr>
              <w:jc w:val="center"/>
              <w:rPr>
                <w:rFonts w:eastAsia="Times New Roman"/>
              </w:rPr>
            </w:pPr>
          </w:p>
        </w:tc>
        <w:tc>
          <w:tcPr>
            <w:tcW w:w="89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639724852"/>
          <w:jc w:val="center"/>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Initial Cost</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Gross Carrying Amount At December 31, 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39724852"/>
          <w:jc w:val="center"/>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Description</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No. of</w:t>
            </w:r>
            <w:r>
              <w:rPr>
                <w:rFonts w:eastAsia="Times New Roman"/>
                <w:color w:val="000000"/>
                <w:sz w:val="14"/>
                <w:szCs w:val="14"/>
              </w:rPr>
              <w:br/>
            </w:r>
            <w:r>
              <w:rPr>
                <w:rFonts w:eastAsia="Times New Roman"/>
                <w:color w:val="000000"/>
                <w:sz w:val="14"/>
                <w:szCs w:val="14"/>
              </w:rPr>
              <w:t>Facilities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Net</w:t>
            </w:r>
            <w:r>
              <w:rPr>
                <w:rFonts w:eastAsia="Times New Roman"/>
                <w:color w:val="000000"/>
                <w:sz w:val="14"/>
                <w:szCs w:val="14"/>
              </w:rPr>
              <w:br/>
              <w:t>Rentable</w:t>
            </w:r>
            <w:r>
              <w:rPr>
                <w:rFonts w:eastAsia="Times New Roman"/>
                <w:color w:val="000000"/>
                <w:sz w:val="14"/>
                <w:szCs w:val="14"/>
              </w:rPr>
              <w:br/>
              <w:t>Square Feet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2021</w:t>
            </w:r>
          </w:p>
          <w:p w:rsidR="00000000" w:rsidRDefault="00D04F4B">
            <w:pPr>
              <w:spacing w:after="100"/>
              <w:jc w:val="center"/>
              <w:rPr>
                <w:rFonts w:eastAsia="Times New Roman"/>
              </w:rPr>
            </w:pPr>
            <w:r>
              <w:rPr>
                <w:rFonts w:eastAsia="Times New Roman"/>
                <w:color w:val="000000"/>
                <w:sz w:val="14"/>
                <w:szCs w:val="14"/>
              </w:rPr>
              <w:t>Encum-</w:t>
            </w:r>
          </w:p>
          <w:p w:rsidR="00000000" w:rsidRDefault="00D04F4B">
            <w:pPr>
              <w:spacing w:after="100"/>
              <w:jc w:val="center"/>
              <w:rPr>
                <w:rFonts w:eastAsia="Times New Roman"/>
              </w:rPr>
            </w:pPr>
            <w:r>
              <w:rPr>
                <w:rFonts w:eastAsia="Times New Roman"/>
                <w:color w:val="000000"/>
                <w:sz w:val="14"/>
                <w:szCs w:val="14"/>
              </w:rPr>
              <w:t>brances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Land</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Buildings &amp;</w:t>
            </w:r>
            <w:r>
              <w:rPr>
                <w:rFonts w:eastAsia="Times New Roman"/>
                <w:color w:val="000000"/>
                <w:sz w:val="14"/>
                <w:szCs w:val="14"/>
              </w:rPr>
              <w:br/>
              <w:t>Improvements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Costs</w:t>
            </w:r>
            <w:r>
              <w:rPr>
                <w:rFonts w:eastAsia="Times New Roman"/>
                <w:color w:val="000000"/>
                <w:sz w:val="14"/>
                <w:szCs w:val="14"/>
              </w:rPr>
              <w:br/>
              <w:t>Subsequent</w:t>
            </w:r>
            <w:r>
              <w:rPr>
                <w:rFonts w:eastAsia="Times New Roman"/>
                <w:color w:val="000000"/>
                <w:sz w:val="14"/>
                <w:szCs w:val="14"/>
              </w:rPr>
              <w:br/>
              <w:t>to Acquisition</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Land</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Buildings</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Total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Accumulated</w:t>
            </w:r>
            <w:r>
              <w:rPr>
                <w:rFonts w:eastAsia="Times New Roman"/>
                <w:color w:val="000000"/>
                <w:sz w:val="14"/>
                <w:szCs w:val="14"/>
              </w:rPr>
              <w:br/>
              <w:t>Depreciation</w:t>
            </w:r>
          </w:p>
        </w:tc>
      </w:tr>
      <w:tr w:rsidR="00000000">
        <w:trPr>
          <w:divId w:val="163972485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Self-storage facilities by market: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Los Angeles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16,710 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543,650 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981,256 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448,343 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542,073 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1,431,176 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1,973,249 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859,874 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Dallas/Ft. Worth</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17,017 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322,316 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1,852,445 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143,451 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323,778 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1,994,434 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2,318,212 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335,716 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Houston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11,953 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220,019 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620,942 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246,434 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219,340 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868,055 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1,087,395 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345,675 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San Francisco</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9,196 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245,623 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557,398 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266,677 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258,373 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811,325 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1,069,698 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521,635 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Chicago</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8,756 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146,095 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428,446 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138,390 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148,932 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563,999 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712,931 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405,079 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Washington DC</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8,272 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418,460 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1,308,988 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143,417 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423,614 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1,447,251 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1,870,865 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373,168 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Atlanta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7,476 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142,553 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407,272 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95,145 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142,915 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502,055 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644,970 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298,833 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Seattle/Tacoma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6,986 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211,959 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584,089 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123,883 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212,607 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707,324 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919,931 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379,516 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Miami</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7,223 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247,807 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536,321 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145,494 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249,700 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679,922 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929,622 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365,471 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New York</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7,053 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277,121 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586,592 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223,807 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283,458 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804,062 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1,087,520 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494,284 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Orlando/Daytona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4,628 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11,274 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140,411 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253,375 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68,265 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145,892 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316,159 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462,051 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179,459 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Denver</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5,197 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8,318 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117,109 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308,922 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102,116 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117,830 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410,317 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528,147 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171,779 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Minneapolis/St. Paul</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4,937 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118,333 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292,465 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97,660 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118,498 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389,960 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508,458 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148,047 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Philadelphia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4,041 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58,824 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226,733 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62,263 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57,845 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289,975 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347,820 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176,981 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Charlotte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4,604 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87,349 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231,449 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84,331 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95,212 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307,917 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403,129 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144,670 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Tampa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3,969 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93,109 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213,546 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61,429 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96,422 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271,662 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368,084 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142,716 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Detroit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3,443 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67,465 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225,061 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41,894 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68,315 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266,105 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334,420 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130,902 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Portland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2,750 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60,108 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203,107 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31,513 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60,766 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233,962 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294,728 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114,418 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Baltimore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3,624 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134,774 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749,058 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28,468 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134,898 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777,402 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912,300 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97,642 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Phoenix</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3,253 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92,139 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265,783 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38,278 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92,130 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304,070 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396,200 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124,204 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West Palm Beach</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3,784 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156,788 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221,479 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92,351 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157,496 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313,122 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470,618 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146,989 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San Antonio</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2,746 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53,847 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215,507 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29,301 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53,805 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244,850 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298,655 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74,698 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Austin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67,832 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179,672 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46,412 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69,854 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224,062 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293,916 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99,914 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Raleigh</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2,592 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82,919 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188,198 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40,568 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83,908 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227,777 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311,685 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73,417 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Norfolk</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47,728 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128,986 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26,380 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46,843 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156,251 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203,094 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77,313 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Sacramento</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26,429 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80,391 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40,500 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26,913 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120,407 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147,320 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84,912 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Indianapolis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34,678 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94,858 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18,348 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35,678 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112,206 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147,884 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52,872 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Kansas City</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18,965 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92,793 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36,452 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19,165 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129,045 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148,210 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65,887 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Boston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1,964 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80,843 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209,495 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37,378 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81,409 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246,307 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327,716 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112,364 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St. Louis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23,539 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89,341 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33,541 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23,395 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123,026 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146,421 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67,368 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Columbus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44,983 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92,001 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28,923 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45,090 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120,817 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165,907 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53,150 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Columbia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27,177 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83,532 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23,010 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27,936 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105,783 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133,719 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43,214 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Oklahoma City</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49,060 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130,815 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14,475 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49,060 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145,290 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194,350 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31,501 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San Diego</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89,782 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162,043 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50,358 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92,292 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209,891 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302,183 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102,116 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Las Vegas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26,242 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90,624 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13,313 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25,491 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104,688 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130,179 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53,896 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639724852"/>
          <w:jc w:val="center"/>
        </w:trPr>
        <w:tc>
          <w:tcPr>
            <w:tcW w:w="0" w:type="auto"/>
            <w:gridSpan w:val="3"/>
            <w:tcMar>
              <w:top w:w="30" w:type="dxa"/>
              <w:left w:w="20"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Cincinnati</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19,035 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57,775 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23,981 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18,953 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81,838 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100,791 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34,959 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jc w:val="center"/>
        <w:divId w:val="1261185784"/>
        <w:rPr>
          <w:rFonts w:eastAsia="Times New Roman"/>
        </w:rPr>
      </w:pPr>
      <w:r>
        <w:rPr>
          <w:rFonts w:eastAsia="Times New Roman"/>
          <w:color w:val="000000"/>
          <w:sz w:val="20"/>
          <w:szCs w:val="20"/>
        </w:rPr>
        <w:t>F-31</w:t>
      </w:r>
    </w:p>
    <w:p w:rsidR="00000000" w:rsidRDefault="00D04F4B">
      <w:pPr>
        <w:rPr>
          <w:rFonts w:eastAsia="Times New Roman"/>
        </w:rPr>
      </w:pPr>
      <w:r>
        <w:rPr>
          <w:rFonts w:eastAsia="Times New Roman"/>
        </w:rPr>
        <w:pict>
          <v:rect id="_x0000_i1117" style="width:0;height:1.5pt" o:hralign="center" o:hrstd="t" o:hr="t" fillcolor="#a0a0a0" stroked="f"/>
        </w:pict>
      </w:r>
    </w:p>
    <w:p w:rsidR="00000000" w:rsidRDefault="00D04F4B">
      <w:pPr>
        <w:divId w:val="765661973"/>
        <w:rPr>
          <w:rFonts w:eastAsia="Times New Roman"/>
        </w:rPr>
      </w:pPr>
    </w:p>
    <w:p w:rsidR="00000000" w:rsidRDefault="00D04F4B">
      <w:pPr>
        <w:divId w:val="333650453"/>
        <w:rPr>
          <w:rFonts w:eastAsia="Times New Roman"/>
        </w:rPr>
      </w:pPr>
    </w:p>
    <w:p w:rsidR="00000000" w:rsidRDefault="00D04F4B">
      <w:pPr>
        <w:jc w:val="center"/>
        <w:divId w:val="915095436"/>
        <w:rPr>
          <w:rFonts w:eastAsia="Times New Roman"/>
        </w:rPr>
      </w:pPr>
      <w:r>
        <w:rPr>
          <w:rFonts w:eastAsia="Times New Roman"/>
          <w:color w:val="000000"/>
          <w:sz w:val="20"/>
          <w:szCs w:val="20"/>
        </w:rPr>
        <w:t>PUBLIC STORAGE</w:t>
      </w:r>
    </w:p>
    <w:p w:rsidR="00000000" w:rsidRDefault="00D04F4B">
      <w:pPr>
        <w:jc w:val="center"/>
        <w:divId w:val="915095436"/>
        <w:rPr>
          <w:rFonts w:eastAsia="Times New Roman"/>
        </w:rPr>
      </w:pPr>
      <w:r>
        <w:rPr>
          <w:rFonts w:eastAsia="Times New Roman"/>
          <w:color w:val="000000"/>
          <w:sz w:val="20"/>
          <w:szCs w:val="20"/>
        </w:rPr>
        <w:t>SCHEDULE III - REAL ESTATE</w:t>
      </w:r>
    </w:p>
    <w:p w:rsidR="00000000" w:rsidRDefault="00D04F4B">
      <w:pPr>
        <w:jc w:val="center"/>
        <w:divId w:val="915095436"/>
        <w:rPr>
          <w:rFonts w:eastAsia="Times New Roman"/>
        </w:rPr>
      </w:pPr>
      <w:r>
        <w:rPr>
          <w:rFonts w:eastAsia="Times New Roman"/>
          <w:color w:val="000000"/>
          <w:sz w:val="20"/>
          <w:szCs w:val="20"/>
        </w:rPr>
        <w:t>AND ACCUMULATED DEPRECIATION</w:t>
      </w:r>
    </w:p>
    <w:p w:rsidR="00000000" w:rsidRDefault="00D04F4B">
      <w:pPr>
        <w:jc w:val="center"/>
        <w:divId w:val="915095436"/>
        <w:rPr>
          <w:rFonts w:eastAsia="Times New Roman"/>
        </w:rPr>
      </w:pPr>
      <w:r>
        <w:rPr>
          <w:rFonts w:eastAsia="Times New Roman"/>
          <w:color w:val="000000"/>
          <w:sz w:val="20"/>
          <w:szCs w:val="20"/>
        </w:rPr>
        <w:t>(Amounts in thousands, except number of properties)</w:t>
      </w:r>
    </w:p>
    <w:tbl>
      <w:tblPr>
        <w:tblW w:w="4971" w:type="pct"/>
        <w:jc w:val="center"/>
        <w:tblCellMar>
          <w:top w:w="15" w:type="dxa"/>
          <w:left w:w="15" w:type="dxa"/>
          <w:bottom w:w="15" w:type="dxa"/>
          <w:right w:w="15" w:type="dxa"/>
        </w:tblCellMar>
        <w:tblLook w:val="04A0" w:firstRow="1" w:lastRow="0" w:firstColumn="1" w:lastColumn="0" w:noHBand="0" w:noVBand="1"/>
      </w:tblPr>
      <w:tblGrid>
        <w:gridCol w:w="113"/>
        <w:gridCol w:w="1995"/>
        <w:gridCol w:w="36"/>
        <w:gridCol w:w="72"/>
        <w:gridCol w:w="475"/>
        <w:gridCol w:w="36"/>
        <w:gridCol w:w="36"/>
        <w:gridCol w:w="36"/>
        <w:gridCol w:w="36"/>
        <w:gridCol w:w="70"/>
        <w:gridCol w:w="462"/>
        <w:gridCol w:w="36"/>
        <w:gridCol w:w="36"/>
        <w:gridCol w:w="36"/>
        <w:gridCol w:w="36"/>
        <w:gridCol w:w="63"/>
        <w:gridCol w:w="415"/>
        <w:gridCol w:w="36"/>
        <w:gridCol w:w="36"/>
        <w:gridCol w:w="36"/>
        <w:gridCol w:w="36"/>
        <w:gridCol w:w="58"/>
        <w:gridCol w:w="382"/>
        <w:gridCol w:w="37"/>
        <w:gridCol w:w="37"/>
        <w:gridCol w:w="36"/>
        <w:gridCol w:w="36"/>
        <w:gridCol w:w="111"/>
        <w:gridCol w:w="727"/>
        <w:gridCol w:w="36"/>
        <w:gridCol w:w="36"/>
        <w:gridCol w:w="36"/>
        <w:gridCol w:w="36"/>
        <w:gridCol w:w="91"/>
        <w:gridCol w:w="594"/>
        <w:gridCol w:w="36"/>
        <w:gridCol w:w="36"/>
        <w:gridCol w:w="36"/>
        <w:gridCol w:w="36"/>
        <w:gridCol w:w="58"/>
        <w:gridCol w:w="383"/>
        <w:gridCol w:w="38"/>
        <w:gridCol w:w="37"/>
        <w:gridCol w:w="37"/>
        <w:gridCol w:w="37"/>
        <w:gridCol w:w="76"/>
        <w:gridCol w:w="502"/>
        <w:gridCol w:w="37"/>
        <w:gridCol w:w="36"/>
        <w:gridCol w:w="36"/>
        <w:gridCol w:w="36"/>
        <w:gridCol w:w="68"/>
        <w:gridCol w:w="443"/>
        <w:gridCol w:w="37"/>
        <w:gridCol w:w="36"/>
        <w:gridCol w:w="36"/>
        <w:gridCol w:w="36"/>
        <w:gridCol w:w="103"/>
        <w:gridCol w:w="674"/>
        <w:gridCol w:w="36"/>
      </w:tblGrid>
      <w:tr w:rsidR="00000000">
        <w:trPr>
          <w:divId w:val="1797404304"/>
          <w:jc w:val="center"/>
        </w:trPr>
        <w:tc>
          <w:tcPr>
            <w:tcW w:w="50" w:type="pct"/>
            <w:vAlign w:val="center"/>
            <w:hideMark/>
          </w:tcPr>
          <w:p w:rsidR="00000000" w:rsidRDefault="00D04F4B">
            <w:pPr>
              <w:jc w:val="center"/>
              <w:rPr>
                <w:rFonts w:eastAsia="Times New Roman"/>
              </w:rPr>
            </w:pPr>
          </w:p>
        </w:tc>
        <w:tc>
          <w:tcPr>
            <w:tcW w:w="89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797404304"/>
          <w:jc w:val="center"/>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Initial Cost</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Gross Carrying Amount At December 31, 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797404304"/>
          <w:jc w:val="center"/>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Description</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No. of</w:t>
            </w:r>
            <w:r>
              <w:rPr>
                <w:rFonts w:eastAsia="Times New Roman"/>
                <w:color w:val="000000"/>
                <w:sz w:val="14"/>
                <w:szCs w:val="14"/>
              </w:rPr>
              <w:br/>
              <w:t>Facilities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Net</w:t>
            </w:r>
            <w:r>
              <w:rPr>
                <w:rFonts w:eastAsia="Times New Roman"/>
                <w:color w:val="000000"/>
                <w:sz w:val="14"/>
                <w:szCs w:val="14"/>
              </w:rPr>
              <w:br/>
              <w:t>Rentable</w:t>
            </w:r>
            <w:r>
              <w:rPr>
                <w:rFonts w:eastAsia="Times New Roman"/>
                <w:color w:val="000000"/>
                <w:sz w:val="14"/>
                <w:szCs w:val="14"/>
              </w:rPr>
              <w:br/>
              <w:t>Square Feet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2021</w:t>
            </w:r>
          </w:p>
          <w:p w:rsidR="00000000" w:rsidRDefault="00D04F4B">
            <w:pPr>
              <w:spacing w:after="100"/>
              <w:jc w:val="center"/>
              <w:rPr>
                <w:rFonts w:eastAsia="Times New Roman"/>
              </w:rPr>
            </w:pPr>
            <w:r>
              <w:rPr>
                <w:rFonts w:eastAsia="Times New Roman"/>
                <w:color w:val="000000"/>
                <w:sz w:val="14"/>
                <w:szCs w:val="14"/>
              </w:rPr>
              <w:t>Encum-</w:t>
            </w:r>
          </w:p>
          <w:p w:rsidR="00000000" w:rsidRDefault="00D04F4B">
            <w:pPr>
              <w:spacing w:after="100"/>
              <w:jc w:val="center"/>
              <w:rPr>
                <w:rFonts w:eastAsia="Times New Roman"/>
              </w:rPr>
            </w:pPr>
            <w:r>
              <w:rPr>
                <w:rFonts w:eastAsia="Times New Roman"/>
                <w:color w:val="000000"/>
                <w:sz w:val="14"/>
                <w:szCs w:val="14"/>
              </w:rPr>
              <w:t>brances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Land</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Buildings &amp;</w:t>
            </w:r>
            <w:r>
              <w:rPr>
                <w:rFonts w:eastAsia="Times New Roman"/>
                <w:color w:val="000000"/>
                <w:sz w:val="14"/>
                <w:szCs w:val="14"/>
              </w:rPr>
              <w:br/>
              <w:t>Improvements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Costs</w:t>
            </w:r>
            <w:r>
              <w:rPr>
                <w:rFonts w:eastAsia="Times New Roman"/>
                <w:color w:val="000000"/>
                <w:sz w:val="14"/>
                <w:szCs w:val="14"/>
              </w:rPr>
              <w:br/>
              <w:t>Subsequent</w:t>
            </w:r>
            <w:r>
              <w:rPr>
                <w:rFonts w:eastAsia="Times New Roman"/>
                <w:color w:val="000000"/>
                <w:sz w:val="14"/>
                <w:szCs w:val="14"/>
              </w:rPr>
              <w:br/>
              <w:t>to Acquisition</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Land</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Buildings</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Total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Accumulated</w:t>
            </w:r>
            <w:r>
              <w:rPr>
                <w:rFonts w:eastAsia="Times New Roman"/>
                <w:color w:val="000000"/>
                <w:sz w:val="14"/>
                <w:szCs w:val="14"/>
              </w:rPr>
              <w:br/>
              <w:t>Depreciation</w:t>
            </w: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Nashville/Bowling Green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23,487 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45,145 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31,187 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23,485 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76,334 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99,819 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33,956 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Colorado Springs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12,320 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60,393 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22,949 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12,317 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83,345 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95,662 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32,637 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Milwaukee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13,189 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32,071 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10,534 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13,158 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42,636 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55,794 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35,990 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Louisville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23,563 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46,108 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8,315 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23,562 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54,424 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77,986 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18,843 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Jacksonville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922 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14,454 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47,415 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12,466 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14,503 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59,832 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74,335 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35,892 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Birmingham</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6,316 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25,567 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14,343 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6,204 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40,022 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46,226 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29,192 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Richmond</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20,979 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52,239 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6,343 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20,784 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58,777 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79,561 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22,365 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Greensboro</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13,413 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35,326 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14,407 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15,502 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47,644 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63,146 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29,562 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Charleston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16,947 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56,793 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18,448 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17,923 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74,265 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92,188 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30,179 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Fort Myers/Naples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1,070 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29,944 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84,343 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6,276 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30,179 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90,384 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120,563 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23,207 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Chattanooga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10,030 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45,578 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7,832 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9,832 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53,608 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63,440 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17,516 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Savannah</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33,094 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42,465 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5,271 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31,766 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49,064 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80,830 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20,497 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Greensville/Spartanburg/Asheville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9,835 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30,482 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10,542 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10,764 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40,095 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50,859 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23,304 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Honolulu</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54,184 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106,299 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16,942 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55,101 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122,324 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177,425 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73,250 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Hartford/New Haven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6,778 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19,959 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22,722 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8,443 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41,016 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49,459 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34,787 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New Orleans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13,372 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59,382 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7,783 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13,540 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66,997 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80,537 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28,812 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Salt Lake City</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15,912 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28,117 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5,603 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15,561 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34,071 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49,632 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16,134 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Memphis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19,581 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29,852 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9,956 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20,934 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38,455 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59,389 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23,494 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Mobile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8,915 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25,223 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5,814 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8,742 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31,210 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39,952 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15,416 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Omaha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17,266 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64,969 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4,245 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17,266 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69,214 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86,480 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7,034 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Buffalo/Rochester</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6,785 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17,954 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4,159 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6,783 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22,115 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28,898 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15,388 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Cleveland/Akron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478 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4,235 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18,411 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5,730 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4,628 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23,748 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28,376 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13,911 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Augusta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8,900 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20,906 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4,497 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8,900 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25,403 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34,303 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7,844 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Reno</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18,704 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4,277 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22,981 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28,468 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13,707 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Tucson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9,403 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25,491 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6,959 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9,884 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31,969 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41,853 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21,627 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Wichita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6,691 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7,411 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13,989 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16,119 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12,367 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Monterey/Salinas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329 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8,465 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24,151 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6,750 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8,455 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30,911 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39,366 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23,392 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Boise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13,412 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55,496 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13,412 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56,041 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69,453 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Evansville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326 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2,340 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14,316 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1,513 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15,857 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18,169 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4,950 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Dayton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8,975 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4,868 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13,844 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14,917 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7,937 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Huntsville/Decatur</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298 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9,161 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13,481 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3,421 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9,108 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16,955 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26,063 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6,611 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Fort Wayne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271 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3,487 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11,003 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3,507 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3,487 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14,510 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17,997 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6,181 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Roanoke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5,093 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18,091 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5,093 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19,064 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24,157 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3,902 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Palm Springs</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8,309 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18,065 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8,309 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20,314 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28,623 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12,060 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Providence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11,206 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3,143 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995 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14,349 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15,344 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7,414 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Shreveport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817 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3,030 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2,377 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5,483 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6,224 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4,997 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797404304"/>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Springfield/Holyoke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1,428 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3,380 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1,952 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5,333 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6,760 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5,114 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jc w:val="center"/>
        <w:divId w:val="1319193536"/>
        <w:rPr>
          <w:rFonts w:eastAsia="Times New Roman"/>
        </w:rPr>
      </w:pPr>
      <w:r>
        <w:rPr>
          <w:rFonts w:eastAsia="Times New Roman"/>
          <w:color w:val="000000"/>
          <w:sz w:val="20"/>
          <w:szCs w:val="20"/>
        </w:rPr>
        <w:t>F-32</w:t>
      </w:r>
    </w:p>
    <w:p w:rsidR="00000000" w:rsidRDefault="00D04F4B">
      <w:pPr>
        <w:rPr>
          <w:rFonts w:eastAsia="Times New Roman"/>
        </w:rPr>
      </w:pPr>
      <w:r>
        <w:rPr>
          <w:rFonts w:eastAsia="Times New Roman"/>
        </w:rPr>
        <w:pict>
          <v:rect id="_x0000_i1118" style="width:0;height:1.5pt" o:hralign="center" o:hrstd="t" o:hr="t" fillcolor="#a0a0a0" stroked="f"/>
        </w:pict>
      </w:r>
    </w:p>
    <w:p w:rsidR="00000000" w:rsidRDefault="00D04F4B">
      <w:pPr>
        <w:divId w:val="2008090014"/>
        <w:rPr>
          <w:rFonts w:eastAsia="Times New Roman"/>
        </w:rPr>
      </w:pPr>
    </w:p>
    <w:p w:rsidR="00000000" w:rsidRDefault="00D04F4B">
      <w:pPr>
        <w:divId w:val="427653073"/>
        <w:rPr>
          <w:rFonts w:eastAsia="Times New Roman"/>
        </w:rPr>
      </w:pPr>
    </w:p>
    <w:p w:rsidR="00000000" w:rsidRDefault="00D04F4B">
      <w:pPr>
        <w:jc w:val="center"/>
        <w:divId w:val="1183520921"/>
        <w:rPr>
          <w:rFonts w:eastAsia="Times New Roman"/>
        </w:rPr>
      </w:pPr>
      <w:r>
        <w:rPr>
          <w:rFonts w:eastAsia="Times New Roman"/>
          <w:color w:val="000000"/>
          <w:sz w:val="20"/>
          <w:szCs w:val="20"/>
        </w:rPr>
        <w:t>PUBLIC STORAGE</w:t>
      </w:r>
    </w:p>
    <w:p w:rsidR="00000000" w:rsidRDefault="00D04F4B">
      <w:pPr>
        <w:jc w:val="center"/>
        <w:divId w:val="1183520921"/>
        <w:rPr>
          <w:rFonts w:eastAsia="Times New Roman"/>
        </w:rPr>
      </w:pPr>
      <w:r>
        <w:rPr>
          <w:rFonts w:eastAsia="Times New Roman"/>
          <w:color w:val="000000"/>
          <w:sz w:val="20"/>
          <w:szCs w:val="20"/>
        </w:rPr>
        <w:t>SCHEDULE III - REAL ESTATE</w:t>
      </w:r>
    </w:p>
    <w:p w:rsidR="00000000" w:rsidRDefault="00D04F4B">
      <w:pPr>
        <w:jc w:val="center"/>
        <w:divId w:val="1183520921"/>
        <w:rPr>
          <w:rFonts w:eastAsia="Times New Roman"/>
        </w:rPr>
      </w:pPr>
      <w:r>
        <w:rPr>
          <w:rFonts w:eastAsia="Times New Roman"/>
          <w:color w:val="000000"/>
          <w:sz w:val="20"/>
          <w:szCs w:val="20"/>
        </w:rPr>
        <w:t>AND ACCUMULATED DEPRECIATION</w:t>
      </w:r>
    </w:p>
    <w:p w:rsidR="00000000" w:rsidRDefault="00D04F4B">
      <w:pPr>
        <w:jc w:val="center"/>
        <w:divId w:val="1183520921"/>
        <w:rPr>
          <w:rFonts w:eastAsia="Times New Roman"/>
        </w:rPr>
      </w:pPr>
      <w:r>
        <w:rPr>
          <w:rFonts w:eastAsia="Times New Roman"/>
          <w:color w:val="000000"/>
          <w:sz w:val="20"/>
          <w:szCs w:val="20"/>
        </w:rPr>
        <w:t>(Amounts in thousands, except number of properties)</w:t>
      </w:r>
    </w:p>
    <w:tbl>
      <w:tblPr>
        <w:tblW w:w="4971" w:type="pct"/>
        <w:jc w:val="center"/>
        <w:tblCellMar>
          <w:top w:w="15" w:type="dxa"/>
          <w:left w:w="15" w:type="dxa"/>
          <w:bottom w:w="15" w:type="dxa"/>
          <w:right w:w="15" w:type="dxa"/>
        </w:tblCellMar>
        <w:tblLook w:val="04A0" w:firstRow="1" w:lastRow="0" w:firstColumn="1" w:lastColumn="0" w:noHBand="0" w:noVBand="1"/>
      </w:tblPr>
      <w:tblGrid>
        <w:gridCol w:w="86"/>
        <w:gridCol w:w="1528"/>
        <w:gridCol w:w="36"/>
        <w:gridCol w:w="72"/>
        <w:gridCol w:w="475"/>
        <w:gridCol w:w="36"/>
        <w:gridCol w:w="36"/>
        <w:gridCol w:w="36"/>
        <w:gridCol w:w="36"/>
        <w:gridCol w:w="70"/>
        <w:gridCol w:w="462"/>
        <w:gridCol w:w="36"/>
        <w:gridCol w:w="36"/>
        <w:gridCol w:w="36"/>
        <w:gridCol w:w="36"/>
        <w:gridCol w:w="81"/>
        <w:gridCol w:w="415"/>
        <w:gridCol w:w="36"/>
        <w:gridCol w:w="36"/>
        <w:gridCol w:w="36"/>
        <w:gridCol w:w="36"/>
        <w:gridCol w:w="80"/>
        <w:gridCol w:w="510"/>
        <w:gridCol w:w="36"/>
        <w:gridCol w:w="36"/>
        <w:gridCol w:w="36"/>
        <w:gridCol w:w="36"/>
        <w:gridCol w:w="111"/>
        <w:gridCol w:w="727"/>
        <w:gridCol w:w="36"/>
        <w:gridCol w:w="36"/>
        <w:gridCol w:w="36"/>
        <w:gridCol w:w="36"/>
        <w:gridCol w:w="91"/>
        <w:gridCol w:w="594"/>
        <w:gridCol w:w="36"/>
        <w:gridCol w:w="36"/>
        <w:gridCol w:w="36"/>
        <w:gridCol w:w="36"/>
        <w:gridCol w:w="80"/>
        <w:gridCol w:w="510"/>
        <w:gridCol w:w="36"/>
        <w:gridCol w:w="36"/>
        <w:gridCol w:w="36"/>
        <w:gridCol w:w="36"/>
        <w:gridCol w:w="80"/>
        <w:gridCol w:w="570"/>
        <w:gridCol w:w="36"/>
        <w:gridCol w:w="36"/>
        <w:gridCol w:w="36"/>
        <w:gridCol w:w="36"/>
        <w:gridCol w:w="80"/>
        <w:gridCol w:w="570"/>
        <w:gridCol w:w="36"/>
        <w:gridCol w:w="36"/>
        <w:gridCol w:w="36"/>
        <w:gridCol w:w="36"/>
        <w:gridCol w:w="103"/>
        <w:gridCol w:w="674"/>
        <w:gridCol w:w="36"/>
      </w:tblGrid>
      <w:tr w:rsidR="00000000">
        <w:trPr>
          <w:divId w:val="1042100376"/>
          <w:jc w:val="center"/>
        </w:trPr>
        <w:tc>
          <w:tcPr>
            <w:tcW w:w="50" w:type="pct"/>
            <w:vAlign w:val="center"/>
            <w:hideMark/>
          </w:tcPr>
          <w:p w:rsidR="00000000" w:rsidRDefault="00D04F4B">
            <w:pPr>
              <w:jc w:val="center"/>
              <w:rPr>
                <w:rFonts w:eastAsia="Times New Roman"/>
              </w:rPr>
            </w:pPr>
          </w:p>
        </w:tc>
        <w:tc>
          <w:tcPr>
            <w:tcW w:w="89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12"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c>
          <w:tcPr>
            <w:tcW w:w="50" w:type="pct"/>
            <w:vAlign w:val="center"/>
            <w:hideMark/>
          </w:tcPr>
          <w:p w:rsidR="00000000" w:rsidRDefault="00D04F4B">
            <w:pPr>
              <w:spacing w:after="100"/>
              <w:rPr>
                <w:rFonts w:eastAsia="Times New Roman"/>
                <w:sz w:val="20"/>
                <w:szCs w:val="20"/>
              </w:rPr>
            </w:pPr>
          </w:p>
        </w:tc>
        <w:tc>
          <w:tcPr>
            <w:tcW w:w="330" w:type="pct"/>
            <w:vAlign w:val="center"/>
            <w:hideMark/>
          </w:tcPr>
          <w:p w:rsidR="00000000" w:rsidRDefault="00D04F4B">
            <w:pPr>
              <w:spacing w:after="100"/>
              <w:rPr>
                <w:rFonts w:eastAsia="Times New Roman"/>
                <w:sz w:val="20"/>
                <w:szCs w:val="20"/>
              </w:rPr>
            </w:pPr>
          </w:p>
        </w:tc>
        <w:tc>
          <w:tcPr>
            <w:tcW w:w="5" w:type="pct"/>
            <w:vAlign w:val="center"/>
            <w:hideMark/>
          </w:tcPr>
          <w:p w:rsidR="00000000" w:rsidRDefault="00D04F4B">
            <w:pPr>
              <w:spacing w:after="100"/>
              <w:rPr>
                <w:rFonts w:eastAsia="Times New Roman"/>
                <w:sz w:val="20"/>
                <w:szCs w:val="20"/>
              </w:rPr>
            </w:pPr>
          </w:p>
        </w:tc>
      </w:tr>
      <w:tr w:rsidR="00000000">
        <w:trPr>
          <w:divId w:val="1042100376"/>
          <w:jc w:val="center"/>
        </w:trPr>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Initial Cost</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Gross Carrying Amount At December 31, 2021</w:t>
            </w:r>
          </w:p>
        </w:tc>
        <w:tc>
          <w:tcPr>
            <w:tcW w:w="0" w:type="auto"/>
            <w:gridSpan w:val="3"/>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042100376"/>
          <w:jc w:val="center"/>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Description</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No. of</w:t>
            </w:r>
            <w:r>
              <w:rPr>
                <w:rFonts w:eastAsia="Times New Roman"/>
                <w:color w:val="000000"/>
                <w:sz w:val="14"/>
                <w:szCs w:val="14"/>
              </w:rPr>
              <w:br/>
            </w:r>
            <w:r>
              <w:rPr>
                <w:rFonts w:eastAsia="Times New Roman"/>
                <w:color w:val="000000"/>
                <w:sz w:val="14"/>
                <w:szCs w:val="14"/>
              </w:rPr>
              <w:t>Facilities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Net</w:t>
            </w:r>
            <w:r>
              <w:rPr>
                <w:rFonts w:eastAsia="Times New Roman"/>
                <w:color w:val="000000"/>
                <w:sz w:val="14"/>
                <w:szCs w:val="14"/>
              </w:rPr>
              <w:br/>
              <w:t>Rentable</w:t>
            </w:r>
            <w:r>
              <w:rPr>
                <w:rFonts w:eastAsia="Times New Roman"/>
                <w:color w:val="000000"/>
                <w:sz w:val="14"/>
                <w:szCs w:val="14"/>
              </w:rPr>
              <w:br/>
              <w:t>Square Feet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2021</w:t>
            </w:r>
          </w:p>
          <w:p w:rsidR="00000000" w:rsidRDefault="00D04F4B">
            <w:pPr>
              <w:spacing w:after="100"/>
              <w:jc w:val="center"/>
              <w:rPr>
                <w:rFonts w:eastAsia="Times New Roman"/>
              </w:rPr>
            </w:pPr>
            <w:r>
              <w:rPr>
                <w:rFonts w:eastAsia="Times New Roman"/>
                <w:color w:val="000000"/>
                <w:sz w:val="14"/>
                <w:szCs w:val="14"/>
              </w:rPr>
              <w:t>Encum-</w:t>
            </w:r>
          </w:p>
          <w:p w:rsidR="00000000" w:rsidRDefault="00D04F4B">
            <w:pPr>
              <w:spacing w:after="100"/>
              <w:jc w:val="center"/>
              <w:rPr>
                <w:rFonts w:eastAsia="Times New Roman"/>
              </w:rPr>
            </w:pPr>
            <w:r>
              <w:rPr>
                <w:rFonts w:eastAsia="Times New Roman"/>
                <w:color w:val="000000"/>
                <w:sz w:val="14"/>
                <w:szCs w:val="14"/>
              </w:rPr>
              <w:t>brances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Land</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Buildings &amp;</w:t>
            </w:r>
            <w:r>
              <w:rPr>
                <w:rFonts w:eastAsia="Times New Roman"/>
                <w:color w:val="000000"/>
                <w:sz w:val="14"/>
                <w:szCs w:val="14"/>
              </w:rPr>
              <w:br/>
              <w:t>Improvements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Costs</w:t>
            </w:r>
            <w:r>
              <w:rPr>
                <w:rFonts w:eastAsia="Times New Roman"/>
                <w:color w:val="000000"/>
                <w:sz w:val="14"/>
                <w:szCs w:val="14"/>
              </w:rPr>
              <w:br/>
              <w:t>Subsequent</w:t>
            </w:r>
            <w:r>
              <w:rPr>
                <w:rFonts w:eastAsia="Times New Roman"/>
                <w:color w:val="000000"/>
                <w:sz w:val="14"/>
                <w:szCs w:val="14"/>
              </w:rPr>
              <w:br/>
              <w:t>to Acquisition</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Land</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Buildings</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Total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D04F4B">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04F4B">
            <w:pPr>
              <w:spacing w:after="100"/>
              <w:jc w:val="center"/>
              <w:rPr>
                <w:rFonts w:eastAsia="Times New Roman"/>
              </w:rPr>
            </w:pPr>
            <w:r>
              <w:rPr>
                <w:rFonts w:eastAsia="Times New Roman"/>
                <w:color w:val="000000"/>
                <w:sz w:val="14"/>
                <w:szCs w:val="14"/>
              </w:rPr>
              <w:t>Accumulated</w:t>
            </w:r>
            <w:r>
              <w:rPr>
                <w:rFonts w:eastAsia="Times New Roman"/>
                <w:color w:val="000000"/>
                <w:sz w:val="14"/>
                <w:szCs w:val="14"/>
              </w:rPr>
              <w:br/>
              <w:t>Depreciation</w:t>
            </w:r>
          </w:p>
        </w:tc>
      </w:tr>
      <w:tr w:rsidR="00000000">
        <w:trPr>
          <w:divId w:val="1042100376"/>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Rochester</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2,134 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980 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4,447 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4,233 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042100376"/>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Santa Barbara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5,733 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9,106 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858 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5,733 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9,964 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15,697 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6,186 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042100376"/>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Topeka</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1,419 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2,108 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3,527 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3,752 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3,190 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042100376"/>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Lansing</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2,882 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3,868 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4,424 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2,619 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042100376"/>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Flint</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3,068 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273 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3,342 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3,884 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2,110 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042100376"/>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Joplin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904 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1,021 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1,925 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2,189 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1,672 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042100376"/>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Syracuse</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1,279 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862 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545 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2,141 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2,686 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2,066 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042100376"/>
          <w:jc w:val="center"/>
        </w:trPr>
        <w:tc>
          <w:tcPr>
            <w:tcW w:w="0" w:type="auto"/>
            <w:gridSpan w:val="3"/>
            <w:tcMar>
              <w:top w:w="30" w:type="dxa"/>
              <w:left w:w="155" w:type="dxa"/>
              <w:bottom w:w="30" w:type="dxa"/>
              <w:right w:w="20" w:type="dxa"/>
            </w:tcMar>
            <w:vAlign w:val="bottom"/>
            <w:hideMark/>
          </w:tcPr>
          <w:p w:rsidR="00000000" w:rsidRDefault="00D04F4B">
            <w:pPr>
              <w:spacing w:after="100"/>
              <w:rPr>
                <w:rFonts w:eastAsia="Times New Roman"/>
              </w:rPr>
            </w:pPr>
            <w:r>
              <w:rPr>
                <w:rFonts w:eastAsia="Times New Roman"/>
                <w:color w:val="000000"/>
                <w:sz w:val="14"/>
                <w:szCs w:val="14"/>
              </w:rPr>
              <w:t>Modesto/Fresno/Stockton</w:t>
            </w: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33 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206 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1,324 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193 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1,381 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1,574 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942 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042100376"/>
          <w:trHeight w:val="220"/>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r>
      <w:tr w:rsidR="00000000">
        <w:trPr>
          <w:divId w:val="1042100376"/>
          <w:jc w:val="center"/>
        </w:trPr>
        <w:tc>
          <w:tcPr>
            <w:tcW w:w="0" w:type="auto"/>
            <w:gridSpan w:val="3"/>
            <w:tcMar>
              <w:top w:w="30" w:type="dxa"/>
              <w:left w:w="200" w:type="dxa"/>
              <w:bottom w:w="30" w:type="dxa"/>
              <w:right w:w="20" w:type="dxa"/>
            </w:tcMar>
            <w:vAlign w:val="bottom"/>
            <w:hideMark/>
          </w:tcPr>
          <w:p w:rsidR="00000000" w:rsidRDefault="00D04F4B">
            <w:pPr>
              <w:spacing w:after="100"/>
              <w:ind w:hanging="180"/>
              <w:rPr>
                <w:rFonts w:eastAsia="Times New Roman"/>
              </w:rPr>
            </w:pPr>
            <w:r>
              <w:rPr>
                <w:rFonts w:eastAsia="Times New Roman"/>
                <w:color w:val="000000"/>
                <w:sz w:val="14"/>
                <w:szCs w:val="14"/>
              </w:rPr>
              <w:t>Commercial and non-operating real estate</w:t>
            </w:r>
          </w:p>
        </w:tc>
        <w:tc>
          <w:tcPr>
            <w:tcW w:w="0" w:type="auto"/>
            <w:gridSpan w:val="3"/>
            <w:tcMar>
              <w:top w:w="0" w:type="dxa"/>
              <w:left w:w="20" w:type="dxa"/>
              <w:bottom w:w="0" w:type="dxa"/>
              <w:right w:w="20" w:type="dxa"/>
            </w:tcMar>
            <w:vAlign w:val="center"/>
            <w:hideMark/>
          </w:tcPr>
          <w:p w:rsidR="00000000" w:rsidRDefault="00D04F4B">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04F4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13,194 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26,143 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48,112 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13,346 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74,103 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87,449 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4"/>
                <w:szCs w:val="14"/>
              </w:rPr>
              <w:t>44,739 </w:t>
            </w:r>
          </w:p>
        </w:tc>
        <w:tc>
          <w:tcPr>
            <w:tcW w:w="0" w:type="auto"/>
            <w:tcMar>
              <w:top w:w="30" w:type="dxa"/>
              <w:left w:w="0" w:type="dxa"/>
              <w:bottom w:w="30" w:type="dxa"/>
              <w:right w:w="20" w:type="dxa"/>
            </w:tcMar>
            <w:vAlign w:val="bottom"/>
            <w:hideMark/>
          </w:tcPr>
          <w:p w:rsidR="00000000" w:rsidRDefault="00D04F4B">
            <w:pPr>
              <w:spacing w:after="100"/>
              <w:jc w:val="right"/>
              <w:rPr>
                <w:rFonts w:eastAsia="Times New Roman"/>
              </w:rPr>
            </w:pPr>
          </w:p>
        </w:tc>
      </w:tr>
      <w:tr w:rsidR="00000000">
        <w:trPr>
          <w:divId w:val="1042100376"/>
          <w:jc w:val="center"/>
        </w:trPr>
        <w:tc>
          <w:tcPr>
            <w:tcW w:w="0" w:type="auto"/>
            <w:gridSpan w:val="3"/>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2"/>
                <w:szCs w:val="12"/>
              </w:rPr>
              <w:t>2,787 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2"/>
                <w:szCs w:val="12"/>
              </w:rPr>
              <w:t>198,319 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2"/>
                <w:szCs w:val="12"/>
              </w:rPr>
              <w:t>23,284 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2"/>
                <w:szCs w:val="12"/>
              </w:rPr>
              <w:t>5,072,209 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2"/>
                <w:szCs w:val="12"/>
              </w:rPr>
              <w:t>14,225,088 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2"/>
                <w:szCs w:val="12"/>
              </w:rPr>
              <w:t>3,510,536 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2"/>
                <w:szCs w:val="12"/>
              </w:rPr>
              <w:t>5,134,060 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2"/>
                <w:szCs w:val="12"/>
              </w:rPr>
              <w:t>17,673,773 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2"/>
                <w:szCs w:val="12"/>
              </w:rPr>
              <w:t>22,807,833 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04F4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04F4B">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04F4B">
            <w:pPr>
              <w:spacing w:after="100"/>
              <w:jc w:val="right"/>
              <w:rPr>
                <w:rFonts w:eastAsia="Times New Roman"/>
              </w:rPr>
            </w:pPr>
            <w:r>
              <w:rPr>
                <w:rFonts w:eastAsia="Times New Roman"/>
                <w:color w:val="000000"/>
                <w:sz w:val="12"/>
                <w:szCs w:val="12"/>
              </w:rPr>
              <w:t>7,773,308 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04F4B">
            <w:pPr>
              <w:spacing w:after="100"/>
              <w:jc w:val="right"/>
              <w:rPr>
                <w:rFonts w:eastAsia="Times New Roman"/>
              </w:rPr>
            </w:pPr>
          </w:p>
        </w:tc>
      </w:tr>
    </w:tbl>
    <w:p w:rsidR="00000000" w:rsidRDefault="00D04F4B">
      <w:pPr>
        <w:jc w:val="both"/>
        <w:divId w:val="1408763602"/>
        <w:rPr>
          <w:rFonts w:eastAsia="Times New Roman"/>
        </w:rPr>
      </w:pPr>
      <w:r>
        <w:rPr>
          <w:rFonts w:eastAsia="Times New Roman"/>
          <w:color w:val="000000"/>
          <w:sz w:val="18"/>
          <w:szCs w:val="18"/>
        </w:rPr>
        <w:t>Note: Buildings and improvements are depreciated on a straight-line basis over estimated useful lives r</w:t>
      </w:r>
      <w:r>
        <w:rPr>
          <w:rFonts w:eastAsia="Times New Roman"/>
          <w:color w:val="000000"/>
          <w:sz w:val="18"/>
          <w:szCs w:val="18"/>
        </w:rPr>
        <w:t>anging generally between 5 to 25 years. In addition, disclosures of the number and square footage of our facilities are unaudited.</w:t>
      </w:r>
    </w:p>
    <w:p w:rsidR="00D04F4B" w:rsidRDefault="00D04F4B">
      <w:pPr>
        <w:jc w:val="center"/>
        <w:divId w:val="680939167"/>
        <w:rPr>
          <w:rFonts w:eastAsia="Times New Roman"/>
        </w:rPr>
      </w:pPr>
      <w:r>
        <w:rPr>
          <w:rFonts w:eastAsia="Times New Roman"/>
          <w:color w:val="000000"/>
          <w:sz w:val="20"/>
          <w:szCs w:val="20"/>
        </w:rPr>
        <w:t>F-33</w:t>
      </w:r>
    </w:p>
    <w:sectPr w:rsidR="00D04F4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4F4B"/>
    <w:rsid w:val="00D04F4B"/>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xbrl.org/2003/iso4217"/>
  <w:attachedSchema w:val="http://www.xbrl.org/inlineXBRL/transformation/2020-02-12"/>
  <w:attachedSchema w:val="http://fasb.org/us-gaap/2021-01-31"/>
  <w:attachedSchema w:val="http://www.xbrl.org/2009/utr"/>
  <w:attachedSchema w:val="http://xbrl.sec.gov/dei/2021q4"/>
  <w:attachedSchema w:val="http://www.sec.gov/inlineXBRL/transformation/2015-08-31"/>
  <w:attachedSchema w:val="http://www.w3.org/1999/xlink"/>
  <w:attachedSchema w:val="http://xbrl.org/2006/xbrldi"/>
  <w:attachedSchema w:val="http://www.xbrl.org/2003/instance"/>
  <w:attachedSchema w:val="http://www.xbrl.org/2013/inlineXBRL"/>
  <w:attachedSchema w:val="http://xbrl.sec.gov/country/2021"/>
  <w:attachedSchema w:val="http://www.publicstorage.com/20211231"/>
  <w:attachedSchema w:val="http://fasb.org/srt/2021-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663">
      <w:marLeft w:val="0"/>
      <w:marRight w:val="0"/>
      <w:marTop w:val="0"/>
      <w:marBottom w:val="0"/>
      <w:divBdr>
        <w:top w:val="none" w:sz="0" w:space="0" w:color="auto"/>
        <w:left w:val="none" w:sz="0" w:space="0" w:color="auto"/>
        <w:bottom w:val="none" w:sz="0" w:space="0" w:color="auto"/>
        <w:right w:val="none" w:sz="0" w:space="0" w:color="auto"/>
      </w:divBdr>
      <w:divsChild>
        <w:div w:id="78600792">
          <w:marLeft w:val="0"/>
          <w:marRight w:val="0"/>
          <w:marTop w:val="0"/>
          <w:marBottom w:val="0"/>
          <w:divBdr>
            <w:top w:val="none" w:sz="0" w:space="0" w:color="auto"/>
            <w:left w:val="none" w:sz="0" w:space="0" w:color="auto"/>
            <w:bottom w:val="none" w:sz="0" w:space="0" w:color="auto"/>
            <w:right w:val="none" w:sz="0" w:space="0" w:color="auto"/>
          </w:divBdr>
        </w:div>
      </w:divsChild>
    </w:div>
    <w:div w:id="19479447">
      <w:marLeft w:val="0"/>
      <w:marRight w:val="0"/>
      <w:marTop w:val="0"/>
      <w:marBottom w:val="120"/>
      <w:divBdr>
        <w:top w:val="none" w:sz="0" w:space="0" w:color="auto"/>
        <w:left w:val="none" w:sz="0" w:space="0" w:color="auto"/>
        <w:bottom w:val="none" w:sz="0" w:space="0" w:color="auto"/>
        <w:right w:val="none" w:sz="0" w:space="0" w:color="auto"/>
      </w:divBdr>
    </w:div>
    <w:div w:id="26487042">
      <w:marLeft w:val="0"/>
      <w:marRight w:val="0"/>
      <w:marTop w:val="240"/>
      <w:marBottom w:val="0"/>
      <w:divBdr>
        <w:top w:val="none" w:sz="0" w:space="0" w:color="auto"/>
        <w:left w:val="none" w:sz="0" w:space="0" w:color="auto"/>
        <w:bottom w:val="none" w:sz="0" w:space="0" w:color="auto"/>
        <w:right w:val="none" w:sz="0" w:space="0" w:color="auto"/>
      </w:divBdr>
    </w:div>
    <w:div w:id="29187487">
      <w:marLeft w:val="0"/>
      <w:marRight w:val="0"/>
      <w:marTop w:val="240"/>
      <w:marBottom w:val="0"/>
      <w:divBdr>
        <w:top w:val="none" w:sz="0" w:space="0" w:color="auto"/>
        <w:left w:val="none" w:sz="0" w:space="0" w:color="auto"/>
        <w:bottom w:val="none" w:sz="0" w:space="0" w:color="auto"/>
        <w:right w:val="none" w:sz="0" w:space="0" w:color="auto"/>
      </w:divBdr>
    </w:div>
    <w:div w:id="30882004">
      <w:marLeft w:val="0"/>
      <w:marRight w:val="0"/>
      <w:marTop w:val="0"/>
      <w:marBottom w:val="240"/>
      <w:divBdr>
        <w:top w:val="none" w:sz="0" w:space="0" w:color="auto"/>
        <w:left w:val="none" w:sz="0" w:space="0" w:color="auto"/>
        <w:bottom w:val="none" w:sz="0" w:space="0" w:color="auto"/>
        <w:right w:val="none" w:sz="0" w:space="0" w:color="auto"/>
      </w:divBdr>
    </w:div>
    <w:div w:id="36902376">
      <w:marLeft w:val="0"/>
      <w:marRight w:val="0"/>
      <w:marTop w:val="240"/>
      <w:marBottom w:val="0"/>
      <w:divBdr>
        <w:top w:val="none" w:sz="0" w:space="0" w:color="auto"/>
        <w:left w:val="none" w:sz="0" w:space="0" w:color="auto"/>
        <w:bottom w:val="none" w:sz="0" w:space="0" w:color="auto"/>
        <w:right w:val="none" w:sz="0" w:space="0" w:color="auto"/>
      </w:divBdr>
    </w:div>
    <w:div w:id="38558798">
      <w:marLeft w:val="0"/>
      <w:marRight w:val="0"/>
      <w:marTop w:val="100"/>
      <w:marBottom w:val="0"/>
      <w:divBdr>
        <w:top w:val="none" w:sz="0" w:space="0" w:color="auto"/>
        <w:left w:val="none" w:sz="0" w:space="0" w:color="auto"/>
        <w:bottom w:val="none" w:sz="0" w:space="0" w:color="auto"/>
        <w:right w:val="none" w:sz="0" w:space="0" w:color="auto"/>
      </w:divBdr>
    </w:div>
    <w:div w:id="43070424">
      <w:marLeft w:val="0"/>
      <w:marRight w:val="0"/>
      <w:marTop w:val="0"/>
      <w:marBottom w:val="240"/>
      <w:divBdr>
        <w:top w:val="none" w:sz="0" w:space="0" w:color="auto"/>
        <w:left w:val="none" w:sz="0" w:space="0" w:color="auto"/>
        <w:bottom w:val="none" w:sz="0" w:space="0" w:color="auto"/>
        <w:right w:val="none" w:sz="0" w:space="0" w:color="auto"/>
      </w:divBdr>
    </w:div>
    <w:div w:id="48766702">
      <w:marLeft w:val="0"/>
      <w:marRight w:val="0"/>
      <w:marTop w:val="0"/>
      <w:marBottom w:val="240"/>
      <w:divBdr>
        <w:top w:val="none" w:sz="0" w:space="0" w:color="auto"/>
        <w:left w:val="none" w:sz="0" w:space="0" w:color="auto"/>
        <w:bottom w:val="none" w:sz="0" w:space="0" w:color="auto"/>
        <w:right w:val="none" w:sz="0" w:space="0" w:color="auto"/>
      </w:divBdr>
    </w:div>
    <w:div w:id="50081119">
      <w:marLeft w:val="0"/>
      <w:marRight w:val="0"/>
      <w:marTop w:val="240"/>
      <w:marBottom w:val="0"/>
      <w:divBdr>
        <w:top w:val="none" w:sz="0" w:space="0" w:color="auto"/>
        <w:left w:val="none" w:sz="0" w:space="0" w:color="auto"/>
        <w:bottom w:val="none" w:sz="0" w:space="0" w:color="auto"/>
        <w:right w:val="none" w:sz="0" w:space="0" w:color="auto"/>
      </w:divBdr>
    </w:div>
    <w:div w:id="50153766">
      <w:marLeft w:val="0"/>
      <w:marRight w:val="0"/>
      <w:marTop w:val="0"/>
      <w:marBottom w:val="0"/>
      <w:divBdr>
        <w:top w:val="none" w:sz="0" w:space="0" w:color="auto"/>
        <w:left w:val="none" w:sz="0" w:space="0" w:color="auto"/>
        <w:bottom w:val="none" w:sz="0" w:space="0" w:color="auto"/>
        <w:right w:val="none" w:sz="0" w:space="0" w:color="auto"/>
      </w:divBdr>
      <w:divsChild>
        <w:div w:id="1066878694">
          <w:marLeft w:val="0"/>
          <w:marRight w:val="0"/>
          <w:marTop w:val="0"/>
          <w:marBottom w:val="0"/>
          <w:divBdr>
            <w:top w:val="none" w:sz="0" w:space="0" w:color="auto"/>
            <w:left w:val="none" w:sz="0" w:space="0" w:color="auto"/>
            <w:bottom w:val="none" w:sz="0" w:space="0" w:color="auto"/>
            <w:right w:val="none" w:sz="0" w:space="0" w:color="auto"/>
          </w:divBdr>
        </w:div>
      </w:divsChild>
    </w:div>
    <w:div w:id="50930416">
      <w:marLeft w:val="0"/>
      <w:marRight w:val="0"/>
      <w:marTop w:val="240"/>
      <w:marBottom w:val="0"/>
      <w:divBdr>
        <w:top w:val="none" w:sz="0" w:space="0" w:color="auto"/>
        <w:left w:val="none" w:sz="0" w:space="0" w:color="auto"/>
        <w:bottom w:val="none" w:sz="0" w:space="0" w:color="auto"/>
        <w:right w:val="none" w:sz="0" w:space="0" w:color="auto"/>
      </w:divBdr>
    </w:div>
    <w:div w:id="51585717">
      <w:marLeft w:val="0"/>
      <w:marRight w:val="0"/>
      <w:marTop w:val="0"/>
      <w:marBottom w:val="240"/>
      <w:divBdr>
        <w:top w:val="none" w:sz="0" w:space="0" w:color="auto"/>
        <w:left w:val="none" w:sz="0" w:space="0" w:color="auto"/>
        <w:bottom w:val="none" w:sz="0" w:space="0" w:color="auto"/>
        <w:right w:val="none" w:sz="0" w:space="0" w:color="auto"/>
      </w:divBdr>
    </w:div>
    <w:div w:id="52583283">
      <w:marLeft w:val="0"/>
      <w:marRight w:val="0"/>
      <w:marTop w:val="0"/>
      <w:marBottom w:val="240"/>
      <w:divBdr>
        <w:top w:val="none" w:sz="0" w:space="0" w:color="auto"/>
        <w:left w:val="none" w:sz="0" w:space="0" w:color="auto"/>
        <w:bottom w:val="none" w:sz="0" w:space="0" w:color="auto"/>
        <w:right w:val="none" w:sz="0" w:space="0" w:color="auto"/>
      </w:divBdr>
    </w:div>
    <w:div w:id="53742538">
      <w:marLeft w:val="0"/>
      <w:marRight w:val="0"/>
      <w:marTop w:val="0"/>
      <w:marBottom w:val="0"/>
      <w:divBdr>
        <w:top w:val="none" w:sz="0" w:space="0" w:color="auto"/>
        <w:left w:val="none" w:sz="0" w:space="0" w:color="auto"/>
        <w:bottom w:val="none" w:sz="0" w:space="0" w:color="auto"/>
        <w:right w:val="none" w:sz="0" w:space="0" w:color="auto"/>
      </w:divBdr>
      <w:divsChild>
        <w:div w:id="175267853">
          <w:marLeft w:val="0"/>
          <w:marRight w:val="0"/>
          <w:marTop w:val="0"/>
          <w:marBottom w:val="0"/>
          <w:divBdr>
            <w:top w:val="none" w:sz="0" w:space="0" w:color="auto"/>
            <w:left w:val="none" w:sz="0" w:space="0" w:color="auto"/>
            <w:bottom w:val="none" w:sz="0" w:space="0" w:color="auto"/>
            <w:right w:val="none" w:sz="0" w:space="0" w:color="auto"/>
          </w:divBdr>
        </w:div>
      </w:divsChild>
    </w:div>
    <w:div w:id="54352323">
      <w:marLeft w:val="0"/>
      <w:marRight w:val="0"/>
      <w:marTop w:val="0"/>
      <w:marBottom w:val="0"/>
      <w:divBdr>
        <w:top w:val="none" w:sz="0" w:space="0" w:color="auto"/>
        <w:left w:val="none" w:sz="0" w:space="0" w:color="auto"/>
        <w:bottom w:val="none" w:sz="0" w:space="0" w:color="auto"/>
        <w:right w:val="none" w:sz="0" w:space="0" w:color="auto"/>
      </w:divBdr>
      <w:divsChild>
        <w:div w:id="2140226228">
          <w:marLeft w:val="0"/>
          <w:marRight w:val="0"/>
          <w:marTop w:val="0"/>
          <w:marBottom w:val="0"/>
          <w:divBdr>
            <w:top w:val="none" w:sz="0" w:space="0" w:color="auto"/>
            <w:left w:val="none" w:sz="0" w:space="0" w:color="auto"/>
            <w:bottom w:val="none" w:sz="0" w:space="0" w:color="auto"/>
            <w:right w:val="none" w:sz="0" w:space="0" w:color="auto"/>
          </w:divBdr>
        </w:div>
      </w:divsChild>
    </w:div>
    <w:div w:id="54352524">
      <w:marLeft w:val="0"/>
      <w:marRight w:val="0"/>
      <w:marTop w:val="240"/>
      <w:marBottom w:val="0"/>
      <w:divBdr>
        <w:top w:val="none" w:sz="0" w:space="0" w:color="auto"/>
        <w:left w:val="none" w:sz="0" w:space="0" w:color="auto"/>
        <w:bottom w:val="none" w:sz="0" w:space="0" w:color="auto"/>
        <w:right w:val="none" w:sz="0" w:space="0" w:color="auto"/>
      </w:divBdr>
    </w:div>
    <w:div w:id="55662419">
      <w:marLeft w:val="0"/>
      <w:marRight w:val="0"/>
      <w:marTop w:val="240"/>
      <w:marBottom w:val="240"/>
      <w:divBdr>
        <w:top w:val="none" w:sz="0" w:space="0" w:color="auto"/>
        <w:left w:val="none" w:sz="0" w:space="0" w:color="auto"/>
        <w:bottom w:val="none" w:sz="0" w:space="0" w:color="auto"/>
        <w:right w:val="none" w:sz="0" w:space="0" w:color="auto"/>
      </w:divBdr>
    </w:div>
    <w:div w:id="58599037">
      <w:marLeft w:val="0"/>
      <w:marRight w:val="0"/>
      <w:marTop w:val="100"/>
      <w:marBottom w:val="0"/>
      <w:divBdr>
        <w:top w:val="none" w:sz="0" w:space="0" w:color="auto"/>
        <w:left w:val="none" w:sz="0" w:space="0" w:color="auto"/>
        <w:bottom w:val="none" w:sz="0" w:space="0" w:color="auto"/>
        <w:right w:val="none" w:sz="0" w:space="0" w:color="auto"/>
      </w:divBdr>
    </w:div>
    <w:div w:id="60257945">
      <w:marLeft w:val="0"/>
      <w:marRight w:val="0"/>
      <w:marTop w:val="0"/>
      <w:marBottom w:val="120"/>
      <w:divBdr>
        <w:top w:val="none" w:sz="0" w:space="0" w:color="auto"/>
        <w:left w:val="none" w:sz="0" w:space="0" w:color="auto"/>
        <w:bottom w:val="none" w:sz="0" w:space="0" w:color="auto"/>
        <w:right w:val="none" w:sz="0" w:space="0" w:color="auto"/>
      </w:divBdr>
    </w:div>
    <w:div w:id="69619492">
      <w:marLeft w:val="0"/>
      <w:marRight w:val="0"/>
      <w:marTop w:val="240"/>
      <w:marBottom w:val="0"/>
      <w:divBdr>
        <w:top w:val="none" w:sz="0" w:space="0" w:color="auto"/>
        <w:left w:val="none" w:sz="0" w:space="0" w:color="auto"/>
        <w:bottom w:val="none" w:sz="0" w:space="0" w:color="auto"/>
        <w:right w:val="none" w:sz="0" w:space="0" w:color="auto"/>
      </w:divBdr>
    </w:div>
    <w:div w:id="71661341">
      <w:marLeft w:val="0"/>
      <w:marRight w:val="0"/>
      <w:marTop w:val="0"/>
      <w:marBottom w:val="0"/>
      <w:divBdr>
        <w:top w:val="none" w:sz="0" w:space="0" w:color="auto"/>
        <w:left w:val="none" w:sz="0" w:space="0" w:color="auto"/>
        <w:bottom w:val="none" w:sz="0" w:space="0" w:color="auto"/>
        <w:right w:val="none" w:sz="0" w:space="0" w:color="auto"/>
      </w:divBdr>
    </w:div>
    <w:div w:id="77990604">
      <w:marLeft w:val="0"/>
      <w:marRight w:val="0"/>
      <w:marTop w:val="240"/>
      <w:marBottom w:val="240"/>
      <w:divBdr>
        <w:top w:val="none" w:sz="0" w:space="0" w:color="auto"/>
        <w:left w:val="none" w:sz="0" w:space="0" w:color="auto"/>
        <w:bottom w:val="none" w:sz="0" w:space="0" w:color="auto"/>
        <w:right w:val="none" w:sz="0" w:space="0" w:color="auto"/>
      </w:divBdr>
    </w:div>
    <w:div w:id="87972536">
      <w:marLeft w:val="0"/>
      <w:marRight w:val="0"/>
      <w:marTop w:val="0"/>
      <w:marBottom w:val="0"/>
      <w:divBdr>
        <w:top w:val="none" w:sz="0" w:space="0" w:color="auto"/>
        <w:left w:val="none" w:sz="0" w:space="0" w:color="auto"/>
        <w:bottom w:val="none" w:sz="0" w:space="0" w:color="auto"/>
        <w:right w:val="none" w:sz="0" w:space="0" w:color="auto"/>
      </w:divBdr>
      <w:divsChild>
        <w:div w:id="1754858316">
          <w:marLeft w:val="0"/>
          <w:marRight w:val="0"/>
          <w:marTop w:val="0"/>
          <w:marBottom w:val="0"/>
          <w:divBdr>
            <w:top w:val="none" w:sz="0" w:space="0" w:color="auto"/>
            <w:left w:val="none" w:sz="0" w:space="0" w:color="auto"/>
            <w:bottom w:val="none" w:sz="0" w:space="0" w:color="auto"/>
            <w:right w:val="none" w:sz="0" w:space="0" w:color="auto"/>
          </w:divBdr>
        </w:div>
      </w:divsChild>
    </w:div>
    <w:div w:id="91634842">
      <w:marLeft w:val="0"/>
      <w:marRight w:val="0"/>
      <w:marTop w:val="240"/>
      <w:marBottom w:val="0"/>
      <w:divBdr>
        <w:top w:val="none" w:sz="0" w:space="0" w:color="auto"/>
        <w:left w:val="none" w:sz="0" w:space="0" w:color="auto"/>
        <w:bottom w:val="none" w:sz="0" w:space="0" w:color="auto"/>
        <w:right w:val="none" w:sz="0" w:space="0" w:color="auto"/>
      </w:divBdr>
    </w:div>
    <w:div w:id="94637301">
      <w:marLeft w:val="0"/>
      <w:marRight w:val="0"/>
      <w:marTop w:val="120"/>
      <w:marBottom w:val="240"/>
      <w:divBdr>
        <w:top w:val="none" w:sz="0" w:space="0" w:color="auto"/>
        <w:left w:val="none" w:sz="0" w:space="0" w:color="auto"/>
        <w:bottom w:val="none" w:sz="0" w:space="0" w:color="auto"/>
        <w:right w:val="none" w:sz="0" w:space="0" w:color="auto"/>
      </w:divBdr>
    </w:div>
    <w:div w:id="103424400">
      <w:marLeft w:val="0"/>
      <w:marRight w:val="0"/>
      <w:marTop w:val="0"/>
      <w:marBottom w:val="120"/>
      <w:divBdr>
        <w:top w:val="none" w:sz="0" w:space="0" w:color="auto"/>
        <w:left w:val="none" w:sz="0" w:space="0" w:color="auto"/>
        <w:bottom w:val="none" w:sz="0" w:space="0" w:color="auto"/>
        <w:right w:val="none" w:sz="0" w:space="0" w:color="auto"/>
      </w:divBdr>
    </w:div>
    <w:div w:id="103500243">
      <w:marLeft w:val="0"/>
      <w:marRight w:val="0"/>
      <w:marTop w:val="0"/>
      <w:marBottom w:val="0"/>
      <w:divBdr>
        <w:top w:val="none" w:sz="0" w:space="0" w:color="auto"/>
        <w:left w:val="none" w:sz="0" w:space="0" w:color="auto"/>
        <w:bottom w:val="none" w:sz="0" w:space="0" w:color="auto"/>
        <w:right w:val="none" w:sz="0" w:space="0" w:color="auto"/>
      </w:divBdr>
      <w:divsChild>
        <w:div w:id="495000384">
          <w:marLeft w:val="0"/>
          <w:marRight w:val="0"/>
          <w:marTop w:val="0"/>
          <w:marBottom w:val="0"/>
          <w:divBdr>
            <w:top w:val="none" w:sz="0" w:space="0" w:color="auto"/>
            <w:left w:val="none" w:sz="0" w:space="0" w:color="auto"/>
            <w:bottom w:val="none" w:sz="0" w:space="0" w:color="auto"/>
            <w:right w:val="none" w:sz="0" w:space="0" w:color="auto"/>
          </w:divBdr>
        </w:div>
      </w:divsChild>
    </w:div>
    <w:div w:id="112527998">
      <w:marLeft w:val="0"/>
      <w:marRight w:val="0"/>
      <w:marTop w:val="0"/>
      <w:marBottom w:val="0"/>
      <w:divBdr>
        <w:top w:val="none" w:sz="0" w:space="0" w:color="auto"/>
        <w:left w:val="none" w:sz="0" w:space="0" w:color="auto"/>
        <w:bottom w:val="none" w:sz="0" w:space="0" w:color="auto"/>
        <w:right w:val="none" w:sz="0" w:space="0" w:color="auto"/>
      </w:divBdr>
      <w:divsChild>
        <w:div w:id="863202845">
          <w:marLeft w:val="0"/>
          <w:marRight w:val="0"/>
          <w:marTop w:val="0"/>
          <w:marBottom w:val="0"/>
          <w:divBdr>
            <w:top w:val="none" w:sz="0" w:space="0" w:color="auto"/>
            <w:left w:val="none" w:sz="0" w:space="0" w:color="auto"/>
            <w:bottom w:val="none" w:sz="0" w:space="0" w:color="auto"/>
            <w:right w:val="none" w:sz="0" w:space="0" w:color="auto"/>
          </w:divBdr>
        </w:div>
      </w:divsChild>
    </w:div>
    <w:div w:id="114636783">
      <w:marLeft w:val="0"/>
      <w:marRight w:val="0"/>
      <w:marTop w:val="240"/>
      <w:marBottom w:val="240"/>
      <w:divBdr>
        <w:top w:val="none" w:sz="0" w:space="0" w:color="auto"/>
        <w:left w:val="none" w:sz="0" w:space="0" w:color="auto"/>
        <w:bottom w:val="none" w:sz="0" w:space="0" w:color="auto"/>
        <w:right w:val="none" w:sz="0" w:space="0" w:color="auto"/>
      </w:divBdr>
    </w:div>
    <w:div w:id="116030457">
      <w:marLeft w:val="0"/>
      <w:marRight w:val="0"/>
      <w:marTop w:val="240"/>
      <w:marBottom w:val="0"/>
      <w:divBdr>
        <w:top w:val="none" w:sz="0" w:space="0" w:color="auto"/>
        <w:left w:val="none" w:sz="0" w:space="0" w:color="auto"/>
        <w:bottom w:val="none" w:sz="0" w:space="0" w:color="auto"/>
        <w:right w:val="none" w:sz="0" w:space="0" w:color="auto"/>
      </w:divBdr>
    </w:div>
    <w:div w:id="117185578">
      <w:marLeft w:val="0"/>
      <w:marRight w:val="0"/>
      <w:marTop w:val="0"/>
      <w:marBottom w:val="240"/>
      <w:divBdr>
        <w:top w:val="none" w:sz="0" w:space="0" w:color="auto"/>
        <w:left w:val="none" w:sz="0" w:space="0" w:color="auto"/>
        <w:bottom w:val="none" w:sz="0" w:space="0" w:color="auto"/>
        <w:right w:val="none" w:sz="0" w:space="0" w:color="auto"/>
      </w:divBdr>
    </w:div>
    <w:div w:id="121504966">
      <w:marLeft w:val="0"/>
      <w:marRight w:val="0"/>
      <w:marTop w:val="0"/>
      <w:marBottom w:val="0"/>
      <w:divBdr>
        <w:top w:val="none" w:sz="0" w:space="0" w:color="auto"/>
        <w:left w:val="none" w:sz="0" w:space="0" w:color="auto"/>
        <w:bottom w:val="none" w:sz="0" w:space="0" w:color="auto"/>
        <w:right w:val="none" w:sz="0" w:space="0" w:color="auto"/>
      </w:divBdr>
      <w:divsChild>
        <w:div w:id="732311559">
          <w:marLeft w:val="0"/>
          <w:marRight w:val="0"/>
          <w:marTop w:val="0"/>
          <w:marBottom w:val="0"/>
          <w:divBdr>
            <w:top w:val="none" w:sz="0" w:space="0" w:color="auto"/>
            <w:left w:val="none" w:sz="0" w:space="0" w:color="auto"/>
            <w:bottom w:val="none" w:sz="0" w:space="0" w:color="auto"/>
            <w:right w:val="none" w:sz="0" w:space="0" w:color="auto"/>
          </w:divBdr>
        </w:div>
      </w:divsChild>
    </w:div>
    <w:div w:id="122045047">
      <w:marLeft w:val="0"/>
      <w:marRight w:val="0"/>
      <w:marTop w:val="100"/>
      <w:marBottom w:val="0"/>
      <w:divBdr>
        <w:top w:val="none" w:sz="0" w:space="0" w:color="auto"/>
        <w:left w:val="none" w:sz="0" w:space="0" w:color="auto"/>
        <w:bottom w:val="none" w:sz="0" w:space="0" w:color="auto"/>
        <w:right w:val="none" w:sz="0" w:space="0" w:color="auto"/>
      </w:divBdr>
    </w:div>
    <w:div w:id="122775125">
      <w:marLeft w:val="0"/>
      <w:marRight w:val="0"/>
      <w:marTop w:val="0"/>
      <w:marBottom w:val="0"/>
      <w:divBdr>
        <w:top w:val="none" w:sz="0" w:space="0" w:color="auto"/>
        <w:left w:val="none" w:sz="0" w:space="0" w:color="auto"/>
        <w:bottom w:val="none" w:sz="0" w:space="0" w:color="auto"/>
        <w:right w:val="none" w:sz="0" w:space="0" w:color="auto"/>
      </w:divBdr>
    </w:div>
    <w:div w:id="122895765">
      <w:marLeft w:val="0"/>
      <w:marRight w:val="0"/>
      <w:marTop w:val="0"/>
      <w:marBottom w:val="200"/>
      <w:divBdr>
        <w:top w:val="none" w:sz="0" w:space="0" w:color="auto"/>
        <w:left w:val="none" w:sz="0" w:space="0" w:color="auto"/>
        <w:bottom w:val="none" w:sz="0" w:space="0" w:color="auto"/>
        <w:right w:val="none" w:sz="0" w:space="0" w:color="auto"/>
      </w:divBdr>
    </w:div>
    <w:div w:id="125467831">
      <w:marLeft w:val="0"/>
      <w:marRight w:val="0"/>
      <w:marTop w:val="240"/>
      <w:marBottom w:val="0"/>
      <w:divBdr>
        <w:top w:val="none" w:sz="0" w:space="0" w:color="auto"/>
        <w:left w:val="none" w:sz="0" w:space="0" w:color="auto"/>
        <w:bottom w:val="none" w:sz="0" w:space="0" w:color="auto"/>
        <w:right w:val="none" w:sz="0" w:space="0" w:color="auto"/>
      </w:divBdr>
    </w:div>
    <w:div w:id="128322705">
      <w:marLeft w:val="0"/>
      <w:marRight w:val="0"/>
      <w:marTop w:val="240"/>
      <w:marBottom w:val="0"/>
      <w:divBdr>
        <w:top w:val="none" w:sz="0" w:space="0" w:color="auto"/>
        <w:left w:val="none" w:sz="0" w:space="0" w:color="auto"/>
        <w:bottom w:val="none" w:sz="0" w:space="0" w:color="auto"/>
        <w:right w:val="none" w:sz="0" w:space="0" w:color="auto"/>
      </w:divBdr>
    </w:div>
    <w:div w:id="128478785">
      <w:marLeft w:val="0"/>
      <w:marRight w:val="0"/>
      <w:marTop w:val="240"/>
      <w:marBottom w:val="0"/>
      <w:divBdr>
        <w:top w:val="none" w:sz="0" w:space="0" w:color="auto"/>
        <w:left w:val="none" w:sz="0" w:space="0" w:color="auto"/>
        <w:bottom w:val="none" w:sz="0" w:space="0" w:color="auto"/>
        <w:right w:val="none" w:sz="0" w:space="0" w:color="auto"/>
      </w:divBdr>
    </w:div>
    <w:div w:id="129369252">
      <w:marLeft w:val="0"/>
      <w:marRight w:val="0"/>
      <w:marTop w:val="240"/>
      <w:marBottom w:val="0"/>
      <w:divBdr>
        <w:top w:val="none" w:sz="0" w:space="0" w:color="auto"/>
        <w:left w:val="none" w:sz="0" w:space="0" w:color="auto"/>
        <w:bottom w:val="none" w:sz="0" w:space="0" w:color="auto"/>
        <w:right w:val="none" w:sz="0" w:space="0" w:color="auto"/>
      </w:divBdr>
    </w:div>
    <w:div w:id="129594261">
      <w:marLeft w:val="0"/>
      <w:marRight w:val="0"/>
      <w:marTop w:val="0"/>
      <w:marBottom w:val="0"/>
      <w:divBdr>
        <w:top w:val="none" w:sz="0" w:space="0" w:color="auto"/>
        <w:left w:val="none" w:sz="0" w:space="0" w:color="auto"/>
        <w:bottom w:val="none" w:sz="0" w:space="0" w:color="auto"/>
        <w:right w:val="none" w:sz="0" w:space="0" w:color="auto"/>
      </w:divBdr>
      <w:divsChild>
        <w:div w:id="245699162">
          <w:marLeft w:val="0"/>
          <w:marRight w:val="0"/>
          <w:marTop w:val="0"/>
          <w:marBottom w:val="0"/>
          <w:divBdr>
            <w:top w:val="none" w:sz="0" w:space="0" w:color="auto"/>
            <w:left w:val="none" w:sz="0" w:space="0" w:color="auto"/>
            <w:bottom w:val="none" w:sz="0" w:space="0" w:color="auto"/>
            <w:right w:val="none" w:sz="0" w:space="0" w:color="auto"/>
          </w:divBdr>
        </w:div>
      </w:divsChild>
    </w:div>
    <w:div w:id="130905261">
      <w:marLeft w:val="0"/>
      <w:marRight w:val="0"/>
      <w:marTop w:val="0"/>
      <w:marBottom w:val="240"/>
      <w:divBdr>
        <w:top w:val="none" w:sz="0" w:space="0" w:color="auto"/>
        <w:left w:val="none" w:sz="0" w:space="0" w:color="auto"/>
        <w:bottom w:val="none" w:sz="0" w:space="0" w:color="auto"/>
        <w:right w:val="none" w:sz="0" w:space="0" w:color="auto"/>
      </w:divBdr>
    </w:div>
    <w:div w:id="133915139">
      <w:marLeft w:val="0"/>
      <w:marRight w:val="0"/>
      <w:marTop w:val="0"/>
      <w:marBottom w:val="240"/>
      <w:divBdr>
        <w:top w:val="none" w:sz="0" w:space="0" w:color="auto"/>
        <w:left w:val="none" w:sz="0" w:space="0" w:color="auto"/>
        <w:bottom w:val="none" w:sz="0" w:space="0" w:color="auto"/>
        <w:right w:val="none" w:sz="0" w:space="0" w:color="auto"/>
      </w:divBdr>
    </w:div>
    <w:div w:id="138572822">
      <w:marLeft w:val="0"/>
      <w:marRight w:val="0"/>
      <w:marTop w:val="0"/>
      <w:marBottom w:val="0"/>
      <w:divBdr>
        <w:top w:val="none" w:sz="0" w:space="0" w:color="auto"/>
        <w:left w:val="none" w:sz="0" w:space="0" w:color="auto"/>
        <w:bottom w:val="none" w:sz="0" w:space="0" w:color="auto"/>
        <w:right w:val="none" w:sz="0" w:space="0" w:color="auto"/>
      </w:divBdr>
      <w:divsChild>
        <w:div w:id="1929541173">
          <w:marLeft w:val="0"/>
          <w:marRight w:val="0"/>
          <w:marTop w:val="0"/>
          <w:marBottom w:val="0"/>
          <w:divBdr>
            <w:top w:val="none" w:sz="0" w:space="0" w:color="auto"/>
            <w:left w:val="none" w:sz="0" w:space="0" w:color="auto"/>
            <w:bottom w:val="none" w:sz="0" w:space="0" w:color="auto"/>
            <w:right w:val="none" w:sz="0" w:space="0" w:color="auto"/>
          </w:divBdr>
        </w:div>
      </w:divsChild>
    </w:div>
    <w:div w:id="140390478">
      <w:marLeft w:val="0"/>
      <w:marRight w:val="0"/>
      <w:marTop w:val="0"/>
      <w:marBottom w:val="0"/>
      <w:divBdr>
        <w:top w:val="none" w:sz="0" w:space="0" w:color="auto"/>
        <w:left w:val="none" w:sz="0" w:space="0" w:color="auto"/>
        <w:bottom w:val="none" w:sz="0" w:space="0" w:color="auto"/>
        <w:right w:val="none" w:sz="0" w:space="0" w:color="auto"/>
      </w:divBdr>
      <w:divsChild>
        <w:div w:id="1522358659">
          <w:marLeft w:val="0"/>
          <w:marRight w:val="0"/>
          <w:marTop w:val="0"/>
          <w:marBottom w:val="0"/>
          <w:divBdr>
            <w:top w:val="none" w:sz="0" w:space="0" w:color="auto"/>
            <w:left w:val="none" w:sz="0" w:space="0" w:color="auto"/>
            <w:bottom w:val="none" w:sz="0" w:space="0" w:color="auto"/>
            <w:right w:val="none" w:sz="0" w:space="0" w:color="auto"/>
          </w:divBdr>
        </w:div>
      </w:divsChild>
    </w:div>
    <w:div w:id="144782184">
      <w:marLeft w:val="0"/>
      <w:marRight w:val="0"/>
      <w:marTop w:val="0"/>
      <w:marBottom w:val="120"/>
      <w:divBdr>
        <w:top w:val="none" w:sz="0" w:space="0" w:color="auto"/>
        <w:left w:val="none" w:sz="0" w:space="0" w:color="auto"/>
        <w:bottom w:val="none" w:sz="0" w:space="0" w:color="auto"/>
        <w:right w:val="none" w:sz="0" w:space="0" w:color="auto"/>
      </w:divBdr>
    </w:div>
    <w:div w:id="145561410">
      <w:marLeft w:val="0"/>
      <w:marRight w:val="0"/>
      <w:marTop w:val="240"/>
      <w:marBottom w:val="0"/>
      <w:divBdr>
        <w:top w:val="none" w:sz="0" w:space="0" w:color="auto"/>
        <w:left w:val="none" w:sz="0" w:space="0" w:color="auto"/>
        <w:bottom w:val="none" w:sz="0" w:space="0" w:color="auto"/>
        <w:right w:val="none" w:sz="0" w:space="0" w:color="auto"/>
      </w:divBdr>
    </w:div>
    <w:div w:id="149562823">
      <w:marLeft w:val="0"/>
      <w:marRight w:val="0"/>
      <w:marTop w:val="0"/>
      <w:marBottom w:val="240"/>
      <w:divBdr>
        <w:top w:val="none" w:sz="0" w:space="0" w:color="auto"/>
        <w:left w:val="none" w:sz="0" w:space="0" w:color="auto"/>
        <w:bottom w:val="none" w:sz="0" w:space="0" w:color="auto"/>
        <w:right w:val="none" w:sz="0" w:space="0" w:color="auto"/>
      </w:divBdr>
    </w:div>
    <w:div w:id="151723516">
      <w:marLeft w:val="0"/>
      <w:marRight w:val="0"/>
      <w:marTop w:val="0"/>
      <w:marBottom w:val="240"/>
      <w:divBdr>
        <w:top w:val="none" w:sz="0" w:space="0" w:color="auto"/>
        <w:left w:val="none" w:sz="0" w:space="0" w:color="auto"/>
        <w:bottom w:val="none" w:sz="0" w:space="0" w:color="auto"/>
        <w:right w:val="none" w:sz="0" w:space="0" w:color="auto"/>
      </w:divBdr>
    </w:div>
    <w:div w:id="151870201">
      <w:marLeft w:val="0"/>
      <w:marRight w:val="0"/>
      <w:marTop w:val="0"/>
      <w:marBottom w:val="0"/>
      <w:divBdr>
        <w:top w:val="none" w:sz="0" w:space="0" w:color="auto"/>
        <w:left w:val="none" w:sz="0" w:space="0" w:color="auto"/>
        <w:bottom w:val="none" w:sz="0" w:space="0" w:color="auto"/>
        <w:right w:val="none" w:sz="0" w:space="0" w:color="auto"/>
      </w:divBdr>
      <w:divsChild>
        <w:div w:id="1132286822">
          <w:marLeft w:val="0"/>
          <w:marRight w:val="0"/>
          <w:marTop w:val="0"/>
          <w:marBottom w:val="0"/>
          <w:divBdr>
            <w:top w:val="none" w:sz="0" w:space="0" w:color="auto"/>
            <w:left w:val="none" w:sz="0" w:space="0" w:color="auto"/>
            <w:bottom w:val="none" w:sz="0" w:space="0" w:color="auto"/>
            <w:right w:val="none" w:sz="0" w:space="0" w:color="auto"/>
          </w:divBdr>
        </w:div>
      </w:divsChild>
    </w:div>
    <w:div w:id="152180570">
      <w:marLeft w:val="0"/>
      <w:marRight w:val="0"/>
      <w:marTop w:val="0"/>
      <w:marBottom w:val="0"/>
      <w:divBdr>
        <w:top w:val="none" w:sz="0" w:space="0" w:color="auto"/>
        <w:left w:val="none" w:sz="0" w:space="0" w:color="auto"/>
        <w:bottom w:val="none" w:sz="0" w:space="0" w:color="auto"/>
        <w:right w:val="none" w:sz="0" w:space="0" w:color="auto"/>
      </w:divBdr>
      <w:divsChild>
        <w:div w:id="1878733607">
          <w:marLeft w:val="0"/>
          <w:marRight w:val="0"/>
          <w:marTop w:val="0"/>
          <w:marBottom w:val="0"/>
          <w:divBdr>
            <w:top w:val="none" w:sz="0" w:space="0" w:color="auto"/>
            <w:left w:val="none" w:sz="0" w:space="0" w:color="auto"/>
            <w:bottom w:val="none" w:sz="0" w:space="0" w:color="auto"/>
            <w:right w:val="none" w:sz="0" w:space="0" w:color="auto"/>
          </w:divBdr>
        </w:div>
      </w:divsChild>
    </w:div>
    <w:div w:id="158431065">
      <w:marLeft w:val="0"/>
      <w:marRight w:val="0"/>
      <w:marTop w:val="240"/>
      <w:marBottom w:val="0"/>
      <w:divBdr>
        <w:top w:val="none" w:sz="0" w:space="0" w:color="auto"/>
        <w:left w:val="none" w:sz="0" w:space="0" w:color="auto"/>
        <w:bottom w:val="none" w:sz="0" w:space="0" w:color="auto"/>
        <w:right w:val="none" w:sz="0" w:space="0" w:color="auto"/>
      </w:divBdr>
    </w:div>
    <w:div w:id="160240713">
      <w:marLeft w:val="0"/>
      <w:marRight w:val="0"/>
      <w:marTop w:val="0"/>
      <w:marBottom w:val="0"/>
      <w:divBdr>
        <w:top w:val="none" w:sz="0" w:space="0" w:color="auto"/>
        <w:left w:val="none" w:sz="0" w:space="0" w:color="auto"/>
        <w:bottom w:val="none" w:sz="0" w:space="0" w:color="auto"/>
        <w:right w:val="none" w:sz="0" w:space="0" w:color="auto"/>
      </w:divBdr>
    </w:div>
    <w:div w:id="161816306">
      <w:marLeft w:val="0"/>
      <w:marRight w:val="0"/>
      <w:marTop w:val="240"/>
      <w:marBottom w:val="0"/>
      <w:divBdr>
        <w:top w:val="none" w:sz="0" w:space="0" w:color="auto"/>
        <w:left w:val="none" w:sz="0" w:space="0" w:color="auto"/>
        <w:bottom w:val="none" w:sz="0" w:space="0" w:color="auto"/>
        <w:right w:val="none" w:sz="0" w:space="0" w:color="auto"/>
      </w:divBdr>
    </w:div>
    <w:div w:id="161897521">
      <w:marLeft w:val="0"/>
      <w:marRight w:val="0"/>
      <w:marTop w:val="0"/>
      <w:marBottom w:val="240"/>
      <w:divBdr>
        <w:top w:val="none" w:sz="0" w:space="0" w:color="auto"/>
        <w:left w:val="none" w:sz="0" w:space="0" w:color="auto"/>
        <w:bottom w:val="none" w:sz="0" w:space="0" w:color="auto"/>
        <w:right w:val="none" w:sz="0" w:space="0" w:color="auto"/>
      </w:divBdr>
    </w:div>
    <w:div w:id="162011386">
      <w:marLeft w:val="0"/>
      <w:marRight w:val="0"/>
      <w:marTop w:val="0"/>
      <w:marBottom w:val="0"/>
      <w:divBdr>
        <w:top w:val="none" w:sz="0" w:space="0" w:color="auto"/>
        <w:left w:val="none" w:sz="0" w:space="0" w:color="auto"/>
        <w:bottom w:val="none" w:sz="0" w:space="0" w:color="auto"/>
        <w:right w:val="none" w:sz="0" w:space="0" w:color="auto"/>
      </w:divBdr>
      <w:divsChild>
        <w:div w:id="1031145873">
          <w:marLeft w:val="0"/>
          <w:marRight w:val="0"/>
          <w:marTop w:val="0"/>
          <w:marBottom w:val="0"/>
          <w:divBdr>
            <w:top w:val="none" w:sz="0" w:space="0" w:color="auto"/>
            <w:left w:val="none" w:sz="0" w:space="0" w:color="auto"/>
            <w:bottom w:val="none" w:sz="0" w:space="0" w:color="auto"/>
            <w:right w:val="none" w:sz="0" w:space="0" w:color="auto"/>
          </w:divBdr>
        </w:div>
      </w:divsChild>
    </w:div>
    <w:div w:id="168906412">
      <w:marLeft w:val="0"/>
      <w:marRight w:val="0"/>
      <w:marTop w:val="0"/>
      <w:marBottom w:val="120"/>
      <w:divBdr>
        <w:top w:val="none" w:sz="0" w:space="0" w:color="auto"/>
        <w:left w:val="none" w:sz="0" w:space="0" w:color="auto"/>
        <w:bottom w:val="none" w:sz="0" w:space="0" w:color="auto"/>
        <w:right w:val="none" w:sz="0" w:space="0" w:color="auto"/>
      </w:divBdr>
    </w:div>
    <w:div w:id="169832088">
      <w:marLeft w:val="0"/>
      <w:marRight w:val="0"/>
      <w:marTop w:val="100"/>
      <w:marBottom w:val="120"/>
      <w:divBdr>
        <w:top w:val="none" w:sz="0" w:space="0" w:color="auto"/>
        <w:left w:val="none" w:sz="0" w:space="0" w:color="auto"/>
        <w:bottom w:val="none" w:sz="0" w:space="0" w:color="auto"/>
        <w:right w:val="none" w:sz="0" w:space="0" w:color="auto"/>
      </w:divBdr>
    </w:div>
    <w:div w:id="175116099">
      <w:marLeft w:val="0"/>
      <w:marRight w:val="0"/>
      <w:marTop w:val="240"/>
      <w:marBottom w:val="0"/>
      <w:divBdr>
        <w:top w:val="none" w:sz="0" w:space="0" w:color="auto"/>
        <w:left w:val="none" w:sz="0" w:space="0" w:color="auto"/>
        <w:bottom w:val="none" w:sz="0" w:space="0" w:color="auto"/>
        <w:right w:val="none" w:sz="0" w:space="0" w:color="auto"/>
      </w:divBdr>
    </w:div>
    <w:div w:id="181894949">
      <w:marLeft w:val="0"/>
      <w:marRight w:val="0"/>
      <w:marTop w:val="0"/>
      <w:marBottom w:val="0"/>
      <w:divBdr>
        <w:top w:val="none" w:sz="0" w:space="0" w:color="auto"/>
        <w:left w:val="none" w:sz="0" w:space="0" w:color="auto"/>
        <w:bottom w:val="none" w:sz="0" w:space="0" w:color="auto"/>
        <w:right w:val="none" w:sz="0" w:space="0" w:color="auto"/>
      </w:divBdr>
    </w:div>
    <w:div w:id="181938916">
      <w:marLeft w:val="0"/>
      <w:marRight w:val="0"/>
      <w:marTop w:val="240"/>
      <w:marBottom w:val="0"/>
      <w:divBdr>
        <w:top w:val="none" w:sz="0" w:space="0" w:color="auto"/>
        <w:left w:val="none" w:sz="0" w:space="0" w:color="auto"/>
        <w:bottom w:val="none" w:sz="0" w:space="0" w:color="auto"/>
        <w:right w:val="none" w:sz="0" w:space="0" w:color="auto"/>
      </w:divBdr>
    </w:div>
    <w:div w:id="184178920">
      <w:marLeft w:val="0"/>
      <w:marRight w:val="0"/>
      <w:marTop w:val="0"/>
      <w:marBottom w:val="0"/>
      <w:divBdr>
        <w:top w:val="none" w:sz="0" w:space="0" w:color="auto"/>
        <w:left w:val="none" w:sz="0" w:space="0" w:color="auto"/>
        <w:bottom w:val="none" w:sz="0" w:space="0" w:color="auto"/>
        <w:right w:val="none" w:sz="0" w:space="0" w:color="auto"/>
      </w:divBdr>
      <w:divsChild>
        <w:div w:id="1680933832">
          <w:marLeft w:val="0"/>
          <w:marRight w:val="0"/>
          <w:marTop w:val="0"/>
          <w:marBottom w:val="0"/>
          <w:divBdr>
            <w:top w:val="none" w:sz="0" w:space="0" w:color="auto"/>
            <w:left w:val="none" w:sz="0" w:space="0" w:color="auto"/>
            <w:bottom w:val="none" w:sz="0" w:space="0" w:color="auto"/>
            <w:right w:val="none" w:sz="0" w:space="0" w:color="auto"/>
          </w:divBdr>
        </w:div>
      </w:divsChild>
    </w:div>
    <w:div w:id="185098592">
      <w:marLeft w:val="0"/>
      <w:marRight w:val="0"/>
      <w:marTop w:val="0"/>
      <w:marBottom w:val="0"/>
      <w:divBdr>
        <w:top w:val="none" w:sz="0" w:space="0" w:color="auto"/>
        <w:left w:val="none" w:sz="0" w:space="0" w:color="auto"/>
        <w:bottom w:val="none" w:sz="0" w:space="0" w:color="auto"/>
        <w:right w:val="none" w:sz="0" w:space="0" w:color="auto"/>
      </w:divBdr>
      <w:divsChild>
        <w:div w:id="2028947404">
          <w:marLeft w:val="0"/>
          <w:marRight w:val="0"/>
          <w:marTop w:val="0"/>
          <w:marBottom w:val="0"/>
          <w:divBdr>
            <w:top w:val="none" w:sz="0" w:space="0" w:color="auto"/>
            <w:left w:val="none" w:sz="0" w:space="0" w:color="auto"/>
            <w:bottom w:val="none" w:sz="0" w:space="0" w:color="auto"/>
            <w:right w:val="none" w:sz="0" w:space="0" w:color="auto"/>
          </w:divBdr>
        </w:div>
      </w:divsChild>
    </w:div>
    <w:div w:id="185677413">
      <w:marLeft w:val="0"/>
      <w:marRight w:val="0"/>
      <w:marTop w:val="240"/>
      <w:marBottom w:val="0"/>
      <w:divBdr>
        <w:top w:val="none" w:sz="0" w:space="0" w:color="auto"/>
        <w:left w:val="none" w:sz="0" w:space="0" w:color="auto"/>
        <w:bottom w:val="none" w:sz="0" w:space="0" w:color="auto"/>
        <w:right w:val="none" w:sz="0" w:space="0" w:color="auto"/>
      </w:divBdr>
    </w:div>
    <w:div w:id="186451485">
      <w:marLeft w:val="0"/>
      <w:marRight w:val="0"/>
      <w:marTop w:val="240"/>
      <w:marBottom w:val="0"/>
      <w:divBdr>
        <w:top w:val="none" w:sz="0" w:space="0" w:color="auto"/>
        <w:left w:val="none" w:sz="0" w:space="0" w:color="auto"/>
        <w:bottom w:val="none" w:sz="0" w:space="0" w:color="auto"/>
        <w:right w:val="none" w:sz="0" w:space="0" w:color="auto"/>
      </w:divBdr>
    </w:div>
    <w:div w:id="189997843">
      <w:marLeft w:val="0"/>
      <w:marRight w:val="0"/>
      <w:marTop w:val="0"/>
      <w:marBottom w:val="240"/>
      <w:divBdr>
        <w:top w:val="none" w:sz="0" w:space="0" w:color="auto"/>
        <w:left w:val="none" w:sz="0" w:space="0" w:color="auto"/>
        <w:bottom w:val="none" w:sz="0" w:space="0" w:color="auto"/>
        <w:right w:val="none" w:sz="0" w:space="0" w:color="auto"/>
      </w:divBdr>
    </w:div>
    <w:div w:id="190337002">
      <w:marLeft w:val="0"/>
      <w:marRight w:val="0"/>
      <w:marTop w:val="0"/>
      <w:marBottom w:val="120"/>
      <w:divBdr>
        <w:top w:val="none" w:sz="0" w:space="0" w:color="auto"/>
        <w:left w:val="none" w:sz="0" w:space="0" w:color="auto"/>
        <w:bottom w:val="none" w:sz="0" w:space="0" w:color="auto"/>
        <w:right w:val="none" w:sz="0" w:space="0" w:color="auto"/>
      </w:divBdr>
    </w:div>
    <w:div w:id="192767954">
      <w:marLeft w:val="0"/>
      <w:marRight w:val="0"/>
      <w:marTop w:val="0"/>
      <w:marBottom w:val="0"/>
      <w:divBdr>
        <w:top w:val="none" w:sz="0" w:space="0" w:color="auto"/>
        <w:left w:val="none" w:sz="0" w:space="0" w:color="auto"/>
        <w:bottom w:val="none" w:sz="0" w:space="0" w:color="auto"/>
        <w:right w:val="none" w:sz="0" w:space="0" w:color="auto"/>
      </w:divBdr>
      <w:divsChild>
        <w:div w:id="1632975860">
          <w:marLeft w:val="0"/>
          <w:marRight w:val="0"/>
          <w:marTop w:val="0"/>
          <w:marBottom w:val="0"/>
          <w:divBdr>
            <w:top w:val="none" w:sz="0" w:space="0" w:color="auto"/>
            <w:left w:val="none" w:sz="0" w:space="0" w:color="auto"/>
            <w:bottom w:val="none" w:sz="0" w:space="0" w:color="auto"/>
            <w:right w:val="none" w:sz="0" w:space="0" w:color="auto"/>
          </w:divBdr>
        </w:div>
      </w:divsChild>
    </w:div>
    <w:div w:id="199560275">
      <w:marLeft w:val="0"/>
      <w:marRight w:val="0"/>
      <w:marTop w:val="0"/>
      <w:marBottom w:val="240"/>
      <w:divBdr>
        <w:top w:val="none" w:sz="0" w:space="0" w:color="auto"/>
        <w:left w:val="none" w:sz="0" w:space="0" w:color="auto"/>
        <w:bottom w:val="none" w:sz="0" w:space="0" w:color="auto"/>
        <w:right w:val="none" w:sz="0" w:space="0" w:color="auto"/>
      </w:divBdr>
    </w:div>
    <w:div w:id="200214161">
      <w:marLeft w:val="0"/>
      <w:marRight w:val="0"/>
      <w:marTop w:val="240"/>
      <w:marBottom w:val="0"/>
      <w:divBdr>
        <w:top w:val="none" w:sz="0" w:space="0" w:color="auto"/>
        <w:left w:val="none" w:sz="0" w:space="0" w:color="auto"/>
        <w:bottom w:val="none" w:sz="0" w:space="0" w:color="auto"/>
        <w:right w:val="none" w:sz="0" w:space="0" w:color="auto"/>
      </w:divBdr>
    </w:div>
    <w:div w:id="200942733">
      <w:marLeft w:val="0"/>
      <w:marRight w:val="0"/>
      <w:marTop w:val="0"/>
      <w:marBottom w:val="0"/>
      <w:divBdr>
        <w:top w:val="none" w:sz="0" w:space="0" w:color="auto"/>
        <w:left w:val="none" w:sz="0" w:space="0" w:color="auto"/>
        <w:bottom w:val="none" w:sz="0" w:space="0" w:color="auto"/>
        <w:right w:val="none" w:sz="0" w:space="0" w:color="auto"/>
      </w:divBdr>
    </w:div>
    <w:div w:id="206528295">
      <w:marLeft w:val="0"/>
      <w:marRight w:val="0"/>
      <w:marTop w:val="240"/>
      <w:marBottom w:val="0"/>
      <w:divBdr>
        <w:top w:val="none" w:sz="0" w:space="0" w:color="auto"/>
        <w:left w:val="none" w:sz="0" w:space="0" w:color="auto"/>
        <w:bottom w:val="none" w:sz="0" w:space="0" w:color="auto"/>
        <w:right w:val="none" w:sz="0" w:space="0" w:color="auto"/>
      </w:divBdr>
    </w:div>
    <w:div w:id="211507752">
      <w:marLeft w:val="0"/>
      <w:marRight w:val="0"/>
      <w:marTop w:val="240"/>
      <w:marBottom w:val="0"/>
      <w:divBdr>
        <w:top w:val="none" w:sz="0" w:space="0" w:color="auto"/>
        <w:left w:val="none" w:sz="0" w:space="0" w:color="auto"/>
        <w:bottom w:val="none" w:sz="0" w:space="0" w:color="auto"/>
        <w:right w:val="none" w:sz="0" w:space="0" w:color="auto"/>
      </w:divBdr>
    </w:div>
    <w:div w:id="217862665">
      <w:marLeft w:val="0"/>
      <w:marRight w:val="0"/>
      <w:marTop w:val="240"/>
      <w:marBottom w:val="240"/>
      <w:divBdr>
        <w:top w:val="none" w:sz="0" w:space="0" w:color="auto"/>
        <w:left w:val="none" w:sz="0" w:space="0" w:color="auto"/>
        <w:bottom w:val="none" w:sz="0" w:space="0" w:color="auto"/>
        <w:right w:val="none" w:sz="0" w:space="0" w:color="auto"/>
      </w:divBdr>
    </w:div>
    <w:div w:id="218396428">
      <w:marLeft w:val="0"/>
      <w:marRight w:val="0"/>
      <w:marTop w:val="240"/>
      <w:marBottom w:val="0"/>
      <w:divBdr>
        <w:top w:val="none" w:sz="0" w:space="0" w:color="auto"/>
        <w:left w:val="none" w:sz="0" w:space="0" w:color="auto"/>
        <w:bottom w:val="none" w:sz="0" w:space="0" w:color="auto"/>
        <w:right w:val="none" w:sz="0" w:space="0" w:color="auto"/>
      </w:divBdr>
    </w:div>
    <w:div w:id="219832846">
      <w:marLeft w:val="0"/>
      <w:marRight w:val="0"/>
      <w:marTop w:val="240"/>
      <w:marBottom w:val="0"/>
      <w:divBdr>
        <w:top w:val="none" w:sz="0" w:space="0" w:color="auto"/>
        <w:left w:val="none" w:sz="0" w:space="0" w:color="auto"/>
        <w:bottom w:val="none" w:sz="0" w:space="0" w:color="auto"/>
        <w:right w:val="none" w:sz="0" w:space="0" w:color="auto"/>
      </w:divBdr>
    </w:div>
    <w:div w:id="220141077">
      <w:marLeft w:val="0"/>
      <w:marRight w:val="0"/>
      <w:marTop w:val="0"/>
      <w:marBottom w:val="0"/>
      <w:divBdr>
        <w:top w:val="none" w:sz="0" w:space="0" w:color="auto"/>
        <w:left w:val="none" w:sz="0" w:space="0" w:color="auto"/>
        <w:bottom w:val="none" w:sz="0" w:space="0" w:color="auto"/>
        <w:right w:val="none" w:sz="0" w:space="0" w:color="auto"/>
      </w:divBdr>
      <w:divsChild>
        <w:div w:id="1911229181">
          <w:marLeft w:val="0"/>
          <w:marRight w:val="0"/>
          <w:marTop w:val="0"/>
          <w:marBottom w:val="0"/>
          <w:divBdr>
            <w:top w:val="none" w:sz="0" w:space="0" w:color="auto"/>
            <w:left w:val="none" w:sz="0" w:space="0" w:color="auto"/>
            <w:bottom w:val="none" w:sz="0" w:space="0" w:color="auto"/>
            <w:right w:val="none" w:sz="0" w:space="0" w:color="auto"/>
          </w:divBdr>
        </w:div>
      </w:divsChild>
    </w:div>
    <w:div w:id="224951428">
      <w:marLeft w:val="0"/>
      <w:marRight w:val="0"/>
      <w:marTop w:val="0"/>
      <w:marBottom w:val="0"/>
      <w:divBdr>
        <w:top w:val="none" w:sz="0" w:space="0" w:color="auto"/>
        <w:left w:val="none" w:sz="0" w:space="0" w:color="auto"/>
        <w:bottom w:val="none" w:sz="0" w:space="0" w:color="auto"/>
        <w:right w:val="none" w:sz="0" w:space="0" w:color="auto"/>
      </w:divBdr>
    </w:div>
    <w:div w:id="228883852">
      <w:marLeft w:val="0"/>
      <w:marRight w:val="0"/>
      <w:marTop w:val="0"/>
      <w:marBottom w:val="0"/>
      <w:divBdr>
        <w:top w:val="none" w:sz="0" w:space="0" w:color="auto"/>
        <w:left w:val="none" w:sz="0" w:space="0" w:color="auto"/>
        <w:bottom w:val="none" w:sz="0" w:space="0" w:color="auto"/>
        <w:right w:val="none" w:sz="0" w:space="0" w:color="auto"/>
      </w:divBdr>
    </w:div>
    <w:div w:id="229076257">
      <w:marLeft w:val="0"/>
      <w:marRight w:val="0"/>
      <w:marTop w:val="240"/>
      <w:marBottom w:val="0"/>
      <w:divBdr>
        <w:top w:val="none" w:sz="0" w:space="0" w:color="auto"/>
        <w:left w:val="none" w:sz="0" w:space="0" w:color="auto"/>
        <w:bottom w:val="none" w:sz="0" w:space="0" w:color="auto"/>
        <w:right w:val="none" w:sz="0" w:space="0" w:color="auto"/>
      </w:divBdr>
    </w:div>
    <w:div w:id="231624172">
      <w:marLeft w:val="0"/>
      <w:marRight w:val="0"/>
      <w:marTop w:val="0"/>
      <w:marBottom w:val="240"/>
      <w:divBdr>
        <w:top w:val="none" w:sz="0" w:space="0" w:color="auto"/>
        <w:left w:val="none" w:sz="0" w:space="0" w:color="auto"/>
        <w:bottom w:val="none" w:sz="0" w:space="0" w:color="auto"/>
        <w:right w:val="none" w:sz="0" w:space="0" w:color="auto"/>
      </w:divBdr>
    </w:div>
    <w:div w:id="232399942">
      <w:marLeft w:val="0"/>
      <w:marRight w:val="0"/>
      <w:marTop w:val="0"/>
      <w:marBottom w:val="240"/>
      <w:divBdr>
        <w:top w:val="none" w:sz="0" w:space="0" w:color="auto"/>
        <w:left w:val="none" w:sz="0" w:space="0" w:color="auto"/>
        <w:bottom w:val="none" w:sz="0" w:space="0" w:color="auto"/>
        <w:right w:val="none" w:sz="0" w:space="0" w:color="auto"/>
      </w:divBdr>
    </w:div>
    <w:div w:id="234827203">
      <w:marLeft w:val="0"/>
      <w:marRight w:val="0"/>
      <w:marTop w:val="240"/>
      <w:marBottom w:val="0"/>
      <w:divBdr>
        <w:top w:val="none" w:sz="0" w:space="0" w:color="auto"/>
        <w:left w:val="none" w:sz="0" w:space="0" w:color="auto"/>
        <w:bottom w:val="none" w:sz="0" w:space="0" w:color="auto"/>
        <w:right w:val="none" w:sz="0" w:space="0" w:color="auto"/>
      </w:divBdr>
    </w:div>
    <w:div w:id="235171278">
      <w:marLeft w:val="0"/>
      <w:marRight w:val="0"/>
      <w:marTop w:val="0"/>
      <w:marBottom w:val="240"/>
      <w:divBdr>
        <w:top w:val="none" w:sz="0" w:space="0" w:color="auto"/>
        <w:left w:val="none" w:sz="0" w:space="0" w:color="auto"/>
        <w:bottom w:val="none" w:sz="0" w:space="0" w:color="auto"/>
        <w:right w:val="none" w:sz="0" w:space="0" w:color="auto"/>
      </w:divBdr>
    </w:div>
    <w:div w:id="237130390">
      <w:marLeft w:val="0"/>
      <w:marRight w:val="0"/>
      <w:marTop w:val="0"/>
      <w:marBottom w:val="200"/>
      <w:divBdr>
        <w:top w:val="none" w:sz="0" w:space="0" w:color="auto"/>
        <w:left w:val="none" w:sz="0" w:space="0" w:color="auto"/>
        <w:bottom w:val="none" w:sz="0" w:space="0" w:color="auto"/>
        <w:right w:val="none" w:sz="0" w:space="0" w:color="auto"/>
      </w:divBdr>
    </w:div>
    <w:div w:id="238564823">
      <w:marLeft w:val="0"/>
      <w:marRight w:val="0"/>
      <w:marTop w:val="0"/>
      <w:marBottom w:val="0"/>
      <w:divBdr>
        <w:top w:val="none" w:sz="0" w:space="0" w:color="auto"/>
        <w:left w:val="none" w:sz="0" w:space="0" w:color="auto"/>
        <w:bottom w:val="none" w:sz="0" w:space="0" w:color="auto"/>
        <w:right w:val="none" w:sz="0" w:space="0" w:color="auto"/>
      </w:divBdr>
      <w:divsChild>
        <w:div w:id="1639801069">
          <w:marLeft w:val="0"/>
          <w:marRight w:val="0"/>
          <w:marTop w:val="0"/>
          <w:marBottom w:val="0"/>
          <w:divBdr>
            <w:top w:val="none" w:sz="0" w:space="0" w:color="auto"/>
            <w:left w:val="none" w:sz="0" w:space="0" w:color="auto"/>
            <w:bottom w:val="none" w:sz="0" w:space="0" w:color="auto"/>
            <w:right w:val="none" w:sz="0" w:space="0" w:color="auto"/>
          </w:divBdr>
        </w:div>
      </w:divsChild>
    </w:div>
    <w:div w:id="239560486">
      <w:marLeft w:val="0"/>
      <w:marRight w:val="0"/>
      <w:marTop w:val="240"/>
      <w:marBottom w:val="0"/>
      <w:divBdr>
        <w:top w:val="none" w:sz="0" w:space="0" w:color="auto"/>
        <w:left w:val="none" w:sz="0" w:space="0" w:color="auto"/>
        <w:bottom w:val="none" w:sz="0" w:space="0" w:color="auto"/>
        <w:right w:val="none" w:sz="0" w:space="0" w:color="auto"/>
      </w:divBdr>
    </w:div>
    <w:div w:id="242833348">
      <w:marLeft w:val="0"/>
      <w:marRight w:val="0"/>
      <w:marTop w:val="120"/>
      <w:marBottom w:val="0"/>
      <w:divBdr>
        <w:top w:val="none" w:sz="0" w:space="0" w:color="auto"/>
        <w:left w:val="none" w:sz="0" w:space="0" w:color="auto"/>
        <w:bottom w:val="none" w:sz="0" w:space="0" w:color="auto"/>
        <w:right w:val="none" w:sz="0" w:space="0" w:color="auto"/>
      </w:divBdr>
    </w:div>
    <w:div w:id="247158285">
      <w:marLeft w:val="0"/>
      <w:marRight w:val="0"/>
      <w:marTop w:val="240"/>
      <w:marBottom w:val="0"/>
      <w:divBdr>
        <w:top w:val="none" w:sz="0" w:space="0" w:color="auto"/>
        <w:left w:val="none" w:sz="0" w:space="0" w:color="auto"/>
        <w:bottom w:val="none" w:sz="0" w:space="0" w:color="auto"/>
        <w:right w:val="none" w:sz="0" w:space="0" w:color="auto"/>
      </w:divBdr>
    </w:div>
    <w:div w:id="251551334">
      <w:marLeft w:val="0"/>
      <w:marRight w:val="0"/>
      <w:marTop w:val="0"/>
      <w:marBottom w:val="240"/>
      <w:divBdr>
        <w:top w:val="none" w:sz="0" w:space="0" w:color="auto"/>
        <w:left w:val="none" w:sz="0" w:space="0" w:color="auto"/>
        <w:bottom w:val="none" w:sz="0" w:space="0" w:color="auto"/>
        <w:right w:val="none" w:sz="0" w:space="0" w:color="auto"/>
      </w:divBdr>
    </w:div>
    <w:div w:id="251594300">
      <w:marLeft w:val="0"/>
      <w:marRight w:val="0"/>
      <w:marTop w:val="0"/>
      <w:marBottom w:val="0"/>
      <w:divBdr>
        <w:top w:val="none" w:sz="0" w:space="0" w:color="auto"/>
        <w:left w:val="none" w:sz="0" w:space="0" w:color="auto"/>
        <w:bottom w:val="none" w:sz="0" w:space="0" w:color="auto"/>
        <w:right w:val="none" w:sz="0" w:space="0" w:color="auto"/>
      </w:divBdr>
      <w:divsChild>
        <w:div w:id="1535651633">
          <w:marLeft w:val="0"/>
          <w:marRight w:val="0"/>
          <w:marTop w:val="0"/>
          <w:marBottom w:val="0"/>
          <w:divBdr>
            <w:top w:val="none" w:sz="0" w:space="0" w:color="auto"/>
            <w:left w:val="none" w:sz="0" w:space="0" w:color="auto"/>
            <w:bottom w:val="none" w:sz="0" w:space="0" w:color="auto"/>
            <w:right w:val="none" w:sz="0" w:space="0" w:color="auto"/>
          </w:divBdr>
        </w:div>
      </w:divsChild>
    </w:div>
    <w:div w:id="251743560">
      <w:marLeft w:val="0"/>
      <w:marRight w:val="0"/>
      <w:marTop w:val="0"/>
      <w:marBottom w:val="0"/>
      <w:divBdr>
        <w:top w:val="none" w:sz="0" w:space="0" w:color="auto"/>
        <w:left w:val="none" w:sz="0" w:space="0" w:color="auto"/>
        <w:bottom w:val="none" w:sz="0" w:space="0" w:color="auto"/>
        <w:right w:val="none" w:sz="0" w:space="0" w:color="auto"/>
      </w:divBdr>
      <w:divsChild>
        <w:div w:id="1035815741">
          <w:marLeft w:val="0"/>
          <w:marRight w:val="0"/>
          <w:marTop w:val="0"/>
          <w:marBottom w:val="0"/>
          <w:divBdr>
            <w:top w:val="none" w:sz="0" w:space="0" w:color="auto"/>
            <w:left w:val="none" w:sz="0" w:space="0" w:color="auto"/>
            <w:bottom w:val="none" w:sz="0" w:space="0" w:color="auto"/>
            <w:right w:val="none" w:sz="0" w:space="0" w:color="auto"/>
          </w:divBdr>
        </w:div>
      </w:divsChild>
    </w:div>
    <w:div w:id="252132747">
      <w:marLeft w:val="0"/>
      <w:marRight w:val="0"/>
      <w:marTop w:val="240"/>
      <w:marBottom w:val="0"/>
      <w:divBdr>
        <w:top w:val="none" w:sz="0" w:space="0" w:color="auto"/>
        <w:left w:val="none" w:sz="0" w:space="0" w:color="auto"/>
        <w:bottom w:val="none" w:sz="0" w:space="0" w:color="auto"/>
        <w:right w:val="none" w:sz="0" w:space="0" w:color="auto"/>
      </w:divBdr>
    </w:div>
    <w:div w:id="253170232">
      <w:marLeft w:val="0"/>
      <w:marRight w:val="0"/>
      <w:marTop w:val="200"/>
      <w:marBottom w:val="0"/>
      <w:divBdr>
        <w:top w:val="none" w:sz="0" w:space="0" w:color="auto"/>
        <w:left w:val="none" w:sz="0" w:space="0" w:color="auto"/>
        <w:bottom w:val="none" w:sz="0" w:space="0" w:color="auto"/>
        <w:right w:val="none" w:sz="0" w:space="0" w:color="auto"/>
      </w:divBdr>
    </w:div>
    <w:div w:id="253901653">
      <w:marLeft w:val="0"/>
      <w:marRight w:val="0"/>
      <w:marTop w:val="0"/>
      <w:marBottom w:val="240"/>
      <w:divBdr>
        <w:top w:val="none" w:sz="0" w:space="0" w:color="auto"/>
        <w:left w:val="none" w:sz="0" w:space="0" w:color="auto"/>
        <w:bottom w:val="none" w:sz="0" w:space="0" w:color="auto"/>
        <w:right w:val="none" w:sz="0" w:space="0" w:color="auto"/>
      </w:divBdr>
    </w:div>
    <w:div w:id="254367549">
      <w:marLeft w:val="0"/>
      <w:marRight w:val="0"/>
      <w:marTop w:val="240"/>
      <w:marBottom w:val="0"/>
      <w:divBdr>
        <w:top w:val="none" w:sz="0" w:space="0" w:color="auto"/>
        <w:left w:val="none" w:sz="0" w:space="0" w:color="auto"/>
        <w:bottom w:val="none" w:sz="0" w:space="0" w:color="auto"/>
        <w:right w:val="none" w:sz="0" w:space="0" w:color="auto"/>
      </w:divBdr>
    </w:div>
    <w:div w:id="254438133">
      <w:marLeft w:val="0"/>
      <w:marRight w:val="0"/>
      <w:marTop w:val="0"/>
      <w:marBottom w:val="240"/>
      <w:divBdr>
        <w:top w:val="none" w:sz="0" w:space="0" w:color="auto"/>
        <w:left w:val="none" w:sz="0" w:space="0" w:color="auto"/>
        <w:bottom w:val="none" w:sz="0" w:space="0" w:color="auto"/>
        <w:right w:val="none" w:sz="0" w:space="0" w:color="auto"/>
      </w:divBdr>
    </w:div>
    <w:div w:id="257299405">
      <w:marLeft w:val="0"/>
      <w:marRight w:val="0"/>
      <w:marTop w:val="240"/>
      <w:marBottom w:val="240"/>
      <w:divBdr>
        <w:top w:val="none" w:sz="0" w:space="0" w:color="auto"/>
        <w:left w:val="none" w:sz="0" w:space="0" w:color="auto"/>
        <w:bottom w:val="none" w:sz="0" w:space="0" w:color="auto"/>
        <w:right w:val="none" w:sz="0" w:space="0" w:color="auto"/>
      </w:divBdr>
    </w:div>
    <w:div w:id="258605894">
      <w:marLeft w:val="0"/>
      <w:marRight w:val="0"/>
      <w:marTop w:val="0"/>
      <w:marBottom w:val="0"/>
      <w:divBdr>
        <w:top w:val="none" w:sz="0" w:space="0" w:color="auto"/>
        <w:left w:val="none" w:sz="0" w:space="0" w:color="auto"/>
        <w:bottom w:val="none" w:sz="0" w:space="0" w:color="auto"/>
        <w:right w:val="none" w:sz="0" w:space="0" w:color="auto"/>
      </w:divBdr>
      <w:divsChild>
        <w:div w:id="1317300482">
          <w:marLeft w:val="0"/>
          <w:marRight w:val="0"/>
          <w:marTop w:val="0"/>
          <w:marBottom w:val="0"/>
          <w:divBdr>
            <w:top w:val="none" w:sz="0" w:space="0" w:color="auto"/>
            <w:left w:val="none" w:sz="0" w:space="0" w:color="auto"/>
            <w:bottom w:val="none" w:sz="0" w:space="0" w:color="auto"/>
            <w:right w:val="none" w:sz="0" w:space="0" w:color="auto"/>
          </w:divBdr>
        </w:div>
      </w:divsChild>
    </w:div>
    <w:div w:id="261187366">
      <w:marLeft w:val="0"/>
      <w:marRight w:val="0"/>
      <w:marTop w:val="100"/>
      <w:marBottom w:val="0"/>
      <w:divBdr>
        <w:top w:val="none" w:sz="0" w:space="0" w:color="auto"/>
        <w:left w:val="none" w:sz="0" w:space="0" w:color="auto"/>
        <w:bottom w:val="none" w:sz="0" w:space="0" w:color="auto"/>
        <w:right w:val="none" w:sz="0" w:space="0" w:color="auto"/>
      </w:divBdr>
    </w:div>
    <w:div w:id="261695015">
      <w:marLeft w:val="0"/>
      <w:marRight w:val="0"/>
      <w:marTop w:val="240"/>
      <w:marBottom w:val="0"/>
      <w:divBdr>
        <w:top w:val="none" w:sz="0" w:space="0" w:color="auto"/>
        <w:left w:val="none" w:sz="0" w:space="0" w:color="auto"/>
        <w:bottom w:val="none" w:sz="0" w:space="0" w:color="auto"/>
        <w:right w:val="none" w:sz="0" w:space="0" w:color="auto"/>
      </w:divBdr>
    </w:div>
    <w:div w:id="267857173">
      <w:marLeft w:val="0"/>
      <w:marRight w:val="0"/>
      <w:marTop w:val="0"/>
      <w:marBottom w:val="120"/>
      <w:divBdr>
        <w:top w:val="none" w:sz="0" w:space="0" w:color="auto"/>
        <w:left w:val="none" w:sz="0" w:space="0" w:color="auto"/>
        <w:bottom w:val="none" w:sz="0" w:space="0" w:color="auto"/>
        <w:right w:val="none" w:sz="0" w:space="0" w:color="auto"/>
      </w:divBdr>
    </w:div>
    <w:div w:id="268120354">
      <w:marLeft w:val="0"/>
      <w:marRight w:val="0"/>
      <w:marTop w:val="240"/>
      <w:marBottom w:val="0"/>
      <w:divBdr>
        <w:top w:val="none" w:sz="0" w:space="0" w:color="auto"/>
        <w:left w:val="none" w:sz="0" w:space="0" w:color="auto"/>
        <w:bottom w:val="none" w:sz="0" w:space="0" w:color="auto"/>
        <w:right w:val="none" w:sz="0" w:space="0" w:color="auto"/>
      </w:divBdr>
    </w:div>
    <w:div w:id="268511331">
      <w:marLeft w:val="0"/>
      <w:marRight w:val="0"/>
      <w:marTop w:val="0"/>
      <w:marBottom w:val="0"/>
      <w:divBdr>
        <w:top w:val="none" w:sz="0" w:space="0" w:color="auto"/>
        <w:left w:val="none" w:sz="0" w:space="0" w:color="auto"/>
        <w:bottom w:val="none" w:sz="0" w:space="0" w:color="auto"/>
        <w:right w:val="none" w:sz="0" w:space="0" w:color="auto"/>
      </w:divBdr>
      <w:divsChild>
        <w:div w:id="840507845">
          <w:marLeft w:val="0"/>
          <w:marRight w:val="0"/>
          <w:marTop w:val="0"/>
          <w:marBottom w:val="0"/>
          <w:divBdr>
            <w:top w:val="none" w:sz="0" w:space="0" w:color="auto"/>
            <w:left w:val="none" w:sz="0" w:space="0" w:color="auto"/>
            <w:bottom w:val="none" w:sz="0" w:space="0" w:color="auto"/>
            <w:right w:val="none" w:sz="0" w:space="0" w:color="auto"/>
          </w:divBdr>
        </w:div>
      </w:divsChild>
    </w:div>
    <w:div w:id="268659693">
      <w:marLeft w:val="0"/>
      <w:marRight w:val="0"/>
      <w:marTop w:val="240"/>
      <w:marBottom w:val="0"/>
      <w:divBdr>
        <w:top w:val="none" w:sz="0" w:space="0" w:color="auto"/>
        <w:left w:val="none" w:sz="0" w:space="0" w:color="auto"/>
        <w:bottom w:val="none" w:sz="0" w:space="0" w:color="auto"/>
        <w:right w:val="none" w:sz="0" w:space="0" w:color="auto"/>
      </w:divBdr>
    </w:div>
    <w:div w:id="270402428">
      <w:marLeft w:val="0"/>
      <w:marRight w:val="0"/>
      <w:marTop w:val="240"/>
      <w:marBottom w:val="0"/>
      <w:divBdr>
        <w:top w:val="none" w:sz="0" w:space="0" w:color="auto"/>
        <w:left w:val="none" w:sz="0" w:space="0" w:color="auto"/>
        <w:bottom w:val="none" w:sz="0" w:space="0" w:color="auto"/>
        <w:right w:val="none" w:sz="0" w:space="0" w:color="auto"/>
      </w:divBdr>
    </w:div>
    <w:div w:id="271859121">
      <w:marLeft w:val="0"/>
      <w:marRight w:val="0"/>
      <w:marTop w:val="0"/>
      <w:marBottom w:val="240"/>
      <w:divBdr>
        <w:top w:val="none" w:sz="0" w:space="0" w:color="auto"/>
        <w:left w:val="none" w:sz="0" w:space="0" w:color="auto"/>
        <w:bottom w:val="none" w:sz="0" w:space="0" w:color="auto"/>
        <w:right w:val="none" w:sz="0" w:space="0" w:color="auto"/>
      </w:divBdr>
    </w:div>
    <w:div w:id="274600106">
      <w:marLeft w:val="0"/>
      <w:marRight w:val="0"/>
      <w:marTop w:val="240"/>
      <w:marBottom w:val="0"/>
      <w:divBdr>
        <w:top w:val="none" w:sz="0" w:space="0" w:color="auto"/>
        <w:left w:val="none" w:sz="0" w:space="0" w:color="auto"/>
        <w:bottom w:val="none" w:sz="0" w:space="0" w:color="auto"/>
        <w:right w:val="none" w:sz="0" w:space="0" w:color="auto"/>
      </w:divBdr>
    </w:div>
    <w:div w:id="274752012">
      <w:marLeft w:val="0"/>
      <w:marRight w:val="0"/>
      <w:marTop w:val="0"/>
      <w:marBottom w:val="0"/>
      <w:divBdr>
        <w:top w:val="none" w:sz="0" w:space="0" w:color="auto"/>
        <w:left w:val="none" w:sz="0" w:space="0" w:color="auto"/>
        <w:bottom w:val="none" w:sz="0" w:space="0" w:color="auto"/>
        <w:right w:val="none" w:sz="0" w:space="0" w:color="auto"/>
      </w:divBdr>
      <w:divsChild>
        <w:div w:id="1438403316">
          <w:marLeft w:val="0"/>
          <w:marRight w:val="0"/>
          <w:marTop w:val="0"/>
          <w:marBottom w:val="0"/>
          <w:divBdr>
            <w:top w:val="none" w:sz="0" w:space="0" w:color="auto"/>
            <w:left w:val="none" w:sz="0" w:space="0" w:color="auto"/>
            <w:bottom w:val="none" w:sz="0" w:space="0" w:color="auto"/>
            <w:right w:val="none" w:sz="0" w:space="0" w:color="auto"/>
          </w:divBdr>
        </w:div>
      </w:divsChild>
    </w:div>
    <w:div w:id="276716811">
      <w:marLeft w:val="0"/>
      <w:marRight w:val="0"/>
      <w:marTop w:val="0"/>
      <w:marBottom w:val="240"/>
      <w:divBdr>
        <w:top w:val="none" w:sz="0" w:space="0" w:color="auto"/>
        <w:left w:val="none" w:sz="0" w:space="0" w:color="auto"/>
        <w:bottom w:val="none" w:sz="0" w:space="0" w:color="auto"/>
        <w:right w:val="none" w:sz="0" w:space="0" w:color="auto"/>
      </w:divBdr>
    </w:div>
    <w:div w:id="277685512">
      <w:marLeft w:val="0"/>
      <w:marRight w:val="0"/>
      <w:marTop w:val="0"/>
      <w:marBottom w:val="120"/>
      <w:divBdr>
        <w:top w:val="none" w:sz="0" w:space="0" w:color="auto"/>
        <w:left w:val="none" w:sz="0" w:space="0" w:color="auto"/>
        <w:bottom w:val="none" w:sz="0" w:space="0" w:color="auto"/>
        <w:right w:val="none" w:sz="0" w:space="0" w:color="auto"/>
      </w:divBdr>
    </w:div>
    <w:div w:id="280188568">
      <w:marLeft w:val="0"/>
      <w:marRight w:val="0"/>
      <w:marTop w:val="240"/>
      <w:marBottom w:val="0"/>
      <w:divBdr>
        <w:top w:val="none" w:sz="0" w:space="0" w:color="auto"/>
        <w:left w:val="none" w:sz="0" w:space="0" w:color="auto"/>
        <w:bottom w:val="none" w:sz="0" w:space="0" w:color="auto"/>
        <w:right w:val="none" w:sz="0" w:space="0" w:color="auto"/>
      </w:divBdr>
    </w:div>
    <w:div w:id="281230013">
      <w:marLeft w:val="0"/>
      <w:marRight w:val="0"/>
      <w:marTop w:val="240"/>
      <w:marBottom w:val="0"/>
      <w:divBdr>
        <w:top w:val="none" w:sz="0" w:space="0" w:color="auto"/>
        <w:left w:val="none" w:sz="0" w:space="0" w:color="auto"/>
        <w:bottom w:val="none" w:sz="0" w:space="0" w:color="auto"/>
        <w:right w:val="none" w:sz="0" w:space="0" w:color="auto"/>
      </w:divBdr>
    </w:div>
    <w:div w:id="281494877">
      <w:marLeft w:val="0"/>
      <w:marRight w:val="0"/>
      <w:marTop w:val="240"/>
      <w:marBottom w:val="0"/>
      <w:divBdr>
        <w:top w:val="none" w:sz="0" w:space="0" w:color="auto"/>
        <w:left w:val="none" w:sz="0" w:space="0" w:color="auto"/>
        <w:bottom w:val="none" w:sz="0" w:space="0" w:color="auto"/>
        <w:right w:val="none" w:sz="0" w:space="0" w:color="auto"/>
      </w:divBdr>
    </w:div>
    <w:div w:id="298582980">
      <w:marLeft w:val="0"/>
      <w:marRight w:val="0"/>
      <w:marTop w:val="240"/>
      <w:marBottom w:val="0"/>
      <w:divBdr>
        <w:top w:val="none" w:sz="0" w:space="0" w:color="auto"/>
        <w:left w:val="none" w:sz="0" w:space="0" w:color="auto"/>
        <w:bottom w:val="none" w:sz="0" w:space="0" w:color="auto"/>
        <w:right w:val="none" w:sz="0" w:space="0" w:color="auto"/>
      </w:divBdr>
    </w:div>
    <w:div w:id="303514401">
      <w:marLeft w:val="0"/>
      <w:marRight w:val="0"/>
      <w:marTop w:val="0"/>
      <w:marBottom w:val="0"/>
      <w:divBdr>
        <w:top w:val="none" w:sz="0" w:space="0" w:color="auto"/>
        <w:left w:val="none" w:sz="0" w:space="0" w:color="auto"/>
        <w:bottom w:val="none" w:sz="0" w:space="0" w:color="auto"/>
        <w:right w:val="none" w:sz="0" w:space="0" w:color="auto"/>
      </w:divBdr>
      <w:divsChild>
        <w:div w:id="473304048">
          <w:marLeft w:val="0"/>
          <w:marRight w:val="0"/>
          <w:marTop w:val="0"/>
          <w:marBottom w:val="0"/>
          <w:divBdr>
            <w:top w:val="none" w:sz="0" w:space="0" w:color="auto"/>
            <w:left w:val="none" w:sz="0" w:space="0" w:color="auto"/>
            <w:bottom w:val="none" w:sz="0" w:space="0" w:color="auto"/>
            <w:right w:val="none" w:sz="0" w:space="0" w:color="auto"/>
          </w:divBdr>
        </w:div>
      </w:divsChild>
    </w:div>
    <w:div w:id="303774794">
      <w:marLeft w:val="0"/>
      <w:marRight w:val="0"/>
      <w:marTop w:val="0"/>
      <w:marBottom w:val="0"/>
      <w:divBdr>
        <w:top w:val="none" w:sz="0" w:space="0" w:color="auto"/>
        <w:left w:val="none" w:sz="0" w:space="0" w:color="auto"/>
        <w:bottom w:val="none" w:sz="0" w:space="0" w:color="auto"/>
        <w:right w:val="none" w:sz="0" w:space="0" w:color="auto"/>
      </w:divBdr>
      <w:divsChild>
        <w:div w:id="146552299">
          <w:marLeft w:val="0"/>
          <w:marRight w:val="0"/>
          <w:marTop w:val="0"/>
          <w:marBottom w:val="0"/>
          <w:divBdr>
            <w:top w:val="none" w:sz="0" w:space="0" w:color="auto"/>
            <w:left w:val="none" w:sz="0" w:space="0" w:color="auto"/>
            <w:bottom w:val="none" w:sz="0" w:space="0" w:color="auto"/>
            <w:right w:val="none" w:sz="0" w:space="0" w:color="auto"/>
          </w:divBdr>
        </w:div>
      </w:divsChild>
    </w:div>
    <w:div w:id="305429462">
      <w:marLeft w:val="0"/>
      <w:marRight w:val="0"/>
      <w:marTop w:val="240"/>
      <w:marBottom w:val="0"/>
      <w:divBdr>
        <w:top w:val="none" w:sz="0" w:space="0" w:color="auto"/>
        <w:left w:val="none" w:sz="0" w:space="0" w:color="auto"/>
        <w:bottom w:val="none" w:sz="0" w:space="0" w:color="auto"/>
        <w:right w:val="none" w:sz="0" w:space="0" w:color="auto"/>
      </w:divBdr>
    </w:div>
    <w:div w:id="306790545">
      <w:marLeft w:val="0"/>
      <w:marRight w:val="0"/>
      <w:marTop w:val="0"/>
      <w:marBottom w:val="240"/>
      <w:divBdr>
        <w:top w:val="none" w:sz="0" w:space="0" w:color="auto"/>
        <w:left w:val="none" w:sz="0" w:space="0" w:color="auto"/>
        <w:bottom w:val="none" w:sz="0" w:space="0" w:color="auto"/>
        <w:right w:val="none" w:sz="0" w:space="0" w:color="auto"/>
      </w:divBdr>
    </w:div>
    <w:div w:id="309865240">
      <w:marLeft w:val="0"/>
      <w:marRight w:val="0"/>
      <w:marTop w:val="240"/>
      <w:marBottom w:val="0"/>
      <w:divBdr>
        <w:top w:val="none" w:sz="0" w:space="0" w:color="auto"/>
        <w:left w:val="none" w:sz="0" w:space="0" w:color="auto"/>
        <w:bottom w:val="none" w:sz="0" w:space="0" w:color="auto"/>
        <w:right w:val="none" w:sz="0" w:space="0" w:color="auto"/>
      </w:divBdr>
    </w:div>
    <w:div w:id="313919927">
      <w:marLeft w:val="0"/>
      <w:marRight w:val="0"/>
      <w:marTop w:val="0"/>
      <w:marBottom w:val="0"/>
      <w:divBdr>
        <w:top w:val="none" w:sz="0" w:space="0" w:color="auto"/>
        <w:left w:val="none" w:sz="0" w:space="0" w:color="auto"/>
        <w:bottom w:val="none" w:sz="0" w:space="0" w:color="auto"/>
        <w:right w:val="none" w:sz="0" w:space="0" w:color="auto"/>
      </w:divBdr>
      <w:divsChild>
        <w:div w:id="704133088">
          <w:marLeft w:val="0"/>
          <w:marRight w:val="0"/>
          <w:marTop w:val="0"/>
          <w:marBottom w:val="0"/>
          <w:divBdr>
            <w:top w:val="none" w:sz="0" w:space="0" w:color="auto"/>
            <w:left w:val="none" w:sz="0" w:space="0" w:color="auto"/>
            <w:bottom w:val="none" w:sz="0" w:space="0" w:color="auto"/>
            <w:right w:val="none" w:sz="0" w:space="0" w:color="auto"/>
          </w:divBdr>
        </w:div>
      </w:divsChild>
    </w:div>
    <w:div w:id="314337711">
      <w:marLeft w:val="0"/>
      <w:marRight w:val="0"/>
      <w:marTop w:val="0"/>
      <w:marBottom w:val="0"/>
      <w:divBdr>
        <w:top w:val="none" w:sz="0" w:space="0" w:color="auto"/>
        <w:left w:val="none" w:sz="0" w:space="0" w:color="auto"/>
        <w:bottom w:val="none" w:sz="0" w:space="0" w:color="auto"/>
        <w:right w:val="none" w:sz="0" w:space="0" w:color="auto"/>
      </w:divBdr>
    </w:div>
    <w:div w:id="316037998">
      <w:marLeft w:val="0"/>
      <w:marRight w:val="0"/>
      <w:marTop w:val="0"/>
      <w:marBottom w:val="0"/>
      <w:divBdr>
        <w:top w:val="none" w:sz="0" w:space="0" w:color="auto"/>
        <w:left w:val="none" w:sz="0" w:space="0" w:color="auto"/>
        <w:bottom w:val="none" w:sz="0" w:space="0" w:color="auto"/>
        <w:right w:val="none" w:sz="0" w:space="0" w:color="auto"/>
      </w:divBdr>
      <w:divsChild>
        <w:div w:id="1806964104">
          <w:marLeft w:val="0"/>
          <w:marRight w:val="0"/>
          <w:marTop w:val="0"/>
          <w:marBottom w:val="0"/>
          <w:divBdr>
            <w:top w:val="none" w:sz="0" w:space="0" w:color="auto"/>
            <w:left w:val="none" w:sz="0" w:space="0" w:color="auto"/>
            <w:bottom w:val="none" w:sz="0" w:space="0" w:color="auto"/>
            <w:right w:val="none" w:sz="0" w:space="0" w:color="auto"/>
          </w:divBdr>
        </w:div>
      </w:divsChild>
    </w:div>
    <w:div w:id="319891722">
      <w:marLeft w:val="0"/>
      <w:marRight w:val="0"/>
      <w:marTop w:val="240"/>
      <w:marBottom w:val="0"/>
      <w:divBdr>
        <w:top w:val="none" w:sz="0" w:space="0" w:color="auto"/>
        <w:left w:val="none" w:sz="0" w:space="0" w:color="auto"/>
        <w:bottom w:val="none" w:sz="0" w:space="0" w:color="auto"/>
        <w:right w:val="none" w:sz="0" w:space="0" w:color="auto"/>
      </w:divBdr>
    </w:div>
    <w:div w:id="320275246">
      <w:marLeft w:val="0"/>
      <w:marRight w:val="0"/>
      <w:marTop w:val="0"/>
      <w:marBottom w:val="0"/>
      <w:divBdr>
        <w:top w:val="none" w:sz="0" w:space="0" w:color="auto"/>
        <w:left w:val="none" w:sz="0" w:space="0" w:color="auto"/>
        <w:bottom w:val="none" w:sz="0" w:space="0" w:color="auto"/>
        <w:right w:val="none" w:sz="0" w:space="0" w:color="auto"/>
      </w:divBdr>
      <w:divsChild>
        <w:div w:id="504059073">
          <w:marLeft w:val="0"/>
          <w:marRight w:val="0"/>
          <w:marTop w:val="0"/>
          <w:marBottom w:val="0"/>
          <w:divBdr>
            <w:top w:val="none" w:sz="0" w:space="0" w:color="auto"/>
            <w:left w:val="none" w:sz="0" w:space="0" w:color="auto"/>
            <w:bottom w:val="none" w:sz="0" w:space="0" w:color="auto"/>
            <w:right w:val="none" w:sz="0" w:space="0" w:color="auto"/>
          </w:divBdr>
        </w:div>
      </w:divsChild>
    </w:div>
    <w:div w:id="321665314">
      <w:marLeft w:val="0"/>
      <w:marRight w:val="0"/>
      <w:marTop w:val="0"/>
      <w:marBottom w:val="0"/>
      <w:divBdr>
        <w:top w:val="none" w:sz="0" w:space="0" w:color="auto"/>
        <w:left w:val="none" w:sz="0" w:space="0" w:color="auto"/>
        <w:bottom w:val="none" w:sz="0" w:space="0" w:color="auto"/>
        <w:right w:val="none" w:sz="0" w:space="0" w:color="auto"/>
      </w:divBdr>
      <w:divsChild>
        <w:div w:id="281155623">
          <w:marLeft w:val="0"/>
          <w:marRight w:val="0"/>
          <w:marTop w:val="0"/>
          <w:marBottom w:val="0"/>
          <w:divBdr>
            <w:top w:val="none" w:sz="0" w:space="0" w:color="auto"/>
            <w:left w:val="none" w:sz="0" w:space="0" w:color="auto"/>
            <w:bottom w:val="none" w:sz="0" w:space="0" w:color="auto"/>
            <w:right w:val="none" w:sz="0" w:space="0" w:color="auto"/>
          </w:divBdr>
        </w:div>
      </w:divsChild>
    </w:div>
    <w:div w:id="324627399">
      <w:marLeft w:val="0"/>
      <w:marRight w:val="0"/>
      <w:marTop w:val="0"/>
      <w:marBottom w:val="150"/>
      <w:divBdr>
        <w:top w:val="none" w:sz="0" w:space="0" w:color="auto"/>
        <w:left w:val="none" w:sz="0" w:space="0" w:color="auto"/>
        <w:bottom w:val="none" w:sz="0" w:space="0" w:color="auto"/>
        <w:right w:val="none" w:sz="0" w:space="0" w:color="auto"/>
      </w:divBdr>
    </w:div>
    <w:div w:id="331563753">
      <w:marLeft w:val="0"/>
      <w:marRight w:val="0"/>
      <w:marTop w:val="240"/>
      <w:marBottom w:val="0"/>
      <w:divBdr>
        <w:top w:val="none" w:sz="0" w:space="0" w:color="auto"/>
        <w:left w:val="none" w:sz="0" w:space="0" w:color="auto"/>
        <w:bottom w:val="none" w:sz="0" w:space="0" w:color="auto"/>
        <w:right w:val="none" w:sz="0" w:space="0" w:color="auto"/>
      </w:divBdr>
    </w:div>
    <w:div w:id="338192006">
      <w:marLeft w:val="0"/>
      <w:marRight w:val="0"/>
      <w:marTop w:val="240"/>
      <w:marBottom w:val="240"/>
      <w:divBdr>
        <w:top w:val="none" w:sz="0" w:space="0" w:color="auto"/>
        <w:left w:val="none" w:sz="0" w:space="0" w:color="auto"/>
        <w:bottom w:val="none" w:sz="0" w:space="0" w:color="auto"/>
        <w:right w:val="none" w:sz="0" w:space="0" w:color="auto"/>
      </w:divBdr>
    </w:div>
    <w:div w:id="338584466">
      <w:marLeft w:val="0"/>
      <w:marRight w:val="0"/>
      <w:marTop w:val="240"/>
      <w:marBottom w:val="0"/>
      <w:divBdr>
        <w:top w:val="none" w:sz="0" w:space="0" w:color="auto"/>
        <w:left w:val="none" w:sz="0" w:space="0" w:color="auto"/>
        <w:bottom w:val="none" w:sz="0" w:space="0" w:color="auto"/>
        <w:right w:val="none" w:sz="0" w:space="0" w:color="auto"/>
      </w:divBdr>
    </w:div>
    <w:div w:id="339044451">
      <w:marLeft w:val="0"/>
      <w:marRight w:val="0"/>
      <w:marTop w:val="0"/>
      <w:marBottom w:val="120"/>
      <w:divBdr>
        <w:top w:val="none" w:sz="0" w:space="0" w:color="auto"/>
        <w:left w:val="none" w:sz="0" w:space="0" w:color="auto"/>
        <w:bottom w:val="none" w:sz="0" w:space="0" w:color="auto"/>
        <w:right w:val="none" w:sz="0" w:space="0" w:color="auto"/>
      </w:divBdr>
    </w:div>
    <w:div w:id="343168449">
      <w:marLeft w:val="0"/>
      <w:marRight w:val="0"/>
      <w:marTop w:val="240"/>
      <w:marBottom w:val="0"/>
      <w:divBdr>
        <w:top w:val="none" w:sz="0" w:space="0" w:color="auto"/>
        <w:left w:val="none" w:sz="0" w:space="0" w:color="auto"/>
        <w:bottom w:val="none" w:sz="0" w:space="0" w:color="auto"/>
        <w:right w:val="none" w:sz="0" w:space="0" w:color="auto"/>
      </w:divBdr>
    </w:div>
    <w:div w:id="346761505">
      <w:marLeft w:val="0"/>
      <w:marRight w:val="0"/>
      <w:marTop w:val="0"/>
      <w:marBottom w:val="0"/>
      <w:divBdr>
        <w:top w:val="none" w:sz="0" w:space="0" w:color="auto"/>
        <w:left w:val="none" w:sz="0" w:space="0" w:color="auto"/>
        <w:bottom w:val="none" w:sz="0" w:space="0" w:color="auto"/>
        <w:right w:val="none" w:sz="0" w:space="0" w:color="auto"/>
      </w:divBdr>
      <w:divsChild>
        <w:div w:id="535970691">
          <w:marLeft w:val="0"/>
          <w:marRight w:val="0"/>
          <w:marTop w:val="0"/>
          <w:marBottom w:val="0"/>
          <w:divBdr>
            <w:top w:val="none" w:sz="0" w:space="0" w:color="auto"/>
            <w:left w:val="none" w:sz="0" w:space="0" w:color="auto"/>
            <w:bottom w:val="none" w:sz="0" w:space="0" w:color="auto"/>
            <w:right w:val="none" w:sz="0" w:space="0" w:color="auto"/>
          </w:divBdr>
        </w:div>
      </w:divsChild>
    </w:div>
    <w:div w:id="347876934">
      <w:marLeft w:val="0"/>
      <w:marRight w:val="0"/>
      <w:marTop w:val="0"/>
      <w:marBottom w:val="240"/>
      <w:divBdr>
        <w:top w:val="none" w:sz="0" w:space="0" w:color="auto"/>
        <w:left w:val="none" w:sz="0" w:space="0" w:color="auto"/>
        <w:bottom w:val="none" w:sz="0" w:space="0" w:color="auto"/>
        <w:right w:val="none" w:sz="0" w:space="0" w:color="auto"/>
      </w:divBdr>
    </w:div>
    <w:div w:id="350641392">
      <w:marLeft w:val="0"/>
      <w:marRight w:val="0"/>
      <w:marTop w:val="0"/>
      <w:marBottom w:val="0"/>
      <w:divBdr>
        <w:top w:val="none" w:sz="0" w:space="0" w:color="auto"/>
        <w:left w:val="none" w:sz="0" w:space="0" w:color="auto"/>
        <w:bottom w:val="none" w:sz="0" w:space="0" w:color="auto"/>
        <w:right w:val="none" w:sz="0" w:space="0" w:color="auto"/>
      </w:divBdr>
    </w:div>
    <w:div w:id="354312592">
      <w:marLeft w:val="0"/>
      <w:marRight w:val="0"/>
      <w:marTop w:val="0"/>
      <w:marBottom w:val="240"/>
      <w:divBdr>
        <w:top w:val="none" w:sz="0" w:space="0" w:color="auto"/>
        <w:left w:val="none" w:sz="0" w:space="0" w:color="auto"/>
        <w:bottom w:val="none" w:sz="0" w:space="0" w:color="auto"/>
        <w:right w:val="none" w:sz="0" w:space="0" w:color="auto"/>
      </w:divBdr>
    </w:div>
    <w:div w:id="355815603">
      <w:marLeft w:val="0"/>
      <w:marRight w:val="0"/>
      <w:marTop w:val="0"/>
      <w:marBottom w:val="240"/>
      <w:divBdr>
        <w:top w:val="none" w:sz="0" w:space="0" w:color="auto"/>
        <w:left w:val="none" w:sz="0" w:space="0" w:color="auto"/>
        <w:bottom w:val="none" w:sz="0" w:space="0" w:color="auto"/>
        <w:right w:val="none" w:sz="0" w:space="0" w:color="auto"/>
      </w:divBdr>
    </w:div>
    <w:div w:id="357510828">
      <w:marLeft w:val="0"/>
      <w:marRight w:val="0"/>
      <w:marTop w:val="240"/>
      <w:marBottom w:val="0"/>
      <w:divBdr>
        <w:top w:val="none" w:sz="0" w:space="0" w:color="auto"/>
        <w:left w:val="none" w:sz="0" w:space="0" w:color="auto"/>
        <w:bottom w:val="none" w:sz="0" w:space="0" w:color="auto"/>
        <w:right w:val="none" w:sz="0" w:space="0" w:color="auto"/>
      </w:divBdr>
    </w:div>
    <w:div w:id="358942509">
      <w:marLeft w:val="0"/>
      <w:marRight w:val="0"/>
      <w:marTop w:val="0"/>
      <w:marBottom w:val="120"/>
      <w:divBdr>
        <w:top w:val="none" w:sz="0" w:space="0" w:color="auto"/>
        <w:left w:val="none" w:sz="0" w:space="0" w:color="auto"/>
        <w:bottom w:val="none" w:sz="0" w:space="0" w:color="auto"/>
        <w:right w:val="none" w:sz="0" w:space="0" w:color="auto"/>
      </w:divBdr>
    </w:div>
    <w:div w:id="360253275">
      <w:marLeft w:val="0"/>
      <w:marRight w:val="0"/>
      <w:marTop w:val="240"/>
      <w:marBottom w:val="0"/>
      <w:divBdr>
        <w:top w:val="none" w:sz="0" w:space="0" w:color="auto"/>
        <w:left w:val="none" w:sz="0" w:space="0" w:color="auto"/>
        <w:bottom w:val="none" w:sz="0" w:space="0" w:color="auto"/>
        <w:right w:val="none" w:sz="0" w:space="0" w:color="auto"/>
      </w:divBdr>
    </w:div>
    <w:div w:id="362445332">
      <w:marLeft w:val="0"/>
      <w:marRight w:val="0"/>
      <w:marTop w:val="0"/>
      <w:marBottom w:val="0"/>
      <w:divBdr>
        <w:top w:val="none" w:sz="0" w:space="0" w:color="auto"/>
        <w:left w:val="none" w:sz="0" w:space="0" w:color="auto"/>
        <w:bottom w:val="none" w:sz="0" w:space="0" w:color="auto"/>
        <w:right w:val="none" w:sz="0" w:space="0" w:color="auto"/>
      </w:divBdr>
      <w:divsChild>
        <w:div w:id="1181968812">
          <w:marLeft w:val="0"/>
          <w:marRight w:val="0"/>
          <w:marTop w:val="0"/>
          <w:marBottom w:val="0"/>
          <w:divBdr>
            <w:top w:val="none" w:sz="0" w:space="0" w:color="auto"/>
            <w:left w:val="none" w:sz="0" w:space="0" w:color="auto"/>
            <w:bottom w:val="none" w:sz="0" w:space="0" w:color="auto"/>
            <w:right w:val="none" w:sz="0" w:space="0" w:color="auto"/>
          </w:divBdr>
        </w:div>
      </w:divsChild>
    </w:div>
    <w:div w:id="363017992">
      <w:marLeft w:val="0"/>
      <w:marRight w:val="0"/>
      <w:marTop w:val="0"/>
      <w:marBottom w:val="0"/>
      <w:divBdr>
        <w:top w:val="none" w:sz="0" w:space="0" w:color="auto"/>
        <w:left w:val="none" w:sz="0" w:space="0" w:color="auto"/>
        <w:bottom w:val="none" w:sz="0" w:space="0" w:color="auto"/>
        <w:right w:val="none" w:sz="0" w:space="0" w:color="auto"/>
      </w:divBdr>
      <w:divsChild>
        <w:div w:id="295837225">
          <w:marLeft w:val="0"/>
          <w:marRight w:val="0"/>
          <w:marTop w:val="0"/>
          <w:marBottom w:val="0"/>
          <w:divBdr>
            <w:top w:val="none" w:sz="0" w:space="0" w:color="auto"/>
            <w:left w:val="none" w:sz="0" w:space="0" w:color="auto"/>
            <w:bottom w:val="none" w:sz="0" w:space="0" w:color="auto"/>
            <w:right w:val="none" w:sz="0" w:space="0" w:color="auto"/>
          </w:divBdr>
        </w:div>
      </w:divsChild>
    </w:div>
    <w:div w:id="364906929">
      <w:marLeft w:val="0"/>
      <w:marRight w:val="0"/>
      <w:marTop w:val="0"/>
      <w:marBottom w:val="240"/>
      <w:divBdr>
        <w:top w:val="none" w:sz="0" w:space="0" w:color="auto"/>
        <w:left w:val="none" w:sz="0" w:space="0" w:color="auto"/>
        <w:bottom w:val="none" w:sz="0" w:space="0" w:color="auto"/>
        <w:right w:val="none" w:sz="0" w:space="0" w:color="auto"/>
      </w:divBdr>
    </w:div>
    <w:div w:id="367073264">
      <w:marLeft w:val="0"/>
      <w:marRight w:val="0"/>
      <w:marTop w:val="0"/>
      <w:marBottom w:val="0"/>
      <w:divBdr>
        <w:top w:val="none" w:sz="0" w:space="0" w:color="auto"/>
        <w:left w:val="none" w:sz="0" w:space="0" w:color="auto"/>
        <w:bottom w:val="none" w:sz="0" w:space="0" w:color="auto"/>
        <w:right w:val="none" w:sz="0" w:space="0" w:color="auto"/>
      </w:divBdr>
      <w:divsChild>
        <w:div w:id="1978878771">
          <w:marLeft w:val="0"/>
          <w:marRight w:val="0"/>
          <w:marTop w:val="0"/>
          <w:marBottom w:val="0"/>
          <w:divBdr>
            <w:top w:val="none" w:sz="0" w:space="0" w:color="auto"/>
            <w:left w:val="none" w:sz="0" w:space="0" w:color="auto"/>
            <w:bottom w:val="none" w:sz="0" w:space="0" w:color="auto"/>
            <w:right w:val="none" w:sz="0" w:space="0" w:color="auto"/>
          </w:divBdr>
        </w:div>
        <w:div w:id="2026324670">
          <w:marLeft w:val="0"/>
          <w:marRight w:val="0"/>
          <w:marTop w:val="0"/>
          <w:marBottom w:val="0"/>
          <w:divBdr>
            <w:top w:val="none" w:sz="0" w:space="0" w:color="auto"/>
            <w:left w:val="none" w:sz="0" w:space="0" w:color="auto"/>
            <w:bottom w:val="none" w:sz="0" w:space="0" w:color="auto"/>
            <w:right w:val="none" w:sz="0" w:space="0" w:color="auto"/>
          </w:divBdr>
        </w:div>
      </w:divsChild>
    </w:div>
    <w:div w:id="369915630">
      <w:marLeft w:val="0"/>
      <w:marRight w:val="0"/>
      <w:marTop w:val="0"/>
      <w:marBottom w:val="0"/>
      <w:divBdr>
        <w:top w:val="none" w:sz="0" w:space="0" w:color="auto"/>
        <w:left w:val="none" w:sz="0" w:space="0" w:color="auto"/>
        <w:bottom w:val="none" w:sz="0" w:space="0" w:color="auto"/>
        <w:right w:val="none" w:sz="0" w:space="0" w:color="auto"/>
      </w:divBdr>
      <w:divsChild>
        <w:div w:id="2039044413">
          <w:marLeft w:val="0"/>
          <w:marRight w:val="0"/>
          <w:marTop w:val="0"/>
          <w:marBottom w:val="0"/>
          <w:divBdr>
            <w:top w:val="none" w:sz="0" w:space="0" w:color="auto"/>
            <w:left w:val="none" w:sz="0" w:space="0" w:color="auto"/>
            <w:bottom w:val="none" w:sz="0" w:space="0" w:color="auto"/>
            <w:right w:val="none" w:sz="0" w:space="0" w:color="auto"/>
          </w:divBdr>
        </w:div>
      </w:divsChild>
    </w:div>
    <w:div w:id="370884849">
      <w:marLeft w:val="0"/>
      <w:marRight w:val="0"/>
      <w:marTop w:val="0"/>
      <w:marBottom w:val="240"/>
      <w:divBdr>
        <w:top w:val="none" w:sz="0" w:space="0" w:color="auto"/>
        <w:left w:val="none" w:sz="0" w:space="0" w:color="auto"/>
        <w:bottom w:val="none" w:sz="0" w:space="0" w:color="auto"/>
        <w:right w:val="none" w:sz="0" w:space="0" w:color="auto"/>
      </w:divBdr>
    </w:div>
    <w:div w:id="373309942">
      <w:marLeft w:val="0"/>
      <w:marRight w:val="0"/>
      <w:marTop w:val="0"/>
      <w:marBottom w:val="240"/>
      <w:divBdr>
        <w:top w:val="none" w:sz="0" w:space="0" w:color="auto"/>
        <w:left w:val="none" w:sz="0" w:space="0" w:color="auto"/>
        <w:bottom w:val="none" w:sz="0" w:space="0" w:color="auto"/>
        <w:right w:val="none" w:sz="0" w:space="0" w:color="auto"/>
      </w:divBdr>
    </w:div>
    <w:div w:id="375202663">
      <w:marLeft w:val="0"/>
      <w:marRight w:val="0"/>
      <w:marTop w:val="240"/>
      <w:marBottom w:val="240"/>
      <w:divBdr>
        <w:top w:val="none" w:sz="0" w:space="0" w:color="auto"/>
        <w:left w:val="none" w:sz="0" w:space="0" w:color="auto"/>
        <w:bottom w:val="none" w:sz="0" w:space="0" w:color="auto"/>
        <w:right w:val="none" w:sz="0" w:space="0" w:color="auto"/>
      </w:divBdr>
    </w:div>
    <w:div w:id="377317853">
      <w:marLeft w:val="0"/>
      <w:marRight w:val="0"/>
      <w:marTop w:val="0"/>
      <w:marBottom w:val="20"/>
      <w:divBdr>
        <w:top w:val="none" w:sz="0" w:space="0" w:color="auto"/>
        <w:left w:val="none" w:sz="0" w:space="0" w:color="auto"/>
        <w:bottom w:val="none" w:sz="0" w:space="0" w:color="auto"/>
        <w:right w:val="none" w:sz="0" w:space="0" w:color="auto"/>
      </w:divBdr>
    </w:div>
    <w:div w:id="378551144">
      <w:marLeft w:val="0"/>
      <w:marRight w:val="0"/>
      <w:marTop w:val="240"/>
      <w:marBottom w:val="240"/>
      <w:divBdr>
        <w:top w:val="none" w:sz="0" w:space="0" w:color="auto"/>
        <w:left w:val="none" w:sz="0" w:space="0" w:color="auto"/>
        <w:bottom w:val="none" w:sz="0" w:space="0" w:color="auto"/>
        <w:right w:val="none" w:sz="0" w:space="0" w:color="auto"/>
      </w:divBdr>
    </w:div>
    <w:div w:id="380595447">
      <w:marLeft w:val="0"/>
      <w:marRight w:val="0"/>
      <w:marTop w:val="240"/>
      <w:marBottom w:val="0"/>
      <w:divBdr>
        <w:top w:val="none" w:sz="0" w:space="0" w:color="auto"/>
        <w:left w:val="none" w:sz="0" w:space="0" w:color="auto"/>
        <w:bottom w:val="none" w:sz="0" w:space="0" w:color="auto"/>
        <w:right w:val="none" w:sz="0" w:space="0" w:color="auto"/>
      </w:divBdr>
    </w:div>
    <w:div w:id="380637345">
      <w:marLeft w:val="0"/>
      <w:marRight w:val="0"/>
      <w:marTop w:val="0"/>
      <w:marBottom w:val="0"/>
      <w:divBdr>
        <w:top w:val="none" w:sz="0" w:space="0" w:color="auto"/>
        <w:left w:val="none" w:sz="0" w:space="0" w:color="auto"/>
        <w:bottom w:val="none" w:sz="0" w:space="0" w:color="auto"/>
        <w:right w:val="none" w:sz="0" w:space="0" w:color="auto"/>
      </w:divBdr>
      <w:divsChild>
        <w:div w:id="1082147258">
          <w:marLeft w:val="0"/>
          <w:marRight w:val="0"/>
          <w:marTop w:val="0"/>
          <w:marBottom w:val="0"/>
          <w:divBdr>
            <w:top w:val="none" w:sz="0" w:space="0" w:color="auto"/>
            <w:left w:val="none" w:sz="0" w:space="0" w:color="auto"/>
            <w:bottom w:val="none" w:sz="0" w:space="0" w:color="auto"/>
            <w:right w:val="none" w:sz="0" w:space="0" w:color="auto"/>
          </w:divBdr>
        </w:div>
      </w:divsChild>
    </w:div>
    <w:div w:id="381517347">
      <w:marLeft w:val="0"/>
      <w:marRight w:val="0"/>
      <w:marTop w:val="0"/>
      <w:marBottom w:val="0"/>
      <w:divBdr>
        <w:top w:val="none" w:sz="0" w:space="0" w:color="auto"/>
        <w:left w:val="none" w:sz="0" w:space="0" w:color="auto"/>
        <w:bottom w:val="none" w:sz="0" w:space="0" w:color="auto"/>
        <w:right w:val="none" w:sz="0" w:space="0" w:color="auto"/>
      </w:divBdr>
      <w:divsChild>
        <w:div w:id="2036684676">
          <w:marLeft w:val="0"/>
          <w:marRight w:val="0"/>
          <w:marTop w:val="0"/>
          <w:marBottom w:val="0"/>
          <w:divBdr>
            <w:top w:val="none" w:sz="0" w:space="0" w:color="auto"/>
            <w:left w:val="none" w:sz="0" w:space="0" w:color="auto"/>
            <w:bottom w:val="none" w:sz="0" w:space="0" w:color="auto"/>
            <w:right w:val="none" w:sz="0" w:space="0" w:color="auto"/>
          </w:divBdr>
        </w:div>
      </w:divsChild>
    </w:div>
    <w:div w:id="382481859">
      <w:marLeft w:val="0"/>
      <w:marRight w:val="0"/>
      <w:marTop w:val="0"/>
      <w:marBottom w:val="240"/>
      <w:divBdr>
        <w:top w:val="none" w:sz="0" w:space="0" w:color="auto"/>
        <w:left w:val="none" w:sz="0" w:space="0" w:color="auto"/>
        <w:bottom w:val="none" w:sz="0" w:space="0" w:color="auto"/>
        <w:right w:val="none" w:sz="0" w:space="0" w:color="auto"/>
      </w:divBdr>
    </w:div>
    <w:div w:id="383405975">
      <w:marLeft w:val="0"/>
      <w:marRight w:val="0"/>
      <w:marTop w:val="240"/>
      <w:marBottom w:val="0"/>
      <w:divBdr>
        <w:top w:val="none" w:sz="0" w:space="0" w:color="auto"/>
        <w:left w:val="none" w:sz="0" w:space="0" w:color="auto"/>
        <w:bottom w:val="none" w:sz="0" w:space="0" w:color="auto"/>
        <w:right w:val="none" w:sz="0" w:space="0" w:color="auto"/>
      </w:divBdr>
    </w:div>
    <w:div w:id="386419090">
      <w:marLeft w:val="0"/>
      <w:marRight w:val="0"/>
      <w:marTop w:val="0"/>
      <w:marBottom w:val="0"/>
      <w:divBdr>
        <w:top w:val="none" w:sz="0" w:space="0" w:color="auto"/>
        <w:left w:val="none" w:sz="0" w:space="0" w:color="auto"/>
        <w:bottom w:val="none" w:sz="0" w:space="0" w:color="auto"/>
        <w:right w:val="none" w:sz="0" w:space="0" w:color="auto"/>
      </w:divBdr>
      <w:divsChild>
        <w:div w:id="1319193536">
          <w:marLeft w:val="0"/>
          <w:marRight w:val="0"/>
          <w:marTop w:val="0"/>
          <w:marBottom w:val="0"/>
          <w:divBdr>
            <w:top w:val="none" w:sz="0" w:space="0" w:color="auto"/>
            <w:left w:val="none" w:sz="0" w:space="0" w:color="auto"/>
            <w:bottom w:val="none" w:sz="0" w:space="0" w:color="auto"/>
            <w:right w:val="none" w:sz="0" w:space="0" w:color="auto"/>
          </w:divBdr>
        </w:div>
      </w:divsChild>
    </w:div>
    <w:div w:id="387847090">
      <w:marLeft w:val="0"/>
      <w:marRight w:val="0"/>
      <w:marTop w:val="240"/>
      <w:marBottom w:val="0"/>
      <w:divBdr>
        <w:top w:val="none" w:sz="0" w:space="0" w:color="auto"/>
        <w:left w:val="none" w:sz="0" w:space="0" w:color="auto"/>
        <w:bottom w:val="none" w:sz="0" w:space="0" w:color="auto"/>
        <w:right w:val="none" w:sz="0" w:space="0" w:color="auto"/>
      </w:divBdr>
    </w:div>
    <w:div w:id="394553995">
      <w:marLeft w:val="0"/>
      <w:marRight w:val="0"/>
      <w:marTop w:val="0"/>
      <w:marBottom w:val="120"/>
      <w:divBdr>
        <w:top w:val="none" w:sz="0" w:space="0" w:color="auto"/>
        <w:left w:val="none" w:sz="0" w:space="0" w:color="auto"/>
        <w:bottom w:val="none" w:sz="0" w:space="0" w:color="auto"/>
        <w:right w:val="none" w:sz="0" w:space="0" w:color="auto"/>
      </w:divBdr>
    </w:div>
    <w:div w:id="399593699">
      <w:marLeft w:val="0"/>
      <w:marRight w:val="0"/>
      <w:marTop w:val="100"/>
      <w:marBottom w:val="0"/>
      <w:divBdr>
        <w:top w:val="none" w:sz="0" w:space="0" w:color="auto"/>
        <w:left w:val="none" w:sz="0" w:space="0" w:color="auto"/>
        <w:bottom w:val="none" w:sz="0" w:space="0" w:color="auto"/>
        <w:right w:val="none" w:sz="0" w:space="0" w:color="auto"/>
      </w:divBdr>
    </w:div>
    <w:div w:id="400447930">
      <w:marLeft w:val="0"/>
      <w:marRight w:val="0"/>
      <w:marTop w:val="120"/>
      <w:marBottom w:val="0"/>
      <w:divBdr>
        <w:top w:val="none" w:sz="0" w:space="0" w:color="auto"/>
        <w:left w:val="none" w:sz="0" w:space="0" w:color="auto"/>
        <w:bottom w:val="none" w:sz="0" w:space="0" w:color="auto"/>
        <w:right w:val="none" w:sz="0" w:space="0" w:color="auto"/>
      </w:divBdr>
    </w:div>
    <w:div w:id="401147512">
      <w:marLeft w:val="0"/>
      <w:marRight w:val="0"/>
      <w:marTop w:val="240"/>
      <w:marBottom w:val="0"/>
      <w:divBdr>
        <w:top w:val="none" w:sz="0" w:space="0" w:color="auto"/>
        <w:left w:val="none" w:sz="0" w:space="0" w:color="auto"/>
        <w:bottom w:val="none" w:sz="0" w:space="0" w:color="auto"/>
        <w:right w:val="none" w:sz="0" w:space="0" w:color="auto"/>
      </w:divBdr>
    </w:div>
    <w:div w:id="401949880">
      <w:marLeft w:val="0"/>
      <w:marRight w:val="0"/>
      <w:marTop w:val="0"/>
      <w:marBottom w:val="120"/>
      <w:divBdr>
        <w:top w:val="none" w:sz="0" w:space="0" w:color="auto"/>
        <w:left w:val="none" w:sz="0" w:space="0" w:color="auto"/>
        <w:bottom w:val="none" w:sz="0" w:space="0" w:color="auto"/>
        <w:right w:val="none" w:sz="0" w:space="0" w:color="auto"/>
      </w:divBdr>
    </w:div>
    <w:div w:id="404495099">
      <w:marLeft w:val="0"/>
      <w:marRight w:val="0"/>
      <w:marTop w:val="0"/>
      <w:marBottom w:val="0"/>
      <w:divBdr>
        <w:top w:val="none" w:sz="0" w:space="0" w:color="auto"/>
        <w:left w:val="none" w:sz="0" w:space="0" w:color="auto"/>
        <w:bottom w:val="none" w:sz="0" w:space="0" w:color="auto"/>
        <w:right w:val="none" w:sz="0" w:space="0" w:color="auto"/>
      </w:divBdr>
    </w:div>
    <w:div w:id="406613397">
      <w:marLeft w:val="0"/>
      <w:marRight w:val="0"/>
      <w:marTop w:val="0"/>
      <w:marBottom w:val="0"/>
      <w:divBdr>
        <w:top w:val="none" w:sz="0" w:space="0" w:color="auto"/>
        <w:left w:val="none" w:sz="0" w:space="0" w:color="auto"/>
        <w:bottom w:val="none" w:sz="0" w:space="0" w:color="auto"/>
        <w:right w:val="none" w:sz="0" w:space="0" w:color="auto"/>
      </w:divBdr>
    </w:div>
    <w:div w:id="407266990">
      <w:marLeft w:val="0"/>
      <w:marRight w:val="0"/>
      <w:marTop w:val="0"/>
      <w:marBottom w:val="0"/>
      <w:divBdr>
        <w:top w:val="none" w:sz="0" w:space="0" w:color="auto"/>
        <w:left w:val="none" w:sz="0" w:space="0" w:color="auto"/>
        <w:bottom w:val="none" w:sz="0" w:space="0" w:color="auto"/>
        <w:right w:val="none" w:sz="0" w:space="0" w:color="auto"/>
      </w:divBdr>
      <w:divsChild>
        <w:div w:id="1274173463">
          <w:marLeft w:val="0"/>
          <w:marRight w:val="0"/>
          <w:marTop w:val="0"/>
          <w:marBottom w:val="0"/>
          <w:divBdr>
            <w:top w:val="none" w:sz="0" w:space="0" w:color="auto"/>
            <w:left w:val="none" w:sz="0" w:space="0" w:color="auto"/>
            <w:bottom w:val="none" w:sz="0" w:space="0" w:color="auto"/>
            <w:right w:val="none" w:sz="0" w:space="0" w:color="auto"/>
          </w:divBdr>
        </w:div>
      </w:divsChild>
    </w:div>
    <w:div w:id="408236197">
      <w:marLeft w:val="0"/>
      <w:marRight w:val="0"/>
      <w:marTop w:val="100"/>
      <w:marBottom w:val="0"/>
      <w:divBdr>
        <w:top w:val="none" w:sz="0" w:space="0" w:color="auto"/>
        <w:left w:val="none" w:sz="0" w:space="0" w:color="auto"/>
        <w:bottom w:val="none" w:sz="0" w:space="0" w:color="auto"/>
        <w:right w:val="none" w:sz="0" w:space="0" w:color="auto"/>
      </w:divBdr>
      <w:divsChild>
        <w:div w:id="824393033">
          <w:marLeft w:val="0"/>
          <w:marRight w:val="0"/>
          <w:marTop w:val="0"/>
          <w:marBottom w:val="0"/>
          <w:divBdr>
            <w:top w:val="none" w:sz="0" w:space="0" w:color="auto"/>
            <w:left w:val="none" w:sz="0" w:space="0" w:color="auto"/>
            <w:bottom w:val="none" w:sz="0" w:space="0" w:color="auto"/>
            <w:right w:val="none" w:sz="0" w:space="0" w:color="auto"/>
          </w:divBdr>
        </w:div>
        <w:div w:id="720057205">
          <w:marLeft w:val="0"/>
          <w:marRight w:val="0"/>
          <w:marTop w:val="0"/>
          <w:marBottom w:val="0"/>
          <w:divBdr>
            <w:top w:val="none" w:sz="0" w:space="0" w:color="auto"/>
            <w:left w:val="none" w:sz="0" w:space="0" w:color="auto"/>
            <w:bottom w:val="none" w:sz="0" w:space="0" w:color="auto"/>
            <w:right w:val="none" w:sz="0" w:space="0" w:color="auto"/>
          </w:divBdr>
        </w:div>
        <w:div w:id="971980326">
          <w:marLeft w:val="0"/>
          <w:marRight w:val="0"/>
          <w:marTop w:val="0"/>
          <w:marBottom w:val="0"/>
          <w:divBdr>
            <w:top w:val="none" w:sz="0" w:space="0" w:color="auto"/>
            <w:left w:val="none" w:sz="0" w:space="0" w:color="auto"/>
            <w:bottom w:val="none" w:sz="0" w:space="0" w:color="auto"/>
            <w:right w:val="none" w:sz="0" w:space="0" w:color="auto"/>
          </w:divBdr>
        </w:div>
        <w:div w:id="1423649700">
          <w:marLeft w:val="0"/>
          <w:marRight w:val="0"/>
          <w:marTop w:val="0"/>
          <w:marBottom w:val="0"/>
          <w:divBdr>
            <w:top w:val="none" w:sz="0" w:space="0" w:color="auto"/>
            <w:left w:val="none" w:sz="0" w:space="0" w:color="auto"/>
            <w:bottom w:val="none" w:sz="0" w:space="0" w:color="auto"/>
            <w:right w:val="none" w:sz="0" w:space="0" w:color="auto"/>
          </w:divBdr>
        </w:div>
        <w:div w:id="1300720616">
          <w:marLeft w:val="0"/>
          <w:marRight w:val="0"/>
          <w:marTop w:val="0"/>
          <w:marBottom w:val="0"/>
          <w:divBdr>
            <w:top w:val="none" w:sz="0" w:space="0" w:color="auto"/>
            <w:left w:val="none" w:sz="0" w:space="0" w:color="auto"/>
            <w:bottom w:val="none" w:sz="0" w:space="0" w:color="auto"/>
            <w:right w:val="none" w:sz="0" w:space="0" w:color="auto"/>
          </w:divBdr>
        </w:div>
        <w:div w:id="1491293428">
          <w:marLeft w:val="0"/>
          <w:marRight w:val="0"/>
          <w:marTop w:val="0"/>
          <w:marBottom w:val="0"/>
          <w:divBdr>
            <w:top w:val="none" w:sz="0" w:space="0" w:color="auto"/>
            <w:left w:val="none" w:sz="0" w:space="0" w:color="auto"/>
            <w:bottom w:val="none" w:sz="0" w:space="0" w:color="auto"/>
            <w:right w:val="none" w:sz="0" w:space="0" w:color="auto"/>
          </w:divBdr>
        </w:div>
      </w:divsChild>
    </w:div>
    <w:div w:id="409500603">
      <w:marLeft w:val="0"/>
      <w:marRight w:val="0"/>
      <w:marTop w:val="0"/>
      <w:marBottom w:val="0"/>
      <w:divBdr>
        <w:top w:val="none" w:sz="0" w:space="0" w:color="auto"/>
        <w:left w:val="none" w:sz="0" w:space="0" w:color="auto"/>
        <w:bottom w:val="none" w:sz="0" w:space="0" w:color="auto"/>
        <w:right w:val="none" w:sz="0" w:space="0" w:color="auto"/>
      </w:divBdr>
      <w:divsChild>
        <w:div w:id="1030644610">
          <w:marLeft w:val="0"/>
          <w:marRight w:val="0"/>
          <w:marTop w:val="0"/>
          <w:marBottom w:val="0"/>
          <w:divBdr>
            <w:top w:val="none" w:sz="0" w:space="0" w:color="auto"/>
            <w:left w:val="none" w:sz="0" w:space="0" w:color="auto"/>
            <w:bottom w:val="none" w:sz="0" w:space="0" w:color="auto"/>
            <w:right w:val="none" w:sz="0" w:space="0" w:color="auto"/>
          </w:divBdr>
        </w:div>
      </w:divsChild>
    </w:div>
    <w:div w:id="409540633">
      <w:marLeft w:val="0"/>
      <w:marRight w:val="0"/>
      <w:marTop w:val="240"/>
      <w:marBottom w:val="0"/>
      <w:divBdr>
        <w:top w:val="none" w:sz="0" w:space="0" w:color="auto"/>
        <w:left w:val="none" w:sz="0" w:space="0" w:color="auto"/>
        <w:bottom w:val="none" w:sz="0" w:space="0" w:color="auto"/>
        <w:right w:val="none" w:sz="0" w:space="0" w:color="auto"/>
      </w:divBdr>
    </w:div>
    <w:div w:id="409816901">
      <w:marLeft w:val="0"/>
      <w:marRight w:val="0"/>
      <w:marTop w:val="0"/>
      <w:marBottom w:val="0"/>
      <w:divBdr>
        <w:top w:val="none" w:sz="0" w:space="0" w:color="auto"/>
        <w:left w:val="none" w:sz="0" w:space="0" w:color="auto"/>
        <w:bottom w:val="none" w:sz="0" w:space="0" w:color="auto"/>
        <w:right w:val="none" w:sz="0" w:space="0" w:color="auto"/>
      </w:divBdr>
      <w:divsChild>
        <w:div w:id="1695613312">
          <w:marLeft w:val="0"/>
          <w:marRight w:val="0"/>
          <w:marTop w:val="0"/>
          <w:marBottom w:val="0"/>
          <w:divBdr>
            <w:top w:val="none" w:sz="0" w:space="0" w:color="auto"/>
            <w:left w:val="none" w:sz="0" w:space="0" w:color="auto"/>
            <w:bottom w:val="none" w:sz="0" w:space="0" w:color="auto"/>
            <w:right w:val="none" w:sz="0" w:space="0" w:color="auto"/>
          </w:divBdr>
        </w:div>
      </w:divsChild>
    </w:div>
    <w:div w:id="415784464">
      <w:marLeft w:val="0"/>
      <w:marRight w:val="0"/>
      <w:marTop w:val="240"/>
      <w:marBottom w:val="120"/>
      <w:divBdr>
        <w:top w:val="none" w:sz="0" w:space="0" w:color="auto"/>
        <w:left w:val="none" w:sz="0" w:space="0" w:color="auto"/>
        <w:bottom w:val="none" w:sz="0" w:space="0" w:color="auto"/>
        <w:right w:val="none" w:sz="0" w:space="0" w:color="auto"/>
      </w:divBdr>
    </w:div>
    <w:div w:id="417950209">
      <w:marLeft w:val="0"/>
      <w:marRight w:val="0"/>
      <w:marTop w:val="0"/>
      <w:marBottom w:val="240"/>
      <w:divBdr>
        <w:top w:val="none" w:sz="0" w:space="0" w:color="auto"/>
        <w:left w:val="none" w:sz="0" w:space="0" w:color="auto"/>
        <w:bottom w:val="none" w:sz="0" w:space="0" w:color="auto"/>
        <w:right w:val="none" w:sz="0" w:space="0" w:color="auto"/>
      </w:divBdr>
    </w:div>
    <w:div w:id="418408693">
      <w:marLeft w:val="0"/>
      <w:marRight w:val="0"/>
      <w:marTop w:val="240"/>
      <w:marBottom w:val="0"/>
      <w:divBdr>
        <w:top w:val="none" w:sz="0" w:space="0" w:color="auto"/>
        <w:left w:val="none" w:sz="0" w:space="0" w:color="auto"/>
        <w:bottom w:val="none" w:sz="0" w:space="0" w:color="auto"/>
        <w:right w:val="none" w:sz="0" w:space="0" w:color="auto"/>
      </w:divBdr>
    </w:div>
    <w:div w:id="419642992">
      <w:marLeft w:val="0"/>
      <w:marRight w:val="0"/>
      <w:marTop w:val="0"/>
      <w:marBottom w:val="120"/>
      <w:divBdr>
        <w:top w:val="none" w:sz="0" w:space="0" w:color="auto"/>
        <w:left w:val="none" w:sz="0" w:space="0" w:color="auto"/>
        <w:bottom w:val="none" w:sz="0" w:space="0" w:color="auto"/>
        <w:right w:val="none" w:sz="0" w:space="0" w:color="auto"/>
      </w:divBdr>
    </w:div>
    <w:div w:id="419957235">
      <w:marLeft w:val="0"/>
      <w:marRight w:val="0"/>
      <w:marTop w:val="0"/>
      <w:marBottom w:val="60"/>
      <w:divBdr>
        <w:top w:val="none" w:sz="0" w:space="0" w:color="auto"/>
        <w:left w:val="none" w:sz="0" w:space="0" w:color="auto"/>
        <w:bottom w:val="none" w:sz="0" w:space="0" w:color="auto"/>
        <w:right w:val="none" w:sz="0" w:space="0" w:color="auto"/>
      </w:divBdr>
    </w:div>
    <w:div w:id="420685096">
      <w:marLeft w:val="0"/>
      <w:marRight w:val="0"/>
      <w:marTop w:val="0"/>
      <w:marBottom w:val="0"/>
      <w:divBdr>
        <w:top w:val="none" w:sz="0" w:space="0" w:color="auto"/>
        <w:left w:val="none" w:sz="0" w:space="0" w:color="auto"/>
        <w:bottom w:val="none" w:sz="0" w:space="0" w:color="auto"/>
        <w:right w:val="none" w:sz="0" w:space="0" w:color="auto"/>
      </w:divBdr>
      <w:divsChild>
        <w:div w:id="1583371811">
          <w:marLeft w:val="0"/>
          <w:marRight w:val="0"/>
          <w:marTop w:val="0"/>
          <w:marBottom w:val="0"/>
          <w:divBdr>
            <w:top w:val="none" w:sz="0" w:space="0" w:color="auto"/>
            <w:left w:val="none" w:sz="0" w:space="0" w:color="auto"/>
            <w:bottom w:val="none" w:sz="0" w:space="0" w:color="auto"/>
            <w:right w:val="none" w:sz="0" w:space="0" w:color="auto"/>
          </w:divBdr>
        </w:div>
      </w:divsChild>
    </w:div>
    <w:div w:id="422797288">
      <w:marLeft w:val="0"/>
      <w:marRight w:val="0"/>
      <w:marTop w:val="240"/>
      <w:marBottom w:val="0"/>
      <w:divBdr>
        <w:top w:val="none" w:sz="0" w:space="0" w:color="auto"/>
        <w:left w:val="none" w:sz="0" w:space="0" w:color="auto"/>
        <w:bottom w:val="none" w:sz="0" w:space="0" w:color="auto"/>
        <w:right w:val="none" w:sz="0" w:space="0" w:color="auto"/>
      </w:divBdr>
    </w:div>
    <w:div w:id="425199976">
      <w:marLeft w:val="0"/>
      <w:marRight w:val="0"/>
      <w:marTop w:val="0"/>
      <w:marBottom w:val="240"/>
      <w:divBdr>
        <w:top w:val="none" w:sz="0" w:space="0" w:color="auto"/>
        <w:left w:val="none" w:sz="0" w:space="0" w:color="auto"/>
        <w:bottom w:val="none" w:sz="0" w:space="0" w:color="auto"/>
        <w:right w:val="none" w:sz="0" w:space="0" w:color="auto"/>
      </w:divBdr>
    </w:div>
    <w:div w:id="429664670">
      <w:marLeft w:val="0"/>
      <w:marRight w:val="0"/>
      <w:marTop w:val="0"/>
      <w:marBottom w:val="0"/>
      <w:divBdr>
        <w:top w:val="none" w:sz="0" w:space="0" w:color="auto"/>
        <w:left w:val="none" w:sz="0" w:space="0" w:color="auto"/>
        <w:bottom w:val="none" w:sz="0" w:space="0" w:color="auto"/>
        <w:right w:val="none" w:sz="0" w:space="0" w:color="auto"/>
      </w:divBdr>
    </w:div>
    <w:div w:id="430396977">
      <w:marLeft w:val="0"/>
      <w:marRight w:val="0"/>
      <w:marTop w:val="360"/>
      <w:marBottom w:val="0"/>
      <w:divBdr>
        <w:top w:val="none" w:sz="0" w:space="0" w:color="auto"/>
        <w:left w:val="none" w:sz="0" w:space="0" w:color="auto"/>
        <w:bottom w:val="none" w:sz="0" w:space="0" w:color="auto"/>
        <w:right w:val="none" w:sz="0" w:space="0" w:color="auto"/>
      </w:divBdr>
    </w:div>
    <w:div w:id="434905981">
      <w:marLeft w:val="0"/>
      <w:marRight w:val="0"/>
      <w:marTop w:val="0"/>
      <w:marBottom w:val="240"/>
      <w:divBdr>
        <w:top w:val="none" w:sz="0" w:space="0" w:color="auto"/>
        <w:left w:val="none" w:sz="0" w:space="0" w:color="auto"/>
        <w:bottom w:val="none" w:sz="0" w:space="0" w:color="auto"/>
        <w:right w:val="none" w:sz="0" w:space="0" w:color="auto"/>
      </w:divBdr>
    </w:div>
    <w:div w:id="440226405">
      <w:marLeft w:val="0"/>
      <w:marRight w:val="0"/>
      <w:marTop w:val="240"/>
      <w:marBottom w:val="0"/>
      <w:divBdr>
        <w:top w:val="none" w:sz="0" w:space="0" w:color="auto"/>
        <w:left w:val="none" w:sz="0" w:space="0" w:color="auto"/>
        <w:bottom w:val="none" w:sz="0" w:space="0" w:color="auto"/>
        <w:right w:val="none" w:sz="0" w:space="0" w:color="auto"/>
      </w:divBdr>
    </w:div>
    <w:div w:id="440493454">
      <w:marLeft w:val="0"/>
      <w:marRight w:val="0"/>
      <w:marTop w:val="240"/>
      <w:marBottom w:val="0"/>
      <w:divBdr>
        <w:top w:val="none" w:sz="0" w:space="0" w:color="auto"/>
        <w:left w:val="none" w:sz="0" w:space="0" w:color="auto"/>
        <w:bottom w:val="none" w:sz="0" w:space="0" w:color="auto"/>
        <w:right w:val="none" w:sz="0" w:space="0" w:color="auto"/>
      </w:divBdr>
    </w:div>
    <w:div w:id="441805540">
      <w:marLeft w:val="0"/>
      <w:marRight w:val="0"/>
      <w:marTop w:val="0"/>
      <w:marBottom w:val="240"/>
      <w:divBdr>
        <w:top w:val="none" w:sz="0" w:space="0" w:color="auto"/>
        <w:left w:val="none" w:sz="0" w:space="0" w:color="auto"/>
        <w:bottom w:val="none" w:sz="0" w:space="0" w:color="auto"/>
        <w:right w:val="none" w:sz="0" w:space="0" w:color="auto"/>
      </w:divBdr>
    </w:div>
    <w:div w:id="445319769">
      <w:marLeft w:val="0"/>
      <w:marRight w:val="0"/>
      <w:marTop w:val="240"/>
      <w:marBottom w:val="0"/>
      <w:divBdr>
        <w:top w:val="none" w:sz="0" w:space="0" w:color="auto"/>
        <w:left w:val="none" w:sz="0" w:space="0" w:color="auto"/>
        <w:bottom w:val="none" w:sz="0" w:space="0" w:color="auto"/>
        <w:right w:val="none" w:sz="0" w:space="0" w:color="auto"/>
      </w:divBdr>
    </w:div>
    <w:div w:id="450245174">
      <w:marLeft w:val="0"/>
      <w:marRight w:val="0"/>
      <w:marTop w:val="0"/>
      <w:marBottom w:val="240"/>
      <w:divBdr>
        <w:top w:val="none" w:sz="0" w:space="0" w:color="auto"/>
        <w:left w:val="none" w:sz="0" w:space="0" w:color="auto"/>
        <w:bottom w:val="none" w:sz="0" w:space="0" w:color="auto"/>
        <w:right w:val="none" w:sz="0" w:space="0" w:color="auto"/>
      </w:divBdr>
    </w:div>
    <w:div w:id="452211926">
      <w:marLeft w:val="0"/>
      <w:marRight w:val="0"/>
      <w:marTop w:val="0"/>
      <w:marBottom w:val="0"/>
      <w:divBdr>
        <w:top w:val="none" w:sz="0" w:space="0" w:color="auto"/>
        <w:left w:val="none" w:sz="0" w:space="0" w:color="auto"/>
        <w:bottom w:val="none" w:sz="0" w:space="0" w:color="auto"/>
        <w:right w:val="none" w:sz="0" w:space="0" w:color="auto"/>
      </w:divBdr>
    </w:div>
    <w:div w:id="459154159">
      <w:marLeft w:val="0"/>
      <w:marRight w:val="0"/>
      <w:marTop w:val="0"/>
      <w:marBottom w:val="120"/>
      <w:divBdr>
        <w:top w:val="none" w:sz="0" w:space="0" w:color="auto"/>
        <w:left w:val="none" w:sz="0" w:space="0" w:color="auto"/>
        <w:bottom w:val="none" w:sz="0" w:space="0" w:color="auto"/>
        <w:right w:val="none" w:sz="0" w:space="0" w:color="auto"/>
      </w:divBdr>
    </w:div>
    <w:div w:id="459298952">
      <w:marLeft w:val="0"/>
      <w:marRight w:val="0"/>
      <w:marTop w:val="0"/>
      <w:marBottom w:val="240"/>
      <w:divBdr>
        <w:top w:val="none" w:sz="0" w:space="0" w:color="auto"/>
        <w:left w:val="none" w:sz="0" w:space="0" w:color="auto"/>
        <w:bottom w:val="none" w:sz="0" w:space="0" w:color="auto"/>
        <w:right w:val="none" w:sz="0" w:space="0" w:color="auto"/>
      </w:divBdr>
    </w:div>
    <w:div w:id="462969693">
      <w:marLeft w:val="0"/>
      <w:marRight w:val="0"/>
      <w:marTop w:val="0"/>
      <w:marBottom w:val="240"/>
      <w:divBdr>
        <w:top w:val="none" w:sz="0" w:space="0" w:color="auto"/>
        <w:left w:val="none" w:sz="0" w:space="0" w:color="auto"/>
        <w:bottom w:val="none" w:sz="0" w:space="0" w:color="auto"/>
        <w:right w:val="none" w:sz="0" w:space="0" w:color="auto"/>
      </w:divBdr>
    </w:div>
    <w:div w:id="463886985">
      <w:marLeft w:val="0"/>
      <w:marRight w:val="0"/>
      <w:marTop w:val="240"/>
      <w:marBottom w:val="240"/>
      <w:divBdr>
        <w:top w:val="none" w:sz="0" w:space="0" w:color="auto"/>
        <w:left w:val="none" w:sz="0" w:space="0" w:color="auto"/>
        <w:bottom w:val="none" w:sz="0" w:space="0" w:color="auto"/>
        <w:right w:val="none" w:sz="0" w:space="0" w:color="auto"/>
      </w:divBdr>
    </w:div>
    <w:div w:id="465126484">
      <w:marLeft w:val="0"/>
      <w:marRight w:val="0"/>
      <w:marTop w:val="0"/>
      <w:marBottom w:val="240"/>
      <w:divBdr>
        <w:top w:val="none" w:sz="0" w:space="0" w:color="auto"/>
        <w:left w:val="none" w:sz="0" w:space="0" w:color="auto"/>
        <w:bottom w:val="none" w:sz="0" w:space="0" w:color="auto"/>
        <w:right w:val="none" w:sz="0" w:space="0" w:color="auto"/>
      </w:divBdr>
    </w:div>
    <w:div w:id="467940769">
      <w:marLeft w:val="0"/>
      <w:marRight w:val="0"/>
      <w:marTop w:val="240"/>
      <w:marBottom w:val="0"/>
      <w:divBdr>
        <w:top w:val="none" w:sz="0" w:space="0" w:color="auto"/>
        <w:left w:val="none" w:sz="0" w:space="0" w:color="auto"/>
        <w:bottom w:val="none" w:sz="0" w:space="0" w:color="auto"/>
        <w:right w:val="none" w:sz="0" w:space="0" w:color="auto"/>
      </w:divBdr>
    </w:div>
    <w:div w:id="468287065">
      <w:marLeft w:val="0"/>
      <w:marRight w:val="0"/>
      <w:marTop w:val="0"/>
      <w:marBottom w:val="0"/>
      <w:divBdr>
        <w:top w:val="none" w:sz="0" w:space="0" w:color="auto"/>
        <w:left w:val="none" w:sz="0" w:space="0" w:color="auto"/>
        <w:bottom w:val="none" w:sz="0" w:space="0" w:color="auto"/>
        <w:right w:val="none" w:sz="0" w:space="0" w:color="auto"/>
      </w:divBdr>
    </w:div>
    <w:div w:id="468405858">
      <w:marLeft w:val="0"/>
      <w:marRight w:val="0"/>
      <w:marTop w:val="240"/>
      <w:marBottom w:val="240"/>
      <w:divBdr>
        <w:top w:val="none" w:sz="0" w:space="0" w:color="auto"/>
        <w:left w:val="none" w:sz="0" w:space="0" w:color="auto"/>
        <w:bottom w:val="none" w:sz="0" w:space="0" w:color="auto"/>
        <w:right w:val="none" w:sz="0" w:space="0" w:color="auto"/>
      </w:divBdr>
    </w:div>
    <w:div w:id="468476610">
      <w:marLeft w:val="0"/>
      <w:marRight w:val="0"/>
      <w:marTop w:val="240"/>
      <w:marBottom w:val="0"/>
      <w:divBdr>
        <w:top w:val="none" w:sz="0" w:space="0" w:color="auto"/>
        <w:left w:val="none" w:sz="0" w:space="0" w:color="auto"/>
        <w:bottom w:val="none" w:sz="0" w:space="0" w:color="auto"/>
        <w:right w:val="none" w:sz="0" w:space="0" w:color="auto"/>
      </w:divBdr>
    </w:div>
    <w:div w:id="477115194">
      <w:marLeft w:val="0"/>
      <w:marRight w:val="0"/>
      <w:marTop w:val="240"/>
      <w:marBottom w:val="0"/>
      <w:divBdr>
        <w:top w:val="none" w:sz="0" w:space="0" w:color="auto"/>
        <w:left w:val="none" w:sz="0" w:space="0" w:color="auto"/>
        <w:bottom w:val="none" w:sz="0" w:space="0" w:color="auto"/>
        <w:right w:val="none" w:sz="0" w:space="0" w:color="auto"/>
      </w:divBdr>
    </w:div>
    <w:div w:id="477234185">
      <w:marLeft w:val="0"/>
      <w:marRight w:val="0"/>
      <w:marTop w:val="240"/>
      <w:marBottom w:val="240"/>
      <w:divBdr>
        <w:top w:val="none" w:sz="0" w:space="0" w:color="auto"/>
        <w:left w:val="none" w:sz="0" w:space="0" w:color="auto"/>
        <w:bottom w:val="none" w:sz="0" w:space="0" w:color="auto"/>
        <w:right w:val="none" w:sz="0" w:space="0" w:color="auto"/>
      </w:divBdr>
    </w:div>
    <w:div w:id="477571776">
      <w:marLeft w:val="0"/>
      <w:marRight w:val="0"/>
      <w:marTop w:val="200"/>
      <w:marBottom w:val="0"/>
      <w:divBdr>
        <w:top w:val="none" w:sz="0" w:space="0" w:color="auto"/>
        <w:left w:val="none" w:sz="0" w:space="0" w:color="auto"/>
        <w:bottom w:val="none" w:sz="0" w:space="0" w:color="auto"/>
        <w:right w:val="none" w:sz="0" w:space="0" w:color="auto"/>
      </w:divBdr>
    </w:div>
    <w:div w:id="482620198">
      <w:marLeft w:val="0"/>
      <w:marRight w:val="0"/>
      <w:marTop w:val="0"/>
      <w:marBottom w:val="150"/>
      <w:divBdr>
        <w:top w:val="none" w:sz="0" w:space="0" w:color="auto"/>
        <w:left w:val="none" w:sz="0" w:space="0" w:color="auto"/>
        <w:bottom w:val="none" w:sz="0" w:space="0" w:color="auto"/>
        <w:right w:val="none" w:sz="0" w:space="0" w:color="auto"/>
      </w:divBdr>
    </w:div>
    <w:div w:id="487745338">
      <w:marLeft w:val="0"/>
      <w:marRight w:val="0"/>
      <w:marTop w:val="0"/>
      <w:marBottom w:val="120"/>
      <w:divBdr>
        <w:top w:val="none" w:sz="0" w:space="0" w:color="auto"/>
        <w:left w:val="none" w:sz="0" w:space="0" w:color="auto"/>
        <w:bottom w:val="none" w:sz="0" w:space="0" w:color="auto"/>
        <w:right w:val="none" w:sz="0" w:space="0" w:color="auto"/>
      </w:divBdr>
    </w:div>
    <w:div w:id="491408340">
      <w:marLeft w:val="0"/>
      <w:marRight w:val="0"/>
      <w:marTop w:val="240"/>
      <w:marBottom w:val="240"/>
      <w:divBdr>
        <w:top w:val="none" w:sz="0" w:space="0" w:color="auto"/>
        <w:left w:val="none" w:sz="0" w:space="0" w:color="auto"/>
        <w:bottom w:val="none" w:sz="0" w:space="0" w:color="auto"/>
        <w:right w:val="none" w:sz="0" w:space="0" w:color="auto"/>
      </w:divBdr>
    </w:div>
    <w:div w:id="491877174">
      <w:marLeft w:val="0"/>
      <w:marRight w:val="0"/>
      <w:marTop w:val="240"/>
      <w:marBottom w:val="0"/>
      <w:divBdr>
        <w:top w:val="none" w:sz="0" w:space="0" w:color="auto"/>
        <w:left w:val="none" w:sz="0" w:space="0" w:color="auto"/>
        <w:bottom w:val="none" w:sz="0" w:space="0" w:color="auto"/>
        <w:right w:val="none" w:sz="0" w:space="0" w:color="auto"/>
      </w:divBdr>
    </w:div>
    <w:div w:id="492569647">
      <w:marLeft w:val="0"/>
      <w:marRight w:val="0"/>
      <w:marTop w:val="0"/>
      <w:marBottom w:val="240"/>
      <w:divBdr>
        <w:top w:val="none" w:sz="0" w:space="0" w:color="auto"/>
        <w:left w:val="none" w:sz="0" w:space="0" w:color="auto"/>
        <w:bottom w:val="none" w:sz="0" w:space="0" w:color="auto"/>
        <w:right w:val="none" w:sz="0" w:space="0" w:color="auto"/>
      </w:divBdr>
    </w:div>
    <w:div w:id="493691003">
      <w:marLeft w:val="0"/>
      <w:marRight w:val="0"/>
      <w:marTop w:val="0"/>
      <w:marBottom w:val="0"/>
      <w:divBdr>
        <w:top w:val="none" w:sz="0" w:space="0" w:color="auto"/>
        <w:left w:val="none" w:sz="0" w:space="0" w:color="auto"/>
        <w:bottom w:val="none" w:sz="0" w:space="0" w:color="auto"/>
        <w:right w:val="none" w:sz="0" w:space="0" w:color="auto"/>
      </w:divBdr>
      <w:divsChild>
        <w:div w:id="479735215">
          <w:marLeft w:val="0"/>
          <w:marRight w:val="0"/>
          <w:marTop w:val="0"/>
          <w:marBottom w:val="0"/>
          <w:divBdr>
            <w:top w:val="none" w:sz="0" w:space="0" w:color="auto"/>
            <w:left w:val="none" w:sz="0" w:space="0" w:color="auto"/>
            <w:bottom w:val="none" w:sz="0" w:space="0" w:color="auto"/>
            <w:right w:val="none" w:sz="0" w:space="0" w:color="auto"/>
          </w:divBdr>
        </w:div>
      </w:divsChild>
    </w:div>
    <w:div w:id="495728546">
      <w:marLeft w:val="0"/>
      <w:marRight w:val="0"/>
      <w:marTop w:val="0"/>
      <w:marBottom w:val="0"/>
      <w:divBdr>
        <w:top w:val="none" w:sz="0" w:space="0" w:color="auto"/>
        <w:left w:val="none" w:sz="0" w:space="0" w:color="auto"/>
        <w:bottom w:val="none" w:sz="0" w:space="0" w:color="auto"/>
        <w:right w:val="none" w:sz="0" w:space="0" w:color="auto"/>
      </w:divBdr>
      <w:divsChild>
        <w:div w:id="309402433">
          <w:marLeft w:val="0"/>
          <w:marRight w:val="0"/>
          <w:marTop w:val="0"/>
          <w:marBottom w:val="0"/>
          <w:divBdr>
            <w:top w:val="none" w:sz="0" w:space="0" w:color="auto"/>
            <w:left w:val="none" w:sz="0" w:space="0" w:color="auto"/>
            <w:bottom w:val="none" w:sz="0" w:space="0" w:color="auto"/>
            <w:right w:val="none" w:sz="0" w:space="0" w:color="auto"/>
          </w:divBdr>
        </w:div>
        <w:div w:id="228687263">
          <w:marLeft w:val="0"/>
          <w:marRight w:val="0"/>
          <w:marTop w:val="0"/>
          <w:marBottom w:val="0"/>
          <w:divBdr>
            <w:top w:val="none" w:sz="0" w:space="0" w:color="auto"/>
            <w:left w:val="none" w:sz="0" w:space="0" w:color="auto"/>
            <w:bottom w:val="none" w:sz="0" w:space="0" w:color="auto"/>
            <w:right w:val="none" w:sz="0" w:space="0" w:color="auto"/>
          </w:divBdr>
        </w:div>
      </w:divsChild>
    </w:div>
    <w:div w:id="498276380">
      <w:marLeft w:val="0"/>
      <w:marRight w:val="0"/>
      <w:marTop w:val="0"/>
      <w:marBottom w:val="240"/>
      <w:divBdr>
        <w:top w:val="none" w:sz="0" w:space="0" w:color="auto"/>
        <w:left w:val="none" w:sz="0" w:space="0" w:color="auto"/>
        <w:bottom w:val="none" w:sz="0" w:space="0" w:color="auto"/>
        <w:right w:val="none" w:sz="0" w:space="0" w:color="auto"/>
      </w:divBdr>
    </w:div>
    <w:div w:id="500511283">
      <w:marLeft w:val="0"/>
      <w:marRight w:val="0"/>
      <w:marTop w:val="240"/>
      <w:marBottom w:val="0"/>
      <w:divBdr>
        <w:top w:val="none" w:sz="0" w:space="0" w:color="auto"/>
        <w:left w:val="none" w:sz="0" w:space="0" w:color="auto"/>
        <w:bottom w:val="none" w:sz="0" w:space="0" w:color="auto"/>
        <w:right w:val="none" w:sz="0" w:space="0" w:color="auto"/>
      </w:divBdr>
    </w:div>
    <w:div w:id="501579590">
      <w:marLeft w:val="0"/>
      <w:marRight w:val="0"/>
      <w:marTop w:val="0"/>
      <w:marBottom w:val="0"/>
      <w:divBdr>
        <w:top w:val="none" w:sz="0" w:space="0" w:color="auto"/>
        <w:left w:val="none" w:sz="0" w:space="0" w:color="auto"/>
        <w:bottom w:val="none" w:sz="0" w:space="0" w:color="auto"/>
        <w:right w:val="none" w:sz="0" w:space="0" w:color="auto"/>
      </w:divBdr>
      <w:divsChild>
        <w:div w:id="1142892861">
          <w:marLeft w:val="0"/>
          <w:marRight w:val="0"/>
          <w:marTop w:val="0"/>
          <w:marBottom w:val="0"/>
          <w:divBdr>
            <w:top w:val="none" w:sz="0" w:space="0" w:color="auto"/>
            <w:left w:val="none" w:sz="0" w:space="0" w:color="auto"/>
            <w:bottom w:val="none" w:sz="0" w:space="0" w:color="auto"/>
            <w:right w:val="none" w:sz="0" w:space="0" w:color="auto"/>
          </w:divBdr>
        </w:div>
      </w:divsChild>
    </w:div>
    <w:div w:id="502357605">
      <w:marLeft w:val="0"/>
      <w:marRight w:val="0"/>
      <w:marTop w:val="0"/>
      <w:marBottom w:val="240"/>
      <w:divBdr>
        <w:top w:val="none" w:sz="0" w:space="0" w:color="auto"/>
        <w:left w:val="none" w:sz="0" w:space="0" w:color="auto"/>
        <w:bottom w:val="none" w:sz="0" w:space="0" w:color="auto"/>
        <w:right w:val="none" w:sz="0" w:space="0" w:color="auto"/>
      </w:divBdr>
    </w:div>
    <w:div w:id="503907103">
      <w:marLeft w:val="0"/>
      <w:marRight w:val="0"/>
      <w:marTop w:val="0"/>
      <w:marBottom w:val="240"/>
      <w:divBdr>
        <w:top w:val="none" w:sz="0" w:space="0" w:color="auto"/>
        <w:left w:val="none" w:sz="0" w:space="0" w:color="auto"/>
        <w:bottom w:val="none" w:sz="0" w:space="0" w:color="auto"/>
        <w:right w:val="none" w:sz="0" w:space="0" w:color="auto"/>
      </w:divBdr>
    </w:div>
    <w:div w:id="506020265">
      <w:marLeft w:val="0"/>
      <w:marRight w:val="0"/>
      <w:marTop w:val="0"/>
      <w:marBottom w:val="0"/>
      <w:divBdr>
        <w:top w:val="none" w:sz="0" w:space="0" w:color="auto"/>
        <w:left w:val="none" w:sz="0" w:space="0" w:color="auto"/>
        <w:bottom w:val="none" w:sz="0" w:space="0" w:color="auto"/>
        <w:right w:val="none" w:sz="0" w:space="0" w:color="auto"/>
      </w:divBdr>
      <w:divsChild>
        <w:div w:id="1270968886">
          <w:marLeft w:val="0"/>
          <w:marRight w:val="0"/>
          <w:marTop w:val="0"/>
          <w:marBottom w:val="0"/>
          <w:divBdr>
            <w:top w:val="none" w:sz="0" w:space="0" w:color="auto"/>
            <w:left w:val="none" w:sz="0" w:space="0" w:color="auto"/>
            <w:bottom w:val="none" w:sz="0" w:space="0" w:color="auto"/>
            <w:right w:val="none" w:sz="0" w:space="0" w:color="auto"/>
          </w:divBdr>
        </w:div>
      </w:divsChild>
    </w:div>
    <w:div w:id="509680233">
      <w:marLeft w:val="0"/>
      <w:marRight w:val="0"/>
      <w:marTop w:val="240"/>
      <w:marBottom w:val="0"/>
      <w:divBdr>
        <w:top w:val="none" w:sz="0" w:space="0" w:color="auto"/>
        <w:left w:val="none" w:sz="0" w:space="0" w:color="auto"/>
        <w:bottom w:val="none" w:sz="0" w:space="0" w:color="auto"/>
        <w:right w:val="none" w:sz="0" w:space="0" w:color="auto"/>
      </w:divBdr>
    </w:div>
    <w:div w:id="515923781">
      <w:marLeft w:val="0"/>
      <w:marRight w:val="0"/>
      <w:marTop w:val="0"/>
      <w:marBottom w:val="240"/>
      <w:divBdr>
        <w:top w:val="none" w:sz="0" w:space="0" w:color="auto"/>
        <w:left w:val="none" w:sz="0" w:space="0" w:color="auto"/>
        <w:bottom w:val="none" w:sz="0" w:space="0" w:color="auto"/>
        <w:right w:val="none" w:sz="0" w:space="0" w:color="auto"/>
      </w:divBdr>
    </w:div>
    <w:div w:id="515971382">
      <w:marLeft w:val="0"/>
      <w:marRight w:val="0"/>
      <w:marTop w:val="0"/>
      <w:marBottom w:val="120"/>
      <w:divBdr>
        <w:top w:val="none" w:sz="0" w:space="0" w:color="auto"/>
        <w:left w:val="none" w:sz="0" w:space="0" w:color="auto"/>
        <w:bottom w:val="none" w:sz="0" w:space="0" w:color="auto"/>
        <w:right w:val="none" w:sz="0" w:space="0" w:color="auto"/>
      </w:divBdr>
    </w:div>
    <w:div w:id="517737485">
      <w:marLeft w:val="0"/>
      <w:marRight w:val="0"/>
      <w:marTop w:val="0"/>
      <w:marBottom w:val="240"/>
      <w:divBdr>
        <w:top w:val="none" w:sz="0" w:space="0" w:color="auto"/>
        <w:left w:val="none" w:sz="0" w:space="0" w:color="auto"/>
        <w:bottom w:val="none" w:sz="0" w:space="0" w:color="auto"/>
        <w:right w:val="none" w:sz="0" w:space="0" w:color="auto"/>
      </w:divBdr>
    </w:div>
    <w:div w:id="521431672">
      <w:marLeft w:val="0"/>
      <w:marRight w:val="0"/>
      <w:marTop w:val="0"/>
      <w:marBottom w:val="0"/>
      <w:divBdr>
        <w:top w:val="none" w:sz="0" w:space="0" w:color="auto"/>
        <w:left w:val="none" w:sz="0" w:space="0" w:color="auto"/>
        <w:bottom w:val="none" w:sz="0" w:space="0" w:color="auto"/>
        <w:right w:val="none" w:sz="0" w:space="0" w:color="auto"/>
      </w:divBdr>
    </w:div>
    <w:div w:id="523983558">
      <w:marLeft w:val="0"/>
      <w:marRight w:val="0"/>
      <w:marTop w:val="240"/>
      <w:marBottom w:val="0"/>
      <w:divBdr>
        <w:top w:val="none" w:sz="0" w:space="0" w:color="auto"/>
        <w:left w:val="none" w:sz="0" w:space="0" w:color="auto"/>
        <w:bottom w:val="none" w:sz="0" w:space="0" w:color="auto"/>
        <w:right w:val="none" w:sz="0" w:space="0" w:color="auto"/>
      </w:divBdr>
    </w:div>
    <w:div w:id="525025671">
      <w:marLeft w:val="0"/>
      <w:marRight w:val="0"/>
      <w:marTop w:val="0"/>
      <w:marBottom w:val="240"/>
      <w:divBdr>
        <w:top w:val="none" w:sz="0" w:space="0" w:color="auto"/>
        <w:left w:val="none" w:sz="0" w:space="0" w:color="auto"/>
        <w:bottom w:val="none" w:sz="0" w:space="0" w:color="auto"/>
        <w:right w:val="none" w:sz="0" w:space="0" w:color="auto"/>
      </w:divBdr>
    </w:div>
    <w:div w:id="525946198">
      <w:marLeft w:val="0"/>
      <w:marRight w:val="0"/>
      <w:marTop w:val="240"/>
      <w:marBottom w:val="240"/>
      <w:divBdr>
        <w:top w:val="none" w:sz="0" w:space="0" w:color="auto"/>
        <w:left w:val="none" w:sz="0" w:space="0" w:color="auto"/>
        <w:bottom w:val="none" w:sz="0" w:space="0" w:color="auto"/>
        <w:right w:val="none" w:sz="0" w:space="0" w:color="auto"/>
      </w:divBdr>
    </w:div>
    <w:div w:id="528641456">
      <w:marLeft w:val="0"/>
      <w:marRight w:val="0"/>
      <w:marTop w:val="120"/>
      <w:marBottom w:val="240"/>
      <w:divBdr>
        <w:top w:val="none" w:sz="0" w:space="0" w:color="auto"/>
        <w:left w:val="none" w:sz="0" w:space="0" w:color="auto"/>
        <w:bottom w:val="none" w:sz="0" w:space="0" w:color="auto"/>
        <w:right w:val="none" w:sz="0" w:space="0" w:color="auto"/>
      </w:divBdr>
    </w:div>
    <w:div w:id="530342339">
      <w:marLeft w:val="0"/>
      <w:marRight w:val="0"/>
      <w:marTop w:val="0"/>
      <w:marBottom w:val="0"/>
      <w:divBdr>
        <w:top w:val="none" w:sz="0" w:space="0" w:color="auto"/>
        <w:left w:val="none" w:sz="0" w:space="0" w:color="auto"/>
        <w:bottom w:val="none" w:sz="0" w:space="0" w:color="auto"/>
        <w:right w:val="none" w:sz="0" w:space="0" w:color="auto"/>
      </w:divBdr>
    </w:div>
    <w:div w:id="536165756">
      <w:marLeft w:val="0"/>
      <w:marRight w:val="0"/>
      <w:marTop w:val="240"/>
      <w:marBottom w:val="0"/>
      <w:divBdr>
        <w:top w:val="none" w:sz="0" w:space="0" w:color="auto"/>
        <w:left w:val="none" w:sz="0" w:space="0" w:color="auto"/>
        <w:bottom w:val="none" w:sz="0" w:space="0" w:color="auto"/>
        <w:right w:val="none" w:sz="0" w:space="0" w:color="auto"/>
      </w:divBdr>
    </w:div>
    <w:div w:id="536282774">
      <w:marLeft w:val="0"/>
      <w:marRight w:val="0"/>
      <w:marTop w:val="240"/>
      <w:marBottom w:val="0"/>
      <w:divBdr>
        <w:top w:val="none" w:sz="0" w:space="0" w:color="auto"/>
        <w:left w:val="none" w:sz="0" w:space="0" w:color="auto"/>
        <w:bottom w:val="none" w:sz="0" w:space="0" w:color="auto"/>
        <w:right w:val="none" w:sz="0" w:space="0" w:color="auto"/>
      </w:divBdr>
    </w:div>
    <w:div w:id="536817230">
      <w:marLeft w:val="0"/>
      <w:marRight w:val="0"/>
      <w:marTop w:val="0"/>
      <w:marBottom w:val="240"/>
      <w:divBdr>
        <w:top w:val="none" w:sz="0" w:space="0" w:color="auto"/>
        <w:left w:val="none" w:sz="0" w:space="0" w:color="auto"/>
        <w:bottom w:val="none" w:sz="0" w:space="0" w:color="auto"/>
        <w:right w:val="none" w:sz="0" w:space="0" w:color="auto"/>
      </w:divBdr>
    </w:div>
    <w:div w:id="539055696">
      <w:marLeft w:val="0"/>
      <w:marRight w:val="0"/>
      <w:marTop w:val="0"/>
      <w:marBottom w:val="0"/>
      <w:divBdr>
        <w:top w:val="none" w:sz="0" w:space="0" w:color="auto"/>
        <w:left w:val="none" w:sz="0" w:space="0" w:color="auto"/>
        <w:bottom w:val="none" w:sz="0" w:space="0" w:color="auto"/>
        <w:right w:val="none" w:sz="0" w:space="0" w:color="auto"/>
      </w:divBdr>
      <w:divsChild>
        <w:div w:id="712270622">
          <w:marLeft w:val="0"/>
          <w:marRight w:val="0"/>
          <w:marTop w:val="0"/>
          <w:marBottom w:val="0"/>
          <w:divBdr>
            <w:top w:val="none" w:sz="0" w:space="0" w:color="auto"/>
            <w:left w:val="none" w:sz="0" w:space="0" w:color="auto"/>
            <w:bottom w:val="none" w:sz="0" w:space="0" w:color="auto"/>
            <w:right w:val="none" w:sz="0" w:space="0" w:color="auto"/>
          </w:divBdr>
        </w:div>
      </w:divsChild>
    </w:div>
    <w:div w:id="540290539">
      <w:marLeft w:val="0"/>
      <w:marRight w:val="0"/>
      <w:marTop w:val="0"/>
      <w:marBottom w:val="240"/>
      <w:divBdr>
        <w:top w:val="none" w:sz="0" w:space="0" w:color="auto"/>
        <w:left w:val="none" w:sz="0" w:space="0" w:color="auto"/>
        <w:bottom w:val="none" w:sz="0" w:space="0" w:color="auto"/>
        <w:right w:val="none" w:sz="0" w:space="0" w:color="auto"/>
      </w:divBdr>
    </w:div>
    <w:div w:id="540750674">
      <w:marLeft w:val="0"/>
      <w:marRight w:val="0"/>
      <w:marTop w:val="0"/>
      <w:marBottom w:val="0"/>
      <w:divBdr>
        <w:top w:val="none" w:sz="0" w:space="0" w:color="auto"/>
        <w:left w:val="none" w:sz="0" w:space="0" w:color="auto"/>
        <w:bottom w:val="none" w:sz="0" w:space="0" w:color="auto"/>
        <w:right w:val="none" w:sz="0" w:space="0" w:color="auto"/>
      </w:divBdr>
      <w:divsChild>
        <w:div w:id="990401699">
          <w:marLeft w:val="0"/>
          <w:marRight w:val="0"/>
          <w:marTop w:val="0"/>
          <w:marBottom w:val="0"/>
          <w:divBdr>
            <w:top w:val="none" w:sz="0" w:space="0" w:color="auto"/>
            <w:left w:val="none" w:sz="0" w:space="0" w:color="auto"/>
            <w:bottom w:val="none" w:sz="0" w:space="0" w:color="auto"/>
            <w:right w:val="none" w:sz="0" w:space="0" w:color="auto"/>
          </w:divBdr>
        </w:div>
      </w:divsChild>
    </w:div>
    <w:div w:id="547451710">
      <w:marLeft w:val="0"/>
      <w:marRight w:val="0"/>
      <w:marTop w:val="0"/>
      <w:marBottom w:val="0"/>
      <w:divBdr>
        <w:top w:val="none" w:sz="0" w:space="0" w:color="auto"/>
        <w:left w:val="none" w:sz="0" w:space="0" w:color="auto"/>
        <w:bottom w:val="none" w:sz="0" w:space="0" w:color="auto"/>
        <w:right w:val="none" w:sz="0" w:space="0" w:color="auto"/>
      </w:divBdr>
      <w:divsChild>
        <w:div w:id="1097480143">
          <w:marLeft w:val="0"/>
          <w:marRight w:val="0"/>
          <w:marTop w:val="0"/>
          <w:marBottom w:val="0"/>
          <w:divBdr>
            <w:top w:val="none" w:sz="0" w:space="0" w:color="auto"/>
            <w:left w:val="none" w:sz="0" w:space="0" w:color="auto"/>
            <w:bottom w:val="none" w:sz="0" w:space="0" w:color="auto"/>
            <w:right w:val="none" w:sz="0" w:space="0" w:color="auto"/>
          </w:divBdr>
        </w:div>
      </w:divsChild>
    </w:div>
    <w:div w:id="552497623">
      <w:marLeft w:val="0"/>
      <w:marRight w:val="0"/>
      <w:marTop w:val="240"/>
      <w:marBottom w:val="0"/>
      <w:divBdr>
        <w:top w:val="none" w:sz="0" w:space="0" w:color="auto"/>
        <w:left w:val="none" w:sz="0" w:space="0" w:color="auto"/>
        <w:bottom w:val="none" w:sz="0" w:space="0" w:color="auto"/>
        <w:right w:val="none" w:sz="0" w:space="0" w:color="auto"/>
      </w:divBdr>
    </w:div>
    <w:div w:id="554241112">
      <w:marLeft w:val="0"/>
      <w:marRight w:val="0"/>
      <w:marTop w:val="0"/>
      <w:marBottom w:val="0"/>
      <w:divBdr>
        <w:top w:val="none" w:sz="0" w:space="0" w:color="auto"/>
        <w:left w:val="none" w:sz="0" w:space="0" w:color="auto"/>
        <w:bottom w:val="none" w:sz="0" w:space="0" w:color="auto"/>
        <w:right w:val="none" w:sz="0" w:space="0" w:color="auto"/>
      </w:divBdr>
      <w:divsChild>
        <w:div w:id="1705985887">
          <w:marLeft w:val="0"/>
          <w:marRight w:val="0"/>
          <w:marTop w:val="0"/>
          <w:marBottom w:val="0"/>
          <w:divBdr>
            <w:top w:val="none" w:sz="0" w:space="0" w:color="auto"/>
            <w:left w:val="none" w:sz="0" w:space="0" w:color="auto"/>
            <w:bottom w:val="none" w:sz="0" w:space="0" w:color="auto"/>
            <w:right w:val="none" w:sz="0" w:space="0" w:color="auto"/>
          </w:divBdr>
        </w:div>
      </w:divsChild>
    </w:div>
    <w:div w:id="554901188">
      <w:marLeft w:val="0"/>
      <w:marRight w:val="0"/>
      <w:marTop w:val="0"/>
      <w:marBottom w:val="0"/>
      <w:divBdr>
        <w:top w:val="none" w:sz="0" w:space="0" w:color="auto"/>
        <w:left w:val="none" w:sz="0" w:space="0" w:color="auto"/>
        <w:bottom w:val="none" w:sz="0" w:space="0" w:color="auto"/>
        <w:right w:val="none" w:sz="0" w:space="0" w:color="auto"/>
      </w:divBdr>
      <w:divsChild>
        <w:div w:id="105974926">
          <w:marLeft w:val="0"/>
          <w:marRight w:val="0"/>
          <w:marTop w:val="0"/>
          <w:marBottom w:val="0"/>
          <w:divBdr>
            <w:top w:val="none" w:sz="0" w:space="0" w:color="auto"/>
            <w:left w:val="none" w:sz="0" w:space="0" w:color="auto"/>
            <w:bottom w:val="none" w:sz="0" w:space="0" w:color="auto"/>
            <w:right w:val="none" w:sz="0" w:space="0" w:color="auto"/>
          </w:divBdr>
        </w:div>
      </w:divsChild>
    </w:div>
    <w:div w:id="555750370">
      <w:marLeft w:val="0"/>
      <w:marRight w:val="0"/>
      <w:marTop w:val="240"/>
      <w:marBottom w:val="0"/>
      <w:divBdr>
        <w:top w:val="none" w:sz="0" w:space="0" w:color="auto"/>
        <w:left w:val="none" w:sz="0" w:space="0" w:color="auto"/>
        <w:bottom w:val="none" w:sz="0" w:space="0" w:color="auto"/>
        <w:right w:val="none" w:sz="0" w:space="0" w:color="auto"/>
      </w:divBdr>
    </w:div>
    <w:div w:id="558636212">
      <w:marLeft w:val="0"/>
      <w:marRight w:val="0"/>
      <w:marTop w:val="0"/>
      <w:marBottom w:val="0"/>
      <w:divBdr>
        <w:top w:val="none" w:sz="0" w:space="0" w:color="auto"/>
        <w:left w:val="none" w:sz="0" w:space="0" w:color="auto"/>
        <w:bottom w:val="none" w:sz="0" w:space="0" w:color="auto"/>
        <w:right w:val="none" w:sz="0" w:space="0" w:color="auto"/>
      </w:divBdr>
      <w:divsChild>
        <w:div w:id="830100800">
          <w:marLeft w:val="0"/>
          <w:marRight w:val="0"/>
          <w:marTop w:val="0"/>
          <w:marBottom w:val="0"/>
          <w:divBdr>
            <w:top w:val="none" w:sz="0" w:space="0" w:color="auto"/>
            <w:left w:val="none" w:sz="0" w:space="0" w:color="auto"/>
            <w:bottom w:val="none" w:sz="0" w:space="0" w:color="auto"/>
            <w:right w:val="none" w:sz="0" w:space="0" w:color="auto"/>
          </w:divBdr>
        </w:div>
      </w:divsChild>
    </w:div>
    <w:div w:id="562447927">
      <w:marLeft w:val="0"/>
      <w:marRight w:val="0"/>
      <w:marTop w:val="0"/>
      <w:marBottom w:val="240"/>
      <w:divBdr>
        <w:top w:val="none" w:sz="0" w:space="0" w:color="auto"/>
        <w:left w:val="none" w:sz="0" w:space="0" w:color="auto"/>
        <w:bottom w:val="none" w:sz="0" w:space="0" w:color="auto"/>
        <w:right w:val="none" w:sz="0" w:space="0" w:color="auto"/>
      </w:divBdr>
    </w:div>
    <w:div w:id="564410604">
      <w:marLeft w:val="0"/>
      <w:marRight w:val="0"/>
      <w:marTop w:val="0"/>
      <w:marBottom w:val="120"/>
      <w:divBdr>
        <w:top w:val="none" w:sz="0" w:space="0" w:color="auto"/>
        <w:left w:val="none" w:sz="0" w:space="0" w:color="auto"/>
        <w:bottom w:val="none" w:sz="0" w:space="0" w:color="auto"/>
        <w:right w:val="none" w:sz="0" w:space="0" w:color="auto"/>
      </w:divBdr>
    </w:div>
    <w:div w:id="567227325">
      <w:marLeft w:val="0"/>
      <w:marRight w:val="0"/>
      <w:marTop w:val="240"/>
      <w:marBottom w:val="0"/>
      <w:divBdr>
        <w:top w:val="none" w:sz="0" w:space="0" w:color="auto"/>
        <w:left w:val="none" w:sz="0" w:space="0" w:color="auto"/>
        <w:bottom w:val="none" w:sz="0" w:space="0" w:color="auto"/>
        <w:right w:val="none" w:sz="0" w:space="0" w:color="auto"/>
      </w:divBdr>
    </w:div>
    <w:div w:id="568342436">
      <w:marLeft w:val="0"/>
      <w:marRight w:val="0"/>
      <w:marTop w:val="240"/>
      <w:marBottom w:val="0"/>
      <w:divBdr>
        <w:top w:val="none" w:sz="0" w:space="0" w:color="auto"/>
        <w:left w:val="none" w:sz="0" w:space="0" w:color="auto"/>
        <w:bottom w:val="none" w:sz="0" w:space="0" w:color="auto"/>
        <w:right w:val="none" w:sz="0" w:space="0" w:color="auto"/>
      </w:divBdr>
    </w:div>
    <w:div w:id="571934469">
      <w:marLeft w:val="0"/>
      <w:marRight w:val="0"/>
      <w:marTop w:val="0"/>
      <w:marBottom w:val="0"/>
      <w:divBdr>
        <w:top w:val="none" w:sz="0" w:space="0" w:color="auto"/>
        <w:left w:val="none" w:sz="0" w:space="0" w:color="auto"/>
        <w:bottom w:val="none" w:sz="0" w:space="0" w:color="auto"/>
        <w:right w:val="none" w:sz="0" w:space="0" w:color="auto"/>
      </w:divBdr>
      <w:divsChild>
        <w:div w:id="1373768539">
          <w:marLeft w:val="0"/>
          <w:marRight w:val="0"/>
          <w:marTop w:val="0"/>
          <w:marBottom w:val="0"/>
          <w:divBdr>
            <w:top w:val="none" w:sz="0" w:space="0" w:color="auto"/>
            <w:left w:val="none" w:sz="0" w:space="0" w:color="auto"/>
            <w:bottom w:val="none" w:sz="0" w:space="0" w:color="auto"/>
            <w:right w:val="none" w:sz="0" w:space="0" w:color="auto"/>
          </w:divBdr>
        </w:div>
      </w:divsChild>
    </w:div>
    <w:div w:id="574239573">
      <w:marLeft w:val="0"/>
      <w:marRight w:val="0"/>
      <w:marTop w:val="240"/>
      <w:marBottom w:val="240"/>
      <w:divBdr>
        <w:top w:val="none" w:sz="0" w:space="0" w:color="auto"/>
        <w:left w:val="none" w:sz="0" w:space="0" w:color="auto"/>
        <w:bottom w:val="none" w:sz="0" w:space="0" w:color="auto"/>
        <w:right w:val="none" w:sz="0" w:space="0" w:color="auto"/>
      </w:divBdr>
    </w:div>
    <w:div w:id="576525207">
      <w:marLeft w:val="0"/>
      <w:marRight w:val="0"/>
      <w:marTop w:val="0"/>
      <w:marBottom w:val="0"/>
      <w:divBdr>
        <w:top w:val="none" w:sz="0" w:space="0" w:color="auto"/>
        <w:left w:val="none" w:sz="0" w:space="0" w:color="auto"/>
        <w:bottom w:val="none" w:sz="0" w:space="0" w:color="auto"/>
        <w:right w:val="none" w:sz="0" w:space="0" w:color="auto"/>
      </w:divBdr>
      <w:divsChild>
        <w:div w:id="866792956">
          <w:marLeft w:val="0"/>
          <w:marRight w:val="0"/>
          <w:marTop w:val="0"/>
          <w:marBottom w:val="0"/>
          <w:divBdr>
            <w:top w:val="none" w:sz="0" w:space="0" w:color="auto"/>
            <w:left w:val="none" w:sz="0" w:space="0" w:color="auto"/>
            <w:bottom w:val="none" w:sz="0" w:space="0" w:color="auto"/>
            <w:right w:val="none" w:sz="0" w:space="0" w:color="auto"/>
          </w:divBdr>
        </w:div>
      </w:divsChild>
    </w:div>
    <w:div w:id="578175944">
      <w:marLeft w:val="0"/>
      <w:marRight w:val="0"/>
      <w:marTop w:val="240"/>
      <w:marBottom w:val="0"/>
      <w:divBdr>
        <w:top w:val="none" w:sz="0" w:space="0" w:color="auto"/>
        <w:left w:val="none" w:sz="0" w:space="0" w:color="auto"/>
        <w:bottom w:val="none" w:sz="0" w:space="0" w:color="auto"/>
        <w:right w:val="none" w:sz="0" w:space="0" w:color="auto"/>
      </w:divBdr>
    </w:div>
    <w:div w:id="581529420">
      <w:marLeft w:val="0"/>
      <w:marRight w:val="0"/>
      <w:marTop w:val="240"/>
      <w:marBottom w:val="0"/>
      <w:divBdr>
        <w:top w:val="none" w:sz="0" w:space="0" w:color="auto"/>
        <w:left w:val="none" w:sz="0" w:space="0" w:color="auto"/>
        <w:bottom w:val="none" w:sz="0" w:space="0" w:color="auto"/>
        <w:right w:val="none" w:sz="0" w:space="0" w:color="auto"/>
      </w:divBdr>
    </w:div>
    <w:div w:id="583496895">
      <w:marLeft w:val="0"/>
      <w:marRight w:val="0"/>
      <w:marTop w:val="240"/>
      <w:marBottom w:val="0"/>
      <w:divBdr>
        <w:top w:val="none" w:sz="0" w:space="0" w:color="auto"/>
        <w:left w:val="none" w:sz="0" w:space="0" w:color="auto"/>
        <w:bottom w:val="none" w:sz="0" w:space="0" w:color="auto"/>
        <w:right w:val="none" w:sz="0" w:space="0" w:color="auto"/>
      </w:divBdr>
    </w:div>
    <w:div w:id="585455438">
      <w:marLeft w:val="0"/>
      <w:marRight w:val="0"/>
      <w:marTop w:val="0"/>
      <w:marBottom w:val="240"/>
      <w:divBdr>
        <w:top w:val="none" w:sz="0" w:space="0" w:color="auto"/>
        <w:left w:val="none" w:sz="0" w:space="0" w:color="auto"/>
        <w:bottom w:val="none" w:sz="0" w:space="0" w:color="auto"/>
        <w:right w:val="none" w:sz="0" w:space="0" w:color="auto"/>
      </w:divBdr>
    </w:div>
    <w:div w:id="590239329">
      <w:marLeft w:val="0"/>
      <w:marRight w:val="0"/>
      <w:marTop w:val="240"/>
      <w:marBottom w:val="0"/>
      <w:divBdr>
        <w:top w:val="none" w:sz="0" w:space="0" w:color="auto"/>
        <w:left w:val="none" w:sz="0" w:space="0" w:color="auto"/>
        <w:bottom w:val="none" w:sz="0" w:space="0" w:color="auto"/>
        <w:right w:val="none" w:sz="0" w:space="0" w:color="auto"/>
      </w:divBdr>
    </w:div>
    <w:div w:id="594559923">
      <w:marLeft w:val="0"/>
      <w:marRight w:val="0"/>
      <w:marTop w:val="240"/>
      <w:marBottom w:val="0"/>
      <w:divBdr>
        <w:top w:val="none" w:sz="0" w:space="0" w:color="auto"/>
        <w:left w:val="none" w:sz="0" w:space="0" w:color="auto"/>
        <w:bottom w:val="none" w:sz="0" w:space="0" w:color="auto"/>
        <w:right w:val="none" w:sz="0" w:space="0" w:color="auto"/>
      </w:divBdr>
    </w:div>
    <w:div w:id="595141517">
      <w:marLeft w:val="0"/>
      <w:marRight w:val="0"/>
      <w:marTop w:val="240"/>
      <w:marBottom w:val="0"/>
      <w:divBdr>
        <w:top w:val="none" w:sz="0" w:space="0" w:color="auto"/>
        <w:left w:val="none" w:sz="0" w:space="0" w:color="auto"/>
        <w:bottom w:val="none" w:sz="0" w:space="0" w:color="auto"/>
        <w:right w:val="none" w:sz="0" w:space="0" w:color="auto"/>
      </w:divBdr>
    </w:div>
    <w:div w:id="597251279">
      <w:marLeft w:val="0"/>
      <w:marRight w:val="0"/>
      <w:marTop w:val="240"/>
      <w:marBottom w:val="0"/>
      <w:divBdr>
        <w:top w:val="none" w:sz="0" w:space="0" w:color="auto"/>
        <w:left w:val="none" w:sz="0" w:space="0" w:color="auto"/>
        <w:bottom w:val="none" w:sz="0" w:space="0" w:color="auto"/>
        <w:right w:val="none" w:sz="0" w:space="0" w:color="auto"/>
      </w:divBdr>
    </w:div>
    <w:div w:id="597253750">
      <w:marLeft w:val="0"/>
      <w:marRight w:val="0"/>
      <w:marTop w:val="120"/>
      <w:marBottom w:val="0"/>
      <w:divBdr>
        <w:top w:val="none" w:sz="0" w:space="0" w:color="auto"/>
        <w:left w:val="none" w:sz="0" w:space="0" w:color="auto"/>
        <w:bottom w:val="none" w:sz="0" w:space="0" w:color="auto"/>
        <w:right w:val="none" w:sz="0" w:space="0" w:color="auto"/>
      </w:divBdr>
    </w:div>
    <w:div w:id="599416023">
      <w:marLeft w:val="0"/>
      <w:marRight w:val="0"/>
      <w:marTop w:val="240"/>
      <w:marBottom w:val="0"/>
      <w:divBdr>
        <w:top w:val="none" w:sz="0" w:space="0" w:color="auto"/>
        <w:left w:val="none" w:sz="0" w:space="0" w:color="auto"/>
        <w:bottom w:val="none" w:sz="0" w:space="0" w:color="auto"/>
        <w:right w:val="none" w:sz="0" w:space="0" w:color="auto"/>
      </w:divBdr>
    </w:div>
    <w:div w:id="607662871">
      <w:marLeft w:val="0"/>
      <w:marRight w:val="0"/>
      <w:marTop w:val="0"/>
      <w:marBottom w:val="240"/>
      <w:divBdr>
        <w:top w:val="none" w:sz="0" w:space="0" w:color="auto"/>
        <w:left w:val="none" w:sz="0" w:space="0" w:color="auto"/>
        <w:bottom w:val="none" w:sz="0" w:space="0" w:color="auto"/>
        <w:right w:val="none" w:sz="0" w:space="0" w:color="auto"/>
      </w:divBdr>
    </w:div>
    <w:div w:id="610014326">
      <w:marLeft w:val="0"/>
      <w:marRight w:val="0"/>
      <w:marTop w:val="240"/>
      <w:marBottom w:val="240"/>
      <w:divBdr>
        <w:top w:val="none" w:sz="0" w:space="0" w:color="auto"/>
        <w:left w:val="none" w:sz="0" w:space="0" w:color="auto"/>
        <w:bottom w:val="none" w:sz="0" w:space="0" w:color="auto"/>
        <w:right w:val="none" w:sz="0" w:space="0" w:color="auto"/>
      </w:divBdr>
    </w:div>
    <w:div w:id="610285738">
      <w:marLeft w:val="0"/>
      <w:marRight w:val="0"/>
      <w:marTop w:val="0"/>
      <w:marBottom w:val="240"/>
      <w:divBdr>
        <w:top w:val="none" w:sz="0" w:space="0" w:color="auto"/>
        <w:left w:val="none" w:sz="0" w:space="0" w:color="auto"/>
        <w:bottom w:val="none" w:sz="0" w:space="0" w:color="auto"/>
        <w:right w:val="none" w:sz="0" w:space="0" w:color="auto"/>
      </w:divBdr>
      <w:divsChild>
        <w:div w:id="383717665">
          <w:marLeft w:val="0"/>
          <w:marRight w:val="0"/>
          <w:marTop w:val="0"/>
          <w:marBottom w:val="0"/>
          <w:divBdr>
            <w:top w:val="none" w:sz="0" w:space="0" w:color="auto"/>
            <w:left w:val="none" w:sz="0" w:space="0" w:color="auto"/>
            <w:bottom w:val="none" w:sz="0" w:space="0" w:color="auto"/>
            <w:right w:val="none" w:sz="0" w:space="0" w:color="auto"/>
          </w:divBdr>
        </w:div>
        <w:div w:id="919556991">
          <w:marLeft w:val="0"/>
          <w:marRight w:val="0"/>
          <w:marTop w:val="0"/>
          <w:marBottom w:val="0"/>
          <w:divBdr>
            <w:top w:val="none" w:sz="0" w:space="0" w:color="auto"/>
            <w:left w:val="none" w:sz="0" w:space="0" w:color="auto"/>
            <w:bottom w:val="none" w:sz="0" w:space="0" w:color="auto"/>
            <w:right w:val="none" w:sz="0" w:space="0" w:color="auto"/>
          </w:divBdr>
        </w:div>
        <w:div w:id="1199661824">
          <w:marLeft w:val="0"/>
          <w:marRight w:val="0"/>
          <w:marTop w:val="0"/>
          <w:marBottom w:val="0"/>
          <w:divBdr>
            <w:top w:val="none" w:sz="0" w:space="0" w:color="auto"/>
            <w:left w:val="none" w:sz="0" w:space="0" w:color="auto"/>
            <w:bottom w:val="none" w:sz="0" w:space="0" w:color="auto"/>
            <w:right w:val="none" w:sz="0" w:space="0" w:color="auto"/>
          </w:divBdr>
        </w:div>
        <w:div w:id="427121091">
          <w:marLeft w:val="0"/>
          <w:marRight w:val="0"/>
          <w:marTop w:val="0"/>
          <w:marBottom w:val="0"/>
          <w:divBdr>
            <w:top w:val="none" w:sz="0" w:space="0" w:color="auto"/>
            <w:left w:val="none" w:sz="0" w:space="0" w:color="auto"/>
            <w:bottom w:val="none" w:sz="0" w:space="0" w:color="auto"/>
            <w:right w:val="none" w:sz="0" w:space="0" w:color="auto"/>
          </w:divBdr>
        </w:div>
        <w:div w:id="690373063">
          <w:marLeft w:val="0"/>
          <w:marRight w:val="0"/>
          <w:marTop w:val="0"/>
          <w:marBottom w:val="0"/>
          <w:divBdr>
            <w:top w:val="none" w:sz="0" w:space="0" w:color="auto"/>
            <w:left w:val="none" w:sz="0" w:space="0" w:color="auto"/>
            <w:bottom w:val="none" w:sz="0" w:space="0" w:color="auto"/>
            <w:right w:val="none" w:sz="0" w:space="0" w:color="auto"/>
          </w:divBdr>
        </w:div>
      </w:divsChild>
    </w:div>
    <w:div w:id="610864246">
      <w:marLeft w:val="0"/>
      <w:marRight w:val="0"/>
      <w:marTop w:val="240"/>
      <w:marBottom w:val="0"/>
      <w:divBdr>
        <w:top w:val="none" w:sz="0" w:space="0" w:color="auto"/>
        <w:left w:val="none" w:sz="0" w:space="0" w:color="auto"/>
        <w:bottom w:val="none" w:sz="0" w:space="0" w:color="auto"/>
        <w:right w:val="none" w:sz="0" w:space="0" w:color="auto"/>
      </w:divBdr>
    </w:div>
    <w:div w:id="612127207">
      <w:marLeft w:val="0"/>
      <w:marRight w:val="0"/>
      <w:marTop w:val="240"/>
      <w:marBottom w:val="0"/>
      <w:divBdr>
        <w:top w:val="none" w:sz="0" w:space="0" w:color="auto"/>
        <w:left w:val="none" w:sz="0" w:space="0" w:color="auto"/>
        <w:bottom w:val="none" w:sz="0" w:space="0" w:color="auto"/>
        <w:right w:val="none" w:sz="0" w:space="0" w:color="auto"/>
      </w:divBdr>
    </w:div>
    <w:div w:id="612136055">
      <w:marLeft w:val="0"/>
      <w:marRight w:val="0"/>
      <w:marTop w:val="240"/>
      <w:marBottom w:val="0"/>
      <w:divBdr>
        <w:top w:val="none" w:sz="0" w:space="0" w:color="auto"/>
        <w:left w:val="none" w:sz="0" w:space="0" w:color="auto"/>
        <w:bottom w:val="none" w:sz="0" w:space="0" w:color="auto"/>
        <w:right w:val="none" w:sz="0" w:space="0" w:color="auto"/>
      </w:divBdr>
    </w:div>
    <w:div w:id="612248425">
      <w:marLeft w:val="0"/>
      <w:marRight w:val="0"/>
      <w:marTop w:val="0"/>
      <w:marBottom w:val="240"/>
      <w:divBdr>
        <w:top w:val="none" w:sz="0" w:space="0" w:color="auto"/>
        <w:left w:val="none" w:sz="0" w:space="0" w:color="auto"/>
        <w:bottom w:val="none" w:sz="0" w:space="0" w:color="auto"/>
        <w:right w:val="none" w:sz="0" w:space="0" w:color="auto"/>
      </w:divBdr>
    </w:div>
    <w:div w:id="614866497">
      <w:marLeft w:val="0"/>
      <w:marRight w:val="0"/>
      <w:marTop w:val="180"/>
      <w:marBottom w:val="120"/>
      <w:divBdr>
        <w:top w:val="none" w:sz="0" w:space="0" w:color="auto"/>
        <w:left w:val="none" w:sz="0" w:space="0" w:color="auto"/>
        <w:bottom w:val="none" w:sz="0" w:space="0" w:color="auto"/>
        <w:right w:val="none" w:sz="0" w:space="0" w:color="auto"/>
      </w:divBdr>
    </w:div>
    <w:div w:id="616064919">
      <w:marLeft w:val="0"/>
      <w:marRight w:val="0"/>
      <w:marTop w:val="0"/>
      <w:marBottom w:val="0"/>
      <w:divBdr>
        <w:top w:val="none" w:sz="0" w:space="0" w:color="auto"/>
        <w:left w:val="none" w:sz="0" w:space="0" w:color="auto"/>
        <w:bottom w:val="none" w:sz="0" w:space="0" w:color="auto"/>
        <w:right w:val="none" w:sz="0" w:space="0" w:color="auto"/>
      </w:divBdr>
      <w:divsChild>
        <w:div w:id="217396025">
          <w:marLeft w:val="0"/>
          <w:marRight w:val="0"/>
          <w:marTop w:val="0"/>
          <w:marBottom w:val="0"/>
          <w:divBdr>
            <w:top w:val="none" w:sz="0" w:space="0" w:color="auto"/>
            <w:left w:val="none" w:sz="0" w:space="0" w:color="auto"/>
            <w:bottom w:val="none" w:sz="0" w:space="0" w:color="auto"/>
            <w:right w:val="none" w:sz="0" w:space="0" w:color="auto"/>
          </w:divBdr>
        </w:div>
      </w:divsChild>
    </w:div>
    <w:div w:id="616833959">
      <w:marLeft w:val="0"/>
      <w:marRight w:val="0"/>
      <w:marTop w:val="0"/>
      <w:marBottom w:val="240"/>
      <w:divBdr>
        <w:top w:val="none" w:sz="0" w:space="0" w:color="auto"/>
        <w:left w:val="none" w:sz="0" w:space="0" w:color="auto"/>
        <w:bottom w:val="none" w:sz="0" w:space="0" w:color="auto"/>
        <w:right w:val="none" w:sz="0" w:space="0" w:color="auto"/>
      </w:divBdr>
    </w:div>
    <w:div w:id="618538066">
      <w:marLeft w:val="0"/>
      <w:marRight w:val="0"/>
      <w:marTop w:val="0"/>
      <w:marBottom w:val="0"/>
      <w:divBdr>
        <w:top w:val="none" w:sz="0" w:space="0" w:color="auto"/>
        <w:left w:val="none" w:sz="0" w:space="0" w:color="auto"/>
        <w:bottom w:val="none" w:sz="0" w:space="0" w:color="auto"/>
        <w:right w:val="none" w:sz="0" w:space="0" w:color="auto"/>
      </w:divBdr>
      <w:divsChild>
        <w:div w:id="1009255345">
          <w:marLeft w:val="0"/>
          <w:marRight w:val="0"/>
          <w:marTop w:val="0"/>
          <w:marBottom w:val="0"/>
          <w:divBdr>
            <w:top w:val="none" w:sz="0" w:space="0" w:color="auto"/>
            <w:left w:val="none" w:sz="0" w:space="0" w:color="auto"/>
            <w:bottom w:val="none" w:sz="0" w:space="0" w:color="auto"/>
            <w:right w:val="none" w:sz="0" w:space="0" w:color="auto"/>
          </w:divBdr>
        </w:div>
      </w:divsChild>
    </w:div>
    <w:div w:id="627050998">
      <w:marLeft w:val="0"/>
      <w:marRight w:val="0"/>
      <w:marTop w:val="0"/>
      <w:marBottom w:val="0"/>
      <w:divBdr>
        <w:top w:val="none" w:sz="0" w:space="0" w:color="auto"/>
        <w:left w:val="none" w:sz="0" w:space="0" w:color="auto"/>
        <w:bottom w:val="none" w:sz="0" w:space="0" w:color="auto"/>
        <w:right w:val="none" w:sz="0" w:space="0" w:color="auto"/>
      </w:divBdr>
      <w:divsChild>
        <w:div w:id="1584485840">
          <w:marLeft w:val="0"/>
          <w:marRight w:val="0"/>
          <w:marTop w:val="0"/>
          <w:marBottom w:val="0"/>
          <w:divBdr>
            <w:top w:val="none" w:sz="0" w:space="0" w:color="auto"/>
            <w:left w:val="none" w:sz="0" w:space="0" w:color="auto"/>
            <w:bottom w:val="none" w:sz="0" w:space="0" w:color="auto"/>
            <w:right w:val="none" w:sz="0" w:space="0" w:color="auto"/>
          </w:divBdr>
        </w:div>
      </w:divsChild>
    </w:div>
    <w:div w:id="629168001">
      <w:marLeft w:val="0"/>
      <w:marRight w:val="0"/>
      <w:marTop w:val="0"/>
      <w:marBottom w:val="200"/>
      <w:divBdr>
        <w:top w:val="none" w:sz="0" w:space="0" w:color="auto"/>
        <w:left w:val="none" w:sz="0" w:space="0" w:color="auto"/>
        <w:bottom w:val="none" w:sz="0" w:space="0" w:color="auto"/>
        <w:right w:val="none" w:sz="0" w:space="0" w:color="auto"/>
      </w:divBdr>
    </w:div>
    <w:div w:id="630522012">
      <w:marLeft w:val="0"/>
      <w:marRight w:val="0"/>
      <w:marTop w:val="0"/>
      <w:marBottom w:val="240"/>
      <w:divBdr>
        <w:top w:val="none" w:sz="0" w:space="0" w:color="auto"/>
        <w:left w:val="none" w:sz="0" w:space="0" w:color="auto"/>
        <w:bottom w:val="none" w:sz="0" w:space="0" w:color="auto"/>
        <w:right w:val="none" w:sz="0" w:space="0" w:color="auto"/>
      </w:divBdr>
    </w:div>
    <w:div w:id="630676268">
      <w:marLeft w:val="0"/>
      <w:marRight w:val="0"/>
      <w:marTop w:val="0"/>
      <w:marBottom w:val="0"/>
      <w:divBdr>
        <w:top w:val="none" w:sz="0" w:space="0" w:color="auto"/>
        <w:left w:val="none" w:sz="0" w:space="0" w:color="auto"/>
        <w:bottom w:val="none" w:sz="0" w:space="0" w:color="auto"/>
        <w:right w:val="none" w:sz="0" w:space="0" w:color="auto"/>
      </w:divBdr>
    </w:div>
    <w:div w:id="636227850">
      <w:marLeft w:val="0"/>
      <w:marRight w:val="0"/>
      <w:marTop w:val="0"/>
      <w:marBottom w:val="240"/>
      <w:divBdr>
        <w:top w:val="none" w:sz="0" w:space="0" w:color="auto"/>
        <w:left w:val="none" w:sz="0" w:space="0" w:color="auto"/>
        <w:bottom w:val="none" w:sz="0" w:space="0" w:color="auto"/>
        <w:right w:val="none" w:sz="0" w:space="0" w:color="auto"/>
      </w:divBdr>
    </w:div>
    <w:div w:id="636420371">
      <w:marLeft w:val="0"/>
      <w:marRight w:val="0"/>
      <w:marTop w:val="240"/>
      <w:marBottom w:val="240"/>
      <w:divBdr>
        <w:top w:val="none" w:sz="0" w:space="0" w:color="auto"/>
        <w:left w:val="none" w:sz="0" w:space="0" w:color="auto"/>
        <w:bottom w:val="none" w:sz="0" w:space="0" w:color="auto"/>
        <w:right w:val="none" w:sz="0" w:space="0" w:color="auto"/>
      </w:divBdr>
    </w:div>
    <w:div w:id="637148570">
      <w:marLeft w:val="0"/>
      <w:marRight w:val="0"/>
      <w:marTop w:val="240"/>
      <w:marBottom w:val="0"/>
      <w:divBdr>
        <w:top w:val="none" w:sz="0" w:space="0" w:color="auto"/>
        <w:left w:val="none" w:sz="0" w:space="0" w:color="auto"/>
        <w:bottom w:val="none" w:sz="0" w:space="0" w:color="auto"/>
        <w:right w:val="none" w:sz="0" w:space="0" w:color="auto"/>
      </w:divBdr>
    </w:div>
    <w:div w:id="637954431">
      <w:marLeft w:val="0"/>
      <w:marRight w:val="0"/>
      <w:marTop w:val="0"/>
      <w:marBottom w:val="240"/>
      <w:divBdr>
        <w:top w:val="none" w:sz="0" w:space="0" w:color="auto"/>
        <w:left w:val="none" w:sz="0" w:space="0" w:color="auto"/>
        <w:bottom w:val="none" w:sz="0" w:space="0" w:color="auto"/>
        <w:right w:val="none" w:sz="0" w:space="0" w:color="auto"/>
      </w:divBdr>
    </w:div>
    <w:div w:id="638654954">
      <w:marLeft w:val="0"/>
      <w:marRight w:val="0"/>
      <w:marTop w:val="240"/>
      <w:marBottom w:val="0"/>
      <w:divBdr>
        <w:top w:val="none" w:sz="0" w:space="0" w:color="auto"/>
        <w:left w:val="none" w:sz="0" w:space="0" w:color="auto"/>
        <w:bottom w:val="none" w:sz="0" w:space="0" w:color="auto"/>
        <w:right w:val="none" w:sz="0" w:space="0" w:color="auto"/>
      </w:divBdr>
    </w:div>
    <w:div w:id="640236340">
      <w:marLeft w:val="0"/>
      <w:marRight w:val="0"/>
      <w:marTop w:val="240"/>
      <w:marBottom w:val="0"/>
      <w:divBdr>
        <w:top w:val="none" w:sz="0" w:space="0" w:color="auto"/>
        <w:left w:val="none" w:sz="0" w:space="0" w:color="auto"/>
        <w:bottom w:val="none" w:sz="0" w:space="0" w:color="auto"/>
        <w:right w:val="none" w:sz="0" w:space="0" w:color="auto"/>
      </w:divBdr>
    </w:div>
    <w:div w:id="640885091">
      <w:marLeft w:val="0"/>
      <w:marRight w:val="0"/>
      <w:marTop w:val="0"/>
      <w:marBottom w:val="240"/>
      <w:divBdr>
        <w:top w:val="none" w:sz="0" w:space="0" w:color="auto"/>
        <w:left w:val="none" w:sz="0" w:space="0" w:color="auto"/>
        <w:bottom w:val="none" w:sz="0" w:space="0" w:color="auto"/>
        <w:right w:val="none" w:sz="0" w:space="0" w:color="auto"/>
      </w:divBdr>
    </w:div>
    <w:div w:id="641540629">
      <w:marLeft w:val="0"/>
      <w:marRight w:val="0"/>
      <w:marTop w:val="240"/>
      <w:marBottom w:val="0"/>
      <w:divBdr>
        <w:top w:val="none" w:sz="0" w:space="0" w:color="auto"/>
        <w:left w:val="none" w:sz="0" w:space="0" w:color="auto"/>
        <w:bottom w:val="none" w:sz="0" w:space="0" w:color="auto"/>
        <w:right w:val="none" w:sz="0" w:space="0" w:color="auto"/>
      </w:divBdr>
    </w:div>
    <w:div w:id="643700480">
      <w:marLeft w:val="0"/>
      <w:marRight w:val="0"/>
      <w:marTop w:val="240"/>
      <w:marBottom w:val="240"/>
      <w:divBdr>
        <w:top w:val="none" w:sz="0" w:space="0" w:color="auto"/>
        <w:left w:val="none" w:sz="0" w:space="0" w:color="auto"/>
        <w:bottom w:val="none" w:sz="0" w:space="0" w:color="auto"/>
        <w:right w:val="none" w:sz="0" w:space="0" w:color="auto"/>
      </w:divBdr>
    </w:div>
    <w:div w:id="648093717">
      <w:marLeft w:val="0"/>
      <w:marRight w:val="0"/>
      <w:marTop w:val="0"/>
      <w:marBottom w:val="0"/>
      <w:divBdr>
        <w:top w:val="none" w:sz="0" w:space="0" w:color="auto"/>
        <w:left w:val="none" w:sz="0" w:space="0" w:color="auto"/>
        <w:bottom w:val="none" w:sz="0" w:space="0" w:color="auto"/>
        <w:right w:val="none" w:sz="0" w:space="0" w:color="auto"/>
      </w:divBdr>
      <w:divsChild>
        <w:div w:id="583337575">
          <w:marLeft w:val="0"/>
          <w:marRight w:val="0"/>
          <w:marTop w:val="0"/>
          <w:marBottom w:val="0"/>
          <w:divBdr>
            <w:top w:val="none" w:sz="0" w:space="0" w:color="auto"/>
            <w:left w:val="none" w:sz="0" w:space="0" w:color="auto"/>
            <w:bottom w:val="none" w:sz="0" w:space="0" w:color="auto"/>
            <w:right w:val="none" w:sz="0" w:space="0" w:color="auto"/>
          </w:divBdr>
        </w:div>
      </w:divsChild>
    </w:div>
    <w:div w:id="649216468">
      <w:marLeft w:val="0"/>
      <w:marRight w:val="0"/>
      <w:marTop w:val="240"/>
      <w:marBottom w:val="0"/>
      <w:divBdr>
        <w:top w:val="none" w:sz="0" w:space="0" w:color="auto"/>
        <w:left w:val="none" w:sz="0" w:space="0" w:color="auto"/>
        <w:bottom w:val="none" w:sz="0" w:space="0" w:color="auto"/>
        <w:right w:val="none" w:sz="0" w:space="0" w:color="auto"/>
      </w:divBdr>
    </w:div>
    <w:div w:id="651297251">
      <w:marLeft w:val="0"/>
      <w:marRight w:val="0"/>
      <w:marTop w:val="0"/>
      <w:marBottom w:val="0"/>
      <w:divBdr>
        <w:top w:val="none" w:sz="0" w:space="0" w:color="auto"/>
        <w:left w:val="none" w:sz="0" w:space="0" w:color="auto"/>
        <w:bottom w:val="none" w:sz="0" w:space="0" w:color="auto"/>
        <w:right w:val="none" w:sz="0" w:space="0" w:color="auto"/>
      </w:divBdr>
      <w:divsChild>
        <w:div w:id="1478260915">
          <w:marLeft w:val="0"/>
          <w:marRight w:val="0"/>
          <w:marTop w:val="0"/>
          <w:marBottom w:val="0"/>
          <w:divBdr>
            <w:top w:val="none" w:sz="0" w:space="0" w:color="auto"/>
            <w:left w:val="none" w:sz="0" w:space="0" w:color="auto"/>
            <w:bottom w:val="none" w:sz="0" w:space="0" w:color="auto"/>
            <w:right w:val="none" w:sz="0" w:space="0" w:color="auto"/>
          </w:divBdr>
        </w:div>
      </w:divsChild>
    </w:div>
    <w:div w:id="653028565">
      <w:marLeft w:val="0"/>
      <w:marRight w:val="0"/>
      <w:marTop w:val="240"/>
      <w:marBottom w:val="0"/>
      <w:divBdr>
        <w:top w:val="none" w:sz="0" w:space="0" w:color="auto"/>
        <w:left w:val="none" w:sz="0" w:space="0" w:color="auto"/>
        <w:bottom w:val="none" w:sz="0" w:space="0" w:color="auto"/>
        <w:right w:val="none" w:sz="0" w:space="0" w:color="auto"/>
      </w:divBdr>
    </w:div>
    <w:div w:id="653683790">
      <w:marLeft w:val="0"/>
      <w:marRight w:val="0"/>
      <w:marTop w:val="0"/>
      <w:marBottom w:val="120"/>
      <w:divBdr>
        <w:top w:val="none" w:sz="0" w:space="0" w:color="auto"/>
        <w:left w:val="none" w:sz="0" w:space="0" w:color="auto"/>
        <w:bottom w:val="none" w:sz="0" w:space="0" w:color="auto"/>
        <w:right w:val="none" w:sz="0" w:space="0" w:color="auto"/>
      </w:divBdr>
    </w:div>
    <w:div w:id="653874790">
      <w:marLeft w:val="0"/>
      <w:marRight w:val="0"/>
      <w:marTop w:val="120"/>
      <w:marBottom w:val="240"/>
      <w:divBdr>
        <w:top w:val="none" w:sz="0" w:space="0" w:color="auto"/>
        <w:left w:val="none" w:sz="0" w:space="0" w:color="auto"/>
        <w:bottom w:val="none" w:sz="0" w:space="0" w:color="auto"/>
        <w:right w:val="none" w:sz="0" w:space="0" w:color="auto"/>
      </w:divBdr>
    </w:div>
    <w:div w:id="658000025">
      <w:marLeft w:val="0"/>
      <w:marRight w:val="0"/>
      <w:marTop w:val="240"/>
      <w:marBottom w:val="0"/>
      <w:divBdr>
        <w:top w:val="none" w:sz="0" w:space="0" w:color="auto"/>
        <w:left w:val="none" w:sz="0" w:space="0" w:color="auto"/>
        <w:bottom w:val="none" w:sz="0" w:space="0" w:color="auto"/>
        <w:right w:val="none" w:sz="0" w:space="0" w:color="auto"/>
      </w:divBdr>
    </w:div>
    <w:div w:id="658382593">
      <w:marLeft w:val="0"/>
      <w:marRight w:val="0"/>
      <w:marTop w:val="0"/>
      <w:marBottom w:val="240"/>
      <w:divBdr>
        <w:top w:val="none" w:sz="0" w:space="0" w:color="auto"/>
        <w:left w:val="none" w:sz="0" w:space="0" w:color="auto"/>
        <w:bottom w:val="none" w:sz="0" w:space="0" w:color="auto"/>
        <w:right w:val="none" w:sz="0" w:space="0" w:color="auto"/>
      </w:divBdr>
    </w:div>
    <w:div w:id="660424592">
      <w:marLeft w:val="0"/>
      <w:marRight w:val="0"/>
      <w:marTop w:val="0"/>
      <w:marBottom w:val="0"/>
      <w:divBdr>
        <w:top w:val="none" w:sz="0" w:space="0" w:color="auto"/>
        <w:left w:val="none" w:sz="0" w:space="0" w:color="auto"/>
        <w:bottom w:val="none" w:sz="0" w:space="0" w:color="auto"/>
        <w:right w:val="none" w:sz="0" w:space="0" w:color="auto"/>
      </w:divBdr>
      <w:divsChild>
        <w:div w:id="524096217">
          <w:marLeft w:val="0"/>
          <w:marRight w:val="0"/>
          <w:marTop w:val="0"/>
          <w:marBottom w:val="0"/>
          <w:divBdr>
            <w:top w:val="none" w:sz="0" w:space="0" w:color="auto"/>
            <w:left w:val="none" w:sz="0" w:space="0" w:color="auto"/>
            <w:bottom w:val="none" w:sz="0" w:space="0" w:color="auto"/>
            <w:right w:val="none" w:sz="0" w:space="0" w:color="auto"/>
          </w:divBdr>
        </w:div>
      </w:divsChild>
    </w:div>
    <w:div w:id="661393447">
      <w:marLeft w:val="0"/>
      <w:marRight w:val="0"/>
      <w:marTop w:val="240"/>
      <w:marBottom w:val="0"/>
      <w:divBdr>
        <w:top w:val="none" w:sz="0" w:space="0" w:color="auto"/>
        <w:left w:val="none" w:sz="0" w:space="0" w:color="auto"/>
        <w:bottom w:val="none" w:sz="0" w:space="0" w:color="auto"/>
        <w:right w:val="none" w:sz="0" w:space="0" w:color="auto"/>
      </w:divBdr>
    </w:div>
    <w:div w:id="661851908">
      <w:marLeft w:val="0"/>
      <w:marRight w:val="0"/>
      <w:marTop w:val="0"/>
      <w:marBottom w:val="120"/>
      <w:divBdr>
        <w:top w:val="none" w:sz="0" w:space="0" w:color="auto"/>
        <w:left w:val="none" w:sz="0" w:space="0" w:color="auto"/>
        <w:bottom w:val="none" w:sz="0" w:space="0" w:color="auto"/>
        <w:right w:val="none" w:sz="0" w:space="0" w:color="auto"/>
      </w:divBdr>
    </w:div>
    <w:div w:id="664820225">
      <w:marLeft w:val="0"/>
      <w:marRight w:val="0"/>
      <w:marTop w:val="120"/>
      <w:marBottom w:val="240"/>
      <w:divBdr>
        <w:top w:val="none" w:sz="0" w:space="0" w:color="auto"/>
        <w:left w:val="none" w:sz="0" w:space="0" w:color="auto"/>
        <w:bottom w:val="none" w:sz="0" w:space="0" w:color="auto"/>
        <w:right w:val="none" w:sz="0" w:space="0" w:color="auto"/>
      </w:divBdr>
    </w:div>
    <w:div w:id="666057864">
      <w:marLeft w:val="0"/>
      <w:marRight w:val="0"/>
      <w:marTop w:val="240"/>
      <w:marBottom w:val="0"/>
      <w:divBdr>
        <w:top w:val="none" w:sz="0" w:space="0" w:color="auto"/>
        <w:left w:val="none" w:sz="0" w:space="0" w:color="auto"/>
        <w:bottom w:val="none" w:sz="0" w:space="0" w:color="auto"/>
        <w:right w:val="none" w:sz="0" w:space="0" w:color="auto"/>
      </w:divBdr>
    </w:div>
    <w:div w:id="666517472">
      <w:marLeft w:val="0"/>
      <w:marRight w:val="0"/>
      <w:marTop w:val="240"/>
      <w:marBottom w:val="0"/>
      <w:divBdr>
        <w:top w:val="none" w:sz="0" w:space="0" w:color="auto"/>
        <w:left w:val="none" w:sz="0" w:space="0" w:color="auto"/>
        <w:bottom w:val="none" w:sz="0" w:space="0" w:color="auto"/>
        <w:right w:val="none" w:sz="0" w:space="0" w:color="auto"/>
      </w:divBdr>
    </w:div>
    <w:div w:id="667369349">
      <w:marLeft w:val="0"/>
      <w:marRight w:val="0"/>
      <w:marTop w:val="240"/>
      <w:marBottom w:val="240"/>
      <w:divBdr>
        <w:top w:val="none" w:sz="0" w:space="0" w:color="auto"/>
        <w:left w:val="none" w:sz="0" w:space="0" w:color="auto"/>
        <w:bottom w:val="none" w:sz="0" w:space="0" w:color="auto"/>
        <w:right w:val="none" w:sz="0" w:space="0" w:color="auto"/>
      </w:divBdr>
    </w:div>
    <w:div w:id="668171846">
      <w:marLeft w:val="0"/>
      <w:marRight w:val="0"/>
      <w:marTop w:val="240"/>
      <w:marBottom w:val="0"/>
      <w:divBdr>
        <w:top w:val="none" w:sz="0" w:space="0" w:color="auto"/>
        <w:left w:val="none" w:sz="0" w:space="0" w:color="auto"/>
        <w:bottom w:val="none" w:sz="0" w:space="0" w:color="auto"/>
        <w:right w:val="none" w:sz="0" w:space="0" w:color="auto"/>
      </w:divBdr>
    </w:div>
    <w:div w:id="668406180">
      <w:marLeft w:val="0"/>
      <w:marRight w:val="0"/>
      <w:marTop w:val="0"/>
      <w:marBottom w:val="240"/>
      <w:divBdr>
        <w:top w:val="none" w:sz="0" w:space="0" w:color="auto"/>
        <w:left w:val="none" w:sz="0" w:space="0" w:color="auto"/>
        <w:bottom w:val="none" w:sz="0" w:space="0" w:color="auto"/>
        <w:right w:val="none" w:sz="0" w:space="0" w:color="auto"/>
      </w:divBdr>
    </w:div>
    <w:div w:id="672142655">
      <w:marLeft w:val="0"/>
      <w:marRight w:val="0"/>
      <w:marTop w:val="0"/>
      <w:marBottom w:val="240"/>
      <w:divBdr>
        <w:top w:val="none" w:sz="0" w:space="0" w:color="auto"/>
        <w:left w:val="none" w:sz="0" w:space="0" w:color="auto"/>
        <w:bottom w:val="none" w:sz="0" w:space="0" w:color="auto"/>
        <w:right w:val="none" w:sz="0" w:space="0" w:color="auto"/>
      </w:divBdr>
    </w:div>
    <w:div w:id="673649153">
      <w:marLeft w:val="0"/>
      <w:marRight w:val="0"/>
      <w:marTop w:val="0"/>
      <w:marBottom w:val="120"/>
      <w:divBdr>
        <w:top w:val="none" w:sz="0" w:space="0" w:color="auto"/>
        <w:left w:val="none" w:sz="0" w:space="0" w:color="auto"/>
        <w:bottom w:val="none" w:sz="0" w:space="0" w:color="auto"/>
        <w:right w:val="none" w:sz="0" w:space="0" w:color="auto"/>
      </w:divBdr>
    </w:div>
    <w:div w:id="673847189">
      <w:marLeft w:val="0"/>
      <w:marRight w:val="0"/>
      <w:marTop w:val="0"/>
      <w:marBottom w:val="0"/>
      <w:divBdr>
        <w:top w:val="none" w:sz="0" w:space="0" w:color="auto"/>
        <w:left w:val="none" w:sz="0" w:space="0" w:color="auto"/>
        <w:bottom w:val="none" w:sz="0" w:space="0" w:color="auto"/>
        <w:right w:val="none" w:sz="0" w:space="0" w:color="auto"/>
      </w:divBdr>
    </w:div>
    <w:div w:id="678115419">
      <w:marLeft w:val="0"/>
      <w:marRight w:val="0"/>
      <w:marTop w:val="240"/>
      <w:marBottom w:val="0"/>
      <w:divBdr>
        <w:top w:val="none" w:sz="0" w:space="0" w:color="auto"/>
        <w:left w:val="none" w:sz="0" w:space="0" w:color="auto"/>
        <w:bottom w:val="none" w:sz="0" w:space="0" w:color="auto"/>
        <w:right w:val="none" w:sz="0" w:space="0" w:color="auto"/>
      </w:divBdr>
    </w:div>
    <w:div w:id="678392575">
      <w:marLeft w:val="0"/>
      <w:marRight w:val="0"/>
      <w:marTop w:val="0"/>
      <w:marBottom w:val="200"/>
      <w:divBdr>
        <w:top w:val="none" w:sz="0" w:space="0" w:color="auto"/>
        <w:left w:val="none" w:sz="0" w:space="0" w:color="auto"/>
        <w:bottom w:val="none" w:sz="0" w:space="0" w:color="auto"/>
        <w:right w:val="none" w:sz="0" w:space="0" w:color="auto"/>
      </w:divBdr>
    </w:div>
    <w:div w:id="679746459">
      <w:marLeft w:val="0"/>
      <w:marRight w:val="0"/>
      <w:marTop w:val="0"/>
      <w:marBottom w:val="240"/>
      <w:divBdr>
        <w:top w:val="none" w:sz="0" w:space="0" w:color="auto"/>
        <w:left w:val="none" w:sz="0" w:space="0" w:color="auto"/>
        <w:bottom w:val="none" w:sz="0" w:space="0" w:color="auto"/>
        <w:right w:val="none" w:sz="0" w:space="0" w:color="auto"/>
      </w:divBdr>
    </w:div>
    <w:div w:id="682779943">
      <w:marLeft w:val="0"/>
      <w:marRight w:val="0"/>
      <w:marTop w:val="0"/>
      <w:marBottom w:val="0"/>
      <w:divBdr>
        <w:top w:val="none" w:sz="0" w:space="0" w:color="auto"/>
        <w:left w:val="none" w:sz="0" w:space="0" w:color="auto"/>
        <w:bottom w:val="none" w:sz="0" w:space="0" w:color="auto"/>
        <w:right w:val="none" w:sz="0" w:space="0" w:color="auto"/>
      </w:divBdr>
    </w:div>
    <w:div w:id="684212243">
      <w:marLeft w:val="0"/>
      <w:marRight w:val="0"/>
      <w:marTop w:val="0"/>
      <w:marBottom w:val="240"/>
      <w:divBdr>
        <w:top w:val="none" w:sz="0" w:space="0" w:color="auto"/>
        <w:left w:val="none" w:sz="0" w:space="0" w:color="auto"/>
        <w:bottom w:val="none" w:sz="0" w:space="0" w:color="auto"/>
        <w:right w:val="none" w:sz="0" w:space="0" w:color="auto"/>
      </w:divBdr>
    </w:div>
    <w:div w:id="691345166">
      <w:marLeft w:val="0"/>
      <w:marRight w:val="0"/>
      <w:marTop w:val="120"/>
      <w:marBottom w:val="0"/>
      <w:divBdr>
        <w:top w:val="none" w:sz="0" w:space="0" w:color="auto"/>
        <w:left w:val="none" w:sz="0" w:space="0" w:color="auto"/>
        <w:bottom w:val="none" w:sz="0" w:space="0" w:color="auto"/>
        <w:right w:val="none" w:sz="0" w:space="0" w:color="auto"/>
      </w:divBdr>
    </w:div>
    <w:div w:id="694421755">
      <w:marLeft w:val="0"/>
      <w:marRight w:val="0"/>
      <w:marTop w:val="240"/>
      <w:marBottom w:val="0"/>
      <w:divBdr>
        <w:top w:val="none" w:sz="0" w:space="0" w:color="auto"/>
        <w:left w:val="none" w:sz="0" w:space="0" w:color="auto"/>
        <w:bottom w:val="none" w:sz="0" w:space="0" w:color="auto"/>
        <w:right w:val="none" w:sz="0" w:space="0" w:color="auto"/>
      </w:divBdr>
    </w:div>
    <w:div w:id="698162257">
      <w:marLeft w:val="0"/>
      <w:marRight w:val="0"/>
      <w:marTop w:val="0"/>
      <w:marBottom w:val="240"/>
      <w:divBdr>
        <w:top w:val="none" w:sz="0" w:space="0" w:color="auto"/>
        <w:left w:val="none" w:sz="0" w:space="0" w:color="auto"/>
        <w:bottom w:val="none" w:sz="0" w:space="0" w:color="auto"/>
        <w:right w:val="none" w:sz="0" w:space="0" w:color="auto"/>
      </w:divBdr>
    </w:div>
    <w:div w:id="701982681">
      <w:marLeft w:val="0"/>
      <w:marRight w:val="0"/>
      <w:marTop w:val="240"/>
      <w:marBottom w:val="240"/>
      <w:divBdr>
        <w:top w:val="none" w:sz="0" w:space="0" w:color="auto"/>
        <w:left w:val="none" w:sz="0" w:space="0" w:color="auto"/>
        <w:bottom w:val="none" w:sz="0" w:space="0" w:color="auto"/>
        <w:right w:val="none" w:sz="0" w:space="0" w:color="auto"/>
      </w:divBdr>
    </w:div>
    <w:div w:id="707295104">
      <w:marLeft w:val="0"/>
      <w:marRight w:val="0"/>
      <w:marTop w:val="240"/>
      <w:marBottom w:val="0"/>
      <w:divBdr>
        <w:top w:val="none" w:sz="0" w:space="0" w:color="auto"/>
        <w:left w:val="none" w:sz="0" w:space="0" w:color="auto"/>
        <w:bottom w:val="none" w:sz="0" w:space="0" w:color="auto"/>
        <w:right w:val="none" w:sz="0" w:space="0" w:color="auto"/>
      </w:divBdr>
    </w:div>
    <w:div w:id="707536427">
      <w:marLeft w:val="0"/>
      <w:marRight w:val="0"/>
      <w:marTop w:val="240"/>
      <w:marBottom w:val="240"/>
      <w:divBdr>
        <w:top w:val="none" w:sz="0" w:space="0" w:color="auto"/>
        <w:left w:val="none" w:sz="0" w:space="0" w:color="auto"/>
        <w:bottom w:val="none" w:sz="0" w:space="0" w:color="auto"/>
        <w:right w:val="none" w:sz="0" w:space="0" w:color="auto"/>
      </w:divBdr>
    </w:div>
    <w:div w:id="717170437">
      <w:marLeft w:val="0"/>
      <w:marRight w:val="0"/>
      <w:marTop w:val="0"/>
      <w:marBottom w:val="0"/>
      <w:divBdr>
        <w:top w:val="none" w:sz="0" w:space="0" w:color="auto"/>
        <w:left w:val="none" w:sz="0" w:space="0" w:color="auto"/>
        <w:bottom w:val="none" w:sz="0" w:space="0" w:color="auto"/>
        <w:right w:val="none" w:sz="0" w:space="0" w:color="auto"/>
      </w:divBdr>
      <w:divsChild>
        <w:div w:id="1644236155">
          <w:marLeft w:val="0"/>
          <w:marRight w:val="0"/>
          <w:marTop w:val="0"/>
          <w:marBottom w:val="0"/>
          <w:divBdr>
            <w:top w:val="none" w:sz="0" w:space="0" w:color="auto"/>
            <w:left w:val="none" w:sz="0" w:space="0" w:color="auto"/>
            <w:bottom w:val="none" w:sz="0" w:space="0" w:color="auto"/>
            <w:right w:val="none" w:sz="0" w:space="0" w:color="auto"/>
          </w:divBdr>
        </w:div>
      </w:divsChild>
    </w:div>
    <w:div w:id="718287086">
      <w:marLeft w:val="0"/>
      <w:marRight w:val="0"/>
      <w:marTop w:val="240"/>
      <w:marBottom w:val="0"/>
      <w:divBdr>
        <w:top w:val="none" w:sz="0" w:space="0" w:color="auto"/>
        <w:left w:val="none" w:sz="0" w:space="0" w:color="auto"/>
        <w:bottom w:val="none" w:sz="0" w:space="0" w:color="auto"/>
        <w:right w:val="none" w:sz="0" w:space="0" w:color="auto"/>
      </w:divBdr>
    </w:div>
    <w:div w:id="721487302">
      <w:marLeft w:val="0"/>
      <w:marRight w:val="0"/>
      <w:marTop w:val="0"/>
      <w:marBottom w:val="240"/>
      <w:divBdr>
        <w:top w:val="none" w:sz="0" w:space="0" w:color="auto"/>
        <w:left w:val="none" w:sz="0" w:space="0" w:color="auto"/>
        <w:bottom w:val="none" w:sz="0" w:space="0" w:color="auto"/>
        <w:right w:val="none" w:sz="0" w:space="0" w:color="auto"/>
      </w:divBdr>
    </w:div>
    <w:div w:id="723145158">
      <w:marLeft w:val="0"/>
      <w:marRight w:val="0"/>
      <w:marTop w:val="0"/>
      <w:marBottom w:val="240"/>
      <w:divBdr>
        <w:top w:val="none" w:sz="0" w:space="0" w:color="auto"/>
        <w:left w:val="none" w:sz="0" w:space="0" w:color="auto"/>
        <w:bottom w:val="none" w:sz="0" w:space="0" w:color="auto"/>
        <w:right w:val="none" w:sz="0" w:space="0" w:color="auto"/>
      </w:divBdr>
    </w:div>
    <w:div w:id="726337142">
      <w:marLeft w:val="0"/>
      <w:marRight w:val="0"/>
      <w:marTop w:val="240"/>
      <w:marBottom w:val="0"/>
      <w:divBdr>
        <w:top w:val="none" w:sz="0" w:space="0" w:color="auto"/>
        <w:left w:val="none" w:sz="0" w:space="0" w:color="auto"/>
        <w:bottom w:val="none" w:sz="0" w:space="0" w:color="auto"/>
        <w:right w:val="none" w:sz="0" w:space="0" w:color="auto"/>
      </w:divBdr>
    </w:div>
    <w:div w:id="728499244">
      <w:marLeft w:val="0"/>
      <w:marRight w:val="0"/>
      <w:marTop w:val="0"/>
      <w:marBottom w:val="240"/>
      <w:divBdr>
        <w:top w:val="none" w:sz="0" w:space="0" w:color="auto"/>
        <w:left w:val="none" w:sz="0" w:space="0" w:color="auto"/>
        <w:bottom w:val="none" w:sz="0" w:space="0" w:color="auto"/>
        <w:right w:val="none" w:sz="0" w:space="0" w:color="auto"/>
      </w:divBdr>
    </w:div>
    <w:div w:id="729885164">
      <w:marLeft w:val="0"/>
      <w:marRight w:val="0"/>
      <w:marTop w:val="0"/>
      <w:marBottom w:val="0"/>
      <w:divBdr>
        <w:top w:val="none" w:sz="0" w:space="0" w:color="auto"/>
        <w:left w:val="none" w:sz="0" w:space="0" w:color="auto"/>
        <w:bottom w:val="none" w:sz="0" w:space="0" w:color="auto"/>
        <w:right w:val="none" w:sz="0" w:space="0" w:color="auto"/>
      </w:divBdr>
      <w:divsChild>
        <w:div w:id="809861093">
          <w:marLeft w:val="0"/>
          <w:marRight w:val="0"/>
          <w:marTop w:val="0"/>
          <w:marBottom w:val="0"/>
          <w:divBdr>
            <w:top w:val="none" w:sz="0" w:space="0" w:color="auto"/>
            <w:left w:val="none" w:sz="0" w:space="0" w:color="auto"/>
            <w:bottom w:val="none" w:sz="0" w:space="0" w:color="auto"/>
            <w:right w:val="none" w:sz="0" w:space="0" w:color="auto"/>
          </w:divBdr>
        </w:div>
      </w:divsChild>
    </w:div>
    <w:div w:id="730464752">
      <w:marLeft w:val="0"/>
      <w:marRight w:val="0"/>
      <w:marTop w:val="240"/>
      <w:marBottom w:val="0"/>
      <w:divBdr>
        <w:top w:val="none" w:sz="0" w:space="0" w:color="auto"/>
        <w:left w:val="none" w:sz="0" w:space="0" w:color="auto"/>
        <w:bottom w:val="none" w:sz="0" w:space="0" w:color="auto"/>
        <w:right w:val="none" w:sz="0" w:space="0" w:color="auto"/>
      </w:divBdr>
    </w:div>
    <w:div w:id="734863237">
      <w:marLeft w:val="0"/>
      <w:marRight w:val="0"/>
      <w:marTop w:val="240"/>
      <w:marBottom w:val="0"/>
      <w:divBdr>
        <w:top w:val="none" w:sz="0" w:space="0" w:color="auto"/>
        <w:left w:val="none" w:sz="0" w:space="0" w:color="auto"/>
        <w:bottom w:val="none" w:sz="0" w:space="0" w:color="auto"/>
        <w:right w:val="none" w:sz="0" w:space="0" w:color="auto"/>
      </w:divBdr>
    </w:div>
    <w:div w:id="735593221">
      <w:marLeft w:val="0"/>
      <w:marRight w:val="0"/>
      <w:marTop w:val="240"/>
      <w:marBottom w:val="0"/>
      <w:divBdr>
        <w:top w:val="none" w:sz="0" w:space="0" w:color="auto"/>
        <w:left w:val="none" w:sz="0" w:space="0" w:color="auto"/>
        <w:bottom w:val="none" w:sz="0" w:space="0" w:color="auto"/>
        <w:right w:val="none" w:sz="0" w:space="0" w:color="auto"/>
      </w:divBdr>
    </w:div>
    <w:div w:id="737173265">
      <w:marLeft w:val="0"/>
      <w:marRight w:val="0"/>
      <w:marTop w:val="240"/>
      <w:marBottom w:val="0"/>
      <w:divBdr>
        <w:top w:val="none" w:sz="0" w:space="0" w:color="auto"/>
        <w:left w:val="none" w:sz="0" w:space="0" w:color="auto"/>
        <w:bottom w:val="none" w:sz="0" w:space="0" w:color="auto"/>
        <w:right w:val="none" w:sz="0" w:space="0" w:color="auto"/>
      </w:divBdr>
    </w:div>
    <w:div w:id="738014289">
      <w:marLeft w:val="0"/>
      <w:marRight w:val="0"/>
      <w:marTop w:val="240"/>
      <w:marBottom w:val="0"/>
      <w:divBdr>
        <w:top w:val="none" w:sz="0" w:space="0" w:color="auto"/>
        <w:left w:val="none" w:sz="0" w:space="0" w:color="auto"/>
        <w:bottom w:val="none" w:sz="0" w:space="0" w:color="auto"/>
        <w:right w:val="none" w:sz="0" w:space="0" w:color="auto"/>
      </w:divBdr>
    </w:div>
    <w:div w:id="739182310">
      <w:marLeft w:val="0"/>
      <w:marRight w:val="0"/>
      <w:marTop w:val="0"/>
      <w:marBottom w:val="0"/>
      <w:divBdr>
        <w:top w:val="none" w:sz="0" w:space="0" w:color="auto"/>
        <w:left w:val="none" w:sz="0" w:space="0" w:color="auto"/>
        <w:bottom w:val="none" w:sz="0" w:space="0" w:color="auto"/>
        <w:right w:val="none" w:sz="0" w:space="0" w:color="auto"/>
      </w:divBdr>
    </w:div>
    <w:div w:id="739908729">
      <w:marLeft w:val="0"/>
      <w:marRight w:val="0"/>
      <w:marTop w:val="240"/>
      <w:marBottom w:val="0"/>
      <w:divBdr>
        <w:top w:val="none" w:sz="0" w:space="0" w:color="auto"/>
        <w:left w:val="none" w:sz="0" w:space="0" w:color="auto"/>
        <w:bottom w:val="none" w:sz="0" w:space="0" w:color="auto"/>
        <w:right w:val="none" w:sz="0" w:space="0" w:color="auto"/>
      </w:divBdr>
    </w:div>
    <w:div w:id="742070017">
      <w:marLeft w:val="0"/>
      <w:marRight w:val="0"/>
      <w:marTop w:val="240"/>
      <w:marBottom w:val="0"/>
      <w:divBdr>
        <w:top w:val="none" w:sz="0" w:space="0" w:color="auto"/>
        <w:left w:val="none" w:sz="0" w:space="0" w:color="auto"/>
        <w:bottom w:val="none" w:sz="0" w:space="0" w:color="auto"/>
        <w:right w:val="none" w:sz="0" w:space="0" w:color="auto"/>
      </w:divBdr>
    </w:div>
    <w:div w:id="743989026">
      <w:marLeft w:val="0"/>
      <w:marRight w:val="0"/>
      <w:marTop w:val="240"/>
      <w:marBottom w:val="0"/>
      <w:divBdr>
        <w:top w:val="none" w:sz="0" w:space="0" w:color="auto"/>
        <w:left w:val="none" w:sz="0" w:space="0" w:color="auto"/>
        <w:bottom w:val="none" w:sz="0" w:space="0" w:color="auto"/>
        <w:right w:val="none" w:sz="0" w:space="0" w:color="auto"/>
      </w:divBdr>
    </w:div>
    <w:div w:id="748969237">
      <w:marLeft w:val="0"/>
      <w:marRight w:val="0"/>
      <w:marTop w:val="240"/>
      <w:marBottom w:val="0"/>
      <w:divBdr>
        <w:top w:val="none" w:sz="0" w:space="0" w:color="auto"/>
        <w:left w:val="none" w:sz="0" w:space="0" w:color="auto"/>
        <w:bottom w:val="none" w:sz="0" w:space="0" w:color="auto"/>
        <w:right w:val="none" w:sz="0" w:space="0" w:color="auto"/>
      </w:divBdr>
    </w:div>
    <w:div w:id="751465874">
      <w:marLeft w:val="0"/>
      <w:marRight w:val="0"/>
      <w:marTop w:val="0"/>
      <w:marBottom w:val="0"/>
      <w:divBdr>
        <w:top w:val="none" w:sz="0" w:space="0" w:color="auto"/>
        <w:left w:val="none" w:sz="0" w:space="0" w:color="auto"/>
        <w:bottom w:val="none" w:sz="0" w:space="0" w:color="auto"/>
        <w:right w:val="none" w:sz="0" w:space="0" w:color="auto"/>
      </w:divBdr>
    </w:div>
    <w:div w:id="754864221">
      <w:marLeft w:val="0"/>
      <w:marRight w:val="0"/>
      <w:marTop w:val="240"/>
      <w:marBottom w:val="0"/>
      <w:divBdr>
        <w:top w:val="none" w:sz="0" w:space="0" w:color="auto"/>
        <w:left w:val="none" w:sz="0" w:space="0" w:color="auto"/>
        <w:bottom w:val="none" w:sz="0" w:space="0" w:color="auto"/>
        <w:right w:val="none" w:sz="0" w:space="0" w:color="auto"/>
      </w:divBdr>
    </w:div>
    <w:div w:id="765614500">
      <w:marLeft w:val="0"/>
      <w:marRight w:val="0"/>
      <w:marTop w:val="240"/>
      <w:marBottom w:val="0"/>
      <w:divBdr>
        <w:top w:val="none" w:sz="0" w:space="0" w:color="auto"/>
        <w:left w:val="none" w:sz="0" w:space="0" w:color="auto"/>
        <w:bottom w:val="none" w:sz="0" w:space="0" w:color="auto"/>
        <w:right w:val="none" w:sz="0" w:space="0" w:color="auto"/>
      </w:divBdr>
    </w:div>
    <w:div w:id="765809893">
      <w:marLeft w:val="0"/>
      <w:marRight w:val="0"/>
      <w:marTop w:val="240"/>
      <w:marBottom w:val="0"/>
      <w:divBdr>
        <w:top w:val="none" w:sz="0" w:space="0" w:color="auto"/>
        <w:left w:val="none" w:sz="0" w:space="0" w:color="auto"/>
        <w:bottom w:val="none" w:sz="0" w:space="0" w:color="auto"/>
        <w:right w:val="none" w:sz="0" w:space="0" w:color="auto"/>
      </w:divBdr>
    </w:div>
    <w:div w:id="765881818">
      <w:marLeft w:val="0"/>
      <w:marRight w:val="0"/>
      <w:marTop w:val="0"/>
      <w:marBottom w:val="240"/>
      <w:divBdr>
        <w:top w:val="none" w:sz="0" w:space="0" w:color="auto"/>
        <w:left w:val="none" w:sz="0" w:space="0" w:color="auto"/>
        <w:bottom w:val="none" w:sz="0" w:space="0" w:color="auto"/>
        <w:right w:val="none" w:sz="0" w:space="0" w:color="auto"/>
      </w:divBdr>
    </w:div>
    <w:div w:id="767238282">
      <w:marLeft w:val="0"/>
      <w:marRight w:val="0"/>
      <w:marTop w:val="0"/>
      <w:marBottom w:val="0"/>
      <w:divBdr>
        <w:top w:val="none" w:sz="0" w:space="0" w:color="auto"/>
        <w:left w:val="none" w:sz="0" w:space="0" w:color="auto"/>
        <w:bottom w:val="none" w:sz="0" w:space="0" w:color="auto"/>
        <w:right w:val="none" w:sz="0" w:space="0" w:color="auto"/>
      </w:divBdr>
    </w:div>
    <w:div w:id="769348592">
      <w:marLeft w:val="0"/>
      <w:marRight w:val="0"/>
      <w:marTop w:val="0"/>
      <w:marBottom w:val="240"/>
      <w:divBdr>
        <w:top w:val="none" w:sz="0" w:space="0" w:color="auto"/>
        <w:left w:val="none" w:sz="0" w:space="0" w:color="auto"/>
        <w:bottom w:val="none" w:sz="0" w:space="0" w:color="auto"/>
        <w:right w:val="none" w:sz="0" w:space="0" w:color="auto"/>
      </w:divBdr>
    </w:div>
    <w:div w:id="769617353">
      <w:marLeft w:val="0"/>
      <w:marRight w:val="0"/>
      <w:marTop w:val="240"/>
      <w:marBottom w:val="0"/>
      <w:divBdr>
        <w:top w:val="none" w:sz="0" w:space="0" w:color="auto"/>
        <w:left w:val="none" w:sz="0" w:space="0" w:color="auto"/>
        <w:bottom w:val="none" w:sz="0" w:space="0" w:color="auto"/>
        <w:right w:val="none" w:sz="0" w:space="0" w:color="auto"/>
      </w:divBdr>
    </w:div>
    <w:div w:id="773016534">
      <w:marLeft w:val="0"/>
      <w:marRight w:val="0"/>
      <w:marTop w:val="0"/>
      <w:marBottom w:val="0"/>
      <w:divBdr>
        <w:top w:val="none" w:sz="0" w:space="0" w:color="auto"/>
        <w:left w:val="none" w:sz="0" w:space="0" w:color="auto"/>
        <w:bottom w:val="none" w:sz="0" w:space="0" w:color="auto"/>
        <w:right w:val="none" w:sz="0" w:space="0" w:color="auto"/>
      </w:divBdr>
      <w:divsChild>
        <w:div w:id="1093279083">
          <w:marLeft w:val="0"/>
          <w:marRight w:val="0"/>
          <w:marTop w:val="0"/>
          <w:marBottom w:val="0"/>
          <w:divBdr>
            <w:top w:val="none" w:sz="0" w:space="0" w:color="auto"/>
            <w:left w:val="none" w:sz="0" w:space="0" w:color="auto"/>
            <w:bottom w:val="none" w:sz="0" w:space="0" w:color="auto"/>
            <w:right w:val="none" w:sz="0" w:space="0" w:color="auto"/>
          </w:divBdr>
        </w:div>
      </w:divsChild>
    </w:div>
    <w:div w:id="773743236">
      <w:marLeft w:val="0"/>
      <w:marRight w:val="0"/>
      <w:marTop w:val="0"/>
      <w:marBottom w:val="240"/>
      <w:divBdr>
        <w:top w:val="none" w:sz="0" w:space="0" w:color="auto"/>
        <w:left w:val="none" w:sz="0" w:space="0" w:color="auto"/>
        <w:bottom w:val="none" w:sz="0" w:space="0" w:color="auto"/>
        <w:right w:val="none" w:sz="0" w:space="0" w:color="auto"/>
      </w:divBdr>
    </w:div>
    <w:div w:id="776103651">
      <w:marLeft w:val="0"/>
      <w:marRight w:val="0"/>
      <w:marTop w:val="240"/>
      <w:marBottom w:val="0"/>
      <w:divBdr>
        <w:top w:val="none" w:sz="0" w:space="0" w:color="auto"/>
        <w:left w:val="none" w:sz="0" w:space="0" w:color="auto"/>
        <w:bottom w:val="none" w:sz="0" w:space="0" w:color="auto"/>
        <w:right w:val="none" w:sz="0" w:space="0" w:color="auto"/>
      </w:divBdr>
    </w:div>
    <w:div w:id="781807664">
      <w:marLeft w:val="0"/>
      <w:marRight w:val="0"/>
      <w:marTop w:val="240"/>
      <w:marBottom w:val="0"/>
      <w:divBdr>
        <w:top w:val="none" w:sz="0" w:space="0" w:color="auto"/>
        <w:left w:val="none" w:sz="0" w:space="0" w:color="auto"/>
        <w:bottom w:val="none" w:sz="0" w:space="0" w:color="auto"/>
        <w:right w:val="none" w:sz="0" w:space="0" w:color="auto"/>
      </w:divBdr>
    </w:div>
    <w:div w:id="787431724">
      <w:marLeft w:val="0"/>
      <w:marRight w:val="0"/>
      <w:marTop w:val="0"/>
      <w:marBottom w:val="0"/>
      <w:divBdr>
        <w:top w:val="none" w:sz="0" w:space="0" w:color="auto"/>
        <w:left w:val="none" w:sz="0" w:space="0" w:color="auto"/>
        <w:bottom w:val="none" w:sz="0" w:space="0" w:color="auto"/>
        <w:right w:val="none" w:sz="0" w:space="0" w:color="auto"/>
      </w:divBdr>
    </w:div>
    <w:div w:id="790978803">
      <w:marLeft w:val="0"/>
      <w:marRight w:val="0"/>
      <w:marTop w:val="0"/>
      <w:marBottom w:val="0"/>
      <w:divBdr>
        <w:top w:val="none" w:sz="0" w:space="0" w:color="auto"/>
        <w:left w:val="none" w:sz="0" w:space="0" w:color="auto"/>
        <w:bottom w:val="none" w:sz="0" w:space="0" w:color="auto"/>
        <w:right w:val="none" w:sz="0" w:space="0" w:color="auto"/>
      </w:divBdr>
    </w:div>
    <w:div w:id="796148354">
      <w:marLeft w:val="0"/>
      <w:marRight w:val="0"/>
      <w:marTop w:val="240"/>
      <w:marBottom w:val="0"/>
      <w:divBdr>
        <w:top w:val="none" w:sz="0" w:space="0" w:color="auto"/>
        <w:left w:val="none" w:sz="0" w:space="0" w:color="auto"/>
        <w:bottom w:val="none" w:sz="0" w:space="0" w:color="auto"/>
        <w:right w:val="none" w:sz="0" w:space="0" w:color="auto"/>
      </w:divBdr>
    </w:div>
    <w:div w:id="796415644">
      <w:marLeft w:val="0"/>
      <w:marRight w:val="0"/>
      <w:marTop w:val="240"/>
      <w:marBottom w:val="0"/>
      <w:divBdr>
        <w:top w:val="none" w:sz="0" w:space="0" w:color="auto"/>
        <w:left w:val="none" w:sz="0" w:space="0" w:color="auto"/>
        <w:bottom w:val="none" w:sz="0" w:space="0" w:color="auto"/>
        <w:right w:val="none" w:sz="0" w:space="0" w:color="auto"/>
      </w:divBdr>
    </w:div>
    <w:div w:id="797069212">
      <w:marLeft w:val="0"/>
      <w:marRight w:val="0"/>
      <w:marTop w:val="240"/>
      <w:marBottom w:val="0"/>
      <w:divBdr>
        <w:top w:val="none" w:sz="0" w:space="0" w:color="auto"/>
        <w:left w:val="none" w:sz="0" w:space="0" w:color="auto"/>
        <w:bottom w:val="none" w:sz="0" w:space="0" w:color="auto"/>
        <w:right w:val="none" w:sz="0" w:space="0" w:color="auto"/>
      </w:divBdr>
    </w:div>
    <w:div w:id="797139858">
      <w:marLeft w:val="0"/>
      <w:marRight w:val="0"/>
      <w:marTop w:val="240"/>
      <w:marBottom w:val="0"/>
      <w:divBdr>
        <w:top w:val="none" w:sz="0" w:space="0" w:color="auto"/>
        <w:left w:val="none" w:sz="0" w:space="0" w:color="auto"/>
        <w:bottom w:val="none" w:sz="0" w:space="0" w:color="auto"/>
        <w:right w:val="none" w:sz="0" w:space="0" w:color="auto"/>
      </w:divBdr>
    </w:div>
    <w:div w:id="797407707">
      <w:marLeft w:val="0"/>
      <w:marRight w:val="0"/>
      <w:marTop w:val="0"/>
      <w:marBottom w:val="120"/>
      <w:divBdr>
        <w:top w:val="none" w:sz="0" w:space="0" w:color="auto"/>
        <w:left w:val="none" w:sz="0" w:space="0" w:color="auto"/>
        <w:bottom w:val="none" w:sz="0" w:space="0" w:color="auto"/>
        <w:right w:val="none" w:sz="0" w:space="0" w:color="auto"/>
      </w:divBdr>
    </w:div>
    <w:div w:id="800660387">
      <w:marLeft w:val="0"/>
      <w:marRight w:val="0"/>
      <w:marTop w:val="240"/>
      <w:marBottom w:val="0"/>
      <w:divBdr>
        <w:top w:val="none" w:sz="0" w:space="0" w:color="auto"/>
        <w:left w:val="none" w:sz="0" w:space="0" w:color="auto"/>
        <w:bottom w:val="none" w:sz="0" w:space="0" w:color="auto"/>
        <w:right w:val="none" w:sz="0" w:space="0" w:color="auto"/>
      </w:divBdr>
    </w:div>
    <w:div w:id="808204819">
      <w:marLeft w:val="0"/>
      <w:marRight w:val="0"/>
      <w:marTop w:val="0"/>
      <w:marBottom w:val="240"/>
      <w:divBdr>
        <w:top w:val="none" w:sz="0" w:space="0" w:color="auto"/>
        <w:left w:val="none" w:sz="0" w:space="0" w:color="auto"/>
        <w:bottom w:val="none" w:sz="0" w:space="0" w:color="auto"/>
        <w:right w:val="none" w:sz="0" w:space="0" w:color="auto"/>
      </w:divBdr>
    </w:div>
    <w:div w:id="809248459">
      <w:marLeft w:val="0"/>
      <w:marRight w:val="0"/>
      <w:marTop w:val="240"/>
      <w:marBottom w:val="240"/>
      <w:divBdr>
        <w:top w:val="none" w:sz="0" w:space="0" w:color="auto"/>
        <w:left w:val="none" w:sz="0" w:space="0" w:color="auto"/>
        <w:bottom w:val="none" w:sz="0" w:space="0" w:color="auto"/>
        <w:right w:val="none" w:sz="0" w:space="0" w:color="auto"/>
      </w:divBdr>
    </w:div>
    <w:div w:id="814836081">
      <w:marLeft w:val="0"/>
      <w:marRight w:val="0"/>
      <w:marTop w:val="0"/>
      <w:marBottom w:val="240"/>
      <w:divBdr>
        <w:top w:val="none" w:sz="0" w:space="0" w:color="auto"/>
        <w:left w:val="none" w:sz="0" w:space="0" w:color="auto"/>
        <w:bottom w:val="none" w:sz="0" w:space="0" w:color="auto"/>
        <w:right w:val="none" w:sz="0" w:space="0" w:color="auto"/>
      </w:divBdr>
    </w:div>
    <w:div w:id="816340215">
      <w:marLeft w:val="0"/>
      <w:marRight w:val="0"/>
      <w:marTop w:val="0"/>
      <w:marBottom w:val="240"/>
      <w:divBdr>
        <w:top w:val="none" w:sz="0" w:space="0" w:color="auto"/>
        <w:left w:val="none" w:sz="0" w:space="0" w:color="auto"/>
        <w:bottom w:val="none" w:sz="0" w:space="0" w:color="auto"/>
        <w:right w:val="none" w:sz="0" w:space="0" w:color="auto"/>
      </w:divBdr>
    </w:div>
    <w:div w:id="824973962">
      <w:marLeft w:val="0"/>
      <w:marRight w:val="0"/>
      <w:marTop w:val="0"/>
      <w:marBottom w:val="0"/>
      <w:divBdr>
        <w:top w:val="none" w:sz="0" w:space="0" w:color="auto"/>
        <w:left w:val="none" w:sz="0" w:space="0" w:color="auto"/>
        <w:bottom w:val="none" w:sz="0" w:space="0" w:color="auto"/>
        <w:right w:val="none" w:sz="0" w:space="0" w:color="auto"/>
      </w:divBdr>
    </w:div>
    <w:div w:id="828178813">
      <w:marLeft w:val="0"/>
      <w:marRight w:val="0"/>
      <w:marTop w:val="0"/>
      <w:marBottom w:val="120"/>
      <w:divBdr>
        <w:top w:val="none" w:sz="0" w:space="0" w:color="auto"/>
        <w:left w:val="none" w:sz="0" w:space="0" w:color="auto"/>
        <w:bottom w:val="none" w:sz="0" w:space="0" w:color="auto"/>
        <w:right w:val="none" w:sz="0" w:space="0" w:color="auto"/>
      </w:divBdr>
    </w:div>
    <w:div w:id="829105581">
      <w:marLeft w:val="0"/>
      <w:marRight w:val="0"/>
      <w:marTop w:val="0"/>
      <w:marBottom w:val="240"/>
      <w:divBdr>
        <w:top w:val="none" w:sz="0" w:space="0" w:color="auto"/>
        <w:left w:val="none" w:sz="0" w:space="0" w:color="auto"/>
        <w:bottom w:val="none" w:sz="0" w:space="0" w:color="auto"/>
        <w:right w:val="none" w:sz="0" w:space="0" w:color="auto"/>
      </w:divBdr>
    </w:div>
    <w:div w:id="831486159">
      <w:marLeft w:val="0"/>
      <w:marRight w:val="0"/>
      <w:marTop w:val="0"/>
      <w:marBottom w:val="0"/>
      <w:divBdr>
        <w:top w:val="none" w:sz="0" w:space="0" w:color="auto"/>
        <w:left w:val="none" w:sz="0" w:space="0" w:color="auto"/>
        <w:bottom w:val="none" w:sz="0" w:space="0" w:color="auto"/>
        <w:right w:val="none" w:sz="0" w:space="0" w:color="auto"/>
      </w:divBdr>
      <w:divsChild>
        <w:div w:id="1381855101">
          <w:marLeft w:val="0"/>
          <w:marRight w:val="0"/>
          <w:marTop w:val="0"/>
          <w:marBottom w:val="0"/>
          <w:divBdr>
            <w:top w:val="none" w:sz="0" w:space="0" w:color="auto"/>
            <w:left w:val="none" w:sz="0" w:space="0" w:color="auto"/>
            <w:bottom w:val="none" w:sz="0" w:space="0" w:color="auto"/>
            <w:right w:val="none" w:sz="0" w:space="0" w:color="auto"/>
          </w:divBdr>
        </w:div>
      </w:divsChild>
    </w:div>
    <w:div w:id="832380410">
      <w:marLeft w:val="0"/>
      <w:marRight w:val="0"/>
      <w:marTop w:val="240"/>
      <w:marBottom w:val="0"/>
      <w:divBdr>
        <w:top w:val="none" w:sz="0" w:space="0" w:color="auto"/>
        <w:left w:val="none" w:sz="0" w:space="0" w:color="auto"/>
        <w:bottom w:val="none" w:sz="0" w:space="0" w:color="auto"/>
        <w:right w:val="none" w:sz="0" w:space="0" w:color="auto"/>
      </w:divBdr>
    </w:div>
    <w:div w:id="839008395">
      <w:marLeft w:val="0"/>
      <w:marRight w:val="0"/>
      <w:marTop w:val="0"/>
      <w:marBottom w:val="0"/>
      <w:divBdr>
        <w:top w:val="none" w:sz="0" w:space="0" w:color="auto"/>
        <w:left w:val="none" w:sz="0" w:space="0" w:color="auto"/>
        <w:bottom w:val="none" w:sz="0" w:space="0" w:color="auto"/>
        <w:right w:val="none" w:sz="0" w:space="0" w:color="auto"/>
      </w:divBdr>
    </w:div>
    <w:div w:id="840466140">
      <w:marLeft w:val="0"/>
      <w:marRight w:val="0"/>
      <w:marTop w:val="240"/>
      <w:marBottom w:val="0"/>
      <w:divBdr>
        <w:top w:val="none" w:sz="0" w:space="0" w:color="auto"/>
        <w:left w:val="none" w:sz="0" w:space="0" w:color="auto"/>
        <w:bottom w:val="none" w:sz="0" w:space="0" w:color="auto"/>
        <w:right w:val="none" w:sz="0" w:space="0" w:color="auto"/>
      </w:divBdr>
    </w:div>
    <w:div w:id="841118565">
      <w:marLeft w:val="0"/>
      <w:marRight w:val="0"/>
      <w:marTop w:val="240"/>
      <w:marBottom w:val="0"/>
      <w:divBdr>
        <w:top w:val="none" w:sz="0" w:space="0" w:color="auto"/>
        <w:left w:val="none" w:sz="0" w:space="0" w:color="auto"/>
        <w:bottom w:val="none" w:sz="0" w:space="0" w:color="auto"/>
        <w:right w:val="none" w:sz="0" w:space="0" w:color="auto"/>
      </w:divBdr>
    </w:div>
    <w:div w:id="843206555">
      <w:marLeft w:val="0"/>
      <w:marRight w:val="0"/>
      <w:marTop w:val="0"/>
      <w:marBottom w:val="0"/>
      <w:divBdr>
        <w:top w:val="none" w:sz="0" w:space="0" w:color="auto"/>
        <w:left w:val="none" w:sz="0" w:space="0" w:color="auto"/>
        <w:bottom w:val="none" w:sz="0" w:space="0" w:color="auto"/>
        <w:right w:val="none" w:sz="0" w:space="0" w:color="auto"/>
      </w:divBdr>
      <w:divsChild>
        <w:div w:id="1221790151">
          <w:marLeft w:val="0"/>
          <w:marRight w:val="0"/>
          <w:marTop w:val="0"/>
          <w:marBottom w:val="0"/>
          <w:divBdr>
            <w:top w:val="none" w:sz="0" w:space="0" w:color="auto"/>
            <w:left w:val="none" w:sz="0" w:space="0" w:color="auto"/>
            <w:bottom w:val="none" w:sz="0" w:space="0" w:color="auto"/>
            <w:right w:val="none" w:sz="0" w:space="0" w:color="auto"/>
          </w:divBdr>
        </w:div>
      </w:divsChild>
    </w:div>
    <w:div w:id="852961120">
      <w:marLeft w:val="0"/>
      <w:marRight w:val="0"/>
      <w:marTop w:val="240"/>
      <w:marBottom w:val="0"/>
      <w:divBdr>
        <w:top w:val="none" w:sz="0" w:space="0" w:color="auto"/>
        <w:left w:val="none" w:sz="0" w:space="0" w:color="auto"/>
        <w:bottom w:val="none" w:sz="0" w:space="0" w:color="auto"/>
        <w:right w:val="none" w:sz="0" w:space="0" w:color="auto"/>
      </w:divBdr>
    </w:div>
    <w:div w:id="856624441">
      <w:marLeft w:val="0"/>
      <w:marRight w:val="0"/>
      <w:marTop w:val="240"/>
      <w:marBottom w:val="240"/>
      <w:divBdr>
        <w:top w:val="none" w:sz="0" w:space="0" w:color="auto"/>
        <w:left w:val="none" w:sz="0" w:space="0" w:color="auto"/>
        <w:bottom w:val="none" w:sz="0" w:space="0" w:color="auto"/>
        <w:right w:val="none" w:sz="0" w:space="0" w:color="auto"/>
      </w:divBdr>
    </w:div>
    <w:div w:id="859589421">
      <w:marLeft w:val="0"/>
      <w:marRight w:val="0"/>
      <w:marTop w:val="0"/>
      <w:marBottom w:val="0"/>
      <w:divBdr>
        <w:top w:val="none" w:sz="0" w:space="0" w:color="auto"/>
        <w:left w:val="none" w:sz="0" w:space="0" w:color="auto"/>
        <w:bottom w:val="none" w:sz="0" w:space="0" w:color="auto"/>
        <w:right w:val="none" w:sz="0" w:space="0" w:color="auto"/>
      </w:divBdr>
    </w:div>
    <w:div w:id="861213219">
      <w:marLeft w:val="0"/>
      <w:marRight w:val="0"/>
      <w:marTop w:val="0"/>
      <w:marBottom w:val="0"/>
      <w:divBdr>
        <w:top w:val="none" w:sz="0" w:space="0" w:color="auto"/>
        <w:left w:val="none" w:sz="0" w:space="0" w:color="auto"/>
        <w:bottom w:val="none" w:sz="0" w:space="0" w:color="auto"/>
        <w:right w:val="none" w:sz="0" w:space="0" w:color="auto"/>
      </w:divBdr>
      <w:divsChild>
        <w:div w:id="1935236394">
          <w:marLeft w:val="0"/>
          <w:marRight w:val="0"/>
          <w:marTop w:val="0"/>
          <w:marBottom w:val="0"/>
          <w:divBdr>
            <w:top w:val="none" w:sz="0" w:space="0" w:color="auto"/>
            <w:left w:val="none" w:sz="0" w:space="0" w:color="auto"/>
            <w:bottom w:val="none" w:sz="0" w:space="0" w:color="auto"/>
            <w:right w:val="none" w:sz="0" w:space="0" w:color="auto"/>
          </w:divBdr>
        </w:div>
      </w:divsChild>
    </w:div>
    <w:div w:id="861359391">
      <w:marLeft w:val="0"/>
      <w:marRight w:val="0"/>
      <w:marTop w:val="0"/>
      <w:marBottom w:val="120"/>
      <w:divBdr>
        <w:top w:val="none" w:sz="0" w:space="0" w:color="auto"/>
        <w:left w:val="none" w:sz="0" w:space="0" w:color="auto"/>
        <w:bottom w:val="none" w:sz="0" w:space="0" w:color="auto"/>
        <w:right w:val="none" w:sz="0" w:space="0" w:color="auto"/>
      </w:divBdr>
    </w:div>
    <w:div w:id="865102819">
      <w:marLeft w:val="0"/>
      <w:marRight w:val="0"/>
      <w:marTop w:val="0"/>
      <w:marBottom w:val="0"/>
      <w:divBdr>
        <w:top w:val="none" w:sz="0" w:space="0" w:color="auto"/>
        <w:left w:val="none" w:sz="0" w:space="0" w:color="auto"/>
        <w:bottom w:val="none" w:sz="0" w:space="0" w:color="auto"/>
        <w:right w:val="none" w:sz="0" w:space="0" w:color="auto"/>
      </w:divBdr>
      <w:divsChild>
        <w:div w:id="1110585359">
          <w:marLeft w:val="0"/>
          <w:marRight w:val="0"/>
          <w:marTop w:val="0"/>
          <w:marBottom w:val="0"/>
          <w:divBdr>
            <w:top w:val="none" w:sz="0" w:space="0" w:color="auto"/>
            <w:left w:val="none" w:sz="0" w:space="0" w:color="auto"/>
            <w:bottom w:val="none" w:sz="0" w:space="0" w:color="auto"/>
            <w:right w:val="none" w:sz="0" w:space="0" w:color="auto"/>
          </w:divBdr>
        </w:div>
      </w:divsChild>
    </w:div>
    <w:div w:id="866258207">
      <w:marLeft w:val="0"/>
      <w:marRight w:val="0"/>
      <w:marTop w:val="240"/>
      <w:marBottom w:val="0"/>
      <w:divBdr>
        <w:top w:val="none" w:sz="0" w:space="0" w:color="auto"/>
        <w:left w:val="none" w:sz="0" w:space="0" w:color="auto"/>
        <w:bottom w:val="none" w:sz="0" w:space="0" w:color="auto"/>
        <w:right w:val="none" w:sz="0" w:space="0" w:color="auto"/>
      </w:divBdr>
    </w:div>
    <w:div w:id="872956437">
      <w:marLeft w:val="0"/>
      <w:marRight w:val="0"/>
      <w:marTop w:val="120"/>
      <w:marBottom w:val="0"/>
      <w:divBdr>
        <w:top w:val="none" w:sz="0" w:space="0" w:color="auto"/>
        <w:left w:val="none" w:sz="0" w:space="0" w:color="auto"/>
        <w:bottom w:val="none" w:sz="0" w:space="0" w:color="auto"/>
        <w:right w:val="none" w:sz="0" w:space="0" w:color="auto"/>
      </w:divBdr>
    </w:div>
    <w:div w:id="874999325">
      <w:marLeft w:val="0"/>
      <w:marRight w:val="0"/>
      <w:marTop w:val="0"/>
      <w:marBottom w:val="240"/>
      <w:divBdr>
        <w:top w:val="none" w:sz="0" w:space="0" w:color="auto"/>
        <w:left w:val="none" w:sz="0" w:space="0" w:color="auto"/>
        <w:bottom w:val="none" w:sz="0" w:space="0" w:color="auto"/>
        <w:right w:val="none" w:sz="0" w:space="0" w:color="auto"/>
      </w:divBdr>
    </w:div>
    <w:div w:id="875313477">
      <w:marLeft w:val="0"/>
      <w:marRight w:val="0"/>
      <w:marTop w:val="240"/>
      <w:marBottom w:val="240"/>
      <w:divBdr>
        <w:top w:val="none" w:sz="0" w:space="0" w:color="auto"/>
        <w:left w:val="none" w:sz="0" w:space="0" w:color="auto"/>
        <w:bottom w:val="none" w:sz="0" w:space="0" w:color="auto"/>
        <w:right w:val="none" w:sz="0" w:space="0" w:color="auto"/>
      </w:divBdr>
    </w:div>
    <w:div w:id="877202612">
      <w:marLeft w:val="0"/>
      <w:marRight w:val="0"/>
      <w:marTop w:val="120"/>
      <w:marBottom w:val="240"/>
      <w:divBdr>
        <w:top w:val="none" w:sz="0" w:space="0" w:color="auto"/>
        <w:left w:val="none" w:sz="0" w:space="0" w:color="auto"/>
        <w:bottom w:val="none" w:sz="0" w:space="0" w:color="auto"/>
        <w:right w:val="none" w:sz="0" w:space="0" w:color="auto"/>
      </w:divBdr>
    </w:div>
    <w:div w:id="878007046">
      <w:marLeft w:val="0"/>
      <w:marRight w:val="0"/>
      <w:marTop w:val="0"/>
      <w:marBottom w:val="0"/>
      <w:divBdr>
        <w:top w:val="none" w:sz="0" w:space="0" w:color="auto"/>
        <w:left w:val="none" w:sz="0" w:space="0" w:color="auto"/>
        <w:bottom w:val="none" w:sz="0" w:space="0" w:color="auto"/>
        <w:right w:val="none" w:sz="0" w:space="0" w:color="auto"/>
      </w:divBdr>
    </w:div>
    <w:div w:id="878542680">
      <w:marLeft w:val="0"/>
      <w:marRight w:val="0"/>
      <w:marTop w:val="240"/>
      <w:marBottom w:val="0"/>
      <w:divBdr>
        <w:top w:val="none" w:sz="0" w:space="0" w:color="auto"/>
        <w:left w:val="none" w:sz="0" w:space="0" w:color="auto"/>
        <w:bottom w:val="none" w:sz="0" w:space="0" w:color="auto"/>
        <w:right w:val="none" w:sz="0" w:space="0" w:color="auto"/>
      </w:divBdr>
    </w:div>
    <w:div w:id="880362393">
      <w:marLeft w:val="0"/>
      <w:marRight w:val="0"/>
      <w:marTop w:val="240"/>
      <w:marBottom w:val="0"/>
      <w:divBdr>
        <w:top w:val="none" w:sz="0" w:space="0" w:color="auto"/>
        <w:left w:val="none" w:sz="0" w:space="0" w:color="auto"/>
        <w:bottom w:val="none" w:sz="0" w:space="0" w:color="auto"/>
        <w:right w:val="none" w:sz="0" w:space="0" w:color="auto"/>
      </w:divBdr>
    </w:div>
    <w:div w:id="880631488">
      <w:marLeft w:val="0"/>
      <w:marRight w:val="0"/>
      <w:marTop w:val="0"/>
      <w:marBottom w:val="0"/>
      <w:divBdr>
        <w:top w:val="none" w:sz="0" w:space="0" w:color="auto"/>
        <w:left w:val="none" w:sz="0" w:space="0" w:color="auto"/>
        <w:bottom w:val="none" w:sz="0" w:space="0" w:color="auto"/>
        <w:right w:val="none" w:sz="0" w:space="0" w:color="auto"/>
      </w:divBdr>
      <w:divsChild>
        <w:div w:id="487676549">
          <w:marLeft w:val="0"/>
          <w:marRight w:val="0"/>
          <w:marTop w:val="0"/>
          <w:marBottom w:val="0"/>
          <w:divBdr>
            <w:top w:val="none" w:sz="0" w:space="0" w:color="auto"/>
            <w:left w:val="none" w:sz="0" w:space="0" w:color="auto"/>
            <w:bottom w:val="none" w:sz="0" w:space="0" w:color="auto"/>
            <w:right w:val="none" w:sz="0" w:space="0" w:color="auto"/>
          </w:divBdr>
        </w:div>
      </w:divsChild>
    </w:div>
    <w:div w:id="882331147">
      <w:marLeft w:val="0"/>
      <w:marRight w:val="0"/>
      <w:marTop w:val="240"/>
      <w:marBottom w:val="0"/>
      <w:divBdr>
        <w:top w:val="none" w:sz="0" w:space="0" w:color="auto"/>
        <w:left w:val="none" w:sz="0" w:space="0" w:color="auto"/>
        <w:bottom w:val="none" w:sz="0" w:space="0" w:color="auto"/>
        <w:right w:val="none" w:sz="0" w:space="0" w:color="auto"/>
      </w:divBdr>
    </w:div>
    <w:div w:id="883298852">
      <w:marLeft w:val="0"/>
      <w:marRight w:val="0"/>
      <w:marTop w:val="0"/>
      <w:marBottom w:val="240"/>
      <w:divBdr>
        <w:top w:val="none" w:sz="0" w:space="0" w:color="auto"/>
        <w:left w:val="none" w:sz="0" w:space="0" w:color="auto"/>
        <w:bottom w:val="none" w:sz="0" w:space="0" w:color="auto"/>
        <w:right w:val="none" w:sz="0" w:space="0" w:color="auto"/>
      </w:divBdr>
    </w:div>
    <w:div w:id="884871709">
      <w:marLeft w:val="0"/>
      <w:marRight w:val="0"/>
      <w:marTop w:val="0"/>
      <w:marBottom w:val="240"/>
      <w:divBdr>
        <w:top w:val="none" w:sz="0" w:space="0" w:color="auto"/>
        <w:left w:val="none" w:sz="0" w:space="0" w:color="auto"/>
        <w:bottom w:val="none" w:sz="0" w:space="0" w:color="auto"/>
        <w:right w:val="none" w:sz="0" w:space="0" w:color="auto"/>
      </w:divBdr>
    </w:div>
    <w:div w:id="885139031">
      <w:marLeft w:val="0"/>
      <w:marRight w:val="0"/>
      <w:marTop w:val="240"/>
      <w:marBottom w:val="0"/>
      <w:divBdr>
        <w:top w:val="none" w:sz="0" w:space="0" w:color="auto"/>
        <w:left w:val="none" w:sz="0" w:space="0" w:color="auto"/>
        <w:bottom w:val="none" w:sz="0" w:space="0" w:color="auto"/>
        <w:right w:val="none" w:sz="0" w:space="0" w:color="auto"/>
      </w:divBdr>
    </w:div>
    <w:div w:id="886642351">
      <w:marLeft w:val="0"/>
      <w:marRight w:val="0"/>
      <w:marTop w:val="0"/>
      <w:marBottom w:val="0"/>
      <w:divBdr>
        <w:top w:val="none" w:sz="0" w:space="0" w:color="auto"/>
        <w:left w:val="none" w:sz="0" w:space="0" w:color="auto"/>
        <w:bottom w:val="none" w:sz="0" w:space="0" w:color="auto"/>
        <w:right w:val="none" w:sz="0" w:space="0" w:color="auto"/>
      </w:divBdr>
    </w:div>
    <w:div w:id="889656085">
      <w:marLeft w:val="0"/>
      <w:marRight w:val="0"/>
      <w:marTop w:val="240"/>
      <w:marBottom w:val="0"/>
      <w:divBdr>
        <w:top w:val="none" w:sz="0" w:space="0" w:color="auto"/>
        <w:left w:val="none" w:sz="0" w:space="0" w:color="auto"/>
        <w:bottom w:val="none" w:sz="0" w:space="0" w:color="auto"/>
        <w:right w:val="none" w:sz="0" w:space="0" w:color="auto"/>
      </w:divBdr>
    </w:div>
    <w:div w:id="890192299">
      <w:marLeft w:val="0"/>
      <w:marRight w:val="0"/>
      <w:marTop w:val="0"/>
      <w:marBottom w:val="0"/>
      <w:divBdr>
        <w:top w:val="none" w:sz="0" w:space="0" w:color="auto"/>
        <w:left w:val="none" w:sz="0" w:space="0" w:color="auto"/>
        <w:bottom w:val="none" w:sz="0" w:space="0" w:color="auto"/>
        <w:right w:val="none" w:sz="0" w:space="0" w:color="auto"/>
      </w:divBdr>
      <w:divsChild>
        <w:div w:id="295454229">
          <w:marLeft w:val="0"/>
          <w:marRight w:val="0"/>
          <w:marTop w:val="0"/>
          <w:marBottom w:val="0"/>
          <w:divBdr>
            <w:top w:val="none" w:sz="0" w:space="0" w:color="auto"/>
            <w:left w:val="none" w:sz="0" w:space="0" w:color="auto"/>
            <w:bottom w:val="none" w:sz="0" w:space="0" w:color="auto"/>
            <w:right w:val="none" w:sz="0" w:space="0" w:color="auto"/>
          </w:divBdr>
        </w:div>
      </w:divsChild>
    </w:div>
    <w:div w:id="891622992">
      <w:marLeft w:val="0"/>
      <w:marRight w:val="0"/>
      <w:marTop w:val="0"/>
      <w:marBottom w:val="120"/>
      <w:divBdr>
        <w:top w:val="none" w:sz="0" w:space="0" w:color="auto"/>
        <w:left w:val="none" w:sz="0" w:space="0" w:color="auto"/>
        <w:bottom w:val="none" w:sz="0" w:space="0" w:color="auto"/>
        <w:right w:val="none" w:sz="0" w:space="0" w:color="auto"/>
      </w:divBdr>
    </w:div>
    <w:div w:id="892231959">
      <w:marLeft w:val="0"/>
      <w:marRight w:val="0"/>
      <w:marTop w:val="0"/>
      <w:marBottom w:val="240"/>
      <w:divBdr>
        <w:top w:val="none" w:sz="0" w:space="0" w:color="auto"/>
        <w:left w:val="none" w:sz="0" w:space="0" w:color="auto"/>
        <w:bottom w:val="none" w:sz="0" w:space="0" w:color="auto"/>
        <w:right w:val="none" w:sz="0" w:space="0" w:color="auto"/>
      </w:divBdr>
    </w:div>
    <w:div w:id="892424922">
      <w:marLeft w:val="0"/>
      <w:marRight w:val="0"/>
      <w:marTop w:val="120"/>
      <w:marBottom w:val="240"/>
      <w:divBdr>
        <w:top w:val="none" w:sz="0" w:space="0" w:color="auto"/>
        <w:left w:val="none" w:sz="0" w:space="0" w:color="auto"/>
        <w:bottom w:val="none" w:sz="0" w:space="0" w:color="auto"/>
        <w:right w:val="none" w:sz="0" w:space="0" w:color="auto"/>
      </w:divBdr>
    </w:div>
    <w:div w:id="892815177">
      <w:marLeft w:val="0"/>
      <w:marRight w:val="0"/>
      <w:marTop w:val="0"/>
      <w:marBottom w:val="120"/>
      <w:divBdr>
        <w:top w:val="none" w:sz="0" w:space="0" w:color="auto"/>
        <w:left w:val="none" w:sz="0" w:space="0" w:color="auto"/>
        <w:bottom w:val="none" w:sz="0" w:space="0" w:color="auto"/>
        <w:right w:val="none" w:sz="0" w:space="0" w:color="auto"/>
      </w:divBdr>
    </w:div>
    <w:div w:id="892934808">
      <w:marLeft w:val="0"/>
      <w:marRight w:val="0"/>
      <w:marTop w:val="0"/>
      <w:marBottom w:val="240"/>
      <w:divBdr>
        <w:top w:val="none" w:sz="0" w:space="0" w:color="auto"/>
        <w:left w:val="none" w:sz="0" w:space="0" w:color="auto"/>
        <w:bottom w:val="none" w:sz="0" w:space="0" w:color="auto"/>
        <w:right w:val="none" w:sz="0" w:space="0" w:color="auto"/>
      </w:divBdr>
    </w:div>
    <w:div w:id="893731767">
      <w:marLeft w:val="0"/>
      <w:marRight w:val="0"/>
      <w:marTop w:val="240"/>
      <w:marBottom w:val="0"/>
      <w:divBdr>
        <w:top w:val="none" w:sz="0" w:space="0" w:color="auto"/>
        <w:left w:val="none" w:sz="0" w:space="0" w:color="auto"/>
        <w:bottom w:val="none" w:sz="0" w:space="0" w:color="auto"/>
        <w:right w:val="none" w:sz="0" w:space="0" w:color="auto"/>
      </w:divBdr>
    </w:div>
    <w:div w:id="894389217">
      <w:marLeft w:val="0"/>
      <w:marRight w:val="0"/>
      <w:marTop w:val="240"/>
      <w:marBottom w:val="0"/>
      <w:divBdr>
        <w:top w:val="none" w:sz="0" w:space="0" w:color="auto"/>
        <w:left w:val="none" w:sz="0" w:space="0" w:color="auto"/>
        <w:bottom w:val="none" w:sz="0" w:space="0" w:color="auto"/>
        <w:right w:val="none" w:sz="0" w:space="0" w:color="auto"/>
      </w:divBdr>
    </w:div>
    <w:div w:id="894663886">
      <w:marLeft w:val="0"/>
      <w:marRight w:val="0"/>
      <w:marTop w:val="0"/>
      <w:marBottom w:val="240"/>
      <w:divBdr>
        <w:top w:val="none" w:sz="0" w:space="0" w:color="auto"/>
        <w:left w:val="none" w:sz="0" w:space="0" w:color="auto"/>
        <w:bottom w:val="none" w:sz="0" w:space="0" w:color="auto"/>
        <w:right w:val="none" w:sz="0" w:space="0" w:color="auto"/>
      </w:divBdr>
    </w:div>
    <w:div w:id="895973060">
      <w:marLeft w:val="0"/>
      <w:marRight w:val="0"/>
      <w:marTop w:val="0"/>
      <w:marBottom w:val="240"/>
      <w:divBdr>
        <w:top w:val="none" w:sz="0" w:space="0" w:color="auto"/>
        <w:left w:val="none" w:sz="0" w:space="0" w:color="auto"/>
        <w:bottom w:val="none" w:sz="0" w:space="0" w:color="auto"/>
        <w:right w:val="none" w:sz="0" w:space="0" w:color="auto"/>
      </w:divBdr>
    </w:div>
    <w:div w:id="896162127">
      <w:marLeft w:val="0"/>
      <w:marRight w:val="0"/>
      <w:marTop w:val="100"/>
      <w:marBottom w:val="120"/>
      <w:divBdr>
        <w:top w:val="none" w:sz="0" w:space="0" w:color="auto"/>
        <w:left w:val="none" w:sz="0" w:space="0" w:color="auto"/>
        <w:bottom w:val="none" w:sz="0" w:space="0" w:color="auto"/>
        <w:right w:val="none" w:sz="0" w:space="0" w:color="auto"/>
      </w:divBdr>
    </w:div>
    <w:div w:id="901720650">
      <w:marLeft w:val="0"/>
      <w:marRight w:val="0"/>
      <w:marTop w:val="240"/>
      <w:marBottom w:val="0"/>
      <w:divBdr>
        <w:top w:val="none" w:sz="0" w:space="0" w:color="auto"/>
        <w:left w:val="none" w:sz="0" w:space="0" w:color="auto"/>
        <w:bottom w:val="none" w:sz="0" w:space="0" w:color="auto"/>
        <w:right w:val="none" w:sz="0" w:space="0" w:color="auto"/>
      </w:divBdr>
    </w:div>
    <w:div w:id="903685737">
      <w:marLeft w:val="0"/>
      <w:marRight w:val="0"/>
      <w:marTop w:val="0"/>
      <w:marBottom w:val="0"/>
      <w:divBdr>
        <w:top w:val="none" w:sz="0" w:space="0" w:color="auto"/>
        <w:left w:val="none" w:sz="0" w:space="0" w:color="auto"/>
        <w:bottom w:val="none" w:sz="0" w:space="0" w:color="auto"/>
        <w:right w:val="none" w:sz="0" w:space="0" w:color="auto"/>
      </w:divBdr>
      <w:divsChild>
        <w:div w:id="1620992829">
          <w:marLeft w:val="0"/>
          <w:marRight w:val="0"/>
          <w:marTop w:val="0"/>
          <w:marBottom w:val="0"/>
          <w:divBdr>
            <w:top w:val="none" w:sz="0" w:space="0" w:color="auto"/>
            <w:left w:val="none" w:sz="0" w:space="0" w:color="auto"/>
            <w:bottom w:val="none" w:sz="0" w:space="0" w:color="auto"/>
            <w:right w:val="none" w:sz="0" w:space="0" w:color="auto"/>
          </w:divBdr>
        </w:div>
      </w:divsChild>
    </w:div>
    <w:div w:id="904486948">
      <w:marLeft w:val="0"/>
      <w:marRight w:val="0"/>
      <w:marTop w:val="240"/>
      <w:marBottom w:val="0"/>
      <w:divBdr>
        <w:top w:val="none" w:sz="0" w:space="0" w:color="auto"/>
        <w:left w:val="none" w:sz="0" w:space="0" w:color="auto"/>
        <w:bottom w:val="none" w:sz="0" w:space="0" w:color="auto"/>
        <w:right w:val="none" w:sz="0" w:space="0" w:color="auto"/>
      </w:divBdr>
    </w:div>
    <w:div w:id="905922734">
      <w:marLeft w:val="0"/>
      <w:marRight w:val="0"/>
      <w:marTop w:val="0"/>
      <w:marBottom w:val="0"/>
      <w:divBdr>
        <w:top w:val="none" w:sz="0" w:space="0" w:color="auto"/>
        <w:left w:val="none" w:sz="0" w:space="0" w:color="auto"/>
        <w:bottom w:val="none" w:sz="0" w:space="0" w:color="auto"/>
        <w:right w:val="none" w:sz="0" w:space="0" w:color="auto"/>
      </w:divBdr>
      <w:divsChild>
        <w:div w:id="1728725365">
          <w:marLeft w:val="0"/>
          <w:marRight w:val="0"/>
          <w:marTop w:val="0"/>
          <w:marBottom w:val="0"/>
          <w:divBdr>
            <w:top w:val="none" w:sz="0" w:space="0" w:color="auto"/>
            <w:left w:val="none" w:sz="0" w:space="0" w:color="auto"/>
            <w:bottom w:val="none" w:sz="0" w:space="0" w:color="auto"/>
            <w:right w:val="none" w:sz="0" w:space="0" w:color="auto"/>
          </w:divBdr>
        </w:div>
      </w:divsChild>
    </w:div>
    <w:div w:id="906262121">
      <w:marLeft w:val="0"/>
      <w:marRight w:val="0"/>
      <w:marTop w:val="240"/>
      <w:marBottom w:val="0"/>
      <w:divBdr>
        <w:top w:val="none" w:sz="0" w:space="0" w:color="auto"/>
        <w:left w:val="none" w:sz="0" w:space="0" w:color="auto"/>
        <w:bottom w:val="none" w:sz="0" w:space="0" w:color="auto"/>
        <w:right w:val="none" w:sz="0" w:space="0" w:color="auto"/>
      </w:divBdr>
    </w:div>
    <w:div w:id="906955115">
      <w:marLeft w:val="0"/>
      <w:marRight w:val="0"/>
      <w:marTop w:val="240"/>
      <w:marBottom w:val="0"/>
      <w:divBdr>
        <w:top w:val="none" w:sz="0" w:space="0" w:color="auto"/>
        <w:left w:val="none" w:sz="0" w:space="0" w:color="auto"/>
        <w:bottom w:val="none" w:sz="0" w:space="0" w:color="auto"/>
        <w:right w:val="none" w:sz="0" w:space="0" w:color="auto"/>
      </w:divBdr>
    </w:div>
    <w:div w:id="910042584">
      <w:marLeft w:val="0"/>
      <w:marRight w:val="0"/>
      <w:marTop w:val="240"/>
      <w:marBottom w:val="0"/>
      <w:divBdr>
        <w:top w:val="none" w:sz="0" w:space="0" w:color="auto"/>
        <w:left w:val="none" w:sz="0" w:space="0" w:color="auto"/>
        <w:bottom w:val="none" w:sz="0" w:space="0" w:color="auto"/>
        <w:right w:val="none" w:sz="0" w:space="0" w:color="auto"/>
      </w:divBdr>
    </w:div>
    <w:div w:id="914511080">
      <w:marLeft w:val="0"/>
      <w:marRight w:val="0"/>
      <w:marTop w:val="0"/>
      <w:marBottom w:val="0"/>
      <w:divBdr>
        <w:top w:val="none" w:sz="0" w:space="0" w:color="auto"/>
        <w:left w:val="none" w:sz="0" w:space="0" w:color="auto"/>
        <w:bottom w:val="none" w:sz="0" w:space="0" w:color="auto"/>
        <w:right w:val="none" w:sz="0" w:space="0" w:color="auto"/>
      </w:divBdr>
      <w:divsChild>
        <w:div w:id="823473911">
          <w:marLeft w:val="0"/>
          <w:marRight w:val="0"/>
          <w:marTop w:val="0"/>
          <w:marBottom w:val="0"/>
          <w:divBdr>
            <w:top w:val="none" w:sz="0" w:space="0" w:color="auto"/>
            <w:left w:val="none" w:sz="0" w:space="0" w:color="auto"/>
            <w:bottom w:val="none" w:sz="0" w:space="0" w:color="auto"/>
            <w:right w:val="none" w:sz="0" w:space="0" w:color="auto"/>
          </w:divBdr>
        </w:div>
      </w:divsChild>
    </w:div>
    <w:div w:id="915095436">
      <w:marLeft w:val="0"/>
      <w:marRight w:val="0"/>
      <w:marTop w:val="0"/>
      <w:marBottom w:val="0"/>
      <w:divBdr>
        <w:top w:val="none" w:sz="0" w:space="0" w:color="auto"/>
        <w:left w:val="none" w:sz="0" w:space="0" w:color="auto"/>
        <w:bottom w:val="none" w:sz="0" w:space="0" w:color="auto"/>
        <w:right w:val="none" w:sz="0" w:space="0" w:color="auto"/>
      </w:divBdr>
      <w:divsChild>
        <w:div w:id="765661973">
          <w:marLeft w:val="0"/>
          <w:marRight w:val="0"/>
          <w:marTop w:val="0"/>
          <w:marBottom w:val="0"/>
          <w:divBdr>
            <w:top w:val="none" w:sz="0" w:space="0" w:color="auto"/>
            <w:left w:val="none" w:sz="0" w:space="0" w:color="auto"/>
            <w:bottom w:val="none" w:sz="0" w:space="0" w:color="auto"/>
            <w:right w:val="none" w:sz="0" w:space="0" w:color="auto"/>
          </w:divBdr>
        </w:div>
        <w:div w:id="333650453">
          <w:marLeft w:val="0"/>
          <w:marRight w:val="0"/>
          <w:marTop w:val="0"/>
          <w:marBottom w:val="0"/>
          <w:divBdr>
            <w:top w:val="none" w:sz="0" w:space="0" w:color="auto"/>
            <w:left w:val="none" w:sz="0" w:space="0" w:color="auto"/>
            <w:bottom w:val="none" w:sz="0" w:space="0" w:color="auto"/>
            <w:right w:val="none" w:sz="0" w:space="0" w:color="auto"/>
          </w:divBdr>
        </w:div>
      </w:divsChild>
    </w:div>
    <w:div w:id="915362726">
      <w:marLeft w:val="0"/>
      <w:marRight w:val="0"/>
      <w:marTop w:val="240"/>
      <w:marBottom w:val="0"/>
      <w:divBdr>
        <w:top w:val="none" w:sz="0" w:space="0" w:color="auto"/>
        <w:left w:val="none" w:sz="0" w:space="0" w:color="auto"/>
        <w:bottom w:val="none" w:sz="0" w:space="0" w:color="auto"/>
        <w:right w:val="none" w:sz="0" w:space="0" w:color="auto"/>
      </w:divBdr>
    </w:div>
    <w:div w:id="916861483">
      <w:marLeft w:val="0"/>
      <w:marRight w:val="0"/>
      <w:marTop w:val="0"/>
      <w:marBottom w:val="240"/>
      <w:divBdr>
        <w:top w:val="none" w:sz="0" w:space="0" w:color="auto"/>
        <w:left w:val="none" w:sz="0" w:space="0" w:color="auto"/>
        <w:bottom w:val="none" w:sz="0" w:space="0" w:color="auto"/>
        <w:right w:val="none" w:sz="0" w:space="0" w:color="auto"/>
      </w:divBdr>
    </w:div>
    <w:div w:id="916980929">
      <w:marLeft w:val="0"/>
      <w:marRight w:val="0"/>
      <w:marTop w:val="0"/>
      <w:marBottom w:val="0"/>
      <w:divBdr>
        <w:top w:val="none" w:sz="0" w:space="0" w:color="auto"/>
        <w:left w:val="none" w:sz="0" w:space="0" w:color="auto"/>
        <w:bottom w:val="none" w:sz="0" w:space="0" w:color="auto"/>
        <w:right w:val="none" w:sz="0" w:space="0" w:color="auto"/>
      </w:divBdr>
      <w:divsChild>
        <w:div w:id="1064134938">
          <w:marLeft w:val="0"/>
          <w:marRight w:val="0"/>
          <w:marTop w:val="0"/>
          <w:marBottom w:val="0"/>
          <w:divBdr>
            <w:top w:val="none" w:sz="0" w:space="0" w:color="auto"/>
            <w:left w:val="none" w:sz="0" w:space="0" w:color="auto"/>
            <w:bottom w:val="none" w:sz="0" w:space="0" w:color="auto"/>
            <w:right w:val="none" w:sz="0" w:space="0" w:color="auto"/>
          </w:divBdr>
        </w:div>
      </w:divsChild>
    </w:div>
    <w:div w:id="921525057">
      <w:marLeft w:val="0"/>
      <w:marRight w:val="0"/>
      <w:marTop w:val="0"/>
      <w:marBottom w:val="0"/>
      <w:divBdr>
        <w:top w:val="none" w:sz="0" w:space="0" w:color="auto"/>
        <w:left w:val="none" w:sz="0" w:space="0" w:color="auto"/>
        <w:bottom w:val="none" w:sz="0" w:space="0" w:color="auto"/>
        <w:right w:val="none" w:sz="0" w:space="0" w:color="auto"/>
      </w:divBdr>
      <w:divsChild>
        <w:div w:id="500124248">
          <w:marLeft w:val="0"/>
          <w:marRight w:val="0"/>
          <w:marTop w:val="0"/>
          <w:marBottom w:val="0"/>
          <w:divBdr>
            <w:top w:val="none" w:sz="0" w:space="0" w:color="auto"/>
            <w:left w:val="none" w:sz="0" w:space="0" w:color="auto"/>
            <w:bottom w:val="none" w:sz="0" w:space="0" w:color="auto"/>
            <w:right w:val="none" w:sz="0" w:space="0" w:color="auto"/>
          </w:divBdr>
        </w:div>
      </w:divsChild>
    </w:div>
    <w:div w:id="924608807">
      <w:marLeft w:val="0"/>
      <w:marRight w:val="0"/>
      <w:marTop w:val="0"/>
      <w:marBottom w:val="0"/>
      <w:divBdr>
        <w:top w:val="none" w:sz="0" w:space="0" w:color="auto"/>
        <w:left w:val="none" w:sz="0" w:space="0" w:color="auto"/>
        <w:bottom w:val="none" w:sz="0" w:space="0" w:color="auto"/>
        <w:right w:val="none" w:sz="0" w:space="0" w:color="auto"/>
      </w:divBdr>
    </w:div>
    <w:div w:id="926615319">
      <w:marLeft w:val="0"/>
      <w:marRight w:val="0"/>
      <w:marTop w:val="240"/>
      <w:marBottom w:val="0"/>
      <w:divBdr>
        <w:top w:val="none" w:sz="0" w:space="0" w:color="auto"/>
        <w:left w:val="none" w:sz="0" w:space="0" w:color="auto"/>
        <w:bottom w:val="none" w:sz="0" w:space="0" w:color="auto"/>
        <w:right w:val="none" w:sz="0" w:space="0" w:color="auto"/>
      </w:divBdr>
    </w:div>
    <w:div w:id="927076963">
      <w:marLeft w:val="0"/>
      <w:marRight w:val="0"/>
      <w:marTop w:val="0"/>
      <w:marBottom w:val="0"/>
      <w:divBdr>
        <w:top w:val="none" w:sz="0" w:space="0" w:color="auto"/>
        <w:left w:val="none" w:sz="0" w:space="0" w:color="auto"/>
        <w:bottom w:val="none" w:sz="0" w:space="0" w:color="auto"/>
        <w:right w:val="none" w:sz="0" w:space="0" w:color="auto"/>
      </w:divBdr>
      <w:divsChild>
        <w:div w:id="470943342">
          <w:marLeft w:val="0"/>
          <w:marRight w:val="0"/>
          <w:marTop w:val="0"/>
          <w:marBottom w:val="0"/>
          <w:divBdr>
            <w:top w:val="none" w:sz="0" w:space="0" w:color="auto"/>
            <w:left w:val="none" w:sz="0" w:space="0" w:color="auto"/>
            <w:bottom w:val="none" w:sz="0" w:space="0" w:color="auto"/>
            <w:right w:val="none" w:sz="0" w:space="0" w:color="auto"/>
          </w:divBdr>
        </w:div>
      </w:divsChild>
    </w:div>
    <w:div w:id="927807293">
      <w:marLeft w:val="0"/>
      <w:marRight w:val="0"/>
      <w:marTop w:val="0"/>
      <w:marBottom w:val="240"/>
      <w:divBdr>
        <w:top w:val="none" w:sz="0" w:space="0" w:color="auto"/>
        <w:left w:val="none" w:sz="0" w:space="0" w:color="auto"/>
        <w:bottom w:val="none" w:sz="0" w:space="0" w:color="auto"/>
        <w:right w:val="none" w:sz="0" w:space="0" w:color="auto"/>
      </w:divBdr>
    </w:div>
    <w:div w:id="931206568">
      <w:marLeft w:val="0"/>
      <w:marRight w:val="0"/>
      <w:marTop w:val="0"/>
      <w:marBottom w:val="0"/>
      <w:divBdr>
        <w:top w:val="none" w:sz="0" w:space="0" w:color="auto"/>
        <w:left w:val="none" w:sz="0" w:space="0" w:color="auto"/>
        <w:bottom w:val="none" w:sz="0" w:space="0" w:color="auto"/>
        <w:right w:val="none" w:sz="0" w:space="0" w:color="auto"/>
      </w:divBdr>
    </w:div>
    <w:div w:id="931548568">
      <w:marLeft w:val="0"/>
      <w:marRight w:val="0"/>
      <w:marTop w:val="0"/>
      <w:marBottom w:val="240"/>
      <w:divBdr>
        <w:top w:val="none" w:sz="0" w:space="0" w:color="auto"/>
        <w:left w:val="none" w:sz="0" w:space="0" w:color="auto"/>
        <w:bottom w:val="none" w:sz="0" w:space="0" w:color="auto"/>
        <w:right w:val="none" w:sz="0" w:space="0" w:color="auto"/>
      </w:divBdr>
    </w:div>
    <w:div w:id="932595033">
      <w:marLeft w:val="0"/>
      <w:marRight w:val="0"/>
      <w:marTop w:val="0"/>
      <w:marBottom w:val="0"/>
      <w:divBdr>
        <w:top w:val="none" w:sz="0" w:space="0" w:color="auto"/>
        <w:left w:val="none" w:sz="0" w:space="0" w:color="auto"/>
        <w:bottom w:val="none" w:sz="0" w:space="0" w:color="auto"/>
        <w:right w:val="none" w:sz="0" w:space="0" w:color="auto"/>
      </w:divBdr>
    </w:div>
    <w:div w:id="932973008">
      <w:marLeft w:val="0"/>
      <w:marRight w:val="0"/>
      <w:marTop w:val="0"/>
      <w:marBottom w:val="0"/>
      <w:divBdr>
        <w:top w:val="none" w:sz="0" w:space="0" w:color="auto"/>
        <w:left w:val="none" w:sz="0" w:space="0" w:color="auto"/>
        <w:bottom w:val="none" w:sz="0" w:space="0" w:color="auto"/>
        <w:right w:val="none" w:sz="0" w:space="0" w:color="auto"/>
      </w:divBdr>
    </w:div>
    <w:div w:id="939723972">
      <w:marLeft w:val="0"/>
      <w:marRight w:val="0"/>
      <w:marTop w:val="240"/>
      <w:marBottom w:val="240"/>
      <w:divBdr>
        <w:top w:val="none" w:sz="0" w:space="0" w:color="auto"/>
        <w:left w:val="none" w:sz="0" w:space="0" w:color="auto"/>
        <w:bottom w:val="none" w:sz="0" w:space="0" w:color="auto"/>
        <w:right w:val="none" w:sz="0" w:space="0" w:color="auto"/>
      </w:divBdr>
    </w:div>
    <w:div w:id="941687067">
      <w:marLeft w:val="0"/>
      <w:marRight w:val="0"/>
      <w:marTop w:val="0"/>
      <w:marBottom w:val="0"/>
      <w:divBdr>
        <w:top w:val="none" w:sz="0" w:space="0" w:color="auto"/>
        <w:left w:val="none" w:sz="0" w:space="0" w:color="auto"/>
        <w:bottom w:val="none" w:sz="0" w:space="0" w:color="auto"/>
        <w:right w:val="none" w:sz="0" w:space="0" w:color="auto"/>
      </w:divBdr>
      <w:divsChild>
        <w:div w:id="1323505477">
          <w:marLeft w:val="0"/>
          <w:marRight w:val="0"/>
          <w:marTop w:val="0"/>
          <w:marBottom w:val="0"/>
          <w:divBdr>
            <w:top w:val="none" w:sz="0" w:space="0" w:color="auto"/>
            <w:left w:val="none" w:sz="0" w:space="0" w:color="auto"/>
            <w:bottom w:val="none" w:sz="0" w:space="0" w:color="auto"/>
            <w:right w:val="none" w:sz="0" w:space="0" w:color="auto"/>
          </w:divBdr>
        </w:div>
      </w:divsChild>
    </w:div>
    <w:div w:id="942692995">
      <w:marLeft w:val="0"/>
      <w:marRight w:val="0"/>
      <w:marTop w:val="0"/>
      <w:marBottom w:val="120"/>
      <w:divBdr>
        <w:top w:val="none" w:sz="0" w:space="0" w:color="auto"/>
        <w:left w:val="none" w:sz="0" w:space="0" w:color="auto"/>
        <w:bottom w:val="none" w:sz="0" w:space="0" w:color="auto"/>
        <w:right w:val="none" w:sz="0" w:space="0" w:color="auto"/>
      </w:divBdr>
    </w:div>
    <w:div w:id="947469438">
      <w:marLeft w:val="0"/>
      <w:marRight w:val="0"/>
      <w:marTop w:val="240"/>
      <w:marBottom w:val="0"/>
      <w:divBdr>
        <w:top w:val="none" w:sz="0" w:space="0" w:color="auto"/>
        <w:left w:val="none" w:sz="0" w:space="0" w:color="auto"/>
        <w:bottom w:val="none" w:sz="0" w:space="0" w:color="auto"/>
        <w:right w:val="none" w:sz="0" w:space="0" w:color="auto"/>
      </w:divBdr>
    </w:div>
    <w:div w:id="949363362">
      <w:marLeft w:val="0"/>
      <w:marRight w:val="0"/>
      <w:marTop w:val="240"/>
      <w:marBottom w:val="0"/>
      <w:divBdr>
        <w:top w:val="none" w:sz="0" w:space="0" w:color="auto"/>
        <w:left w:val="none" w:sz="0" w:space="0" w:color="auto"/>
        <w:bottom w:val="none" w:sz="0" w:space="0" w:color="auto"/>
        <w:right w:val="none" w:sz="0" w:space="0" w:color="auto"/>
      </w:divBdr>
    </w:div>
    <w:div w:id="951204790">
      <w:marLeft w:val="0"/>
      <w:marRight w:val="0"/>
      <w:marTop w:val="240"/>
      <w:marBottom w:val="0"/>
      <w:divBdr>
        <w:top w:val="none" w:sz="0" w:space="0" w:color="auto"/>
        <w:left w:val="none" w:sz="0" w:space="0" w:color="auto"/>
        <w:bottom w:val="none" w:sz="0" w:space="0" w:color="auto"/>
        <w:right w:val="none" w:sz="0" w:space="0" w:color="auto"/>
      </w:divBdr>
    </w:div>
    <w:div w:id="951546287">
      <w:marLeft w:val="0"/>
      <w:marRight w:val="0"/>
      <w:marTop w:val="0"/>
      <w:marBottom w:val="0"/>
      <w:divBdr>
        <w:top w:val="none" w:sz="0" w:space="0" w:color="auto"/>
        <w:left w:val="none" w:sz="0" w:space="0" w:color="auto"/>
        <w:bottom w:val="none" w:sz="0" w:space="0" w:color="auto"/>
        <w:right w:val="none" w:sz="0" w:space="0" w:color="auto"/>
      </w:divBdr>
      <w:divsChild>
        <w:div w:id="1088623952">
          <w:marLeft w:val="0"/>
          <w:marRight w:val="0"/>
          <w:marTop w:val="0"/>
          <w:marBottom w:val="0"/>
          <w:divBdr>
            <w:top w:val="none" w:sz="0" w:space="0" w:color="auto"/>
            <w:left w:val="none" w:sz="0" w:space="0" w:color="auto"/>
            <w:bottom w:val="none" w:sz="0" w:space="0" w:color="auto"/>
            <w:right w:val="none" w:sz="0" w:space="0" w:color="auto"/>
          </w:divBdr>
        </w:div>
      </w:divsChild>
    </w:div>
    <w:div w:id="958954546">
      <w:marLeft w:val="0"/>
      <w:marRight w:val="0"/>
      <w:marTop w:val="0"/>
      <w:marBottom w:val="240"/>
      <w:divBdr>
        <w:top w:val="none" w:sz="0" w:space="0" w:color="auto"/>
        <w:left w:val="none" w:sz="0" w:space="0" w:color="auto"/>
        <w:bottom w:val="none" w:sz="0" w:space="0" w:color="auto"/>
        <w:right w:val="none" w:sz="0" w:space="0" w:color="auto"/>
      </w:divBdr>
    </w:div>
    <w:div w:id="962154613">
      <w:marLeft w:val="0"/>
      <w:marRight w:val="0"/>
      <w:marTop w:val="120"/>
      <w:marBottom w:val="240"/>
      <w:divBdr>
        <w:top w:val="none" w:sz="0" w:space="0" w:color="auto"/>
        <w:left w:val="none" w:sz="0" w:space="0" w:color="auto"/>
        <w:bottom w:val="none" w:sz="0" w:space="0" w:color="auto"/>
        <w:right w:val="none" w:sz="0" w:space="0" w:color="auto"/>
      </w:divBdr>
    </w:div>
    <w:div w:id="963388887">
      <w:marLeft w:val="0"/>
      <w:marRight w:val="0"/>
      <w:marTop w:val="0"/>
      <w:marBottom w:val="0"/>
      <w:divBdr>
        <w:top w:val="none" w:sz="0" w:space="0" w:color="auto"/>
        <w:left w:val="none" w:sz="0" w:space="0" w:color="auto"/>
        <w:bottom w:val="none" w:sz="0" w:space="0" w:color="auto"/>
        <w:right w:val="none" w:sz="0" w:space="0" w:color="auto"/>
      </w:divBdr>
    </w:div>
    <w:div w:id="964236880">
      <w:marLeft w:val="0"/>
      <w:marRight w:val="0"/>
      <w:marTop w:val="240"/>
      <w:marBottom w:val="0"/>
      <w:divBdr>
        <w:top w:val="none" w:sz="0" w:space="0" w:color="auto"/>
        <w:left w:val="none" w:sz="0" w:space="0" w:color="auto"/>
        <w:bottom w:val="none" w:sz="0" w:space="0" w:color="auto"/>
        <w:right w:val="none" w:sz="0" w:space="0" w:color="auto"/>
      </w:divBdr>
    </w:div>
    <w:div w:id="967474198">
      <w:marLeft w:val="0"/>
      <w:marRight w:val="0"/>
      <w:marTop w:val="240"/>
      <w:marBottom w:val="0"/>
      <w:divBdr>
        <w:top w:val="none" w:sz="0" w:space="0" w:color="auto"/>
        <w:left w:val="none" w:sz="0" w:space="0" w:color="auto"/>
        <w:bottom w:val="none" w:sz="0" w:space="0" w:color="auto"/>
        <w:right w:val="none" w:sz="0" w:space="0" w:color="auto"/>
      </w:divBdr>
    </w:div>
    <w:div w:id="968391282">
      <w:marLeft w:val="0"/>
      <w:marRight w:val="0"/>
      <w:marTop w:val="0"/>
      <w:marBottom w:val="0"/>
      <w:divBdr>
        <w:top w:val="none" w:sz="0" w:space="0" w:color="auto"/>
        <w:left w:val="none" w:sz="0" w:space="0" w:color="auto"/>
        <w:bottom w:val="none" w:sz="0" w:space="0" w:color="auto"/>
        <w:right w:val="none" w:sz="0" w:space="0" w:color="auto"/>
      </w:divBdr>
      <w:divsChild>
        <w:div w:id="393941405">
          <w:marLeft w:val="0"/>
          <w:marRight w:val="0"/>
          <w:marTop w:val="0"/>
          <w:marBottom w:val="0"/>
          <w:divBdr>
            <w:top w:val="none" w:sz="0" w:space="0" w:color="auto"/>
            <w:left w:val="none" w:sz="0" w:space="0" w:color="auto"/>
            <w:bottom w:val="none" w:sz="0" w:space="0" w:color="auto"/>
            <w:right w:val="none" w:sz="0" w:space="0" w:color="auto"/>
          </w:divBdr>
        </w:div>
      </w:divsChild>
    </w:div>
    <w:div w:id="971834990">
      <w:marLeft w:val="0"/>
      <w:marRight w:val="0"/>
      <w:marTop w:val="0"/>
      <w:marBottom w:val="120"/>
      <w:divBdr>
        <w:top w:val="none" w:sz="0" w:space="0" w:color="auto"/>
        <w:left w:val="none" w:sz="0" w:space="0" w:color="auto"/>
        <w:bottom w:val="none" w:sz="0" w:space="0" w:color="auto"/>
        <w:right w:val="none" w:sz="0" w:space="0" w:color="auto"/>
      </w:divBdr>
    </w:div>
    <w:div w:id="974337233">
      <w:marLeft w:val="0"/>
      <w:marRight w:val="0"/>
      <w:marTop w:val="240"/>
      <w:marBottom w:val="0"/>
      <w:divBdr>
        <w:top w:val="none" w:sz="0" w:space="0" w:color="auto"/>
        <w:left w:val="none" w:sz="0" w:space="0" w:color="auto"/>
        <w:bottom w:val="none" w:sz="0" w:space="0" w:color="auto"/>
        <w:right w:val="none" w:sz="0" w:space="0" w:color="auto"/>
      </w:divBdr>
    </w:div>
    <w:div w:id="974481376">
      <w:marLeft w:val="0"/>
      <w:marRight w:val="0"/>
      <w:marTop w:val="0"/>
      <w:marBottom w:val="240"/>
      <w:divBdr>
        <w:top w:val="none" w:sz="0" w:space="0" w:color="auto"/>
        <w:left w:val="none" w:sz="0" w:space="0" w:color="auto"/>
        <w:bottom w:val="none" w:sz="0" w:space="0" w:color="auto"/>
        <w:right w:val="none" w:sz="0" w:space="0" w:color="auto"/>
      </w:divBdr>
    </w:div>
    <w:div w:id="974722434">
      <w:marLeft w:val="0"/>
      <w:marRight w:val="0"/>
      <w:marTop w:val="0"/>
      <w:marBottom w:val="0"/>
      <w:divBdr>
        <w:top w:val="none" w:sz="0" w:space="0" w:color="auto"/>
        <w:left w:val="none" w:sz="0" w:space="0" w:color="auto"/>
        <w:bottom w:val="none" w:sz="0" w:space="0" w:color="auto"/>
        <w:right w:val="none" w:sz="0" w:space="0" w:color="auto"/>
      </w:divBdr>
      <w:divsChild>
        <w:div w:id="284584532">
          <w:marLeft w:val="0"/>
          <w:marRight w:val="0"/>
          <w:marTop w:val="0"/>
          <w:marBottom w:val="0"/>
          <w:divBdr>
            <w:top w:val="none" w:sz="0" w:space="0" w:color="auto"/>
            <w:left w:val="none" w:sz="0" w:space="0" w:color="auto"/>
            <w:bottom w:val="none" w:sz="0" w:space="0" w:color="auto"/>
            <w:right w:val="none" w:sz="0" w:space="0" w:color="auto"/>
          </w:divBdr>
        </w:div>
      </w:divsChild>
    </w:div>
    <w:div w:id="982926947">
      <w:marLeft w:val="0"/>
      <w:marRight w:val="0"/>
      <w:marTop w:val="240"/>
      <w:marBottom w:val="0"/>
      <w:divBdr>
        <w:top w:val="none" w:sz="0" w:space="0" w:color="auto"/>
        <w:left w:val="none" w:sz="0" w:space="0" w:color="auto"/>
        <w:bottom w:val="none" w:sz="0" w:space="0" w:color="auto"/>
        <w:right w:val="none" w:sz="0" w:space="0" w:color="auto"/>
      </w:divBdr>
    </w:div>
    <w:div w:id="985086398">
      <w:marLeft w:val="0"/>
      <w:marRight w:val="0"/>
      <w:marTop w:val="0"/>
      <w:marBottom w:val="0"/>
      <w:divBdr>
        <w:top w:val="none" w:sz="0" w:space="0" w:color="auto"/>
        <w:left w:val="none" w:sz="0" w:space="0" w:color="auto"/>
        <w:bottom w:val="none" w:sz="0" w:space="0" w:color="auto"/>
        <w:right w:val="none" w:sz="0" w:space="0" w:color="auto"/>
      </w:divBdr>
    </w:div>
    <w:div w:id="986281557">
      <w:marLeft w:val="0"/>
      <w:marRight w:val="0"/>
      <w:marTop w:val="0"/>
      <w:marBottom w:val="240"/>
      <w:divBdr>
        <w:top w:val="none" w:sz="0" w:space="0" w:color="auto"/>
        <w:left w:val="none" w:sz="0" w:space="0" w:color="auto"/>
        <w:bottom w:val="none" w:sz="0" w:space="0" w:color="auto"/>
        <w:right w:val="none" w:sz="0" w:space="0" w:color="auto"/>
      </w:divBdr>
    </w:div>
    <w:div w:id="987436948">
      <w:marLeft w:val="0"/>
      <w:marRight w:val="0"/>
      <w:marTop w:val="0"/>
      <w:marBottom w:val="240"/>
      <w:divBdr>
        <w:top w:val="none" w:sz="0" w:space="0" w:color="auto"/>
        <w:left w:val="none" w:sz="0" w:space="0" w:color="auto"/>
        <w:bottom w:val="none" w:sz="0" w:space="0" w:color="auto"/>
        <w:right w:val="none" w:sz="0" w:space="0" w:color="auto"/>
      </w:divBdr>
    </w:div>
    <w:div w:id="988755309">
      <w:marLeft w:val="0"/>
      <w:marRight w:val="0"/>
      <w:marTop w:val="0"/>
      <w:marBottom w:val="240"/>
      <w:divBdr>
        <w:top w:val="none" w:sz="0" w:space="0" w:color="auto"/>
        <w:left w:val="none" w:sz="0" w:space="0" w:color="auto"/>
        <w:bottom w:val="none" w:sz="0" w:space="0" w:color="auto"/>
        <w:right w:val="none" w:sz="0" w:space="0" w:color="auto"/>
      </w:divBdr>
    </w:div>
    <w:div w:id="989210763">
      <w:marLeft w:val="0"/>
      <w:marRight w:val="0"/>
      <w:marTop w:val="0"/>
      <w:marBottom w:val="0"/>
      <w:divBdr>
        <w:top w:val="none" w:sz="0" w:space="0" w:color="auto"/>
        <w:left w:val="none" w:sz="0" w:space="0" w:color="auto"/>
        <w:bottom w:val="none" w:sz="0" w:space="0" w:color="auto"/>
        <w:right w:val="none" w:sz="0" w:space="0" w:color="auto"/>
      </w:divBdr>
      <w:divsChild>
        <w:div w:id="339891578">
          <w:marLeft w:val="0"/>
          <w:marRight w:val="0"/>
          <w:marTop w:val="0"/>
          <w:marBottom w:val="0"/>
          <w:divBdr>
            <w:top w:val="none" w:sz="0" w:space="0" w:color="auto"/>
            <w:left w:val="none" w:sz="0" w:space="0" w:color="auto"/>
            <w:bottom w:val="none" w:sz="0" w:space="0" w:color="auto"/>
            <w:right w:val="none" w:sz="0" w:space="0" w:color="auto"/>
          </w:divBdr>
        </w:div>
      </w:divsChild>
    </w:div>
    <w:div w:id="989290518">
      <w:marLeft w:val="0"/>
      <w:marRight w:val="0"/>
      <w:marTop w:val="0"/>
      <w:marBottom w:val="0"/>
      <w:divBdr>
        <w:top w:val="none" w:sz="0" w:space="0" w:color="auto"/>
        <w:left w:val="none" w:sz="0" w:space="0" w:color="auto"/>
        <w:bottom w:val="none" w:sz="0" w:space="0" w:color="auto"/>
        <w:right w:val="none" w:sz="0" w:space="0" w:color="auto"/>
      </w:divBdr>
      <w:divsChild>
        <w:div w:id="1284531055">
          <w:marLeft w:val="0"/>
          <w:marRight w:val="0"/>
          <w:marTop w:val="0"/>
          <w:marBottom w:val="0"/>
          <w:divBdr>
            <w:top w:val="none" w:sz="0" w:space="0" w:color="auto"/>
            <w:left w:val="none" w:sz="0" w:space="0" w:color="auto"/>
            <w:bottom w:val="none" w:sz="0" w:space="0" w:color="auto"/>
            <w:right w:val="none" w:sz="0" w:space="0" w:color="auto"/>
          </w:divBdr>
        </w:div>
      </w:divsChild>
    </w:div>
    <w:div w:id="989941843">
      <w:marLeft w:val="0"/>
      <w:marRight w:val="0"/>
      <w:marTop w:val="0"/>
      <w:marBottom w:val="240"/>
      <w:divBdr>
        <w:top w:val="none" w:sz="0" w:space="0" w:color="auto"/>
        <w:left w:val="none" w:sz="0" w:space="0" w:color="auto"/>
        <w:bottom w:val="none" w:sz="0" w:space="0" w:color="auto"/>
        <w:right w:val="none" w:sz="0" w:space="0" w:color="auto"/>
      </w:divBdr>
    </w:div>
    <w:div w:id="994911838">
      <w:marLeft w:val="0"/>
      <w:marRight w:val="0"/>
      <w:marTop w:val="240"/>
      <w:marBottom w:val="0"/>
      <w:divBdr>
        <w:top w:val="none" w:sz="0" w:space="0" w:color="auto"/>
        <w:left w:val="none" w:sz="0" w:space="0" w:color="auto"/>
        <w:bottom w:val="none" w:sz="0" w:space="0" w:color="auto"/>
        <w:right w:val="none" w:sz="0" w:space="0" w:color="auto"/>
      </w:divBdr>
    </w:div>
    <w:div w:id="995718253">
      <w:marLeft w:val="0"/>
      <w:marRight w:val="0"/>
      <w:marTop w:val="0"/>
      <w:marBottom w:val="240"/>
      <w:divBdr>
        <w:top w:val="none" w:sz="0" w:space="0" w:color="auto"/>
        <w:left w:val="none" w:sz="0" w:space="0" w:color="auto"/>
        <w:bottom w:val="none" w:sz="0" w:space="0" w:color="auto"/>
        <w:right w:val="none" w:sz="0" w:space="0" w:color="auto"/>
      </w:divBdr>
    </w:div>
    <w:div w:id="996811735">
      <w:marLeft w:val="0"/>
      <w:marRight w:val="0"/>
      <w:marTop w:val="240"/>
      <w:marBottom w:val="240"/>
      <w:divBdr>
        <w:top w:val="none" w:sz="0" w:space="0" w:color="auto"/>
        <w:left w:val="none" w:sz="0" w:space="0" w:color="auto"/>
        <w:bottom w:val="none" w:sz="0" w:space="0" w:color="auto"/>
        <w:right w:val="none" w:sz="0" w:space="0" w:color="auto"/>
      </w:divBdr>
    </w:div>
    <w:div w:id="999456359">
      <w:marLeft w:val="0"/>
      <w:marRight w:val="0"/>
      <w:marTop w:val="240"/>
      <w:marBottom w:val="0"/>
      <w:divBdr>
        <w:top w:val="none" w:sz="0" w:space="0" w:color="auto"/>
        <w:left w:val="none" w:sz="0" w:space="0" w:color="auto"/>
        <w:bottom w:val="none" w:sz="0" w:space="0" w:color="auto"/>
        <w:right w:val="none" w:sz="0" w:space="0" w:color="auto"/>
      </w:divBdr>
    </w:div>
    <w:div w:id="999504101">
      <w:marLeft w:val="0"/>
      <w:marRight w:val="0"/>
      <w:marTop w:val="240"/>
      <w:marBottom w:val="0"/>
      <w:divBdr>
        <w:top w:val="none" w:sz="0" w:space="0" w:color="auto"/>
        <w:left w:val="none" w:sz="0" w:space="0" w:color="auto"/>
        <w:bottom w:val="none" w:sz="0" w:space="0" w:color="auto"/>
        <w:right w:val="none" w:sz="0" w:space="0" w:color="auto"/>
      </w:divBdr>
    </w:div>
    <w:div w:id="999969139">
      <w:marLeft w:val="0"/>
      <w:marRight w:val="0"/>
      <w:marTop w:val="240"/>
      <w:marBottom w:val="0"/>
      <w:divBdr>
        <w:top w:val="none" w:sz="0" w:space="0" w:color="auto"/>
        <w:left w:val="none" w:sz="0" w:space="0" w:color="auto"/>
        <w:bottom w:val="none" w:sz="0" w:space="0" w:color="auto"/>
        <w:right w:val="none" w:sz="0" w:space="0" w:color="auto"/>
      </w:divBdr>
    </w:div>
    <w:div w:id="1000281042">
      <w:marLeft w:val="0"/>
      <w:marRight w:val="0"/>
      <w:marTop w:val="0"/>
      <w:marBottom w:val="0"/>
      <w:divBdr>
        <w:top w:val="none" w:sz="0" w:space="0" w:color="auto"/>
        <w:left w:val="none" w:sz="0" w:space="0" w:color="auto"/>
        <w:bottom w:val="none" w:sz="0" w:space="0" w:color="auto"/>
        <w:right w:val="none" w:sz="0" w:space="0" w:color="auto"/>
      </w:divBdr>
      <w:divsChild>
        <w:div w:id="2027518456">
          <w:marLeft w:val="0"/>
          <w:marRight w:val="0"/>
          <w:marTop w:val="0"/>
          <w:marBottom w:val="0"/>
          <w:divBdr>
            <w:top w:val="none" w:sz="0" w:space="0" w:color="auto"/>
            <w:left w:val="none" w:sz="0" w:space="0" w:color="auto"/>
            <w:bottom w:val="none" w:sz="0" w:space="0" w:color="auto"/>
            <w:right w:val="none" w:sz="0" w:space="0" w:color="auto"/>
          </w:divBdr>
        </w:div>
      </w:divsChild>
    </w:div>
    <w:div w:id="1000812123">
      <w:marLeft w:val="0"/>
      <w:marRight w:val="0"/>
      <w:marTop w:val="0"/>
      <w:marBottom w:val="240"/>
      <w:divBdr>
        <w:top w:val="none" w:sz="0" w:space="0" w:color="auto"/>
        <w:left w:val="none" w:sz="0" w:space="0" w:color="auto"/>
        <w:bottom w:val="none" w:sz="0" w:space="0" w:color="auto"/>
        <w:right w:val="none" w:sz="0" w:space="0" w:color="auto"/>
      </w:divBdr>
    </w:div>
    <w:div w:id="1004475555">
      <w:marLeft w:val="0"/>
      <w:marRight w:val="0"/>
      <w:marTop w:val="0"/>
      <w:marBottom w:val="0"/>
      <w:divBdr>
        <w:top w:val="none" w:sz="0" w:space="0" w:color="auto"/>
        <w:left w:val="none" w:sz="0" w:space="0" w:color="auto"/>
        <w:bottom w:val="none" w:sz="0" w:space="0" w:color="auto"/>
        <w:right w:val="none" w:sz="0" w:space="0" w:color="auto"/>
      </w:divBdr>
      <w:divsChild>
        <w:div w:id="1952778936">
          <w:marLeft w:val="0"/>
          <w:marRight w:val="0"/>
          <w:marTop w:val="0"/>
          <w:marBottom w:val="0"/>
          <w:divBdr>
            <w:top w:val="none" w:sz="0" w:space="0" w:color="auto"/>
            <w:left w:val="none" w:sz="0" w:space="0" w:color="auto"/>
            <w:bottom w:val="none" w:sz="0" w:space="0" w:color="auto"/>
            <w:right w:val="none" w:sz="0" w:space="0" w:color="auto"/>
          </w:divBdr>
        </w:div>
      </w:divsChild>
    </w:div>
    <w:div w:id="1005136694">
      <w:marLeft w:val="0"/>
      <w:marRight w:val="0"/>
      <w:marTop w:val="240"/>
      <w:marBottom w:val="0"/>
      <w:divBdr>
        <w:top w:val="none" w:sz="0" w:space="0" w:color="auto"/>
        <w:left w:val="none" w:sz="0" w:space="0" w:color="auto"/>
        <w:bottom w:val="none" w:sz="0" w:space="0" w:color="auto"/>
        <w:right w:val="none" w:sz="0" w:space="0" w:color="auto"/>
      </w:divBdr>
    </w:div>
    <w:div w:id="1006057268">
      <w:marLeft w:val="0"/>
      <w:marRight w:val="0"/>
      <w:marTop w:val="240"/>
      <w:marBottom w:val="0"/>
      <w:divBdr>
        <w:top w:val="none" w:sz="0" w:space="0" w:color="auto"/>
        <w:left w:val="none" w:sz="0" w:space="0" w:color="auto"/>
        <w:bottom w:val="none" w:sz="0" w:space="0" w:color="auto"/>
        <w:right w:val="none" w:sz="0" w:space="0" w:color="auto"/>
      </w:divBdr>
    </w:div>
    <w:div w:id="1007748941">
      <w:marLeft w:val="0"/>
      <w:marRight w:val="0"/>
      <w:marTop w:val="120"/>
      <w:marBottom w:val="240"/>
      <w:divBdr>
        <w:top w:val="none" w:sz="0" w:space="0" w:color="auto"/>
        <w:left w:val="none" w:sz="0" w:space="0" w:color="auto"/>
        <w:bottom w:val="none" w:sz="0" w:space="0" w:color="auto"/>
        <w:right w:val="none" w:sz="0" w:space="0" w:color="auto"/>
      </w:divBdr>
    </w:div>
    <w:div w:id="1008755488">
      <w:marLeft w:val="0"/>
      <w:marRight w:val="0"/>
      <w:marTop w:val="0"/>
      <w:marBottom w:val="240"/>
      <w:divBdr>
        <w:top w:val="none" w:sz="0" w:space="0" w:color="auto"/>
        <w:left w:val="none" w:sz="0" w:space="0" w:color="auto"/>
        <w:bottom w:val="none" w:sz="0" w:space="0" w:color="auto"/>
        <w:right w:val="none" w:sz="0" w:space="0" w:color="auto"/>
      </w:divBdr>
    </w:div>
    <w:div w:id="1008871970">
      <w:marLeft w:val="0"/>
      <w:marRight w:val="0"/>
      <w:marTop w:val="0"/>
      <w:marBottom w:val="0"/>
      <w:divBdr>
        <w:top w:val="none" w:sz="0" w:space="0" w:color="auto"/>
        <w:left w:val="none" w:sz="0" w:space="0" w:color="auto"/>
        <w:bottom w:val="none" w:sz="0" w:space="0" w:color="auto"/>
        <w:right w:val="none" w:sz="0" w:space="0" w:color="auto"/>
      </w:divBdr>
      <w:divsChild>
        <w:div w:id="391345308">
          <w:marLeft w:val="0"/>
          <w:marRight w:val="0"/>
          <w:marTop w:val="0"/>
          <w:marBottom w:val="0"/>
          <w:divBdr>
            <w:top w:val="none" w:sz="0" w:space="0" w:color="auto"/>
            <w:left w:val="none" w:sz="0" w:space="0" w:color="auto"/>
            <w:bottom w:val="none" w:sz="0" w:space="0" w:color="auto"/>
            <w:right w:val="none" w:sz="0" w:space="0" w:color="auto"/>
          </w:divBdr>
        </w:div>
      </w:divsChild>
    </w:div>
    <w:div w:id="1011954733">
      <w:marLeft w:val="0"/>
      <w:marRight w:val="0"/>
      <w:marTop w:val="0"/>
      <w:marBottom w:val="240"/>
      <w:divBdr>
        <w:top w:val="none" w:sz="0" w:space="0" w:color="auto"/>
        <w:left w:val="none" w:sz="0" w:space="0" w:color="auto"/>
        <w:bottom w:val="none" w:sz="0" w:space="0" w:color="auto"/>
        <w:right w:val="none" w:sz="0" w:space="0" w:color="auto"/>
      </w:divBdr>
    </w:div>
    <w:div w:id="1015494647">
      <w:marLeft w:val="0"/>
      <w:marRight w:val="0"/>
      <w:marTop w:val="240"/>
      <w:marBottom w:val="0"/>
      <w:divBdr>
        <w:top w:val="none" w:sz="0" w:space="0" w:color="auto"/>
        <w:left w:val="none" w:sz="0" w:space="0" w:color="auto"/>
        <w:bottom w:val="none" w:sz="0" w:space="0" w:color="auto"/>
        <w:right w:val="none" w:sz="0" w:space="0" w:color="auto"/>
      </w:divBdr>
    </w:div>
    <w:div w:id="1016422648">
      <w:marLeft w:val="0"/>
      <w:marRight w:val="0"/>
      <w:marTop w:val="240"/>
      <w:marBottom w:val="240"/>
      <w:divBdr>
        <w:top w:val="none" w:sz="0" w:space="0" w:color="auto"/>
        <w:left w:val="none" w:sz="0" w:space="0" w:color="auto"/>
        <w:bottom w:val="none" w:sz="0" w:space="0" w:color="auto"/>
        <w:right w:val="none" w:sz="0" w:space="0" w:color="auto"/>
      </w:divBdr>
    </w:div>
    <w:div w:id="1017076219">
      <w:marLeft w:val="0"/>
      <w:marRight w:val="0"/>
      <w:marTop w:val="0"/>
      <w:marBottom w:val="120"/>
      <w:divBdr>
        <w:top w:val="none" w:sz="0" w:space="0" w:color="auto"/>
        <w:left w:val="none" w:sz="0" w:space="0" w:color="auto"/>
        <w:bottom w:val="none" w:sz="0" w:space="0" w:color="auto"/>
        <w:right w:val="none" w:sz="0" w:space="0" w:color="auto"/>
      </w:divBdr>
    </w:div>
    <w:div w:id="1017537659">
      <w:marLeft w:val="0"/>
      <w:marRight w:val="0"/>
      <w:marTop w:val="240"/>
      <w:marBottom w:val="0"/>
      <w:divBdr>
        <w:top w:val="none" w:sz="0" w:space="0" w:color="auto"/>
        <w:left w:val="none" w:sz="0" w:space="0" w:color="auto"/>
        <w:bottom w:val="none" w:sz="0" w:space="0" w:color="auto"/>
        <w:right w:val="none" w:sz="0" w:space="0" w:color="auto"/>
      </w:divBdr>
    </w:div>
    <w:div w:id="1017655641">
      <w:marLeft w:val="0"/>
      <w:marRight w:val="0"/>
      <w:marTop w:val="240"/>
      <w:marBottom w:val="0"/>
      <w:divBdr>
        <w:top w:val="none" w:sz="0" w:space="0" w:color="auto"/>
        <w:left w:val="none" w:sz="0" w:space="0" w:color="auto"/>
        <w:bottom w:val="none" w:sz="0" w:space="0" w:color="auto"/>
        <w:right w:val="none" w:sz="0" w:space="0" w:color="auto"/>
      </w:divBdr>
    </w:div>
    <w:div w:id="1018386359">
      <w:marLeft w:val="0"/>
      <w:marRight w:val="0"/>
      <w:marTop w:val="0"/>
      <w:marBottom w:val="0"/>
      <w:divBdr>
        <w:top w:val="none" w:sz="0" w:space="0" w:color="auto"/>
        <w:left w:val="none" w:sz="0" w:space="0" w:color="auto"/>
        <w:bottom w:val="none" w:sz="0" w:space="0" w:color="auto"/>
        <w:right w:val="none" w:sz="0" w:space="0" w:color="auto"/>
      </w:divBdr>
      <w:divsChild>
        <w:div w:id="1938978078">
          <w:marLeft w:val="0"/>
          <w:marRight w:val="0"/>
          <w:marTop w:val="0"/>
          <w:marBottom w:val="0"/>
          <w:divBdr>
            <w:top w:val="none" w:sz="0" w:space="0" w:color="auto"/>
            <w:left w:val="none" w:sz="0" w:space="0" w:color="auto"/>
            <w:bottom w:val="none" w:sz="0" w:space="0" w:color="auto"/>
            <w:right w:val="none" w:sz="0" w:space="0" w:color="auto"/>
          </w:divBdr>
        </w:div>
      </w:divsChild>
    </w:div>
    <w:div w:id="1019745342">
      <w:marLeft w:val="0"/>
      <w:marRight w:val="0"/>
      <w:marTop w:val="240"/>
      <w:marBottom w:val="0"/>
      <w:divBdr>
        <w:top w:val="none" w:sz="0" w:space="0" w:color="auto"/>
        <w:left w:val="none" w:sz="0" w:space="0" w:color="auto"/>
        <w:bottom w:val="none" w:sz="0" w:space="0" w:color="auto"/>
        <w:right w:val="none" w:sz="0" w:space="0" w:color="auto"/>
      </w:divBdr>
    </w:div>
    <w:div w:id="1021277528">
      <w:marLeft w:val="0"/>
      <w:marRight w:val="0"/>
      <w:marTop w:val="0"/>
      <w:marBottom w:val="240"/>
      <w:divBdr>
        <w:top w:val="none" w:sz="0" w:space="0" w:color="auto"/>
        <w:left w:val="none" w:sz="0" w:space="0" w:color="auto"/>
        <w:bottom w:val="none" w:sz="0" w:space="0" w:color="auto"/>
        <w:right w:val="none" w:sz="0" w:space="0" w:color="auto"/>
      </w:divBdr>
    </w:div>
    <w:div w:id="1025062569">
      <w:marLeft w:val="0"/>
      <w:marRight w:val="0"/>
      <w:marTop w:val="0"/>
      <w:marBottom w:val="240"/>
      <w:divBdr>
        <w:top w:val="none" w:sz="0" w:space="0" w:color="auto"/>
        <w:left w:val="none" w:sz="0" w:space="0" w:color="auto"/>
        <w:bottom w:val="none" w:sz="0" w:space="0" w:color="auto"/>
        <w:right w:val="none" w:sz="0" w:space="0" w:color="auto"/>
      </w:divBdr>
    </w:div>
    <w:div w:id="1025248665">
      <w:marLeft w:val="0"/>
      <w:marRight w:val="0"/>
      <w:marTop w:val="0"/>
      <w:marBottom w:val="0"/>
      <w:divBdr>
        <w:top w:val="none" w:sz="0" w:space="0" w:color="auto"/>
        <w:left w:val="none" w:sz="0" w:space="0" w:color="auto"/>
        <w:bottom w:val="none" w:sz="0" w:space="0" w:color="auto"/>
        <w:right w:val="none" w:sz="0" w:space="0" w:color="auto"/>
      </w:divBdr>
      <w:divsChild>
        <w:div w:id="2069109640">
          <w:marLeft w:val="0"/>
          <w:marRight w:val="0"/>
          <w:marTop w:val="0"/>
          <w:marBottom w:val="0"/>
          <w:divBdr>
            <w:top w:val="none" w:sz="0" w:space="0" w:color="auto"/>
            <w:left w:val="none" w:sz="0" w:space="0" w:color="auto"/>
            <w:bottom w:val="none" w:sz="0" w:space="0" w:color="auto"/>
            <w:right w:val="none" w:sz="0" w:space="0" w:color="auto"/>
          </w:divBdr>
        </w:div>
      </w:divsChild>
    </w:div>
    <w:div w:id="1028338796">
      <w:marLeft w:val="0"/>
      <w:marRight w:val="0"/>
      <w:marTop w:val="0"/>
      <w:marBottom w:val="120"/>
      <w:divBdr>
        <w:top w:val="none" w:sz="0" w:space="0" w:color="auto"/>
        <w:left w:val="none" w:sz="0" w:space="0" w:color="auto"/>
        <w:bottom w:val="none" w:sz="0" w:space="0" w:color="auto"/>
        <w:right w:val="none" w:sz="0" w:space="0" w:color="auto"/>
      </w:divBdr>
    </w:div>
    <w:div w:id="1028606318">
      <w:marLeft w:val="0"/>
      <w:marRight w:val="0"/>
      <w:marTop w:val="240"/>
      <w:marBottom w:val="0"/>
      <w:divBdr>
        <w:top w:val="none" w:sz="0" w:space="0" w:color="auto"/>
        <w:left w:val="none" w:sz="0" w:space="0" w:color="auto"/>
        <w:bottom w:val="none" w:sz="0" w:space="0" w:color="auto"/>
        <w:right w:val="none" w:sz="0" w:space="0" w:color="auto"/>
      </w:divBdr>
    </w:div>
    <w:div w:id="1029262641">
      <w:marLeft w:val="0"/>
      <w:marRight w:val="0"/>
      <w:marTop w:val="0"/>
      <w:marBottom w:val="0"/>
      <w:divBdr>
        <w:top w:val="none" w:sz="0" w:space="0" w:color="auto"/>
        <w:left w:val="none" w:sz="0" w:space="0" w:color="auto"/>
        <w:bottom w:val="none" w:sz="0" w:space="0" w:color="auto"/>
        <w:right w:val="none" w:sz="0" w:space="0" w:color="auto"/>
      </w:divBdr>
      <w:divsChild>
        <w:div w:id="719404078">
          <w:marLeft w:val="0"/>
          <w:marRight w:val="0"/>
          <w:marTop w:val="0"/>
          <w:marBottom w:val="0"/>
          <w:divBdr>
            <w:top w:val="none" w:sz="0" w:space="0" w:color="auto"/>
            <w:left w:val="none" w:sz="0" w:space="0" w:color="auto"/>
            <w:bottom w:val="none" w:sz="0" w:space="0" w:color="auto"/>
            <w:right w:val="none" w:sz="0" w:space="0" w:color="auto"/>
          </w:divBdr>
        </w:div>
      </w:divsChild>
    </w:div>
    <w:div w:id="1030110891">
      <w:marLeft w:val="0"/>
      <w:marRight w:val="0"/>
      <w:marTop w:val="240"/>
      <w:marBottom w:val="0"/>
      <w:divBdr>
        <w:top w:val="none" w:sz="0" w:space="0" w:color="auto"/>
        <w:left w:val="none" w:sz="0" w:space="0" w:color="auto"/>
        <w:bottom w:val="none" w:sz="0" w:space="0" w:color="auto"/>
        <w:right w:val="none" w:sz="0" w:space="0" w:color="auto"/>
      </w:divBdr>
    </w:div>
    <w:div w:id="1030648255">
      <w:marLeft w:val="0"/>
      <w:marRight w:val="0"/>
      <w:marTop w:val="0"/>
      <w:marBottom w:val="120"/>
      <w:divBdr>
        <w:top w:val="none" w:sz="0" w:space="0" w:color="auto"/>
        <w:left w:val="none" w:sz="0" w:space="0" w:color="auto"/>
        <w:bottom w:val="none" w:sz="0" w:space="0" w:color="auto"/>
        <w:right w:val="none" w:sz="0" w:space="0" w:color="auto"/>
      </w:divBdr>
    </w:div>
    <w:div w:id="1031610074">
      <w:marLeft w:val="0"/>
      <w:marRight w:val="0"/>
      <w:marTop w:val="240"/>
      <w:marBottom w:val="0"/>
      <w:divBdr>
        <w:top w:val="none" w:sz="0" w:space="0" w:color="auto"/>
        <w:left w:val="none" w:sz="0" w:space="0" w:color="auto"/>
        <w:bottom w:val="none" w:sz="0" w:space="0" w:color="auto"/>
        <w:right w:val="none" w:sz="0" w:space="0" w:color="auto"/>
      </w:divBdr>
    </w:div>
    <w:div w:id="1031995436">
      <w:marLeft w:val="0"/>
      <w:marRight w:val="0"/>
      <w:marTop w:val="240"/>
      <w:marBottom w:val="0"/>
      <w:divBdr>
        <w:top w:val="none" w:sz="0" w:space="0" w:color="auto"/>
        <w:left w:val="none" w:sz="0" w:space="0" w:color="auto"/>
        <w:bottom w:val="none" w:sz="0" w:space="0" w:color="auto"/>
        <w:right w:val="none" w:sz="0" w:space="0" w:color="auto"/>
      </w:divBdr>
    </w:div>
    <w:div w:id="1035890516">
      <w:marLeft w:val="0"/>
      <w:marRight w:val="0"/>
      <w:marTop w:val="0"/>
      <w:marBottom w:val="0"/>
      <w:divBdr>
        <w:top w:val="none" w:sz="0" w:space="0" w:color="auto"/>
        <w:left w:val="none" w:sz="0" w:space="0" w:color="auto"/>
        <w:bottom w:val="none" w:sz="0" w:space="0" w:color="auto"/>
        <w:right w:val="none" w:sz="0" w:space="0" w:color="auto"/>
      </w:divBdr>
      <w:divsChild>
        <w:div w:id="199709954">
          <w:marLeft w:val="0"/>
          <w:marRight w:val="0"/>
          <w:marTop w:val="0"/>
          <w:marBottom w:val="0"/>
          <w:divBdr>
            <w:top w:val="none" w:sz="0" w:space="0" w:color="auto"/>
            <w:left w:val="none" w:sz="0" w:space="0" w:color="auto"/>
            <w:bottom w:val="none" w:sz="0" w:space="0" w:color="auto"/>
            <w:right w:val="none" w:sz="0" w:space="0" w:color="auto"/>
          </w:divBdr>
        </w:div>
      </w:divsChild>
    </w:div>
    <w:div w:id="1036079681">
      <w:marLeft w:val="0"/>
      <w:marRight w:val="0"/>
      <w:marTop w:val="240"/>
      <w:marBottom w:val="0"/>
      <w:divBdr>
        <w:top w:val="none" w:sz="0" w:space="0" w:color="auto"/>
        <w:left w:val="none" w:sz="0" w:space="0" w:color="auto"/>
        <w:bottom w:val="none" w:sz="0" w:space="0" w:color="auto"/>
        <w:right w:val="none" w:sz="0" w:space="0" w:color="auto"/>
      </w:divBdr>
    </w:div>
    <w:div w:id="1038120173">
      <w:marLeft w:val="0"/>
      <w:marRight w:val="0"/>
      <w:marTop w:val="0"/>
      <w:marBottom w:val="0"/>
      <w:divBdr>
        <w:top w:val="none" w:sz="0" w:space="0" w:color="auto"/>
        <w:left w:val="none" w:sz="0" w:space="0" w:color="auto"/>
        <w:bottom w:val="none" w:sz="0" w:space="0" w:color="auto"/>
        <w:right w:val="none" w:sz="0" w:space="0" w:color="auto"/>
      </w:divBdr>
    </w:div>
    <w:div w:id="1039941137">
      <w:marLeft w:val="0"/>
      <w:marRight w:val="0"/>
      <w:marTop w:val="0"/>
      <w:marBottom w:val="0"/>
      <w:divBdr>
        <w:top w:val="none" w:sz="0" w:space="0" w:color="auto"/>
        <w:left w:val="none" w:sz="0" w:space="0" w:color="auto"/>
        <w:bottom w:val="none" w:sz="0" w:space="0" w:color="auto"/>
        <w:right w:val="none" w:sz="0" w:space="0" w:color="auto"/>
      </w:divBdr>
    </w:div>
    <w:div w:id="1042100376">
      <w:marLeft w:val="0"/>
      <w:marRight w:val="0"/>
      <w:marTop w:val="100"/>
      <w:marBottom w:val="0"/>
      <w:divBdr>
        <w:top w:val="none" w:sz="0" w:space="0" w:color="auto"/>
        <w:left w:val="none" w:sz="0" w:space="0" w:color="auto"/>
        <w:bottom w:val="none" w:sz="0" w:space="0" w:color="auto"/>
        <w:right w:val="none" w:sz="0" w:space="0" w:color="auto"/>
      </w:divBdr>
    </w:div>
    <w:div w:id="1042707849">
      <w:marLeft w:val="0"/>
      <w:marRight w:val="0"/>
      <w:marTop w:val="0"/>
      <w:marBottom w:val="0"/>
      <w:divBdr>
        <w:top w:val="none" w:sz="0" w:space="0" w:color="auto"/>
        <w:left w:val="none" w:sz="0" w:space="0" w:color="auto"/>
        <w:bottom w:val="none" w:sz="0" w:space="0" w:color="auto"/>
        <w:right w:val="none" w:sz="0" w:space="0" w:color="auto"/>
      </w:divBdr>
      <w:divsChild>
        <w:div w:id="1739550412">
          <w:marLeft w:val="0"/>
          <w:marRight w:val="0"/>
          <w:marTop w:val="0"/>
          <w:marBottom w:val="0"/>
          <w:divBdr>
            <w:top w:val="none" w:sz="0" w:space="0" w:color="auto"/>
            <w:left w:val="none" w:sz="0" w:space="0" w:color="auto"/>
            <w:bottom w:val="none" w:sz="0" w:space="0" w:color="auto"/>
            <w:right w:val="none" w:sz="0" w:space="0" w:color="auto"/>
          </w:divBdr>
        </w:div>
      </w:divsChild>
    </w:div>
    <w:div w:id="1056978408">
      <w:marLeft w:val="0"/>
      <w:marRight w:val="0"/>
      <w:marTop w:val="100"/>
      <w:marBottom w:val="0"/>
      <w:divBdr>
        <w:top w:val="none" w:sz="0" w:space="0" w:color="auto"/>
        <w:left w:val="none" w:sz="0" w:space="0" w:color="auto"/>
        <w:bottom w:val="none" w:sz="0" w:space="0" w:color="auto"/>
        <w:right w:val="none" w:sz="0" w:space="0" w:color="auto"/>
      </w:divBdr>
    </w:div>
    <w:div w:id="1058241888">
      <w:marLeft w:val="0"/>
      <w:marRight w:val="0"/>
      <w:marTop w:val="0"/>
      <w:marBottom w:val="120"/>
      <w:divBdr>
        <w:top w:val="none" w:sz="0" w:space="0" w:color="auto"/>
        <w:left w:val="none" w:sz="0" w:space="0" w:color="auto"/>
        <w:bottom w:val="none" w:sz="0" w:space="0" w:color="auto"/>
        <w:right w:val="none" w:sz="0" w:space="0" w:color="auto"/>
      </w:divBdr>
    </w:div>
    <w:div w:id="1060134655">
      <w:marLeft w:val="0"/>
      <w:marRight w:val="0"/>
      <w:marTop w:val="240"/>
      <w:marBottom w:val="240"/>
      <w:divBdr>
        <w:top w:val="none" w:sz="0" w:space="0" w:color="auto"/>
        <w:left w:val="none" w:sz="0" w:space="0" w:color="auto"/>
        <w:bottom w:val="none" w:sz="0" w:space="0" w:color="auto"/>
        <w:right w:val="none" w:sz="0" w:space="0" w:color="auto"/>
      </w:divBdr>
    </w:div>
    <w:div w:id="1061440925">
      <w:marLeft w:val="0"/>
      <w:marRight w:val="0"/>
      <w:marTop w:val="100"/>
      <w:marBottom w:val="0"/>
      <w:divBdr>
        <w:top w:val="none" w:sz="0" w:space="0" w:color="auto"/>
        <w:left w:val="none" w:sz="0" w:space="0" w:color="auto"/>
        <w:bottom w:val="none" w:sz="0" w:space="0" w:color="auto"/>
        <w:right w:val="none" w:sz="0" w:space="0" w:color="auto"/>
      </w:divBdr>
      <w:divsChild>
        <w:div w:id="2045862748">
          <w:marLeft w:val="0"/>
          <w:marRight w:val="0"/>
          <w:marTop w:val="0"/>
          <w:marBottom w:val="0"/>
          <w:divBdr>
            <w:top w:val="none" w:sz="0" w:space="0" w:color="auto"/>
            <w:left w:val="none" w:sz="0" w:space="0" w:color="auto"/>
            <w:bottom w:val="none" w:sz="0" w:space="0" w:color="auto"/>
            <w:right w:val="none" w:sz="0" w:space="0" w:color="auto"/>
          </w:divBdr>
        </w:div>
      </w:divsChild>
    </w:div>
    <w:div w:id="1062800439">
      <w:marLeft w:val="0"/>
      <w:marRight w:val="0"/>
      <w:marTop w:val="0"/>
      <w:marBottom w:val="240"/>
      <w:divBdr>
        <w:top w:val="none" w:sz="0" w:space="0" w:color="auto"/>
        <w:left w:val="none" w:sz="0" w:space="0" w:color="auto"/>
        <w:bottom w:val="none" w:sz="0" w:space="0" w:color="auto"/>
        <w:right w:val="none" w:sz="0" w:space="0" w:color="auto"/>
      </w:divBdr>
    </w:div>
    <w:div w:id="1063256723">
      <w:marLeft w:val="0"/>
      <w:marRight w:val="0"/>
      <w:marTop w:val="240"/>
      <w:marBottom w:val="0"/>
      <w:divBdr>
        <w:top w:val="none" w:sz="0" w:space="0" w:color="auto"/>
        <w:left w:val="none" w:sz="0" w:space="0" w:color="auto"/>
        <w:bottom w:val="none" w:sz="0" w:space="0" w:color="auto"/>
        <w:right w:val="none" w:sz="0" w:space="0" w:color="auto"/>
      </w:divBdr>
    </w:div>
    <w:div w:id="1063523683">
      <w:marLeft w:val="0"/>
      <w:marRight w:val="0"/>
      <w:marTop w:val="0"/>
      <w:marBottom w:val="240"/>
      <w:divBdr>
        <w:top w:val="none" w:sz="0" w:space="0" w:color="auto"/>
        <w:left w:val="none" w:sz="0" w:space="0" w:color="auto"/>
        <w:bottom w:val="none" w:sz="0" w:space="0" w:color="auto"/>
        <w:right w:val="none" w:sz="0" w:space="0" w:color="auto"/>
      </w:divBdr>
    </w:div>
    <w:div w:id="1063606811">
      <w:marLeft w:val="0"/>
      <w:marRight w:val="0"/>
      <w:marTop w:val="0"/>
      <w:marBottom w:val="240"/>
      <w:divBdr>
        <w:top w:val="none" w:sz="0" w:space="0" w:color="auto"/>
        <w:left w:val="none" w:sz="0" w:space="0" w:color="auto"/>
        <w:bottom w:val="none" w:sz="0" w:space="0" w:color="auto"/>
        <w:right w:val="none" w:sz="0" w:space="0" w:color="auto"/>
      </w:divBdr>
    </w:div>
    <w:div w:id="1065103819">
      <w:marLeft w:val="0"/>
      <w:marRight w:val="0"/>
      <w:marTop w:val="240"/>
      <w:marBottom w:val="240"/>
      <w:divBdr>
        <w:top w:val="none" w:sz="0" w:space="0" w:color="auto"/>
        <w:left w:val="none" w:sz="0" w:space="0" w:color="auto"/>
        <w:bottom w:val="none" w:sz="0" w:space="0" w:color="auto"/>
        <w:right w:val="none" w:sz="0" w:space="0" w:color="auto"/>
      </w:divBdr>
    </w:div>
    <w:div w:id="1066995773">
      <w:marLeft w:val="0"/>
      <w:marRight w:val="0"/>
      <w:marTop w:val="0"/>
      <w:marBottom w:val="0"/>
      <w:divBdr>
        <w:top w:val="none" w:sz="0" w:space="0" w:color="auto"/>
        <w:left w:val="none" w:sz="0" w:space="0" w:color="auto"/>
        <w:bottom w:val="none" w:sz="0" w:space="0" w:color="auto"/>
        <w:right w:val="none" w:sz="0" w:space="0" w:color="auto"/>
      </w:divBdr>
      <w:divsChild>
        <w:div w:id="331028840">
          <w:marLeft w:val="0"/>
          <w:marRight w:val="0"/>
          <w:marTop w:val="0"/>
          <w:marBottom w:val="0"/>
          <w:divBdr>
            <w:top w:val="none" w:sz="0" w:space="0" w:color="auto"/>
            <w:left w:val="none" w:sz="0" w:space="0" w:color="auto"/>
            <w:bottom w:val="none" w:sz="0" w:space="0" w:color="auto"/>
            <w:right w:val="none" w:sz="0" w:space="0" w:color="auto"/>
          </w:divBdr>
        </w:div>
      </w:divsChild>
    </w:div>
    <w:div w:id="1068189641">
      <w:marLeft w:val="0"/>
      <w:marRight w:val="0"/>
      <w:marTop w:val="240"/>
      <w:marBottom w:val="0"/>
      <w:divBdr>
        <w:top w:val="none" w:sz="0" w:space="0" w:color="auto"/>
        <w:left w:val="none" w:sz="0" w:space="0" w:color="auto"/>
        <w:bottom w:val="none" w:sz="0" w:space="0" w:color="auto"/>
        <w:right w:val="none" w:sz="0" w:space="0" w:color="auto"/>
      </w:divBdr>
    </w:div>
    <w:div w:id="1071393394">
      <w:marLeft w:val="0"/>
      <w:marRight w:val="0"/>
      <w:marTop w:val="0"/>
      <w:marBottom w:val="240"/>
      <w:divBdr>
        <w:top w:val="none" w:sz="0" w:space="0" w:color="auto"/>
        <w:left w:val="none" w:sz="0" w:space="0" w:color="auto"/>
        <w:bottom w:val="none" w:sz="0" w:space="0" w:color="auto"/>
        <w:right w:val="none" w:sz="0" w:space="0" w:color="auto"/>
      </w:divBdr>
    </w:div>
    <w:div w:id="1072235996">
      <w:marLeft w:val="0"/>
      <w:marRight w:val="0"/>
      <w:marTop w:val="240"/>
      <w:marBottom w:val="0"/>
      <w:divBdr>
        <w:top w:val="none" w:sz="0" w:space="0" w:color="auto"/>
        <w:left w:val="none" w:sz="0" w:space="0" w:color="auto"/>
        <w:bottom w:val="none" w:sz="0" w:space="0" w:color="auto"/>
        <w:right w:val="none" w:sz="0" w:space="0" w:color="auto"/>
      </w:divBdr>
    </w:div>
    <w:div w:id="1077021064">
      <w:marLeft w:val="0"/>
      <w:marRight w:val="0"/>
      <w:marTop w:val="0"/>
      <w:marBottom w:val="0"/>
      <w:divBdr>
        <w:top w:val="none" w:sz="0" w:space="0" w:color="auto"/>
        <w:left w:val="none" w:sz="0" w:space="0" w:color="auto"/>
        <w:bottom w:val="none" w:sz="0" w:space="0" w:color="auto"/>
        <w:right w:val="none" w:sz="0" w:space="0" w:color="auto"/>
      </w:divBdr>
    </w:div>
    <w:div w:id="1078402469">
      <w:marLeft w:val="0"/>
      <w:marRight w:val="0"/>
      <w:marTop w:val="0"/>
      <w:marBottom w:val="240"/>
      <w:divBdr>
        <w:top w:val="none" w:sz="0" w:space="0" w:color="auto"/>
        <w:left w:val="none" w:sz="0" w:space="0" w:color="auto"/>
        <w:bottom w:val="none" w:sz="0" w:space="0" w:color="auto"/>
        <w:right w:val="none" w:sz="0" w:space="0" w:color="auto"/>
      </w:divBdr>
    </w:div>
    <w:div w:id="1080367753">
      <w:marLeft w:val="0"/>
      <w:marRight w:val="0"/>
      <w:marTop w:val="240"/>
      <w:marBottom w:val="0"/>
      <w:divBdr>
        <w:top w:val="none" w:sz="0" w:space="0" w:color="auto"/>
        <w:left w:val="none" w:sz="0" w:space="0" w:color="auto"/>
        <w:bottom w:val="none" w:sz="0" w:space="0" w:color="auto"/>
        <w:right w:val="none" w:sz="0" w:space="0" w:color="auto"/>
      </w:divBdr>
    </w:div>
    <w:div w:id="1081103242">
      <w:marLeft w:val="0"/>
      <w:marRight w:val="0"/>
      <w:marTop w:val="0"/>
      <w:marBottom w:val="0"/>
      <w:divBdr>
        <w:top w:val="none" w:sz="0" w:space="0" w:color="auto"/>
        <w:left w:val="none" w:sz="0" w:space="0" w:color="auto"/>
        <w:bottom w:val="none" w:sz="0" w:space="0" w:color="auto"/>
        <w:right w:val="none" w:sz="0" w:space="0" w:color="auto"/>
      </w:divBdr>
    </w:div>
    <w:div w:id="1083408222">
      <w:marLeft w:val="0"/>
      <w:marRight w:val="0"/>
      <w:marTop w:val="0"/>
      <w:marBottom w:val="120"/>
      <w:divBdr>
        <w:top w:val="none" w:sz="0" w:space="0" w:color="auto"/>
        <w:left w:val="none" w:sz="0" w:space="0" w:color="auto"/>
        <w:bottom w:val="none" w:sz="0" w:space="0" w:color="auto"/>
        <w:right w:val="none" w:sz="0" w:space="0" w:color="auto"/>
      </w:divBdr>
    </w:div>
    <w:div w:id="1084180742">
      <w:marLeft w:val="0"/>
      <w:marRight w:val="0"/>
      <w:marTop w:val="240"/>
      <w:marBottom w:val="0"/>
      <w:divBdr>
        <w:top w:val="none" w:sz="0" w:space="0" w:color="auto"/>
        <w:left w:val="none" w:sz="0" w:space="0" w:color="auto"/>
        <w:bottom w:val="none" w:sz="0" w:space="0" w:color="auto"/>
        <w:right w:val="none" w:sz="0" w:space="0" w:color="auto"/>
      </w:divBdr>
    </w:div>
    <w:div w:id="1084640961">
      <w:marLeft w:val="0"/>
      <w:marRight w:val="0"/>
      <w:marTop w:val="240"/>
      <w:marBottom w:val="0"/>
      <w:divBdr>
        <w:top w:val="none" w:sz="0" w:space="0" w:color="auto"/>
        <w:left w:val="none" w:sz="0" w:space="0" w:color="auto"/>
        <w:bottom w:val="none" w:sz="0" w:space="0" w:color="auto"/>
        <w:right w:val="none" w:sz="0" w:space="0" w:color="auto"/>
      </w:divBdr>
    </w:div>
    <w:div w:id="1084642760">
      <w:marLeft w:val="0"/>
      <w:marRight w:val="0"/>
      <w:marTop w:val="240"/>
      <w:marBottom w:val="0"/>
      <w:divBdr>
        <w:top w:val="none" w:sz="0" w:space="0" w:color="auto"/>
        <w:left w:val="none" w:sz="0" w:space="0" w:color="auto"/>
        <w:bottom w:val="none" w:sz="0" w:space="0" w:color="auto"/>
        <w:right w:val="none" w:sz="0" w:space="0" w:color="auto"/>
      </w:divBdr>
    </w:div>
    <w:div w:id="1087265826">
      <w:marLeft w:val="0"/>
      <w:marRight w:val="0"/>
      <w:marTop w:val="0"/>
      <w:marBottom w:val="240"/>
      <w:divBdr>
        <w:top w:val="none" w:sz="0" w:space="0" w:color="auto"/>
        <w:left w:val="none" w:sz="0" w:space="0" w:color="auto"/>
        <w:bottom w:val="none" w:sz="0" w:space="0" w:color="auto"/>
        <w:right w:val="none" w:sz="0" w:space="0" w:color="auto"/>
      </w:divBdr>
    </w:div>
    <w:div w:id="1092313667">
      <w:marLeft w:val="0"/>
      <w:marRight w:val="0"/>
      <w:marTop w:val="240"/>
      <w:marBottom w:val="240"/>
      <w:divBdr>
        <w:top w:val="none" w:sz="0" w:space="0" w:color="auto"/>
        <w:left w:val="none" w:sz="0" w:space="0" w:color="auto"/>
        <w:bottom w:val="none" w:sz="0" w:space="0" w:color="auto"/>
        <w:right w:val="none" w:sz="0" w:space="0" w:color="auto"/>
      </w:divBdr>
    </w:div>
    <w:div w:id="1093748762">
      <w:marLeft w:val="0"/>
      <w:marRight w:val="0"/>
      <w:marTop w:val="240"/>
      <w:marBottom w:val="0"/>
      <w:divBdr>
        <w:top w:val="none" w:sz="0" w:space="0" w:color="auto"/>
        <w:left w:val="none" w:sz="0" w:space="0" w:color="auto"/>
        <w:bottom w:val="none" w:sz="0" w:space="0" w:color="auto"/>
        <w:right w:val="none" w:sz="0" w:space="0" w:color="auto"/>
      </w:divBdr>
    </w:div>
    <w:div w:id="1094284226">
      <w:marLeft w:val="0"/>
      <w:marRight w:val="0"/>
      <w:marTop w:val="240"/>
      <w:marBottom w:val="0"/>
      <w:divBdr>
        <w:top w:val="none" w:sz="0" w:space="0" w:color="auto"/>
        <w:left w:val="none" w:sz="0" w:space="0" w:color="auto"/>
        <w:bottom w:val="none" w:sz="0" w:space="0" w:color="auto"/>
        <w:right w:val="none" w:sz="0" w:space="0" w:color="auto"/>
      </w:divBdr>
    </w:div>
    <w:div w:id="1098871399">
      <w:marLeft w:val="0"/>
      <w:marRight w:val="0"/>
      <w:marTop w:val="0"/>
      <w:marBottom w:val="0"/>
      <w:divBdr>
        <w:top w:val="none" w:sz="0" w:space="0" w:color="auto"/>
        <w:left w:val="none" w:sz="0" w:space="0" w:color="auto"/>
        <w:bottom w:val="none" w:sz="0" w:space="0" w:color="auto"/>
        <w:right w:val="none" w:sz="0" w:space="0" w:color="auto"/>
      </w:divBdr>
    </w:div>
    <w:div w:id="1103309257">
      <w:marLeft w:val="0"/>
      <w:marRight w:val="0"/>
      <w:marTop w:val="0"/>
      <w:marBottom w:val="240"/>
      <w:divBdr>
        <w:top w:val="none" w:sz="0" w:space="0" w:color="auto"/>
        <w:left w:val="none" w:sz="0" w:space="0" w:color="auto"/>
        <w:bottom w:val="none" w:sz="0" w:space="0" w:color="auto"/>
        <w:right w:val="none" w:sz="0" w:space="0" w:color="auto"/>
      </w:divBdr>
    </w:div>
    <w:div w:id="1105611764">
      <w:marLeft w:val="0"/>
      <w:marRight w:val="0"/>
      <w:marTop w:val="0"/>
      <w:marBottom w:val="0"/>
      <w:divBdr>
        <w:top w:val="none" w:sz="0" w:space="0" w:color="auto"/>
        <w:left w:val="none" w:sz="0" w:space="0" w:color="auto"/>
        <w:bottom w:val="none" w:sz="0" w:space="0" w:color="auto"/>
        <w:right w:val="none" w:sz="0" w:space="0" w:color="auto"/>
      </w:divBdr>
    </w:div>
    <w:div w:id="1112162849">
      <w:marLeft w:val="0"/>
      <w:marRight w:val="0"/>
      <w:marTop w:val="0"/>
      <w:marBottom w:val="240"/>
      <w:divBdr>
        <w:top w:val="none" w:sz="0" w:space="0" w:color="auto"/>
        <w:left w:val="none" w:sz="0" w:space="0" w:color="auto"/>
        <w:bottom w:val="none" w:sz="0" w:space="0" w:color="auto"/>
        <w:right w:val="none" w:sz="0" w:space="0" w:color="auto"/>
      </w:divBdr>
    </w:div>
    <w:div w:id="1115322798">
      <w:marLeft w:val="0"/>
      <w:marRight w:val="0"/>
      <w:marTop w:val="240"/>
      <w:marBottom w:val="240"/>
      <w:divBdr>
        <w:top w:val="none" w:sz="0" w:space="0" w:color="auto"/>
        <w:left w:val="none" w:sz="0" w:space="0" w:color="auto"/>
        <w:bottom w:val="none" w:sz="0" w:space="0" w:color="auto"/>
        <w:right w:val="none" w:sz="0" w:space="0" w:color="auto"/>
      </w:divBdr>
    </w:div>
    <w:div w:id="1115637834">
      <w:marLeft w:val="0"/>
      <w:marRight w:val="0"/>
      <w:marTop w:val="0"/>
      <w:marBottom w:val="0"/>
      <w:divBdr>
        <w:top w:val="none" w:sz="0" w:space="0" w:color="auto"/>
        <w:left w:val="none" w:sz="0" w:space="0" w:color="auto"/>
        <w:bottom w:val="none" w:sz="0" w:space="0" w:color="auto"/>
        <w:right w:val="none" w:sz="0" w:space="0" w:color="auto"/>
      </w:divBdr>
      <w:divsChild>
        <w:div w:id="547649216">
          <w:marLeft w:val="0"/>
          <w:marRight w:val="0"/>
          <w:marTop w:val="0"/>
          <w:marBottom w:val="0"/>
          <w:divBdr>
            <w:top w:val="none" w:sz="0" w:space="0" w:color="auto"/>
            <w:left w:val="none" w:sz="0" w:space="0" w:color="auto"/>
            <w:bottom w:val="none" w:sz="0" w:space="0" w:color="auto"/>
            <w:right w:val="none" w:sz="0" w:space="0" w:color="auto"/>
          </w:divBdr>
        </w:div>
      </w:divsChild>
    </w:div>
    <w:div w:id="1116825642">
      <w:marLeft w:val="0"/>
      <w:marRight w:val="0"/>
      <w:marTop w:val="0"/>
      <w:marBottom w:val="120"/>
      <w:divBdr>
        <w:top w:val="none" w:sz="0" w:space="0" w:color="auto"/>
        <w:left w:val="none" w:sz="0" w:space="0" w:color="auto"/>
        <w:bottom w:val="none" w:sz="0" w:space="0" w:color="auto"/>
        <w:right w:val="none" w:sz="0" w:space="0" w:color="auto"/>
      </w:divBdr>
    </w:div>
    <w:div w:id="1117141104">
      <w:marLeft w:val="0"/>
      <w:marRight w:val="0"/>
      <w:marTop w:val="0"/>
      <w:marBottom w:val="0"/>
      <w:divBdr>
        <w:top w:val="none" w:sz="0" w:space="0" w:color="auto"/>
        <w:left w:val="none" w:sz="0" w:space="0" w:color="auto"/>
        <w:bottom w:val="none" w:sz="0" w:space="0" w:color="auto"/>
        <w:right w:val="none" w:sz="0" w:space="0" w:color="auto"/>
      </w:divBdr>
      <w:divsChild>
        <w:div w:id="1056589570">
          <w:marLeft w:val="0"/>
          <w:marRight w:val="0"/>
          <w:marTop w:val="0"/>
          <w:marBottom w:val="0"/>
          <w:divBdr>
            <w:top w:val="none" w:sz="0" w:space="0" w:color="auto"/>
            <w:left w:val="none" w:sz="0" w:space="0" w:color="auto"/>
            <w:bottom w:val="none" w:sz="0" w:space="0" w:color="auto"/>
            <w:right w:val="none" w:sz="0" w:space="0" w:color="auto"/>
          </w:divBdr>
        </w:div>
      </w:divsChild>
    </w:div>
    <w:div w:id="1121921631">
      <w:marLeft w:val="0"/>
      <w:marRight w:val="0"/>
      <w:marTop w:val="120"/>
      <w:marBottom w:val="0"/>
      <w:divBdr>
        <w:top w:val="none" w:sz="0" w:space="0" w:color="auto"/>
        <w:left w:val="none" w:sz="0" w:space="0" w:color="auto"/>
        <w:bottom w:val="none" w:sz="0" w:space="0" w:color="auto"/>
        <w:right w:val="none" w:sz="0" w:space="0" w:color="auto"/>
      </w:divBdr>
    </w:div>
    <w:div w:id="1125659324">
      <w:marLeft w:val="0"/>
      <w:marRight w:val="0"/>
      <w:marTop w:val="0"/>
      <w:marBottom w:val="0"/>
      <w:divBdr>
        <w:top w:val="none" w:sz="0" w:space="0" w:color="auto"/>
        <w:left w:val="none" w:sz="0" w:space="0" w:color="auto"/>
        <w:bottom w:val="none" w:sz="0" w:space="0" w:color="auto"/>
        <w:right w:val="none" w:sz="0" w:space="0" w:color="auto"/>
      </w:divBdr>
      <w:divsChild>
        <w:div w:id="294795350">
          <w:marLeft w:val="0"/>
          <w:marRight w:val="0"/>
          <w:marTop w:val="0"/>
          <w:marBottom w:val="0"/>
          <w:divBdr>
            <w:top w:val="none" w:sz="0" w:space="0" w:color="auto"/>
            <w:left w:val="none" w:sz="0" w:space="0" w:color="auto"/>
            <w:bottom w:val="none" w:sz="0" w:space="0" w:color="auto"/>
            <w:right w:val="none" w:sz="0" w:space="0" w:color="auto"/>
          </w:divBdr>
        </w:div>
      </w:divsChild>
    </w:div>
    <w:div w:id="1127503482">
      <w:marLeft w:val="0"/>
      <w:marRight w:val="0"/>
      <w:marTop w:val="360"/>
      <w:marBottom w:val="0"/>
      <w:divBdr>
        <w:top w:val="none" w:sz="0" w:space="0" w:color="auto"/>
        <w:left w:val="none" w:sz="0" w:space="0" w:color="auto"/>
        <w:bottom w:val="none" w:sz="0" w:space="0" w:color="auto"/>
        <w:right w:val="none" w:sz="0" w:space="0" w:color="auto"/>
      </w:divBdr>
    </w:div>
    <w:div w:id="1128279284">
      <w:marLeft w:val="0"/>
      <w:marRight w:val="0"/>
      <w:marTop w:val="0"/>
      <w:marBottom w:val="0"/>
      <w:divBdr>
        <w:top w:val="none" w:sz="0" w:space="0" w:color="auto"/>
        <w:left w:val="none" w:sz="0" w:space="0" w:color="auto"/>
        <w:bottom w:val="none" w:sz="0" w:space="0" w:color="auto"/>
        <w:right w:val="none" w:sz="0" w:space="0" w:color="auto"/>
      </w:divBdr>
      <w:divsChild>
        <w:div w:id="1783301352">
          <w:marLeft w:val="0"/>
          <w:marRight w:val="0"/>
          <w:marTop w:val="0"/>
          <w:marBottom w:val="0"/>
          <w:divBdr>
            <w:top w:val="none" w:sz="0" w:space="0" w:color="auto"/>
            <w:left w:val="none" w:sz="0" w:space="0" w:color="auto"/>
            <w:bottom w:val="none" w:sz="0" w:space="0" w:color="auto"/>
            <w:right w:val="none" w:sz="0" w:space="0" w:color="auto"/>
          </w:divBdr>
        </w:div>
      </w:divsChild>
    </w:div>
    <w:div w:id="1129864118">
      <w:marLeft w:val="0"/>
      <w:marRight w:val="0"/>
      <w:marTop w:val="240"/>
      <w:marBottom w:val="0"/>
      <w:divBdr>
        <w:top w:val="none" w:sz="0" w:space="0" w:color="auto"/>
        <w:left w:val="none" w:sz="0" w:space="0" w:color="auto"/>
        <w:bottom w:val="none" w:sz="0" w:space="0" w:color="auto"/>
        <w:right w:val="none" w:sz="0" w:space="0" w:color="auto"/>
      </w:divBdr>
    </w:div>
    <w:div w:id="1131173756">
      <w:marLeft w:val="0"/>
      <w:marRight w:val="0"/>
      <w:marTop w:val="0"/>
      <w:marBottom w:val="240"/>
      <w:divBdr>
        <w:top w:val="none" w:sz="0" w:space="0" w:color="auto"/>
        <w:left w:val="none" w:sz="0" w:space="0" w:color="auto"/>
        <w:bottom w:val="none" w:sz="0" w:space="0" w:color="auto"/>
        <w:right w:val="none" w:sz="0" w:space="0" w:color="auto"/>
      </w:divBdr>
    </w:div>
    <w:div w:id="1136988437">
      <w:marLeft w:val="0"/>
      <w:marRight w:val="0"/>
      <w:marTop w:val="0"/>
      <w:marBottom w:val="0"/>
      <w:divBdr>
        <w:top w:val="none" w:sz="0" w:space="0" w:color="auto"/>
        <w:left w:val="none" w:sz="0" w:space="0" w:color="auto"/>
        <w:bottom w:val="none" w:sz="0" w:space="0" w:color="auto"/>
        <w:right w:val="none" w:sz="0" w:space="0" w:color="auto"/>
      </w:divBdr>
      <w:divsChild>
        <w:div w:id="1445153175">
          <w:marLeft w:val="0"/>
          <w:marRight w:val="0"/>
          <w:marTop w:val="0"/>
          <w:marBottom w:val="0"/>
          <w:divBdr>
            <w:top w:val="none" w:sz="0" w:space="0" w:color="auto"/>
            <w:left w:val="none" w:sz="0" w:space="0" w:color="auto"/>
            <w:bottom w:val="none" w:sz="0" w:space="0" w:color="auto"/>
            <w:right w:val="none" w:sz="0" w:space="0" w:color="auto"/>
          </w:divBdr>
        </w:div>
      </w:divsChild>
    </w:div>
    <w:div w:id="1138960914">
      <w:marLeft w:val="0"/>
      <w:marRight w:val="0"/>
      <w:marTop w:val="0"/>
      <w:marBottom w:val="240"/>
      <w:divBdr>
        <w:top w:val="none" w:sz="0" w:space="0" w:color="auto"/>
        <w:left w:val="none" w:sz="0" w:space="0" w:color="auto"/>
        <w:bottom w:val="none" w:sz="0" w:space="0" w:color="auto"/>
        <w:right w:val="none" w:sz="0" w:space="0" w:color="auto"/>
      </w:divBdr>
    </w:div>
    <w:div w:id="1142389350">
      <w:marLeft w:val="0"/>
      <w:marRight w:val="0"/>
      <w:marTop w:val="0"/>
      <w:marBottom w:val="0"/>
      <w:divBdr>
        <w:top w:val="none" w:sz="0" w:space="0" w:color="auto"/>
        <w:left w:val="none" w:sz="0" w:space="0" w:color="auto"/>
        <w:bottom w:val="none" w:sz="0" w:space="0" w:color="auto"/>
        <w:right w:val="none" w:sz="0" w:space="0" w:color="auto"/>
      </w:divBdr>
    </w:div>
    <w:div w:id="1145659924">
      <w:marLeft w:val="0"/>
      <w:marRight w:val="0"/>
      <w:marTop w:val="0"/>
      <w:marBottom w:val="0"/>
      <w:divBdr>
        <w:top w:val="none" w:sz="0" w:space="0" w:color="auto"/>
        <w:left w:val="none" w:sz="0" w:space="0" w:color="auto"/>
        <w:bottom w:val="none" w:sz="0" w:space="0" w:color="auto"/>
        <w:right w:val="none" w:sz="0" w:space="0" w:color="auto"/>
      </w:divBdr>
      <w:divsChild>
        <w:div w:id="1464152066">
          <w:marLeft w:val="0"/>
          <w:marRight w:val="0"/>
          <w:marTop w:val="0"/>
          <w:marBottom w:val="0"/>
          <w:divBdr>
            <w:top w:val="none" w:sz="0" w:space="0" w:color="auto"/>
            <w:left w:val="none" w:sz="0" w:space="0" w:color="auto"/>
            <w:bottom w:val="none" w:sz="0" w:space="0" w:color="auto"/>
            <w:right w:val="none" w:sz="0" w:space="0" w:color="auto"/>
          </w:divBdr>
        </w:div>
      </w:divsChild>
    </w:div>
    <w:div w:id="1147237185">
      <w:marLeft w:val="0"/>
      <w:marRight w:val="0"/>
      <w:marTop w:val="240"/>
      <w:marBottom w:val="0"/>
      <w:divBdr>
        <w:top w:val="none" w:sz="0" w:space="0" w:color="auto"/>
        <w:left w:val="none" w:sz="0" w:space="0" w:color="auto"/>
        <w:bottom w:val="none" w:sz="0" w:space="0" w:color="auto"/>
        <w:right w:val="none" w:sz="0" w:space="0" w:color="auto"/>
      </w:divBdr>
    </w:div>
    <w:div w:id="1149248258">
      <w:marLeft w:val="0"/>
      <w:marRight w:val="0"/>
      <w:marTop w:val="0"/>
      <w:marBottom w:val="240"/>
      <w:divBdr>
        <w:top w:val="none" w:sz="0" w:space="0" w:color="auto"/>
        <w:left w:val="none" w:sz="0" w:space="0" w:color="auto"/>
        <w:bottom w:val="none" w:sz="0" w:space="0" w:color="auto"/>
        <w:right w:val="none" w:sz="0" w:space="0" w:color="auto"/>
      </w:divBdr>
    </w:div>
    <w:div w:id="1151217770">
      <w:marLeft w:val="0"/>
      <w:marRight w:val="0"/>
      <w:marTop w:val="200"/>
      <w:marBottom w:val="0"/>
      <w:divBdr>
        <w:top w:val="none" w:sz="0" w:space="0" w:color="auto"/>
        <w:left w:val="none" w:sz="0" w:space="0" w:color="auto"/>
        <w:bottom w:val="none" w:sz="0" w:space="0" w:color="auto"/>
        <w:right w:val="none" w:sz="0" w:space="0" w:color="auto"/>
      </w:divBdr>
    </w:div>
    <w:div w:id="1152793436">
      <w:marLeft w:val="0"/>
      <w:marRight w:val="0"/>
      <w:marTop w:val="120"/>
      <w:marBottom w:val="0"/>
      <w:divBdr>
        <w:top w:val="none" w:sz="0" w:space="0" w:color="auto"/>
        <w:left w:val="none" w:sz="0" w:space="0" w:color="auto"/>
        <w:bottom w:val="none" w:sz="0" w:space="0" w:color="auto"/>
        <w:right w:val="none" w:sz="0" w:space="0" w:color="auto"/>
      </w:divBdr>
    </w:div>
    <w:div w:id="1155684003">
      <w:marLeft w:val="0"/>
      <w:marRight w:val="0"/>
      <w:marTop w:val="240"/>
      <w:marBottom w:val="0"/>
      <w:divBdr>
        <w:top w:val="none" w:sz="0" w:space="0" w:color="auto"/>
        <w:left w:val="none" w:sz="0" w:space="0" w:color="auto"/>
        <w:bottom w:val="none" w:sz="0" w:space="0" w:color="auto"/>
        <w:right w:val="none" w:sz="0" w:space="0" w:color="auto"/>
      </w:divBdr>
    </w:div>
    <w:div w:id="1159534966">
      <w:marLeft w:val="0"/>
      <w:marRight w:val="0"/>
      <w:marTop w:val="240"/>
      <w:marBottom w:val="0"/>
      <w:divBdr>
        <w:top w:val="none" w:sz="0" w:space="0" w:color="auto"/>
        <w:left w:val="none" w:sz="0" w:space="0" w:color="auto"/>
        <w:bottom w:val="none" w:sz="0" w:space="0" w:color="auto"/>
        <w:right w:val="none" w:sz="0" w:space="0" w:color="auto"/>
      </w:divBdr>
    </w:div>
    <w:div w:id="1159811296">
      <w:marLeft w:val="0"/>
      <w:marRight w:val="0"/>
      <w:marTop w:val="0"/>
      <w:marBottom w:val="240"/>
      <w:divBdr>
        <w:top w:val="none" w:sz="0" w:space="0" w:color="auto"/>
        <w:left w:val="none" w:sz="0" w:space="0" w:color="auto"/>
        <w:bottom w:val="none" w:sz="0" w:space="0" w:color="auto"/>
        <w:right w:val="none" w:sz="0" w:space="0" w:color="auto"/>
      </w:divBdr>
    </w:div>
    <w:div w:id="1170289880">
      <w:marLeft w:val="0"/>
      <w:marRight w:val="0"/>
      <w:marTop w:val="0"/>
      <w:marBottom w:val="0"/>
      <w:divBdr>
        <w:top w:val="none" w:sz="0" w:space="0" w:color="auto"/>
        <w:left w:val="none" w:sz="0" w:space="0" w:color="auto"/>
        <w:bottom w:val="none" w:sz="0" w:space="0" w:color="auto"/>
        <w:right w:val="none" w:sz="0" w:space="0" w:color="auto"/>
      </w:divBdr>
      <w:divsChild>
        <w:div w:id="1531722281">
          <w:marLeft w:val="0"/>
          <w:marRight w:val="0"/>
          <w:marTop w:val="0"/>
          <w:marBottom w:val="0"/>
          <w:divBdr>
            <w:top w:val="none" w:sz="0" w:space="0" w:color="auto"/>
            <w:left w:val="none" w:sz="0" w:space="0" w:color="auto"/>
            <w:bottom w:val="none" w:sz="0" w:space="0" w:color="auto"/>
            <w:right w:val="none" w:sz="0" w:space="0" w:color="auto"/>
          </w:divBdr>
        </w:div>
      </w:divsChild>
    </w:div>
    <w:div w:id="1170484029">
      <w:marLeft w:val="0"/>
      <w:marRight w:val="0"/>
      <w:marTop w:val="0"/>
      <w:marBottom w:val="240"/>
      <w:divBdr>
        <w:top w:val="none" w:sz="0" w:space="0" w:color="auto"/>
        <w:left w:val="none" w:sz="0" w:space="0" w:color="auto"/>
        <w:bottom w:val="none" w:sz="0" w:space="0" w:color="auto"/>
        <w:right w:val="none" w:sz="0" w:space="0" w:color="auto"/>
      </w:divBdr>
    </w:div>
    <w:div w:id="1175222007">
      <w:marLeft w:val="0"/>
      <w:marRight w:val="0"/>
      <w:marTop w:val="240"/>
      <w:marBottom w:val="0"/>
      <w:divBdr>
        <w:top w:val="none" w:sz="0" w:space="0" w:color="auto"/>
        <w:left w:val="none" w:sz="0" w:space="0" w:color="auto"/>
        <w:bottom w:val="none" w:sz="0" w:space="0" w:color="auto"/>
        <w:right w:val="none" w:sz="0" w:space="0" w:color="auto"/>
      </w:divBdr>
    </w:div>
    <w:div w:id="1176922461">
      <w:marLeft w:val="0"/>
      <w:marRight w:val="0"/>
      <w:marTop w:val="0"/>
      <w:marBottom w:val="240"/>
      <w:divBdr>
        <w:top w:val="none" w:sz="0" w:space="0" w:color="auto"/>
        <w:left w:val="none" w:sz="0" w:space="0" w:color="auto"/>
        <w:bottom w:val="none" w:sz="0" w:space="0" w:color="auto"/>
        <w:right w:val="none" w:sz="0" w:space="0" w:color="auto"/>
      </w:divBdr>
    </w:div>
    <w:div w:id="1179154045">
      <w:marLeft w:val="0"/>
      <w:marRight w:val="0"/>
      <w:marTop w:val="0"/>
      <w:marBottom w:val="240"/>
      <w:divBdr>
        <w:top w:val="none" w:sz="0" w:space="0" w:color="auto"/>
        <w:left w:val="none" w:sz="0" w:space="0" w:color="auto"/>
        <w:bottom w:val="none" w:sz="0" w:space="0" w:color="auto"/>
        <w:right w:val="none" w:sz="0" w:space="0" w:color="auto"/>
      </w:divBdr>
    </w:div>
    <w:div w:id="1179195585">
      <w:marLeft w:val="0"/>
      <w:marRight w:val="0"/>
      <w:marTop w:val="0"/>
      <w:marBottom w:val="0"/>
      <w:divBdr>
        <w:top w:val="none" w:sz="0" w:space="0" w:color="auto"/>
        <w:left w:val="none" w:sz="0" w:space="0" w:color="auto"/>
        <w:bottom w:val="none" w:sz="0" w:space="0" w:color="auto"/>
        <w:right w:val="none" w:sz="0" w:space="0" w:color="auto"/>
      </w:divBdr>
      <w:divsChild>
        <w:div w:id="586620995">
          <w:marLeft w:val="0"/>
          <w:marRight w:val="0"/>
          <w:marTop w:val="0"/>
          <w:marBottom w:val="0"/>
          <w:divBdr>
            <w:top w:val="none" w:sz="0" w:space="0" w:color="auto"/>
            <w:left w:val="none" w:sz="0" w:space="0" w:color="auto"/>
            <w:bottom w:val="none" w:sz="0" w:space="0" w:color="auto"/>
            <w:right w:val="none" w:sz="0" w:space="0" w:color="auto"/>
          </w:divBdr>
        </w:div>
      </w:divsChild>
    </w:div>
    <w:div w:id="1180893787">
      <w:marLeft w:val="0"/>
      <w:marRight w:val="0"/>
      <w:marTop w:val="240"/>
      <w:marBottom w:val="0"/>
      <w:divBdr>
        <w:top w:val="none" w:sz="0" w:space="0" w:color="auto"/>
        <w:left w:val="none" w:sz="0" w:space="0" w:color="auto"/>
        <w:bottom w:val="none" w:sz="0" w:space="0" w:color="auto"/>
        <w:right w:val="none" w:sz="0" w:space="0" w:color="auto"/>
      </w:divBdr>
    </w:div>
    <w:div w:id="1182401047">
      <w:marLeft w:val="0"/>
      <w:marRight w:val="0"/>
      <w:marTop w:val="0"/>
      <w:marBottom w:val="240"/>
      <w:divBdr>
        <w:top w:val="none" w:sz="0" w:space="0" w:color="auto"/>
        <w:left w:val="none" w:sz="0" w:space="0" w:color="auto"/>
        <w:bottom w:val="none" w:sz="0" w:space="0" w:color="auto"/>
        <w:right w:val="none" w:sz="0" w:space="0" w:color="auto"/>
      </w:divBdr>
    </w:div>
    <w:div w:id="1183520921">
      <w:marLeft w:val="0"/>
      <w:marRight w:val="0"/>
      <w:marTop w:val="0"/>
      <w:marBottom w:val="0"/>
      <w:divBdr>
        <w:top w:val="none" w:sz="0" w:space="0" w:color="auto"/>
        <w:left w:val="none" w:sz="0" w:space="0" w:color="auto"/>
        <w:bottom w:val="none" w:sz="0" w:space="0" w:color="auto"/>
        <w:right w:val="none" w:sz="0" w:space="0" w:color="auto"/>
      </w:divBdr>
      <w:divsChild>
        <w:div w:id="2008090014">
          <w:marLeft w:val="0"/>
          <w:marRight w:val="0"/>
          <w:marTop w:val="0"/>
          <w:marBottom w:val="0"/>
          <w:divBdr>
            <w:top w:val="none" w:sz="0" w:space="0" w:color="auto"/>
            <w:left w:val="none" w:sz="0" w:space="0" w:color="auto"/>
            <w:bottom w:val="none" w:sz="0" w:space="0" w:color="auto"/>
            <w:right w:val="none" w:sz="0" w:space="0" w:color="auto"/>
          </w:divBdr>
        </w:div>
        <w:div w:id="427653073">
          <w:marLeft w:val="0"/>
          <w:marRight w:val="0"/>
          <w:marTop w:val="0"/>
          <w:marBottom w:val="0"/>
          <w:divBdr>
            <w:top w:val="none" w:sz="0" w:space="0" w:color="auto"/>
            <w:left w:val="none" w:sz="0" w:space="0" w:color="auto"/>
            <w:bottom w:val="none" w:sz="0" w:space="0" w:color="auto"/>
            <w:right w:val="none" w:sz="0" w:space="0" w:color="auto"/>
          </w:divBdr>
        </w:div>
      </w:divsChild>
    </w:div>
    <w:div w:id="1184242640">
      <w:marLeft w:val="0"/>
      <w:marRight w:val="0"/>
      <w:marTop w:val="240"/>
      <w:marBottom w:val="0"/>
      <w:divBdr>
        <w:top w:val="none" w:sz="0" w:space="0" w:color="auto"/>
        <w:left w:val="none" w:sz="0" w:space="0" w:color="auto"/>
        <w:bottom w:val="none" w:sz="0" w:space="0" w:color="auto"/>
        <w:right w:val="none" w:sz="0" w:space="0" w:color="auto"/>
      </w:divBdr>
    </w:div>
    <w:div w:id="1184587599">
      <w:marLeft w:val="0"/>
      <w:marRight w:val="0"/>
      <w:marTop w:val="0"/>
      <w:marBottom w:val="0"/>
      <w:divBdr>
        <w:top w:val="none" w:sz="0" w:space="0" w:color="auto"/>
        <w:left w:val="none" w:sz="0" w:space="0" w:color="auto"/>
        <w:bottom w:val="none" w:sz="0" w:space="0" w:color="auto"/>
        <w:right w:val="none" w:sz="0" w:space="0" w:color="auto"/>
      </w:divBdr>
    </w:div>
    <w:div w:id="1185821123">
      <w:marLeft w:val="0"/>
      <w:marRight w:val="0"/>
      <w:marTop w:val="0"/>
      <w:marBottom w:val="0"/>
      <w:divBdr>
        <w:top w:val="none" w:sz="0" w:space="0" w:color="auto"/>
        <w:left w:val="none" w:sz="0" w:space="0" w:color="auto"/>
        <w:bottom w:val="none" w:sz="0" w:space="0" w:color="auto"/>
        <w:right w:val="none" w:sz="0" w:space="0" w:color="auto"/>
      </w:divBdr>
    </w:div>
    <w:div w:id="1188061416">
      <w:marLeft w:val="0"/>
      <w:marRight w:val="0"/>
      <w:marTop w:val="240"/>
      <w:marBottom w:val="0"/>
      <w:divBdr>
        <w:top w:val="none" w:sz="0" w:space="0" w:color="auto"/>
        <w:left w:val="none" w:sz="0" w:space="0" w:color="auto"/>
        <w:bottom w:val="none" w:sz="0" w:space="0" w:color="auto"/>
        <w:right w:val="none" w:sz="0" w:space="0" w:color="auto"/>
      </w:divBdr>
    </w:div>
    <w:div w:id="1189837210">
      <w:marLeft w:val="0"/>
      <w:marRight w:val="0"/>
      <w:marTop w:val="240"/>
      <w:marBottom w:val="0"/>
      <w:divBdr>
        <w:top w:val="none" w:sz="0" w:space="0" w:color="auto"/>
        <w:left w:val="none" w:sz="0" w:space="0" w:color="auto"/>
        <w:bottom w:val="none" w:sz="0" w:space="0" w:color="auto"/>
        <w:right w:val="none" w:sz="0" w:space="0" w:color="auto"/>
      </w:divBdr>
    </w:div>
    <w:div w:id="1193104717">
      <w:marLeft w:val="0"/>
      <w:marRight w:val="0"/>
      <w:marTop w:val="100"/>
      <w:marBottom w:val="0"/>
      <w:divBdr>
        <w:top w:val="none" w:sz="0" w:space="0" w:color="auto"/>
        <w:left w:val="none" w:sz="0" w:space="0" w:color="auto"/>
        <w:bottom w:val="none" w:sz="0" w:space="0" w:color="auto"/>
        <w:right w:val="none" w:sz="0" w:space="0" w:color="auto"/>
      </w:divBdr>
    </w:div>
    <w:div w:id="1193111228">
      <w:marLeft w:val="0"/>
      <w:marRight w:val="0"/>
      <w:marTop w:val="100"/>
      <w:marBottom w:val="0"/>
      <w:divBdr>
        <w:top w:val="none" w:sz="0" w:space="0" w:color="auto"/>
        <w:left w:val="none" w:sz="0" w:space="0" w:color="auto"/>
        <w:bottom w:val="none" w:sz="0" w:space="0" w:color="auto"/>
        <w:right w:val="none" w:sz="0" w:space="0" w:color="auto"/>
      </w:divBdr>
    </w:div>
    <w:div w:id="1194149417">
      <w:marLeft w:val="0"/>
      <w:marRight w:val="0"/>
      <w:marTop w:val="240"/>
      <w:marBottom w:val="0"/>
      <w:divBdr>
        <w:top w:val="none" w:sz="0" w:space="0" w:color="auto"/>
        <w:left w:val="none" w:sz="0" w:space="0" w:color="auto"/>
        <w:bottom w:val="none" w:sz="0" w:space="0" w:color="auto"/>
        <w:right w:val="none" w:sz="0" w:space="0" w:color="auto"/>
      </w:divBdr>
    </w:div>
    <w:div w:id="1195927501">
      <w:marLeft w:val="0"/>
      <w:marRight w:val="0"/>
      <w:marTop w:val="0"/>
      <w:marBottom w:val="0"/>
      <w:divBdr>
        <w:top w:val="none" w:sz="0" w:space="0" w:color="auto"/>
        <w:left w:val="none" w:sz="0" w:space="0" w:color="auto"/>
        <w:bottom w:val="none" w:sz="0" w:space="0" w:color="auto"/>
        <w:right w:val="none" w:sz="0" w:space="0" w:color="auto"/>
      </w:divBdr>
    </w:div>
    <w:div w:id="1197229463">
      <w:marLeft w:val="0"/>
      <w:marRight w:val="0"/>
      <w:marTop w:val="0"/>
      <w:marBottom w:val="0"/>
      <w:divBdr>
        <w:top w:val="none" w:sz="0" w:space="0" w:color="auto"/>
        <w:left w:val="none" w:sz="0" w:space="0" w:color="auto"/>
        <w:bottom w:val="none" w:sz="0" w:space="0" w:color="auto"/>
        <w:right w:val="none" w:sz="0" w:space="0" w:color="auto"/>
      </w:divBdr>
      <w:divsChild>
        <w:div w:id="840051263">
          <w:marLeft w:val="0"/>
          <w:marRight w:val="0"/>
          <w:marTop w:val="0"/>
          <w:marBottom w:val="0"/>
          <w:divBdr>
            <w:top w:val="none" w:sz="0" w:space="0" w:color="auto"/>
            <w:left w:val="none" w:sz="0" w:space="0" w:color="auto"/>
            <w:bottom w:val="none" w:sz="0" w:space="0" w:color="auto"/>
            <w:right w:val="none" w:sz="0" w:space="0" w:color="auto"/>
          </w:divBdr>
        </w:div>
      </w:divsChild>
    </w:div>
    <w:div w:id="1198422078">
      <w:marLeft w:val="0"/>
      <w:marRight w:val="0"/>
      <w:marTop w:val="0"/>
      <w:marBottom w:val="120"/>
      <w:divBdr>
        <w:top w:val="none" w:sz="0" w:space="0" w:color="auto"/>
        <w:left w:val="none" w:sz="0" w:space="0" w:color="auto"/>
        <w:bottom w:val="none" w:sz="0" w:space="0" w:color="auto"/>
        <w:right w:val="none" w:sz="0" w:space="0" w:color="auto"/>
      </w:divBdr>
    </w:div>
    <w:div w:id="1199975338">
      <w:marLeft w:val="0"/>
      <w:marRight w:val="0"/>
      <w:marTop w:val="0"/>
      <w:marBottom w:val="120"/>
      <w:divBdr>
        <w:top w:val="none" w:sz="0" w:space="0" w:color="auto"/>
        <w:left w:val="none" w:sz="0" w:space="0" w:color="auto"/>
        <w:bottom w:val="none" w:sz="0" w:space="0" w:color="auto"/>
        <w:right w:val="none" w:sz="0" w:space="0" w:color="auto"/>
      </w:divBdr>
    </w:div>
    <w:div w:id="1202085129">
      <w:marLeft w:val="0"/>
      <w:marRight w:val="0"/>
      <w:marTop w:val="0"/>
      <w:marBottom w:val="240"/>
      <w:divBdr>
        <w:top w:val="none" w:sz="0" w:space="0" w:color="auto"/>
        <w:left w:val="none" w:sz="0" w:space="0" w:color="auto"/>
        <w:bottom w:val="none" w:sz="0" w:space="0" w:color="auto"/>
        <w:right w:val="none" w:sz="0" w:space="0" w:color="auto"/>
      </w:divBdr>
    </w:div>
    <w:div w:id="1206336940">
      <w:marLeft w:val="0"/>
      <w:marRight w:val="0"/>
      <w:marTop w:val="240"/>
      <w:marBottom w:val="0"/>
      <w:divBdr>
        <w:top w:val="none" w:sz="0" w:space="0" w:color="auto"/>
        <w:left w:val="none" w:sz="0" w:space="0" w:color="auto"/>
        <w:bottom w:val="none" w:sz="0" w:space="0" w:color="auto"/>
        <w:right w:val="none" w:sz="0" w:space="0" w:color="auto"/>
      </w:divBdr>
    </w:div>
    <w:div w:id="1206721670">
      <w:marLeft w:val="0"/>
      <w:marRight w:val="0"/>
      <w:marTop w:val="240"/>
      <w:marBottom w:val="0"/>
      <w:divBdr>
        <w:top w:val="none" w:sz="0" w:space="0" w:color="auto"/>
        <w:left w:val="none" w:sz="0" w:space="0" w:color="auto"/>
        <w:bottom w:val="none" w:sz="0" w:space="0" w:color="auto"/>
        <w:right w:val="none" w:sz="0" w:space="0" w:color="auto"/>
      </w:divBdr>
    </w:div>
    <w:div w:id="1209533523">
      <w:marLeft w:val="0"/>
      <w:marRight w:val="0"/>
      <w:marTop w:val="240"/>
      <w:marBottom w:val="0"/>
      <w:divBdr>
        <w:top w:val="none" w:sz="0" w:space="0" w:color="auto"/>
        <w:left w:val="none" w:sz="0" w:space="0" w:color="auto"/>
        <w:bottom w:val="none" w:sz="0" w:space="0" w:color="auto"/>
        <w:right w:val="none" w:sz="0" w:space="0" w:color="auto"/>
      </w:divBdr>
    </w:div>
    <w:div w:id="1209801723">
      <w:marLeft w:val="0"/>
      <w:marRight w:val="0"/>
      <w:marTop w:val="240"/>
      <w:marBottom w:val="0"/>
      <w:divBdr>
        <w:top w:val="none" w:sz="0" w:space="0" w:color="auto"/>
        <w:left w:val="none" w:sz="0" w:space="0" w:color="auto"/>
        <w:bottom w:val="none" w:sz="0" w:space="0" w:color="auto"/>
        <w:right w:val="none" w:sz="0" w:space="0" w:color="auto"/>
      </w:divBdr>
    </w:div>
    <w:div w:id="1210730186">
      <w:marLeft w:val="0"/>
      <w:marRight w:val="0"/>
      <w:marTop w:val="120"/>
      <w:marBottom w:val="0"/>
      <w:divBdr>
        <w:top w:val="none" w:sz="0" w:space="0" w:color="auto"/>
        <w:left w:val="none" w:sz="0" w:space="0" w:color="auto"/>
        <w:bottom w:val="none" w:sz="0" w:space="0" w:color="auto"/>
        <w:right w:val="none" w:sz="0" w:space="0" w:color="auto"/>
      </w:divBdr>
    </w:div>
    <w:div w:id="1210924103">
      <w:marLeft w:val="0"/>
      <w:marRight w:val="0"/>
      <w:marTop w:val="240"/>
      <w:marBottom w:val="0"/>
      <w:divBdr>
        <w:top w:val="none" w:sz="0" w:space="0" w:color="auto"/>
        <w:left w:val="none" w:sz="0" w:space="0" w:color="auto"/>
        <w:bottom w:val="none" w:sz="0" w:space="0" w:color="auto"/>
        <w:right w:val="none" w:sz="0" w:space="0" w:color="auto"/>
      </w:divBdr>
    </w:div>
    <w:div w:id="1211725730">
      <w:marLeft w:val="0"/>
      <w:marRight w:val="0"/>
      <w:marTop w:val="240"/>
      <w:marBottom w:val="0"/>
      <w:divBdr>
        <w:top w:val="none" w:sz="0" w:space="0" w:color="auto"/>
        <w:left w:val="none" w:sz="0" w:space="0" w:color="auto"/>
        <w:bottom w:val="none" w:sz="0" w:space="0" w:color="auto"/>
        <w:right w:val="none" w:sz="0" w:space="0" w:color="auto"/>
      </w:divBdr>
    </w:div>
    <w:div w:id="1212687863">
      <w:marLeft w:val="0"/>
      <w:marRight w:val="0"/>
      <w:marTop w:val="0"/>
      <w:marBottom w:val="0"/>
      <w:divBdr>
        <w:top w:val="none" w:sz="0" w:space="0" w:color="auto"/>
        <w:left w:val="none" w:sz="0" w:space="0" w:color="auto"/>
        <w:bottom w:val="none" w:sz="0" w:space="0" w:color="auto"/>
        <w:right w:val="none" w:sz="0" w:space="0" w:color="auto"/>
      </w:divBdr>
    </w:div>
    <w:div w:id="1217469623">
      <w:marLeft w:val="0"/>
      <w:marRight w:val="0"/>
      <w:marTop w:val="240"/>
      <w:marBottom w:val="240"/>
      <w:divBdr>
        <w:top w:val="none" w:sz="0" w:space="0" w:color="auto"/>
        <w:left w:val="none" w:sz="0" w:space="0" w:color="auto"/>
        <w:bottom w:val="none" w:sz="0" w:space="0" w:color="auto"/>
        <w:right w:val="none" w:sz="0" w:space="0" w:color="auto"/>
      </w:divBdr>
    </w:div>
    <w:div w:id="1218737901">
      <w:marLeft w:val="0"/>
      <w:marRight w:val="0"/>
      <w:marTop w:val="240"/>
      <w:marBottom w:val="0"/>
      <w:divBdr>
        <w:top w:val="none" w:sz="0" w:space="0" w:color="auto"/>
        <w:left w:val="none" w:sz="0" w:space="0" w:color="auto"/>
        <w:bottom w:val="none" w:sz="0" w:space="0" w:color="auto"/>
        <w:right w:val="none" w:sz="0" w:space="0" w:color="auto"/>
      </w:divBdr>
    </w:div>
    <w:div w:id="1219321311">
      <w:marLeft w:val="0"/>
      <w:marRight w:val="0"/>
      <w:marTop w:val="120"/>
      <w:marBottom w:val="0"/>
      <w:divBdr>
        <w:top w:val="none" w:sz="0" w:space="0" w:color="auto"/>
        <w:left w:val="none" w:sz="0" w:space="0" w:color="auto"/>
        <w:bottom w:val="none" w:sz="0" w:space="0" w:color="auto"/>
        <w:right w:val="none" w:sz="0" w:space="0" w:color="auto"/>
      </w:divBdr>
    </w:div>
    <w:div w:id="1219394486">
      <w:marLeft w:val="0"/>
      <w:marRight w:val="0"/>
      <w:marTop w:val="240"/>
      <w:marBottom w:val="0"/>
      <w:divBdr>
        <w:top w:val="none" w:sz="0" w:space="0" w:color="auto"/>
        <w:left w:val="none" w:sz="0" w:space="0" w:color="auto"/>
        <w:bottom w:val="none" w:sz="0" w:space="0" w:color="auto"/>
        <w:right w:val="none" w:sz="0" w:space="0" w:color="auto"/>
      </w:divBdr>
    </w:div>
    <w:div w:id="1221675416">
      <w:marLeft w:val="0"/>
      <w:marRight w:val="0"/>
      <w:marTop w:val="0"/>
      <w:marBottom w:val="0"/>
      <w:divBdr>
        <w:top w:val="none" w:sz="0" w:space="0" w:color="auto"/>
        <w:left w:val="none" w:sz="0" w:space="0" w:color="auto"/>
        <w:bottom w:val="none" w:sz="0" w:space="0" w:color="auto"/>
        <w:right w:val="none" w:sz="0" w:space="0" w:color="auto"/>
      </w:divBdr>
      <w:divsChild>
        <w:div w:id="1222014406">
          <w:marLeft w:val="0"/>
          <w:marRight w:val="0"/>
          <w:marTop w:val="0"/>
          <w:marBottom w:val="0"/>
          <w:divBdr>
            <w:top w:val="none" w:sz="0" w:space="0" w:color="auto"/>
            <w:left w:val="none" w:sz="0" w:space="0" w:color="auto"/>
            <w:bottom w:val="none" w:sz="0" w:space="0" w:color="auto"/>
            <w:right w:val="none" w:sz="0" w:space="0" w:color="auto"/>
          </w:divBdr>
        </w:div>
      </w:divsChild>
    </w:div>
    <w:div w:id="1221794292">
      <w:marLeft w:val="0"/>
      <w:marRight w:val="0"/>
      <w:marTop w:val="0"/>
      <w:marBottom w:val="240"/>
      <w:divBdr>
        <w:top w:val="none" w:sz="0" w:space="0" w:color="auto"/>
        <w:left w:val="none" w:sz="0" w:space="0" w:color="auto"/>
        <w:bottom w:val="none" w:sz="0" w:space="0" w:color="auto"/>
        <w:right w:val="none" w:sz="0" w:space="0" w:color="auto"/>
      </w:divBdr>
    </w:div>
    <w:div w:id="1223129418">
      <w:marLeft w:val="0"/>
      <w:marRight w:val="0"/>
      <w:marTop w:val="0"/>
      <w:marBottom w:val="240"/>
      <w:divBdr>
        <w:top w:val="none" w:sz="0" w:space="0" w:color="auto"/>
        <w:left w:val="none" w:sz="0" w:space="0" w:color="auto"/>
        <w:bottom w:val="none" w:sz="0" w:space="0" w:color="auto"/>
        <w:right w:val="none" w:sz="0" w:space="0" w:color="auto"/>
      </w:divBdr>
    </w:div>
    <w:div w:id="1224944373">
      <w:marLeft w:val="0"/>
      <w:marRight w:val="0"/>
      <w:marTop w:val="0"/>
      <w:marBottom w:val="0"/>
      <w:divBdr>
        <w:top w:val="none" w:sz="0" w:space="0" w:color="auto"/>
        <w:left w:val="none" w:sz="0" w:space="0" w:color="auto"/>
        <w:bottom w:val="none" w:sz="0" w:space="0" w:color="auto"/>
        <w:right w:val="none" w:sz="0" w:space="0" w:color="auto"/>
      </w:divBdr>
      <w:divsChild>
        <w:div w:id="1796630607">
          <w:marLeft w:val="0"/>
          <w:marRight w:val="0"/>
          <w:marTop w:val="0"/>
          <w:marBottom w:val="0"/>
          <w:divBdr>
            <w:top w:val="none" w:sz="0" w:space="0" w:color="auto"/>
            <w:left w:val="none" w:sz="0" w:space="0" w:color="auto"/>
            <w:bottom w:val="none" w:sz="0" w:space="0" w:color="auto"/>
            <w:right w:val="none" w:sz="0" w:space="0" w:color="auto"/>
          </w:divBdr>
        </w:div>
      </w:divsChild>
    </w:div>
    <w:div w:id="1226723672">
      <w:marLeft w:val="0"/>
      <w:marRight w:val="0"/>
      <w:marTop w:val="0"/>
      <w:marBottom w:val="240"/>
      <w:divBdr>
        <w:top w:val="none" w:sz="0" w:space="0" w:color="auto"/>
        <w:left w:val="none" w:sz="0" w:space="0" w:color="auto"/>
        <w:bottom w:val="none" w:sz="0" w:space="0" w:color="auto"/>
        <w:right w:val="none" w:sz="0" w:space="0" w:color="auto"/>
      </w:divBdr>
    </w:div>
    <w:div w:id="1229144545">
      <w:marLeft w:val="0"/>
      <w:marRight w:val="0"/>
      <w:marTop w:val="0"/>
      <w:marBottom w:val="0"/>
      <w:divBdr>
        <w:top w:val="none" w:sz="0" w:space="0" w:color="auto"/>
        <w:left w:val="none" w:sz="0" w:space="0" w:color="auto"/>
        <w:bottom w:val="none" w:sz="0" w:space="0" w:color="auto"/>
        <w:right w:val="none" w:sz="0" w:space="0" w:color="auto"/>
      </w:divBdr>
      <w:divsChild>
        <w:div w:id="1136338698">
          <w:marLeft w:val="0"/>
          <w:marRight w:val="0"/>
          <w:marTop w:val="0"/>
          <w:marBottom w:val="0"/>
          <w:divBdr>
            <w:top w:val="none" w:sz="0" w:space="0" w:color="auto"/>
            <w:left w:val="none" w:sz="0" w:space="0" w:color="auto"/>
            <w:bottom w:val="none" w:sz="0" w:space="0" w:color="auto"/>
            <w:right w:val="none" w:sz="0" w:space="0" w:color="auto"/>
          </w:divBdr>
        </w:div>
      </w:divsChild>
    </w:div>
    <w:div w:id="1229269412">
      <w:marLeft w:val="0"/>
      <w:marRight w:val="0"/>
      <w:marTop w:val="100"/>
      <w:marBottom w:val="0"/>
      <w:divBdr>
        <w:top w:val="none" w:sz="0" w:space="0" w:color="auto"/>
        <w:left w:val="none" w:sz="0" w:space="0" w:color="auto"/>
        <w:bottom w:val="none" w:sz="0" w:space="0" w:color="auto"/>
        <w:right w:val="none" w:sz="0" w:space="0" w:color="auto"/>
      </w:divBdr>
    </w:div>
    <w:div w:id="1229725242">
      <w:marLeft w:val="0"/>
      <w:marRight w:val="0"/>
      <w:marTop w:val="240"/>
      <w:marBottom w:val="0"/>
      <w:divBdr>
        <w:top w:val="none" w:sz="0" w:space="0" w:color="auto"/>
        <w:left w:val="none" w:sz="0" w:space="0" w:color="auto"/>
        <w:bottom w:val="none" w:sz="0" w:space="0" w:color="auto"/>
        <w:right w:val="none" w:sz="0" w:space="0" w:color="auto"/>
      </w:divBdr>
    </w:div>
    <w:div w:id="1229727176">
      <w:marLeft w:val="0"/>
      <w:marRight w:val="0"/>
      <w:marTop w:val="120"/>
      <w:marBottom w:val="0"/>
      <w:divBdr>
        <w:top w:val="none" w:sz="0" w:space="0" w:color="auto"/>
        <w:left w:val="none" w:sz="0" w:space="0" w:color="auto"/>
        <w:bottom w:val="none" w:sz="0" w:space="0" w:color="auto"/>
        <w:right w:val="none" w:sz="0" w:space="0" w:color="auto"/>
      </w:divBdr>
    </w:div>
    <w:div w:id="1232427087">
      <w:marLeft w:val="0"/>
      <w:marRight w:val="0"/>
      <w:marTop w:val="240"/>
      <w:marBottom w:val="0"/>
      <w:divBdr>
        <w:top w:val="none" w:sz="0" w:space="0" w:color="auto"/>
        <w:left w:val="none" w:sz="0" w:space="0" w:color="auto"/>
        <w:bottom w:val="none" w:sz="0" w:space="0" w:color="auto"/>
        <w:right w:val="none" w:sz="0" w:space="0" w:color="auto"/>
      </w:divBdr>
    </w:div>
    <w:div w:id="1237129515">
      <w:marLeft w:val="0"/>
      <w:marRight w:val="0"/>
      <w:marTop w:val="0"/>
      <w:marBottom w:val="0"/>
      <w:divBdr>
        <w:top w:val="none" w:sz="0" w:space="0" w:color="auto"/>
        <w:left w:val="none" w:sz="0" w:space="0" w:color="auto"/>
        <w:bottom w:val="none" w:sz="0" w:space="0" w:color="auto"/>
        <w:right w:val="none" w:sz="0" w:space="0" w:color="auto"/>
      </w:divBdr>
      <w:divsChild>
        <w:div w:id="79060100">
          <w:marLeft w:val="0"/>
          <w:marRight w:val="0"/>
          <w:marTop w:val="0"/>
          <w:marBottom w:val="0"/>
          <w:divBdr>
            <w:top w:val="none" w:sz="0" w:space="0" w:color="auto"/>
            <w:left w:val="none" w:sz="0" w:space="0" w:color="auto"/>
            <w:bottom w:val="none" w:sz="0" w:space="0" w:color="auto"/>
            <w:right w:val="none" w:sz="0" w:space="0" w:color="auto"/>
          </w:divBdr>
        </w:div>
      </w:divsChild>
    </w:div>
    <w:div w:id="1237401289">
      <w:marLeft w:val="0"/>
      <w:marRight w:val="0"/>
      <w:marTop w:val="100"/>
      <w:marBottom w:val="0"/>
      <w:divBdr>
        <w:top w:val="none" w:sz="0" w:space="0" w:color="auto"/>
        <w:left w:val="none" w:sz="0" w:space="0" w:color="auto"/>
        <w:bottom w:val="none" w:sz="0" w:space="0" w:color="auto"/>
        <w:right w:val="none" w:sz="0" w:space="0" w:color="auto"/>
      </w:divBdr>
    </w:div>
    <w:div w:id="1237470739">
      <w:marLeft w:val="0"/>
      <w:marRight w:val="0"/>
      <w:marTop w:val="0"/>
      <w:marBottom w:val="120"/>
      <w:divBdr>
        <w:top w:val="none" w:sz="0" w:space="0" w:color="auto"/>
        <w:left w:val="none" w:sz="0" w:space="0" w:color="auto"/>
        <w:bottom w:val="none" w:sz="0" w:space="0" w:color="auto"/>
        <w:right w:val="none" w:sz="0" w:space="0" w:color="auto"/>
      </w:divBdr>
    </w:div>
    <w:div w:id="1244873192">
      <w:marLeft w:val="0"/>
      <w:marRight w:val="0"/>
      <w:marTop w:val="120"/>
      <w:marBottom w:val="0"/>
      <w:divBdr>
        <w:top w:val="none" w:sz="0" w:space="0" w:color="auto"/>
        <w:left w:val="none" w:sz="0" w:space="0" w:color="auto"/>
        <w:bottom w:val="none" w:sz="0" w:space="0" w:color="auto"/>
        <w:right w:val="none" w:sz="0" w:space="0" w:color="auto"/>
      </w:divBdr>
    </w:div>
    <w:div w:id="1245644541">
      <w:marLeft w:val="0"/>
      <w:marRight w:val="0"/>
      <w:marTop w:val="240"/>
      <w:marBottom w:val="0"/>
      <w:divBdr>
        <w:top w:val="none" w:sz="0" w:space="0" w:color="auto"/>
        <w:left w:val="none" w:sz="0" w:space="0" w:color="auto"/>
        <w:bottom w:val="none" w:sz="0" w:space="0" w:color="auto"/>
        <w:right w:val="none" w:sz="0" w:space="0" w:color="auto"/>
      </w:divBdr>
    </w:div>
    <w:div w:id="1248268972">
      <w:marLeft w:val="0"/>
      <w:marRight w:val="0"/>
      <w:marTop w:val="0"/>
      <w:marBottom w:val="240"/>
      <w:divBdr>
        <w:top w:val="none" w:sz="0" w:space="0" w:color="auto"/>
        <w:left w:val="none" w:sz="0" w:space="0" w:color="auto"/>
        <w:bottom w:val="none" w:sz="0" w:space="0" w:color="auto"/>
        <w:right w:val="none" w:sz="0" w:space="0" w:color="auto"/>
      </w:divBdr>
    </w:div>
    <w:div w:id="1248878929">
      <w:marLeft w:val="0"/>
      <w:marRight w:val="0"/>
      <w:marTop w:val="240"/>
      <w:marBottom w:val="0"/>
      <w:divBdr>
        <w:top w:val="none" w:sz="0" w:space="0" w:color="auto"/>
        <w:left w:val="none" w:sz="0" w:space="0" w:color="auto"/>
        <w:bottom w:val="none" w:sz="0" w:space="0" w:color="auto"/>
        <w:right w:val="none" w:sz="0" w:space="0" w:color="auto"/>
      </w:divBdr>
    </w:div>
    <w:div w:id="1249775497">
      <w:marLeft w:val="0"/>
      <w:marRight w:val="0"/>
      <w:marTop w:val="0"/>
      <w:marBottom w:val="0"/>
      <w:divBdr>
        <w:top w:val="none" w:sz="0" w:space="0" w:color="auto"/>
        <w:left w:val="none" w:sz="0" w:space="0" w:color="auto"/>
        <w:bottom w:val="none" w:sz="0" w:space="0" w:color="auto"/>
        <w:right w:val="none" w:sz="0" w:space="0" w:color="auto"/>
      </w:divBdr>
      <w:divsChild>
        <w:div w:id="500850633">
          <w:marLeft w:val="0"/>
          <w:marRight w:val="0"/>
          <w:marTop w:val="0"/>
          <w:marBottom w:val="0"/>
          <w:divBdr>
            <w:top w:val="none" w:sz="0" w:space="0" w:color="auto"/>
            <w:left w:val="none" w:sz="0" w:space="0" w:color="auto"/>
            <w:bottom w:val="none" w:sz="0" w:space="0" w:color="auto"/>
            <w:right w:val="none" w:sz="0" w:space="0" w:color="auto"/>
          </w:divBdr>
        </w:div>
      </w:divsChild>
    </w:div>
    <w:div w:id="1252619258">
      <w:marLeft w:val="0"/>
      <w:marRight w:val="0"/>
      <w:marTop w:val="240"/>
      <w:marBottom w:val="0"/>
      <w:divBdr>
        <w:top w:val="none" w:sz="0" w:space="0" w:color="auto"/>
        <w:left w:val="none" w:sz="0" w:space="0" w:color="auto"/>
        <w:bottom w:val="none" w:sz="0" w:space="0" w:color="auto"/>
        <w:right w:val="none" w:sz="0" w:space="0" w:color="auto"/>
      </w:divBdr>
    </w:div>
    <w:div w:id="1255090161">
      <w:marLeft w:val="0"/>
      <w:marRight w:val="0"/>
      <w:marTop w:val="240"/>
      <w:marBottom w:val="0"/>
      <w:divBdr>
        <w:top w:val="none" w:sz="0" w:space="0" w:color="auto"/>
        <w:left w:val="none" w:sz="0" w:space="0" w:color="auto"/>
        <w:bottom w:val="none" w:sz="0" w:space="0" w:color="auto"/>
        <w:right w:val="none" w:sz="0" w:space="0" w:color="auto"/>
      </w:divBdr>
    </w:div>
    <w:div w:id="1256086462">
      <w:marLeft w:val="0"/>
      <w:marRight w:val="0"/>
      <w:marTop w:val="0"/>
      <w:marBottom w:val="0"/>
      <w:divBdr>
        <w:top w:val="none" w:sz="0" w:space="0" w:color="auto"/>
        <w:left w:val="none" w:sz="0" w:space="0" w:color="auto"/>
        <w:bottom w:val="none" w:sz="0" w:space="0" w:color="auto"/>
        <w:right w:val="none" w:sz="0" w:space="0" w:color="auto"/>
      </w:divBdr>
      <w:divsChild>
        <w:div w:id="2061245267">
          <w:marLeft w:val="0"/>
          <w:marRight w:val="0"/>
          <w:marTop w:val="0"/>
          <w:marBottom w:val="0"/>
          <w:divBdr>
            <w:top w:val="none" w:sz="0" w:space="0" w:color="auto"/>
            <w:left w:val="none" w:sz="0" w:space="0" w:color="auto"/>
            <w:bottom w:val="none" w:sz="0" w:space="0" w:color="auto"/>
            <w:right w:val="none" w:sz="0" w:space="0" w:color="auto"/>
          </w:divBdr>
        </w:div>
      </w:divsChild>
    </w:div>
    <w:div w:id="1258827776">
      <w:marLeft w:val="0"/>
      <w:marRight w:val="0"/>
      <w:marTop w:val="240"/>
      <w:marBottom w:val="240"/>
      <w:divBdr>
        <w:top w:val="none" w:sz="0" w:space="0" w:color="auto"/>
        <w:left w:val="none" w:sz="0" w:space="0" w:color="auto"/>
        <w:bottom w:val="none" w:sz="0" w:space="0" w:color="auto"/>
        <w:right w:val="none" w:sz="0" w:space="0" w:color="auto"/>
      </w:divBdr>
    </w:div>
    <w:div w:id="1259486295">
      <w:marLeft w:val="0"/>
      <w:marRight w:val="0"/>
      <w:marTop w:val="0"/>
      <w:marBottom w:val="0"/>
      <w:divBdr>
        <w:top w:val="none" w:sz="0" w:space="0" w:color="auto"/>
        <w:left w:val="none" w:sz="0" w:space="0" w:color="auto"/>
        <w:bottom w:val="none" w:sz="0" w:space="0" w:color="auto"/>
        <w:right w:val="none" w:sz="0" w:space="0" w:color="auto"/>
      </w:divBdr>
      <w:divsChild>
        <w:div w:id="215628899">
          <w:marLeft w:val="0"/>
          <w:marRight w:val="0"/>
          <w:marTop w:val="0"/>
          <w:marBottom w:val="0"/>
          <w:divBdr>
            <w:top w:val="none" w:sz="0" w:space="0" w:color="auto"/>
            <w:left w:val="none" w:sz="0" w:space="0" w:color="auto"/>
            <w:bottom w:val="none" w:sz="0" w:space="0" w:color="auto"/>
            <w:right w:val="none" w:sz="0" w:space="0" w:color="auto"/>
          </w:divBdr>
        </w:div>
      </w:divsChild>
    </w:div>
    <w:div w:id="1260092662">
      <w:marLeft w:val="0"/>
      <w:marRight w:val="0"/>
      <w:marTop w:val="0"/>
      <w:marBottom w:val="240"/>
      <w:divBdr>
        <w:top w:val="none" w:sz="0" w:space="0" w:color="auto"/>
        <w:left w:val="none" w:sz="0" w:space="0" w:color="auto"/>
        <w:bottom w:val="none" w:sz="0" w:space="0" w:color="auto"/>
        <w:right w:val="none" w:sz="0" w:space="0" w:color="auto"/>
      </w:divBdr>
    </w:div>
    <w:div w:id="1268536177">
      <w:marLeft w:val="0"/>
      <w:marRight w:val="0"/>
      <w:marTop w:val="0"/>
      <w:marBottom w:val="240"/>
      <w:divBdr>
        <w:top w:val="none" w:sz="0" w:space="0" w:color="auto"/>
        <w:left w:val="none" w:sz="0" w:space="0" w:color="auto"/>
        <w:bottom w:val="none" w:sz="0" w:space="0" w:color="auto"/>
        <w:right w:val="none" w:sz="0" w:space="0" w:color="auto"/>
      </w:divBdr>
    </w:div>
    <w:div w:id="1271159409">
      <w:marLeft w:val="0"/>
      <w:marRight w:val="0"/>
      <w:marTop w:val="0"/>
      <w:marBottom w:val="240"/>
      <w:divBdr>
        <w:top w:val="none" w:sz="0" w:space="0" w:color="auto"/>
        <w:left w:val="none" w:sz="0" w:space="0" w:color="auto"/>
        <w:bottom w:val="none" w:sz="0" w:space="0" w:color="auto"/>
        <w:right w:val="none" w:sz="0" w:space="0" w:color="auto"/>
      </w:divBdr>
    </w:div>
    <w:div w:id="1271546302">
      <w:marLeft w:val="0"/>
      <w:marRight w:val="0"/>
      <w:marTop w:val="240"/>
      <w:marBottom w:val="0"/>
      <w:divBdr>
        <w:top w:val="none" w:sz="0" w:space="0" w:color="auto"/>
        <w:left w:val="none" w:sz="0" w:space="0" w:color="auto"/>
        <w:bottom w:val="none" w:sz="0" w:space="0" w:color="auto"/>
        <w:right w:val="none" w:sz="0" w:space="0" w:color="auto"/>
      </w:divBdr>
    </w:div>
    <w:div w:id="1274433780">
      <w:marLeft w:val="0"/>
      <w:marRight w:val="0"/>
      <w:marTop w:val="240"/>
      <w:marBottom w:val="0"/>
      <w:divBdr>
        <w:top w:val="none" w:sz="0" w:space="0" w:color="auto"/>
        <w:left w:val="none" w:sz="0" w:space="0" w:color="auto"/>
        <w:bottom w:val="none" w:sz="0" w:space="0" w:color="auto"/>
        <w:right w:val="none" w:sz="0" w:space="0" w:color="auto"/>
      </w:divBdr>
    </w:div>
    <w:div w:id="1283418535">
      <w:marLeft w:val="0"/>
      <w:marRight w:val="0"/>
      <w:marTop w:val="240"/>
      <w:marBottom w:val="0"/>
      <w:divBdr>
        <w:top w:val="none" w:sz="0" w:space="0" w:color="auto"/>
        <w:left w:val="none" w:sz="0" w:space="0" w:color="auto"/>
        <w:bottom w:val="none" w:sz="0" w:space="0" w:color="auto"/>
        <w:right w:val="none" w:sz="0" w:space="0" w:color="auto"/>
      </w:divBdr>
    </w:div>
    <w:div w:id="1285430302">
      <w:marLeft w:val="0"/>
      <w:marRight w:val="0"/>
      <w:marTop w:val="0"/>
      <w:marBottom w:val="0"/>
      <w:divBdr>
        <w:top w:val="none" w:sz="0" w:space="0" w:color="auto"/>
        <w:left w:val="none" w:sz="0" w:space="0" w:color="auto"/>
        <w:bottom w:val="none" w:sz="0" w:space="0" w:color="auto"/>
        <w:right w:val="none" w:sz="0" w:space="0" w:color="auto"/>
      </w:divBdr>
    </w:div>
    <w:div w:id="1291285065">
      <w:marLeft w:val="0"/>
      <w:marRight w:val="0"/>
      <w:marTop w:val="0"/>
      <w:marBottom w:val="240"/>
      <w:divBdr>
        <w:top w:val="none" w:sz="0" w:space="0" w:color="auto"/>
        <w:left w:val="none" w:sz="0" w:space="0" w:color="auto"/>
        <w:bottom w:val="none" w:sz="0" w:space="0" w:color="auto"/>
        <w:right w:val="none" w:sz="0" w:space="0" w:color="auto"/>
      </w:divBdr>
    </w:div>
    <w:div w:id="1293025686">
      <w:marLeft w:val="0"/>
      <w:marRight w:val="0"/>
      <w:marTop w:val="240"/>
      <w:marBottom w:val="0"/>
      <w:divBdr>
        <w:top w:val="none" w:sz="0" w:space="0" w:color="auto"/>
        <w:left w:val="none" w:sz="0" w:space="0" w:color="auto"/>
        <w:bottom w:val="none" w:sz="0" w:space="0" w:color="auto"/>
        <w:right w:val="none" w:sz="0" w:space="0" w:color="auto"/>
      </w:divBdr>
    </w:div>
    <w:div w:id="1293291711">
      <w:marLeft w:val="0"/>
      <w:marRight w:val="0"/>
      <w:marTop w:val="0"/>
      <w:marBottom w:val="0"/>
      <w:divBdr>
        <w:top w:val="none" w:sz="0" w:space="0" w:color="auto"/>
        <w:left w:val="none" w:sz="0" w:space="0" w:color="auto"/>
        <w:bottom w:val="none" w:sz="0" w:space="0" w:color="auto"/>
        <w:right w:val="none" w:sz="0" w:space="0" w:color="auto"/>
      </w:divBdr>
    </w:div>
    <w:div w:id="1297951970">
      <w:marLeft w:val="0"/>
      <w:marRight w:val="0"/>
      <w:marTop w:val="240"/>
      <w:marBottom w:val="0"/>
      <w:divBdr>
        <w:top w:val="none" w:sz="0" w:space="0" w:color="auto"/>
        <w:left w:val="none" w:sz="0" w:space="0" w:color="auto"/>
        <w:bottom w:val="none" w:sz="0" w:space="0" w:color="auto"/>
        <w:right w:val="none" w:sz="0" w:space="0" w:color="auto"/>
      </w:divBdr>
    </w:div>
    <w:div w:id="1307667952">
      <w:marLeft w:val="0"/>
      <w:marRight w:val="0"/>
      <w:marTop w:val="240"/>
      <w:marBottom w:val="0"/>
      <w:divBdr>
        <w:top w:val="none" w:sz="0" w:space="0" w:color="auto"/>
        <w:left w:val="none" w:sz="0" w:space="0" w:color="auto"/>
        <w:bottom w:val="none" w:sz="0" w:space="0" w:color="auto"/>
        <w:right w:val="none" w:sz="0" w:space="0" w:color="auto"/>
      </w:divBdr>
    </w:div>
    <w:div w:id="1308392821">
      <w:marLeft w:val="0"/>
      <w:marRight w:val="0"/>
      <w:marTop w:val="240"/>
      <w:marBottom w:val="240"/>
      <w:divBdr>
        <w:top w:val="none" w:sz="0" w:space="0" w:color="auto"/>
        <w:left w:val="none" w:sz="0" w:space="0" w:color="auto"/>
        <w:bottom w:val="none" w:sz="0" w:space="0" w:color="auto"/>
        <w:right w:val="none" w:sz="0" w:space="0" w:color="auto"/>
      </w:divBdr>
    </w:div>
    <w:div w:id="1309630138">
      <w:marLeft w:val="0"/>
      <w:marRight w:val="0"/>
      <w:marTop w:val="0"/>
      <w:marBottom w:val="0"/>
      <w:divBdr>
        <w:top w:val="none" w:sz="0" w:space="0" w:color="auto"/>
        <w:left w:val="none" w:sz="0" w:space="0" w:color="auto"/>
        <w:bottom w:val="none" w:sz="0" w:space="0" w:color="auto"/>
        <w:right w:val="none" w:sz="0" w:space="0" w:color="auto"/>
      </w:divBdr>
    </w:div>
    <w:div w:id="1310091043">
      <w:marLeft w:val="0"/>
      <w:marRight w:val="0"/>
      <w:marTop w:val="0"/>
      <w:marBottom w:val="240"/>
      <w:divBdr>
        <w:top w:val="none" w:sz="0" w:space="0" w:color="auto"/>
        <w:left w:val="none" w:sz="0" w:space="0" w:color="auto"/>
        <w:bottom w:val="none" w:sz="0" w:space="0" w:color="auto"/>
        <w:right w:val="none" w:sz="0" w:space="0" w:color="auto"/>
      </w:divBdr>
    </w:div>
    <w:div w:id="1310402461">
      <w:marLeft w:val="0"/>
      <w:marRight w:val="0"/>
      <w:marTop w:val="240"/>
      <w:marBottom w:val="0"/>
      <w:divBdr>
        <w:top w:val="none" w:sz="0" w:space="0" w:color="auto"/>
        <w:left w:val="none" w:sz="0" w:space="0" w:color="auto"/>
        <w:bottom w:val="none" w:sz="0" w:space="0" w:color="auto"/>
        <w:right w:val="none" w:sz="0" w:space="0" w:color="auto"/>
      </w:divBdr>
    </w:div>
    <w:div w:id="1314680518">
      <w:marLeft w:val="0"/>
      <w:marRight w:val="0"/>
      <w:marTop w:val="0"/>
      <w:marBottom w:val="0"/>
      <w:divBdr>
        <w:top w:val="none" w:sz="0" w:space="0" w:color="auto"/>
        <w:left w:val="none" w:sz="0" w:space="0" w:color="auto"/>
        <w:bottom w:val="none" w:sz="0" w:space="0" w:color="auto"/>
        <w:right w:val="none" w:sz="0" w:space="0" w:color="auto"/>
      </w:divBdr>
      <w:divsChild>
        <w:div w:id="866407192">
          <w:marLeft w:val="0"/>
          <w:marRight w:val="0"/>
          <w:marTop w:val="0"/>
          <w:marBottom w:val="0"/>
          <w:divBdr>
            <w:top w:val="none" w:sz="0" w:space="0" w:color="auto"/>
            <w:left w:val="none" w:sz="0" w:space="0" w:color="auto"/>
            <w:bottom w:val="none" w:sz="0" w:space="0" w:color="auto"/>
            <w:right w:val="none" w:sz="0" w:space="0" w:color="auto"/>
          </w:divBdr>
        </w:div>
      </w:divsChild>
    </w:div>
    <w:div w:id="1315643969">
      <w:marLeft w:val="0"/>
      <w:marRight w:val="0"/>
      <w:marTop w:val="0"/>
      <w:marBottom w:val="120"/>
      <w:divBdr>
        <w:top w:val="none" w:sz="0" w:space="0" w:color="auto"/>
        <w:left w:val="none" w:sz="0" w:space="0" w:color="auto"/>
        <w:bottom w:val="none" w:sz="0" w:space="0" w:color="auto"/>
        <w:right w:val="none" w:sz="0" w:space="0" w:color="auto"/>
      </w:divBdr>
    </w:div>
    <w:div w:id="1322123531">
      <w:marLeft w:val="0"/>
      <w:marRight w:val="0"/>
      <w:marTop w:val="0"/>
      <w:marBottom w:val="0"/>
      <w:divBdr>
        <w:top w:val="none" w:sz="0" w:space="0" w:color="auto"/>
        <w:left w:val="none" w:sz="0" w:space="0" w:color="auto"/>
        <w:bottom w:val="none" w:sz="0" w:space="0" w:color="auto"/>
        <w:right w:val="none" w:sz="0" w:space="0" w:color="auto"/>
      </w:divBdr>
      <w:divsChild>
        <w:div w:id="1734235691">
          <w:marLeft w:val="0"/>
          <w:marRight w:val="0"/>
          <w:marTop w:val="0"/>
          <w:marBottom w:val="0"/>
          <w:divBdr>
            <w:top w:val="none" w:sz="0" w:space="0" w:color="auto"/>
            <w:left w:val="none" w:sz="0" w:space="0" w:color="auto"/>
            <w:bottom w:val="none" w:sz="0" w:space="0" w:color="auto"/>
            <w:right w:val="none" w:sz="0" w:space="0" w:color="auto"/>
          </w:divBdr>
        </w:div>
      </w:divsChild>
    </w:div>
    <w:div w:id="1323004981">
      <w:marLeft w:val="0"/>
      <w:marRight w:val="0"/>
      <w:marTop w:val="240"/>
      <w:marBottom w:val="240"/>
      <w:divBdr>
        <w:top w:val="none" w:sz="0" w:space="0" w:color="auto"/>
        <w:left w:val="none" w:sz="0" w:space="0" w:color="auto"/>
        <w:bottom w:val="none" w:sz="0" w:space="0" w:color="auto"/>
        <w:right w:val="none" w:sz="0" w:space="0" w:color="auto"/>
      </w:divBdr>
    </w:div>
    <w:div w:id="1323043378">
      <w:marLeft w:val="0"/>
      <w:marRight w:val="0"/>
      <w:marTop w:val="0"/>
      <w:marBottom w:val="240"/>
      <w:divBdr>
        <w:top w:val="none" w:sz="0" w:space="0" w:color="auto"/>
        <w:left w:val="none" w:sz="0" w:space="0" w:color="auto"/>
        <w:bottom w:val="none" w:sz="0" w:space="0" w:color="auto"/>
        <w:right w:val="none" w:sz="0" w:space="0" w:color="auto"/>
      </w:divBdr>
    </w:div>
    <w:div w:id="1327856387">
      <w:marLeft w:val="0"/>
      <w:marRight w:val="0"/>
      <w:marTop w:val="0"/>
      <w:marBottom w:val="240"/>
      <w:divBdr>
        <w:top w:val="none" w:sz="0" w:space="0" w:color="auto"/>
        <w:left w:val="none" w:sz="0" w:space="0" w:color="auto"/>
        <w:bottom w:val="none" w:sz="0" w:space="0" w:color="auto"/>
        <w:right w:val="none" w:sz="0" w:space="0" w:color="auto"/>
      </w:divBdr>
    </w:div>
    <w:div w:id="1328821260">
      <w:marLeft w:val="0"/>
      <w:marRight w:val="0"/>
      <w:marTop w:val="0"/>
      <w:marBottom w:val="240"/>
      <w:divBdr>
        <w:top w:val="none" w:sz="0" w:space="0" w:color="auto"/>
        <w:left w:val="none" w:sz="0" w:space="0" w:color="auto"/>
        <w:bottom w:val="none" w:sz="0" w:space="0" w:color="auto"/>
        <w:right w:val="none" w:sz="0" w:space="0" w:color="auto"/>
      </w:divBdr>
    </w:div>
    <w:div w:id="1329014173">
      <w:marLeft w:val="0"/>
      <w:marRight w:val="0"/>
      <w:marTop w:val="0"/>
      <w:marBottom w:val="150"/>
      <w:divBdr>
        <w:top w:val="none" w:sz="0" w:space="0" w:color="auto"/>
        <w:left w:val="none" w:sz="0" w:space="0" w:color="auto"/>
        <w:bottom w:val="none" w:sz="0" w:space="0" w:color="auto"/>
        <w:right w:val="none" w:sz="0" w:space="0" w:color="auto"/>
      </w:divBdr>
    </w:div>
    <w:div w:id="1330017720">
      <w:marLeft w:val="0"/>
      <w:marRight w:val="0"/>
      <w:marTop w:val="240"/>
      <w:marBottom w:val="0"/>
      <w:divBdr>
        <w:top w:val="none" w:sz="0" w:space="0" w:color="auto"/>
        <w:left w:val="none" w:sz="0" w:space="0" w:color="auto"/>
        <w:bottom w:val="none" w:sz="0" w:space="0" w:color="auto"/>
        <w:right w:val="none" w:sz="0" w:space="0" w:color="auto"/>
      </w:divBdr>
    </w:div>
    <w:div w:id="1330712454">
      <w:marLeft w:val="0"/>
      <w:marRight w:val="0"/>
      <w:marTop w:val="240"/>
      <w:marBottom w:val="120"/>
      <w:divBdr>
        <w:top w:val="none" w:sz="0" w:space="0" w:color="auto"/>
        <w:left w:val="none" w:sz="0" w:space="0" w:color="auto"/>
        <w:bottom w:val="none" w:sz="0" w:space="0" w:color="auto"/>
        <w:right w:val="none" w:sz="0" w:space="0" w:color="auto"/>
      </w:divBdr>
    </w:div>
    <w:div w:id="1342314119">
      <w:marLeft w:val="0"/>
      <w:marRight w:val="0"/>
      <w:marTop w:val="0"/>
      <w:marBottom w:val="0"/>
      <w:divBdr>
        <w:top w:val="none" w:sz="0" w:space="0" w:color="auto"/>
        <w:left w:val="none" w:sz="0" w:space="0" w:color="auto"/>
        <w:bottom w:val="none" w:sz="0" w:space="0" w:color="auto"/>
        <w:right w:val="none" w:sz="0" w:space="0" w:color="auto"/>
      </w:divBdr>
      <w:divsChild>
        <w:div w:id="1970357785">
          <w:marLeft w:val="0"/>
          <w:marRight w:val="0"/>
          <w:marTop w:val="0"/>
          <w:marBottom w:val="0"/>
          <w:divBdr>
            <w:top w:val="none" w:sz="0" w:space="0" w:color="auto"/>
            <w:left w:val="none" w:sz="0" w:space="0" w:color="auto"/>
            <w:bottom w:val="none" w:sz="0" w:space="0" w:color="auto"/>
            <w:right w:val="none" w:sz="0" w:space="0" w:color="auto"/>
          </w:divBdr>
        </w:div>
      </w:divsChild>
    </w:div>
    <w:div w:id="1343321426">
      <w:marLeft w:val="0"/>
      <w:marRight w:val="0"/>
      <w:marTop w:val="0"/>
      <w:marBottom w:val="120"/>
      <w:divBdr>
        <w:top w:val="none" w:sz="0" w:space="0" w:color="auto"/>
        <w:left w:val="none" w:sz="0" w:space="0" w:color="auto"/>
        <w:bottom w:val="none" w:sz="0" w:space="0" w:color="auto"/>
        <w:right w:val="none" w:sz="0" w:space="0" w:color="auto"/>
      </w:divBdr>
    </w:div>
    <w:div w:id="1344430767">
      <w:marLeft w:val="0"/>
      <w:marRight w:val="0"/>
      <w:marTop w:val="240"/>
      <w:marBottom w:val="240"/>
      <w:divBdr>
        <w:top w:val="none" w:sz="0" w:space="0" w:color="auto"/>
        <w:left w:val="none" w:sz="0" w:space="0" w:color="auto"/>
        <w:bottom w:val="none" w:sz="0" w:space="0" w:color="auto"/>
        <w:right w:val="none" w:sz="0" w:space="0" w:color="auto"/>
      </w:divBdr>
    </w:div>
    <w:div w:id="1346517508">
      <w:marLeft w:val="0"/>
      <w:marRight w:val="0"/>
      <w:marTop w:val="240"/>
      <w:marBottom w:val="0"/>
      <w:divBdr>
        <w:top w:val="none" w:sz="0" w:space="0" w:color="auto"/>
        <w:left w:val="none" w:sz="0" w:space="0" w:color="auto"/>
        <w:bottom w:val="none" w:sz="0" w:space="0" w:color="auto"/>
        <w:right w:val="none" w:sz="0" w:space="0" w:color="auto"/>
      </w:divBdr>
    </w:div>
    <w:div w:id="1349065865">
      <w:marLeft w:val="0"/>
      <w:marRight w:val="0"/>
      <w:marTop w:val="240"/>
      <w:marBottom w:val="0"/>
      <w:divBdr>
        <w:top w:val="none" w:sz="0" w:space="0" w:color="auto"/>
        <w:left w:val="none" w:sz="0" w:space="0" w:color="auto"/>
        <w:bottom w:val="none" w:sz="0" w:space="0" w:color="auto"/>
        <w:right w:val="none" w:sz="0" w:space="0" w:color="auto"/>
      </w:divBdr>
    </w:div>
    <w:div w:id="1349873503">
      <w:marLeft w:val="0"/>
      <w:marRight w:val="0"/>
      <w:marTop w:val="0"/>
      <w:marBottom w:val="0"/>
      <w:divBdr>
        <w:top w:val="none" w:sz="0" w:space="0" w:color="auto"/>
        <w:left w:val="none" w:sz="0" w:space="0" w:color="auto"/>
        <w:bottom w:val="none" w:sz="0" w:space="0" w:color="auto"/>
        <w:right w:val="none" w:sz="0" w:space="0" w:color="auto"/>
      </w:divBdr>
    </w:div>
    <w:div w:id="1354114188">
      <w:marLeft w:val="0"/>
      <w:marRight w:val="0"/>
      <w:marTop w:val="0"/>
      <w:marBottom w:val="240"/>
      <w:divBdr>
        <w:top w:val="none" w:sz="0" w:space="0" w:color="auto"/>
        <w:left w:val="none" w:sz="0" w:space="0" w:color="auto"/>
        <w:bottom w:val="none" w:sz="0" w:space="0" w:color="auto"/>
        <w:right w:val="none" w:sz="0" w:space="0" w:color="auto"/>
      </w:divBdr>
    </w:div>
    <w:div w:id="1356080274">
      <w:marLeft w:val="0"/>
      <w:marRight w:val="0"/>
      <w:marTop w:val="240"/>
      <w:marBottom w:val="0"/>
      <w:divBdr>
        <w:top w:val="none" w:sz="0" w:space="0" w:color="auto"/>
        <w:left w:val="none" w:sz="0" w:space="0" w:color="auto"/>
        <w:bottom w:val="none" w:sz="0" w:space="0" w:color="auto"/>
        <w:right w:val="none" w:sz="0" w:space="0" w:color="auto"/>
      </w:divBdr>
    </w:div>
    <w:div w:id="1356736751">
      <w:marLeft w:val="0"/>
      <w:marRight w:val="0"/>
      <w:marTop w:val="240"/>
      <w:marBottom w:val="0"/>
      <w:divBdr>
        <w:top w:val="none" w:sz="0" w:space="0" w:color="auto"/>
        <w:left w:val="none" w:sz="0" w:space="0" w:color="auto"/>
        <w:bottom w:val="none" w:sz="0" w:space="0" w:color="auto"/>
        <w:right w:val="none" w:sz="0" w:space="0" w:color="auto"/>
      </w:divBdr>
    </w:div>
    <w:div w:id="1357275432">
      <w:marLeft w:val="0"/>
      <w:marRight w:val="0"/>
      <w:marTop w:val="0"/>
      <w:marBottom w:val="0"/>
      <w:divBdr>
        <w:top w:val="none" w:sz="0" w:space="0" w:color="auto"/>
        <w:left w:val="none" w:sz="0" w:space="0" w:color="auto"/>
        <w:bottom w:val="none" w:sz="0" w:space="0" w:color="auto"/>
        <w:right w:val="none" w:sz="0" w:space="0" w:color="auto"/>
      </w:divBdr>
      <w:divsChild>
        <w:div w:id="204218322">
          <w:marLeft w:val="0"/>
          <w:marRight w:val="0"/>
          <w:marTop w:val="0"/>
          <w:marBottom w:val="0"/>
          <w:divBdr>
            <w:top w:val="none" w:sz="0" w:space="0" w:color="auto"/>
            <w:left w:val="none" w:sz="0" w:space="0" w:color="auto"/>
            <w:bottom w:val="none" w:sz="0" w:space="0" w:color="auto"/>
            <w:right w:val="none" w:sz="0" w:space="0" w:color="auto"/>
          </w:divBdr>
        </w:div>
      </w:divsChild>
    </w:div>
    <w:div w:id="1361276657">
      <w:marLeft w:val="0"/>
      <w:marRight w:val="0"/>
      <w:marTop w:val="0"/>
      <w:marBottom w:val="240"/>
      <w:divBdr>
        <w:top w:val="none" w:sz="0" w:space="0" w:color="auto"/>
        <w:left w:val="none" w:sz="0" w:space="0" w:color="auto"/>
        <w:bottom w:val="none" w:sz="0" w:space="0" w:color="auto"/>
        <w:right w:val="none" w:sz="0" w:space="0" w:color="auto"/>
      </w:divBdr>
    </w:div>
    <w:div w:id="1366251100">
      <w:marLeft w:val="0"/>
      <w:marRight w:val="0"/>
      <w:marTop w:val="0"/>
      <w:marBottom w:val="240"/>
      <w:divBdr>
        <w:top w:val="none" w:sz="0" w:space="0" w:color="auto"/>
        <w:left w:val="none" w:sz="0" w:space="0" w:color="auto"/>
        <w:bottom w:val="none" w:sz="0" w:space="0" w:color="auto"/>
        <w:right w:val="none" w:sz="0" w:space="0" w:color="auto"/>
      </w:divBdr>
    </w:div>
    <w:div w:id="1368489362">
      <w:marLeft w:val="0"/>
      <w:marRight w:val="0"/>
      <w:marTop w:val="240"/>
      <w:marBottom w:val="0"/>
      <w:divBdr>
        <w:top w:val="none" w:sz="0" w:space="0" w:color="auto"/>
        <w:left w:val="none" w:sz="0" w:space="0" w:color="auto"/>
        <w:bottom w:val="none" w:sz="0" w:space="0" w:color="auto"/>
        <w:right w:val="none" w:sz="0" w:space="0" w:color="auto"/>
      </w:divBdr>
    </w:div>
    <w:div w:id="1371221797">
      <w:marLeft w:val="0"/>
      <w:marRight w:val="0"/>
      <w:marTop w:val="0"/>
      <w:marBottom w:val="0"/>
      <w:divBdr>
        <w:top w:val="none" w:sz="0" w:space="0" w:color="auto"/>
        <w:left w:val="none" w:sz="0" w:space="0" w:color="auto"/>
        <w:bottom w:val="none" w:sz="0" w:space="0" w:color="auto"/>
        <w:right w:val="none" w:sz="0" w:space="0" w:color="auto"/>
      </w:divBdr>
      <w:divsChild>
        <w:div w:id="742991093">
          <w:marLeft w:val="0"/>
          <w:marRight w:val="0"/>
          <w:marTop w:val="0"/>
          <w:marBottom w:val="0"/>
          <w:divBdr>
            <w:top w:val="none" w:sz="0" w:space="0" w:color="auto"/>
            <w:left w:val="none" w:sz="0" w:space="0" w:color="auto"/>
            <w:bottom w:val="none" w:sz="0" w:space="0" w:color="auto"/>
            <w:right w:val="none" w:sz="0" w:space="0" w:color="auto"/>
          </w:divBdr>
        </w:div>
      </w:divsChild>
    </w:div>
    <w:div w:id="1379009127">
      <w:marLeft w:val="0"/>
      <w:marRight w:val="0"/>
      <w:marTop w:val="0"/>
      <w:marBottom w:val="0"/>
      <w:divBdr>
        <w:top w:val="none" w:sz="0" w:space="0" w:color="auto"/>
        <w:left w:val="none" w:sz="0" w:space="0" w:color="auto"/>
        <w:bottom w:val="none" w:sz="0" w:space="0" w:color="auto"/>
        <w:right w:val="none" w:sz="0" w:space="0" w:color="auto"/>
      </w:divBdr>
      <w:divsChild>
        <w:div w:id="914822077">
          <w:marLeft w:val="0"/>
          <w:marRight w:val="0"/>
          <w:marTop w:val="0"/>
          <w:marBottom w:val="0"/>
          <w:divBdr>
            <w:top w:val="none" w:sz="0" w:space="0" w:color="auto"/>
            <w:left w:val="none" w:sz="0" w:space="0" w:color="auto"/>
            <w:bottom w:val="none" w:sz="0" w:space="0" w:color="auto"/>
            <w:right w:val="none" w:sz="0" w:space="0" w:color="auto"/>
          </w:divBdr>
        </w:div>
      </w:divsChild>
    </w:div>
    <w:div w:id="1380472260">
      <w:marLeft w:val="0"/>
      <w:marRight w:val="0"/>
      <w:marTop w:val="240"/>
      <w:marBottom w:val="0"/>
      <w:divBdr>
        <w:top w:val="none" w:sz="0" w:space="0" w:color="auto"/>
        <w:left w:val="none" w:sz="0" w:space="0" w:color="auto"/>
        <w:bottom w:val="none" w:sz="0" w:space="0" w:color="auto"/>
        <w:right w:val="none" w:sz="0" w:space="0" w:color="auto"/>
      </w:divBdr>
    </w:div>
    <w:div w:id="1381516009">
      <w:marLeft w:val="0"/>
      <w:marRight w:val="0"/>
      <w:marTop w:val="0"/>
      <w:marBottom w:val="240"/>
      <w:divBdr>
        <w:top w:val="none" w:sz="0" w:space="0" w:color="auto"/>
        <w:left w:val="none" w:sz="0" w:space="0" w:color="auto"/>
        <w:bottom w:val="none" w:sz="0" w:space="0" w:color="auto"/>
        <w:right w:val="none" w:sz="0" w:space="0" w:color="auto"/>
      </w:divBdr>
    </w:div>
    <w:div w:id="1383794977">
      <w:marLeft w:val="0"/>
      <w:marRight w:val="0"/>
      <w:marTop w:val="0"/>
      <w:marBottom w:val="120"/>
      <w:divBdr>
        <w:top w:val="none" w:sz="0" w:space="0" w:color="auto"/>
        <w:left w:val="none" w:sz="0" w:space="0" w:color="auto"/>
        <w:bottom w:val="none" w:sz="0" w:space="0" w:color="auto"/>
        <w:right w:val="none" w:sz="0" w:space="0" w:color="auto"/>
      </w:divBdr>
    </w:div>
    <w:div w:id="1386416130">
      <w:marLeft w:val="0"/>
      <w:marRight w:val="0"/>
      <w:marTop w:val="240"/>
      <w:marBottom w:val="0"/>
      <w:divBdr>
        <w:top w:val="none" w:sz="0" w:space="0" w:color="auto"/>
        <w:left w:val="none" w:sz="0" w:space="0" w:color="auto"/>
        <w:bottom w:val="none" w:sz="0" w:space="0" w:color="auto"/>
        <w:right w:val="none" w:sz="0" w:space="0" w:color="auto"/>
      </w:divBdr>
    </w:div>
    <w:div w:id="1390307419">
      <w:marLeft w:val="0"/>
      <w:marRight w:val="0"/>
      <w:marTop w:val="240"/>
      <w:marBottom w:val="0"/>
      <w:divBdr>
        <w:top w:val="none" w:sz="0" w:space="0" w:color="auto"/>
        <w:left w:val="none" w:sz="0" w:space="0" w:color="auto"/>
        <w:bottom w:val="none" w:sz="0" w:space="0" w:color="auto"/>
        <w:right w:val="none" w:sz="0" w:space="0" w:color="auto"/>
      </w:divBdr>
    </w:div>
    <w:div w:id="1393508020">
      <w:marLeft w:val="0"/>
      <w:marRight w:val="0"/>
      <w:marTop w:val="240"/>
      <w:marBottom w:val="240"/>
      <w:divBdr>
        <w:top w:val="none" w:sz="0" w:space="0" w:color="auto"/>
        <w:left w:val="none" w:sz="0" w:space="0" w:color="auto"/>
        <w:bottom w:val="none" w:sz="0" w:space="0" w:color="auto"/>
        <w:right w:val="none" w:sz="0" w:space="0" w:color="auto"/>
      </w:divBdr>
    </w:div>
    <w:div w:id="1402365401">
      <w:marLeft w:val="0"/>
      <w:marRight w:val="0"/>
      <w:marTop w:val="120"/>
      <w:marBottom w:val="240"/>
      <w:divBdr>
        <w:top w:val="none" w:sz="0" w:space="0" w:color="auto"/>
        <w:left w:val="none" w:sz="0" w:space="0" w:color="auto"/>
        <w:bottom w:val="none" w:sz="0" w:space="0" w:color="auto"/>
        <w:right w:val="none" w:sz="0" w:space="0" w:color="auto"/>
      </w:divBdr>
    </w:div>
    <w:div w:id="1402629953">
      <w:marLeft w:val="0"/>
      <w:marRight w:val="0"/>
      <w:marTop w:val="100"/>
      <w:marBottom w:val="0"/>
      <w:divBdr>
        <w:top w:val="none" w:sz="0" w:space="0" w:color="auto"/>
        <w:left w:val="none" w:sz="0" w:space="0" w:color="auto"/>
        <w:bottom w:val="none" w:sz="0" w:space="0" w:color="auto"/>
        <w:right w:val="none" w:sz="0" w:space="0" w:color="auto"/>
      </w:divBdr>
    </w:div>
    <w:div w:id="1403673912">
      <w:marLeft w:val="0"/>
      <w:marRight w:val="0"/>
      <w:marTop w:val="100"/>
      <w:marBottom w:val="0"/>
      <w:divBdr>
        <w:top w:val="none" w:sz="0" w:space="0" w:color="auto"/>
        <w:left w:val="none" w:sz="0" w:space="0" w:color="auto"/>
        <w:bottom w:val="none" w:sz="0" w:space="0" w:color="auto"/>
        <w:right w:val="none" w:sz="0" w:space="0" w:color="auto"/>
      </w:divBdr>
    </w:div>
    <w:div w:id="1405880618">
      <w:marLeft w:val="0"/>
      <w:marRight w:val="0"/>
      <w:marTop w:val="0"/>
      <w:marBottom w:val="240"/>
      <w:divBdr>
        <w:top w:val="none" w:sz="0" w:space="0" w:color="auto"/>
        <w:left w:val="none" w:sz="0" w:space="0" w:color="auto"/>
        <w:bottom w:val="none" w:sz="0" w:space="0" w:color="auto"/>
        <w:right w:val="none" w:sz="0" w:space="0" w:color="auto"/>
      </w:divBdr>
    </w:div>
    <w:div w:id="1406029004">
      <w:marLeft w:val="0"/>
      <w:marRight w:val="0"/>
      <w:marTop w:val="0"/>
      <w:marBottom w:val="240"/>
      <w:divBdr>
        <w:top w:val="none" w:sz="0" w:space="0" w:color="auto"/>
        <w:left w:val="none" w:sz="0" w:space="0" w:color="auto"/>
        <w:bottom w:val="none" w:sz="0" w:space="0" w:color="auto"/>
        <w:right w:val="none" w:sz="0" w:space="0" w:color="auto"/>
      </w:divBdr>
    </w:div>
    <w:div w:id="1408763602">
      <w:marLeft w:val="0"/>
      <w:marRight w:val="0"/>
      <w:marTop w:val="240"/>
      <w:marBottom w:val="0"/>
      <w:divBdr>
        <w:top w:val="none" w:sz="0" w:space="0" w:color="auto"/>
        <w:left w:val="none" w:sz="0" w:space="0" w:color="auto"/>
        <w:bottom w:val="none" w:sz="0" w:space="0" w:color="auto"/>
        <w:right w:val="none" w:sz="0" w:space="0" w:color="auto"/>
      </w:divBdr>
    </w:div>
    <w:div w:id="1410928011">
      <w:marLeft w:val="0"/>
      <w:marRight w:val="0"/>
      <w:marTop w:val="0"/>
      <w:marBottom w:val="240"/>
      <w:divBdr>
        <w:top w:val="none" w:sz="0" w:space="0" w:color="auto"/>
        <w:left w:val="none" w:sz="0" w:space="0" w:color="auto"/>
        <w:bottom w:val="none" w:sz="0" w:space="0" w:color="auto"/>
        <w:right w:val="none" w:sz="0" w:space="0" w:color="auto"/>
      </w:divBdr>
    </w:div>
    <w:div w:id="1412000568">
      <w:marLeft w:val="0"/>
      <w:marRight w:val="0"/>
      <w:marTop w:val="240"/>
      <w:marBottom w:val="240"/>
      <w:divBdr>
        <w:top w:val="none" w:sz="0" w:space="0" w:color="auto"/>
        <w:left w:val="none" w:sz="0" w:space="0" w:color="auto"/>
        <w:bottom w:val="none" w:sz="0" w:space="0" w:color="auto"/>
        <w:right w:val="none" w:sz="0" w:space="0" w:color="auto"/>
      </w:divBdr>
    </w:div>
    <w:div w:id="1414357045">
      <w:marLeft w:val="0"/>
      <w:marRight w:val="0"/>
      <w:marTop w:val="0"/>
      <w:marBottom w:val="240"/>
      <w:divBdr>
        <w:top w:val="none" w:sz="0" w:space="0" w:color="auto"/>
        <w:left w:val="none" w:sz="0" w:space="0" w:color="auto"/>
        <w:bottom w:val="none" w:sz="0" w:space="0" w:color="auto"/>
        <w:right w:val="none" w:sz="0" w:space="0" w:color="auto"/>
      </w:divBdr>
    </w:div>
    <w:div w:id="1415124015">
      <w:marLeft w:val="0"/>
      <w:marRight w:val="0"/>
      <w:marTop w:val="0"/>
      <w:marBottom w:val="240"/>
      <w:divBdr>
        <w:top w:val="none" w:sz="0" w:space="0" w:color="auto"/>
        <w:left w:val="none" w:sz="0" w:space="0" w:color="auto"/>
        <w:bottom w:val="none" w:sz="0" w:space="0" w:color="auto"/>
        <w:right w:val="none" w:sz="0" w:space="0" w:color="auto"/>
      </w:divBdr>
    </w:div>
    <w:div w:id="1415542977">
      <w:marLeft w:val="0"/>
      <w:marRight w:val="0"/>
      <w:marTop w:val="240"/>
      <w:marBottom w:val="0"/>
      <w:divBdr>
        <w:top w:val="none" w:sz="0" w:space="0" w:color="auto"/>
        <w:left w:val="none" w:sz="0" w:space="0" w:color="auto"/>
        <w:bottom w:val="none" w:sz="0" w:space="0" w:color="auto"/>
        <w:right w:val="none" w:sz="0" w:space="0" w:color="auto"/>
      </w:divBdr>
    </w:div>
    <w:div w:id="1415708859">
      <w:marLeft w:val="0"/>
      <w:marRight w:val="0"/>
      <w:marTop w:val="0"/>
      <w:marBottom w:val="120"/>
      <w:divBdr>
        <w:top w:val="none" w:sz="0" w:space="0" w:color="auto"/>
        <w:left w:val="none" w:sz="0" w:space="0" w:color="auto"/>
        <w:bottom w:val="none" w:sz="0" w:space="0" w:color="auto"/>
        <w:right w:val="none" w:sz="0" w:space="0" w:color="auto"/>
      </w:divBdr>
    </w:div>
    <w:div w:id="1416243101">
      <w:marLeft w:val="0"/>
      <w:marRight w:val="0"/>
      <w:marTop w:val="100"/>
      <w:marBottom w:val="0"/>
      <w:divBdr>
        <w:top w:val="none" w:sz="0" w:space="0" w:color="auto"/>
        <w:left w:val="none" w:sz="0" w:space="0" w:color="auto"/>
        <w:bottom w:val="none" w:sz="0" w:space="0" w:color="auto"/>
        <w:right w:val="none" w:sz="0" w:space="0" w:color="auto"/>
      </w:divBdr>
    </w:div>
    <w:div w:id="1418399072">
      <w:marLeft w:val="0"/>
      <w:marRight w:val="0"/>
      <w:marTop w:val="240"/>
      <w:marBottom w:val="0"/>
      <w:divBdr>
        <w:top w:val="none" w:sz="0" w:space="0" w:color="auto"/>
        <w:left w:val="none" w:sz="0" w:space="0" w:color="auto"/>
        <w:bottom w:val="none" w:sz="0" w:space="0" w:color="auto"/>
        <w:right w:val="none" w:sz="0" w:space="0" w:color="auto"/>
      </w:divBdr>
    </w:div>
    <w:div w:id="1419017480">
      <w:marLeft w:val="0"/>
      <w:marRight w:val="0"/>
      <w:marTop w:val="240"/>
      <w:marBottom w:val="0"/>
      <w:divBdr>
        <w:top w:val="none" w:sz="0" w:space="0" w:color="auto"/>
        <w:left w:val="none" w:sz="0" w:space="0" w:color="auto"/>
        <w:bottom w:val="none" w:sz="0" w:space="0" w:color="auto"/>
        <w:right w:val="none" w:sz="0" w:space="0" w:color="auto"/>
      </w:divBdr>
    </w:div>
    <w:div w:id="1428232242">
      <w:marLeft w:val="0"/>
      <w:marRight w:val="0"/>
      <w:marTop w:val="240"/>
      <w:marBottom w:val="0"/>
      <w:divBdr>
        <w:top w:val="none" w:sz="0" w:space="0" w:color="auto"/>
        <w:left w:val="none" w:sz="0" w:space="0" w:color="auto"/>
        <w:bottom w:val="none" w:sz="0" w:space="0" w:color="auto"/>
        <w:right w:val="none" w:sz="0" w:space="0" w:color="auto"/>
      </w:divBdr>
    </w:div>
    <w:div w:id="1428651147">
      <w:marLeft w:val="0"/>
      <w:marRight w:val="0"/>
      <w:marTop w:val="0"/>
      <w:marBottom w:val="1"/>
      <w:divBdr>
        <w:top w:val="none" w:sz="0" w:space="0" w:color="auto"/>
        <w:left w:val="none" w:sz="0" w:space="0" w:color="auto"/>
        <w:bottom w:val="none" w:sz="0" w:space="0" w:color="auto"/>
        <w:right w:val="none" w:sz="0" w:space="0" w:color="auto"/>
      </w:divBdr>
    </w:div>
    <w:div w:id="1428699465">
      <w:marLeft w:val="0"/>
      <w:marRight w:val="0"/>
      <w:marTop w:val="240"/>
      <w:marBottom w:val="0"/>
      <w:divBdr>
        <w:top w:val="none" w:sz="0" w:space="0" w:color="auto"/>
        <w:left w:val="none" w:sz="0" w:space="0" w:color="auto"/>
        <w:bottom w:val="none" w:sz="0" w:space="0" w:color="auto"/>
        <w:right w:val="none" w:sz="0" w:space="0" w:color="auto"/>
      </w:divBdr>
    </w:div>
    <w:div w:id="1430539671">
      <w:marLeft w:val="0"/>
      <w:marRight w:val="0"/>
      <w:marTop w:val="0"/>
      <w:marBottom w:val="0"/>
      <w:divBdr>
        <w:top w:val="none" w:sz="0" w:space="0" w:color="auto"/>
        <w:left w:val="none" w:sz="0" w:space="0" w:color="auto"/>
        <w:bottom w:val="none" w:sz="0" w:space="0" w:color="auto"/>
        <w:right w:val="none" w:sz="0" w:space="0" w:color="auto"/>
      </w:divBdr>
      <w:divsChild>
        <w:div w:id="965695510">
          <w:marLeft w:val="0"/>
          <w:marRight w:val="0"/>
          <w:marTop w:val="0"/>
          <w:marBottom w:val="0"/>
          <w:divBdr>
            <w:top w:val="none" w:sz="0" w:space="0" w:color="auto"/>
            <w:left w:val="none" w:sz="0" w:space="0" w:color="auto"/>
            <w:bottom w:val="none" w:sz="0" w:space="0" w:color="auto"/>
            <w:right w:val="none" w:sz="0" w:space="0" w:color="auto"/>
          </w:divBdr>
        </w:div>
      </w:divsChild>
    </w:div>
    <w:div w:id="1432355509">
      <w:marLeft w:val="0"/>
      <w:marRight w:val="0"/>
      <w:marTop w:val="240"/>
      <w:marBottom w:val="0"/>
      <w:divBdr>
        <w:top w:val="none" w:sz="0" w:space="0" w:color="auto"/>
        <w:left w:val="none" w:sz="0" w:space="0" w:color="auto"/>
        <w:bottom w:val="none" w:sz="0" w:space="0" w:color="auto"/>
        <w:right w:val="none" w:sz="0" w:space="0" w:color="auto"/>
      </w:divBdr>
    </w:div>
    <w:div w:id="1434283343">
      <w:marLeft w:val="0"/>
      <w:marRight w:val="0"/>
      <w:marTop w:val="0"/>
      <w:marBottom w:val="150"/>
      <w:divBdr>
        <w:top w:val="none" w:sz="0" w:space="0" w:color="auto"/>
        <w:left w:val="none" w:sz="0" w:space="0" w:color="auto"/>
        <w:bottom w:val="none" w:sz="0" w:space="0" w:color="auto"/>
        <w:right w:val="none" w:sz="0" w:space="0" w:color="auto"/>
      </w:divBdr>
    </w:div>
    <w:div w:id="1435785001">
      <w:marLeft w:val="0"/>
      <w:marRight w:val="0"/>
      <w:marTop w:val="240"/>
      <w:marBottom w:val="0"/>
      <w:divBdr>
        <w:top w:val="none" w:sz="0" w:space="0" w:color="auto"/>
        <w:left w:val="none" w:sz="0" w:space="0" w:color="auto"/>
        <w:bottom w:val="none" w:sz="0" w:space="0" w:color="auto"/>
        <w:right w:val="none" w:sz="0" w:space="0" w:color="auto"/>
      </w:divBdr>
    </w:div>
    <w:div w:id="1436250969">
      <w:marLeft w:val="0"/>
      <w:marRight w:val="0"/>
      <w:marTop w:val="240"/>
      <w:marBottom w:val="240"/>
      <w:divBdr>
        <w:top w:val="none" w:sz="0" w:space="0" w:color="auto"/>
        <w:left w:val="none" w:sz="0" w:space="0" w:color="auto"/>
        <w:bottom w:val="none" w:sz="0" w:space="0" w:color="auto"/>
        <w:right w:val="none" w:sz="0" w:space="0" w:color="auto"/>
      </w:divBdr>
    </w:div>
    <w:div w:id="1436831070">
      <w:marLeft w:val="0"/>
      <w:marRight w:val="0"/>
      <w:marTop w:val="0"/>
      <w:marBottom w:val="0"/>
      <w:divBdr>
        <w:top w:val="none" w:sz="0" w:space="0" w:color="auto"/>
        <w:left w:val="none" w:sz="0" w:space="0" w:color="auto"/>
        <w:bottom w:val="none" w:sz="0" w:space="0" w:color="auto"/>
        <w:right w:val="none" w:sz="0" w:space="0" w:color="auto"/>
      </w:divBdr>
      <w:divsChild>
        <w:div w:id="1485202815">
          <w:marLeft w:val="0"/>
          <w:marRight w:val="0"/>
          <w:marTop w:val="0"/>
          <w:marBottom w:val="0"/>
          <w:divBdr>
            <w:top w:val="none" w:sz="0" w:space="0" w:color="auto"/>
            <w:left w:val="none" w:sz="0" w:space="0" w:color="auto"/>
            <w:bottom w:val="none" w:sz="0" w:space="0" w:color="auto"/>
            <w:right w:val="none" w:sz="0" w:space="0" w:color="auto"/>
          </w:divBdr>
        </w:div>
      </w:divsChild>
    </w:div>
    <w:div w:id="1438213903">
      <w:marLeft w:val="0"/>
      <w:marRight w:val="0"/>
      <w:marTop w:val="240"/>
      <w:marBottom w:val="240"/>
      <w:divBdr>
        <w:top w:val="none" w:sz="0" w:space="0" w:color="auto"/>
        <w:left w:val="none" w:sz="0" w:space="0" w:color="auto"/>
        <w:bottom w:val="none" w:sz="0" w:space="0" w:color="auto"/>
        <w:right w:val="none" w:sz="0" w:space="0" w:color="auto"/>
      </w:divBdr>
    </w:div>
    <w:div w:id="1438602521">
      <w:marLeft w:val="0"/>
      <w:marRight w:val="0"/>
      <w:marTop w:val="0"/>
      <w:marBottom w:val="240"/>
      <w:divBdr>
        <w:top w:val="none" w:sz="0" w:space="0" w:color="auto"/>
        <w:left w:val="none" w:sz="0" w:space="0" w:color="auto"/>
        <w:bottom w:val="none" w:sz="0" w:space="0" w:color="auto"/>
        <w:right w:val="none" w:sz="0" w:space="0" w:color="auto"/>
      </w:divBdr>
    </w:div>
    <w:div w:id="1439446768">
      <w:marLeft w:val="0"/>
      <w:marRight w:val="0"/>
      <w:marTop w:val="240"/>
      <w:marBottom w:val="0"/>
      <w:divBdr>
        <w:top w:val="none" w:sz="0" w:space="0" w:color="auto"/>
        <w:left w:val="none" w:sz="0" w:space="0" w:color="auto"/>
        <w:bottom w:val="none" w:sz="0" w:space="0" w:color="auto"/>
        <w:right w:val="none" w:sz="0" w:space="0" w:color="auto"/>
      </w:divBdr>
    </w:div>
    <w:div w:id="1440561384">
      <w:marLeft w:val="0"/>
      <w:marRight w:val="0"/>
      <w:marTop w:val="0"/>
      <w:marBottom w:val="120"/>
      <w:divBdr>
        <w:top w:val="none" w:sz="0" w:space="0" w:color="auto"/>
        <w:left w:val="none" w:sz="0" w:space="0" w:color="auto"/>
        <w:bottom w:val="none" w:sz="0" w:space="0" w:color="auto"/>
        <w:right w:val="none" w:sz="0" w:space="0" w:color="auto"/>
      </w:divBdr>
    </w:div>
    <w:div w:id="1443768644">
      <w:marLeft w:val="0"/>
      <w:marRight w:val="0"/>
      <w:marTop w:val="240"/>
      <w:marBottom w:val="0"/>
      <w:divBdr>
        <w:top w:val="none" w:sz="0" w:space="0" w:color="auto"/>
        <w:left w:val="none" w:sz="0" w:space="0" w:color="auto"/>
        <w:bottom w:val="none" w:sz="0" w:space="0" w:color="auto"/>
        <w:right w:val="none" w:sz="0" w:space="0" w:color="auto"/>
      </w:divBdr>
    </w:div>
    <w:div w:id="1446072501">
      <w:marLeft w:val="0"/>
      <w:marRight w:val="0"/>
      <w:marTop w:val="240"/>
      <w:marBottom w:val="0"/>
      <w:divBdr>
        <w:top w:val="none" w:sz="0" w:space="0" w:color="auto"/>
        <w:left w:val="none" w:sz="0" w:space="0" w:color="auto"/>
        <w:bottom w:val="none" w:sz="0" w:space="0" w:color="auto"/>
        <w:right w:val="none" w:sz="0" w:space="0" w:color="auto"/>
      </w:divBdr>
    </w:div>
    <w:div w:id="1453283669">
      <w:marLeft w:val="0"/>
      <w:marRight w:val="0"/>
      <w:marTop w:val="240"/>
      <w:marBottom w:val="0"/>
      <w:divBdr>
        <w:top w:val="none" w:sz="0" w:space="0" w:color="auto"/>
        <w:left w:val="none" w:sz="0" w:space="0" w:color="auto"/>
        <w:bottom w:val="none" w:sz="0" w:space="0" w:color="auto"/>
        <w:right w:val="none" w:sz="0" w:space="0" w:color="auto"/>
      </w:divBdr>
    </w:div>
    <w:div w:id="1460606436">
      <w:marLeft w:val="0"/>
      <w:marRight w:val="0"/>
      <w:marTop w:val="240"/>
      <w:marBottom w:val="0"/>
      <w:divBdr>
        <w:top w:val="none" w:sz="0" w:space="0" w:color="auto"/>
        <w:left w:val="none" w:sz="0" w:space="0" w:color="auto"/>
        <w:bottom w:val="none" w:sz="0" w:space="0" w:color="auto"/>
        <w:right w:val="none" w:sz="0" w:space="0" w:color="auto"/>
      </w:divBdr>
    </w:div>
    <w:div w:id="1466656397">
      <w:marLeft w:val="0"/>
      <w:marRight w:val="0"/>
      <w:marTop w:val="0"/>
      <w:marBottom w:val="0"/>
      <w:divBdr>
        <w:top w:val="none" w:sz="0" w:space="0" w:color="auto"/>
        <w:left w:val="none" w:sz="0" w:space="0" w:color="auto"/>
        <w:bottom w:val="none" w:sz="0" w:space="0" w:color="auto"/>
        <w:right w:val="none" w:sz="0" w:space="0" w:color="auto"/>
      </w:divBdr>
      <w:divsChild>
        <w:div w:id="2142309299">
          <w:marLeft w:val="0"/>
          <w:marRight w:val="0"/>
          <w:marTop w:val="0"/>
          <w:marBottom w:val="0"/>
          <w:divBdr>
            <w:top w:val="none" w:sz="0" w:space="0" w:color="auto"/>
            <w:left w:val="none" w:sz="0" w:space="0" w:color="auto"/>
            <w:bottom w:val="none" w:sz="0" w:space="0" w:color="auto"/>
            <w:right w:val="none" w:sz="0" w:space="0" w:color="auto"/>
          </w:divBdr>
        </w:div>
      </w:divsChild>
    </w:div>
    <w:div w:id="1468860798">
      <w:marLeft w:val="0"/>
      <w:marRight w:val="0"/>
      <w:marTop w:val="240"/>
      <w:marBottom w:val="240"/>
      <w:divBdr>
        <w:top w:val="none" w:sz="0" w:space="0" w:color="auto"/>
        <w:left w:val="none" w:sz="0" w:space="0" w:color="auto"/>
        <w:bottom w:val="none" w:sz="0" w:space="0" w:color="auto"/>
        <w:right w:val="none" w:sz="0" w:space="0" w:color="auto"/>
      </w:divBdr>
    </w:div>
    <w:div w:id="1472209089">
      <w:marLeft w:val="0"/>
      <w:marRight w:val="0"/>
      <w:marTop w:val="240"/>
      <w:marBottom w:val="0"/>
      <w:divBdr>
        <w:top w:val="none" w:sz="0" w:space="0" w:color="auto"/>
        <w:left w:val="none" w:sz="0" w:space="0" w:color="auto"/>
        <w:bottom w:val="none" w:sz="0" w:space="0" w:color="auto"/>
        <w:right w:val="none" w:sz="0" w:space="0" w:color="auto"/>
      </w:divBdr>
    </w:div>
    <w:div w:id="1473134257">
      <w:marLeft w:val="0"/>
      <w:marRight w:val="0"/>
      <w:marTop w:val="0"/>
      <w:marBottom w:val="240"/>
      <w:divBdr>
        <w:top w:val="none" w:sz="0" w:space="0" w:color="auto"/>
        <w:left w:val="none" w:sz="0" w:space="0" w:color="auto"/>
        <w:bottom w:val="none" w:sz="0" w:space="0" w:color="auto"/>
        <w:right w:val="none" w:sz="0" w:space="0" w:color="auto"/>
      </w:divBdr>
    </w:div>
    <w:div w:id="1473870352">
      <w:marLeft w:val="0"/>
      <w:marRight w:val="0"/>
      <w:marTop w:val="240"/>
      <w:marBottom w:val="0"/>
      <w:divBdr>
        <w:top w:val="none" w:sz="0" w:space="0" w:color="auto"/>
        <w:left w:val="none" w:sz="0" w:space="0" w:color="auto"/>
        <w:bottom w:val="none" w:sz="0" w:space="0" w:color="auto"/>
        <w:right w:val="none" w:sz="0" w:space="0" w:color="auto"/>
      </w:divBdr>
    </w:div>
    <w:div w:id="1475026471">
      <w:marLeft w:val="0"/>
      <w:marRight w:val="0"/>
      <w:marTop w:val="240"/>
      <w:marBottom w:val="0"/>
      <w:divBdr>
        <w:top w:val="none" w:sz="0" w:space="0" w:color="auto"/>
        <w:left w:val="none" w:sz="0" w:space="0" w:color="auto"/>
        <w:bottom w:val="none" w:sz="0" w:space="0" w:color="auto"/>
        <w:right w:val="none" w:sz="0" w:space="0" w:color="auto"/>
      </w:divBdr>
    </w:div>
    <w:div w:id="1475368947">
      <w:marLeft w:val="0"/>
      <w:marRight w:val="0"/>
      <w:marTop w:val="20"/>
      <w:marBottom w:val="0"/>
      <w:divBdr>
        <w:top w:val="none" w:sz="0" w:space="0" w:color="auto"/>
        <w:left w:val="none" w:sz="0" w:space="0" w:color="auto"/>
        <w:bottom w:val="none" w:sz="0" w:space="0" w:color="auto"/>
        <w:right w:val="none" w:sz="0" w:space="0" w:color="auto"/>
      </w:divBdr>
    </w:div>
    <w:div w:id="1476600229">
      <w:marLeft w:val="0"/>
      <w:marRight w:val="0"/>
      <w:marTop w:val="0"/>
      <w:marBottom w:val="240"/>
      <w:divBdr>
        <w:top w:val="none" w:sz="0" w:space="0" w:color="auto"/>
        <w:left w:val="none" w:sz="0" w:space="0" w:color="auto"/>
        <w:bottom w:val="none" w:sz="0" w:space="0" w:color="auto"/>
        <w:right w:val="none" w:sz="0" w:space="0" w:color="auto"/>
      </w:divBdr>
    </w:div>
    <w:div w:id="1479951885">
      <w:marLeft w:val="0"/>
      <w:marRight w:val="0"/>
      <w:marTop w:val="0"/>
      <w:marBottom w:val="240"/>
      <w:divBdr>
        <w:top w:val="none" w:sz="0" w:space="0" w:color="auto"/>
        <w:left w:val="none" w:sz="0" w:space="0" w:color="auto"/>
        <w:bottom w:val="none" w:sz="0" w:space="0" w:color="auto"/>
        <w:right w:val="none" w:sz="0" w:space="0" w:color="auto"/>
      </w:divBdr>
    </w:div>
    <w:div w:id="1480728074">
      <w:marLeft w:val="0"/>
      <w:marRight w:val="0"/>
      <w:marTop w:val="240"/>
      <w:marBottom w:val="240"/>
      <w:divBdr>
        <w:top w:val="none" w:sz="0" w:space="0" w:color="auto"/>
        <w:left w:val="none" w:sz="0" w:space="0" w:color="auto"/>
        <w:bottom w:val="none" w:sz="0" w:space="0" w:color="auto"/>
        <w:right w:val="none" w:sz="0" w:space="0" w:color="auto"/>
      </w:divBdr>
    </w:div>
    <w:div w:id="1487546358">
      <w:marLeft w:val="0"/>
      <w:marRight w:val="0"/>
      <w:marTop w:val="0"/>
      <w:marBottom w:val="0"/>
      <w:divBdr>
        <w:top w:val="none" w:sz="0" w:space="0" w:color="auto"/>
        <w:left w:val="none" w:sz="0" w:space="0" w:color="auto"/>
        <w:bottom w:val="none" w:sz="0" w:space="0" w:color="auto"/>
        <w:right w:val="none" w:sz="0" w:space="0" w:color="auto"/>
      </w:divBdr>
    </w:div>
    <w:div w:id="1495607505">
      <w:marLeft w:val="0"/>
      <w:marRight w:val="0"/>
      <w:marTop w:val="0"/>
      <w:marBottom w:val="0"/>
      <w:divBdr>
        <w:top w:val="none" w:sz="0" w:space="0" w:color="auto"/>
        <w:left w:val="none" w:sz="0" w:space="0" w:color="auto"/>
        <w:bottom w:val="none" w:sz="0" w:space="0" w:color="auto"/>
        <w:right w:val="none" w:sz="0" w:space="0" w:color="auto"/>
      </w:divBdr>
    </w:div>
    <w:div w:id="1497107581">
      <w:marLeft w:val="0"/>
      <w:marRight w:val="0"/>
      <w:marTop w:val="0"/>
      <w:marBottom w:val="0"/>
      <w:divBdr>
        <w:top w:val="none" w:sz="0" w:space="0" w:color="auto"/>
        <w:left w:val="none" w:sz="0" w:space="0" w:color="auto"/>
        <w:bottom w:val="none" w:sz="0" w:space="0" w:color="auto"/>
        <w:right w:val="none" w:sz="0" w:space="0" w:color="auto"/>
      </w:divBdr>
      <w:divsChild>
        <w:div w:id="1154760657">
          <w:marLeft w:val="0"/>
          <w:marRight w:val="0"/>
          <w:marTop w:val="0"/>
          <w:marBottom w:val="0"/>
          <w:divBdr>
            <w:top w:val="none" w:sz="0" w:space="0" w:color="auto"/>
            <w:left w:val="none" w:sz="0" w:space="0" w:color="auto"/>
            <w:bottom w:val="none" w:sz="0" w:space="0" w:color="auto"/>
            <w:right w:val="none" w:sz="0" w:space="0" w:color="auto"/>
          </w:divBdr>
        </w:div>
      </w:divsChild>
    </w:div>
    <w:div w:id="1500078624">
      <w:marLeft w:val="0"/>
      <w:marRight w:val="0"/>
      <w:marTop w:val="0"/>
      <w:marBottom w:val="0"/>
      <w:divBdr>
        <w:top w:val="none" w:sz="0" w:space="0" w:color="auto"/>
        <w:left w:val="none" w:sz="0" w:space="0" w:color="auto"/>
        <w:bottom w:val="none" w:sz="0" w:space="0" w:color="auto"/>
        <w:right w:val="none" w:sz="0" w:space="0" w:color="auto"/>
      </w:divBdr>
      <w:divsChild>
        <w:div w:id="680939167">
          <w:marLeft w:val="0"/>
          <w:marRight w:val="0"/>
          <w:marTop w:val="0"/>
          <w:marBottom w:val="0"/>
          <w:divBdr>
            <w:top w:val="none" w:sz="0" w:space="0" w:color="auto"/>
            <w:left w:val="none" w:sz="0" w:space="0" w:color="auto"/>
            <w:bottom w:val="none" w:sz="0" w:space="0" w:color="auto"/>
            <w:right w:val="none" w:sz="0" w:space="0" w:color="auto"/>
          </w:divBdr>
        </w:div>
      </w:divsChild>
    </w:div>
    <w:div w:id="1500347564">
      <w:marLeft w:val="0"/>
      <w:marRight w:val="0"/>
      <w:marTop w:val="240"/>
      <w:marBottom w:val="0"/>
      <w:divBdr>
        <w:top w:val="none" w:sz="0" w:space="0" w:color="auto"/>
        <w:left w:val="none" w:sz="0" w:space="0" w:color="auto"/>
        <w:bottom w:val="none" w:sz="0" w:space="0" w:color="auto"/>
        <w:right w:val="none" w:sz="0" w:space="0" w:color="auto"/>
      </w:divBdr>
    </w:div>
    <w:div w:id="1500996588">
      <w:marLeft w:val="0"/>
      <w:marRight w:val="0"/>
      <w:marTop w:val="0"/>
      <w:marBottom w:val="0"/>
      <w:divBdr>
        <w:top w:val="none" w:sz="0" w:space="0" w:color="auto"/>
        <w:left w:val="none" w:sz="0" w:space="0" w:color="auto"/>
        <w:bottom w:val="none" w:sz="0" w:space="0" w:color="auto"/>
        <w:right w:val="none" w:sz="0" w:space="0" w:color="auto"/>
      </w:divBdr>
      <w:divsChild>
        <w:div w:id="1059667564">
          <w:marLeft w:val="0"/>
          <w:marRight w:val="0"/>
          <w:marTop w:val="0"/>
          <w:marBottom w:val="0"/>
          <w:divBdr>
            <w:top w:val="none" w:sz="0" w:space="0" w:color="auto"/>
            <w:left w:val="none" w:sz="0" w:space="0" w:color="auto"/>
            <w:bottom w:val="none" w:sz="0" w:space="0" w:color="auto"/>
            <w:right w:val="none" w:sz="0" w:space="0" w:color="auto"/>
          </w:divBdr>
        </w:div>
      </w:divsChild>
    </w:div>
    <w:div w:id="1505899701">
      <w:marLeft w:val="0"/>
      <w:marRight w:val="0"/>
      <w:marTop w:val="0"/>
      <w:marBottom w:val="240"/>
      <w:divBdr>
        <w:top w:val="none" w:sz="0" w:space="0" w:color="auto"/>
        <w:left w:val="none" w:sz="0" w:space="0" w:color="auto"/>
        <w:bottom w:val="none" w:sz="0" w:space="0" w:color="auto"/>
        <w:right w:val="none" w:sz="0" w:space="0" w:color="auto"/>
      </w:divBdr>
    </w:div>
    <w:div w:id="1507402799">
      <w:marLeft w:val="0"/>
      <w:marRight w:val="0"/>
      <w:marTop w:val="240"/>
      <w:marBottom w:val="0"/>
      <w:divBdr>
        <w:top w:val="none" w:sz="0" w:space="0" w:color="auto"/>
        <w:left w:val="none" w:sz="0" w:space="0" w:color="auto"/>
        <w:bottom w:val="none" w:sz="0" w:space="0" w:color="auto"/>
        <w:right w:val="none" w:sz="0" w:space="0" w:color="auto"/>
      </w:divBdr>
    </w:div>
    <w:div w:id="1512068330">
      <w:marLeft w:val="0"/>
      <w:marRight w:val="0"/>
      <w:marTop w:val="240"/>
      <w:marBottom w:val="240"/>
      <w:divBdr>
        <w:top w:val="none" w:sz="0" w:space="0" w:color="auto"/>
        <w:left w:val="none" w:sz="0" w:space="0" w:color="auto"/>
        <w:bottom w:val="none" w:sz="0" w:space="0" w:color="auto"/>
        <w:right w:val="none" w:sz="0" w:space="0" w:color="auto"/>
      </w:divBdr>
    </w:div>
    <w:div w:id="1516655335">
      <w:marLeft w:val="0"/>
      <w:marRight w:val="0"/>
      <w:marTop w:val="0"/>
      <w:marBottom w:val="0"/>
      <w:divBdr>
        <w:top w:val="none" w:sz="0" w:space="0" w:color="auto"/>
        <w:left w:val="none" w:sz="0" w:space="0" w:color="auto"/>
        <w:bottom w:val="none" w:sz="0" w:space="0" w:color="auto"/>
        <w:right w:val="none" w:sz="0" w:space="0" w:color="auto"/>
      </w:divBdr>
      <w:divsChild>
        <w:div w:id="1098260601">
          <w:marLeft w:val="0"/>
          <w:marRight w:val="0"/>
          <w:marTop w:val="0"/>
          <w:marBottom w:val="0"/>
          <w:divBdr>
            <w:top w:val="none" w:sz="0" w:space="0" w:color="auto"/>
            <w:left w:val="none" w:sz="0" w:space="0" w:color="auto"/>
            <w:bottom w:val="none" w:sz="0" w:space="0" w:color="auto"/>
            <w:right w:val="none" w:sz="0" w:space="0" w:color="auto"/>
          </w:divBdr>
        </w:div>
      </w:divsChild>
    </w:div>
    <w:div w:id="1519923598">
      <w:marLeft w:val="0"/>
      <w:marRight w:val="0"/>
      <w:marTop w:val="240"/>
      <w:marBottom w:val="0"/>
      <w:divBdr>
        <w:top w:val="none" w:sz="0" w:space="0" w:color="auto"/>
        <w:left w:val="none" w:sz="0" w:space="0" w:color="auto"/>
        <w:bottom w:val="none" w:sz="0" w:space="0" w:color="auto"/>
        <w:right w:val="none" w:sz="0" w:space="0" w:color="auto"/>
      </w:divBdr>
    </w:div>
    <w:div w:id="1526869990">
      <w:marLeft w:val="0"/>
      <w:marRight w:val="0"/>
      <w:marTop w:val="0"/>
      <w:marBottom w:val="120"/>
      <w:divBdr>
        <w:top w:val="none" w:sz="0" w:space="0" w:color="auto"/>
        <w:left w:val="none" w:sz="0" w:space="0" w:color="auto"/>
        <w:bottom w:val="none" w:sz="0" w:space="0" w:color="auto"/>
        <w:right w:val="none" w:sz="0" w:space="0" w:color="auto"/>
      </w:divBdr>
    </w:div>
    <w:div w:id="1529443849">
      <w:marLeft w:val="0"/>
      <w:marRight w:val="0"/>
      <w:marTop w:val="240"/>
      <w:marBottom w:val="0"/>
      <w:divBdr>
        <w:top w:val="none" w:sz="0" w:space="0" w:color="auto"/>
        <w:left w:val="none" w:sz="0" w:space="0" w:color="auto"/>
        <w:bottom w:val="none" w:sz="0" w:space="0" w:color="auto"/>
        <w:right w:val="none" w:sz="0" w:space="0" w:color="auto"/>
      </w:divBdr>
    </w:div>
    <w:div w:id="1531452437">
      <w:marLeft w:val="0"/>
      <w:marRight w:val="0"/>
      <w:marTop w:val="0"/>
      <w:marBottom w:val="0"/>
      <w:divBdr>
        <w:top w:val="none" w:sz="0" w:space="0" w:color="auto"/>
        <w:left w:val="none" w:sz="0" w:space="0" w:color="auto"/>
        <w:bottom w:val="none" w:sz="0" w:space="0" w:color="auto"/>
        <w:right w:val="none" w:sz="0" w:space="0" w:color="auto"/>
      </w:divBdr>
    </w:div>
    <w:div w:id="1533836046">
      <w:marLeft w:val="0"/>
      <w:marRight w:val="0"/>
      <w:marTop w:val="0"/>
      <w:marBottom w:val="0"/>
      <w:divBdr>
        <w:top w:val="none" w:sz="0" w:space="0" w:color="auto"/>
        <w:left w:val="none" w:sz="0" w:space="0" w:color="auto"/>
        <w:bottom w:val="none" w:sz="0" w:space="0" w:color="auto"/>
        <w:right w:val="none" w:sz="0" w:space="0" w:color="auto"/>
      </w:divBdr>
      <w:divsChild>
        <w:div w:id="266232711">
          <w:marLeft w:val="0"/>
          <w:marRight w:val="0"/>
          <w:marTop w:val="0"/>
          <w:marBottom w:val="0"/>
          <w:divBdr>
            <w:top w:val="none" w:sz="0" w:space="0" w:color="auto"/>
            <w:left w:val="none" w:sz="0" w:space="0" w:color="auto"/>
            <w:bottom w:val="none" w:sz="0" w:space="0" w:color="auto"/>
            <w:right w:val="none" w:sz="0" w:space="0" w:color="auto"/>
          </w:divBdr>
        </w:div>
      </w:divsChild>
    </w:div>
    <w:div w:id="1534922670">
      <w:marLeft w:val="0"/>
      <w:marRight w:val="0"/>
      <w:marTop w:val="0"/>
      <w:marBottom w:val="240"/>
      <w:divBdr>
        <w:top w:val="none" w:sz="0" w:space="0" w:color="auto"/>
        <w:left w:val="none" w:sz="0" w:space="0" w:color="auto"/>
        <w:bottom w:val="none" w:sz="0" w:space="0" w:color="auto"/>
        <w:right w:val="none" w:sz="0" w:space="0" w:color="auto"/>
      </w:divBdr>
    </w:div>
    <w:div w:id="1535578585">
      <w:marLeft w:val="0"/>
      <w:marRight w:val="0"/>
      <w:marTop w:val="0"/>
      <w:marBottom w:val="0"/>
      <w:divBdr>
        <w:top w:val="none" w:sz="0" w:space="0" w:color="auto"/>
        <w:left w:val="none" w:sz="0" w:space="0" w:color="auto"/>
        <w:bottom w:val="none" w:sz="0" w:space="0" w:color="auto"/>
        <w:right w:val="none" w:sz="0" w:space="0" w:color="auto"/>
      </w:divBdr>
      <w:divsChild>
        <w:div w:id="1372342997">
          <w:marLeft w:val="0"/>
          <w:marRight w:val="0"/>
          <w:marTop w:val="0"/>
          <w:marBottom w:val="0"/>
          <w:divBdr>
            <w:top w:val="none" w:sz="0" w:space="0" w:color="auto"/>
            <w:left w:val="none" w:sz="0" w:space="0" w:color="auto"/>
            <w:bottom w:val="none" w:sz="0" w:space="0" w:color="auto"/>
            <w:right w:val="none" w:sz="0" w:space="0" w:color="auto"/>
          </w:divBdr>
        </w:div>
      </w:divsChild>
    </w:div>
    <w:div w:id="1536962479">
      <w:marLeft w:val="0"/>
      <w:marRight w:val="0"/>
      <w:marTop w:val="240"/>
      <w:marBottom w:val="0"/>
      <w:divBdr>
        <w:top w:val="none" w:sz="0" w:space="0" w:color="auto"/>
        <w:left w:val="none" w:sz="0" w:space="0" w:color="auto"/>
        <w:bottom w:val="none" w:sz="0" w:space="0" w:color="auto"/>
        <w:right w:val="none" w:sz="0" w:space="0" w:color="auto"/>
      </w:divBdr>
    </w:div>
    <w:div w:id="1539780456">
      <w:marLeft w:val="0"/>
      <w:marRight w:val="0"/>
      <w:marTop w:val="240"/>
      <w:marBottom w:val="0"/>
      <w:divBdr>
        <w:top w:val="none" w:sz="0" w:space="0" w:color="auto"/>
        <w:left w:val="none" w:sz="0" w:space="0" w:color="auto"/>
        <w:bottom w:val="none" w:sz="0" w:space="0" w:color="auto"/>
        <w:right w:val="none" w:sz="0" w:space="0" w:color="auto"/>
      </w:divBdr>
    </w:div>
    <w:div w:id="1542133324">
      <w:marLeft w:val="0"/>
      <w:marRight w:val="0"/>
      <w:marTop w:val="0"/>
      <w:marBottom w:val="0"/>
      <w:divBdr>
        <w:top w:val="none" w:sz="0" w:space="0" w:color="auto"/>
        <w:left w:val="none" w:sz="0" w:space="0" w:color="auto"/>
        <w:bottom w:val="none" w:sz="0" w:space="0" w:color="auto"/>
        <w:right w:val="none" w:sz="0" w:space="0" w:color="auto"/>
      </w:divBdr>
    </w:div>
    <w:div w:id="1551263684">
      <w:marLeft w:val="0"/>
      <w:marRight w:val="0"/>
      <w:marTop w:val="240"/>
      <w:marBottom w:val="0"/>
      <w:divBdr>
        <w:top w:val="none" w:sz="0" w:space="0" w:color="auto"/>
        <w:left w:val="none" w:sz="0" w:space="0" w:color="auto"/>
        <w:bottom w:val="none" w:sz="0" w:space="0" w:color="auto"/>
        <w:right w:val="none" w:sz="0" w:space="0" w:color="auto"/>
      </w:divBdr>
    </w:div>
    <w:div w:id="1553224830">
      <w:marLeft w:val="0"/>
      <w:marRight w:val="0"/>
      <w:marTop w:val="0"/>
      <w:marBottom w:val="200"/>
      <w:divBdr>
        <w:top w:val="none" w:sz="0" w:space="0" w:color="auto"/>
        <w:left w:val="none" w:sz="0" w:space="0" w:color="auto"/>
        <w:bottom w:val="none" w:sz="0" w:space="0" w:color="auto"/>
        <w:right w:val="none" w:sz="0" w:space="0" w:color="auto"/>
      </w:divBdr>
    </w:div>
    <w:div w:id="1553692711">
      <w:marLeft w:val="0"/>
      <w:marRight w:val="0"/>
      <w:marTop w:val="240"/>
      <w:marBottom w:val="0"/>
      <w:divBdr>
        <w:top w:val="none" w:sz="0" w:space="0" w:color="auto"/>
        <w:left w:val="none" w:sz="0" w:space="0" w:color="auto"/>
        <w:bottom w:val="none" w:sz="0" w:space="0" w:color="auto"/>
        <w:right w:val="none" w:sz="0" w:space="0" w:color="auto"/>
      </w:divBdr>
    </w:div>
    <w:div w:id="1553998208">
      <w:marLeft w:val="0"/>
      <w:marRight w:val="0"/>
      <w:marTop w:val="240"/>
      <w:marBottom w:val="0"/>
      <w:divBdr>
        <w:top w:val="none" w:sz="0" w:space="0" w:color="auto"/>
        <w:left w:val="none" w:sz="0" w:space="0" w:color="auto"/>
        <w:bottom w:val="none" w:sz="0" w:space="0" w:color="auto"/>
        <w:right w:val="none" w:sz="0" w:space="0" w:color="auto"/>
      </w:divBdr>
    </w:div>
    <w:div w:id="1557546635">
      <w:marLeft w:val="0"/>
      <w:marRight w:val="0"/>
      <w:marTop w:val="0"/>
      <w:marBottom w:val="240"/>
      <w:divBdr>
        <w:top w:val="none" w:sz="0" w:space="0" w:color="auto"/>
        <w:left w:val="none" w:sz="0" w:space="0" w:color="auto"/>
        <w:bottom w:val="none" w:sz="0" w:space="0" w:color="auto"/>
        <w:right w:val="none" w:sz="0" w:space="0" w:color="auto"/>
      </w:divBdr>
    </w:div>
    <w:div w:id="1557819542">
      <w:marLeft w:val="0"/>
      <w:marRight w:val="0"/>
      <w:marTop w:val="240"/>
      <w:marBottom w:val="0"/>
      <w:divBdr>
        <w:top w:val="none" w:sz="0" w:space="0" w:color="auto"/>
        <w:left w:val="none" w:sz="0" w:space="0" w:color="auto"/>
        <w:bottom w:val="none" w:sz="0" w:space="0" w:color="auto"/>
        <w:right w:val="none" w:sz="0" w:space="0" w:color="auto"/>
      </w:divBdr>
    </w:div>
    <w:div w:id="1558056174">
      <w:marLeft w:val="0"/>
      <w:marRight w:val="0"/>
      <w:marTop w:val="240"/>
      <w:marBottom w:val="0"/>
      <w:divBdr>
        <w:top w:val="none" w:sz="0" w:space="0" w:color="auto"/>
        <w:left w:val="none" w:sz="0" w:space="0" w:color="auto"/>
        <w:bottom w:val="none" w:sz="0" w:space="0" w:color="auto"/>
        <w:right w:val="none" w:sz="0" w:space="0" w:color="auto"/>
      </w:divBdr>
    </w:div>
    <w:div w:id="1562128978">
      <w:marLeft w:val="0"/>
      <w:marRight w:val="0"/>
      <w:marTop w:val="240"/>
      <w:marBottom w:val="0"/>
      <w:divBdr>
        <w:top w:val="none" w:sz="0" w:space="0" w:color="auto"/>
        <w:left w:val="none" w:sz="0" w:space="0" w:color="auto"/>
        <w:bottom w:val="none" w:sz="0" w:space="0" w:color="auto"/>
        <w:right w:val="none" w:sz="0" w:space="0" w:color="auto"/>
      </w:divBdr>
    </w:div>
    <w:div w:id="1562251032">
      <w:marLeft w:val="0"/>
      <w:marRight w:val="0"/>
      <w:marTop w:val="240"/>
      <w:marBottom w:val="0"/>
      <w:divBdr>
        <w:top w:val="none" w:sz="0" w:space="0" w:color="auto"/>
        <w:left w:val="none" w:sz="0" w:space="0" w:color="auto"/>
        <w:bottom w:val="none" w:sz="0" w:space="0" w:color="auto"/>
        <w:right w:val="none" w:sz="0" w:space="0" w:color="auto"/>
      </w:divBdr>
    </w:div>
    <w:div w:id="1562785052">
      <w:marLeft w:val="0"/>
      <w:marRight w:val="0"/>
      <w:marTop w:val="0"/>
      <w:marBottom w:val="0"/>
      <w:divBdr>
        <w:top w:val="none" w:sz="0" w:space="0" w:color="auto"/>
        <w:left w:val="none" w:sz="0" w:space="0" w:color="auto"/>
        <w:bottom w:val="none" w:sz="0" w:space="0" w:color="auto"/>
        <w:right w:val="none" w:sz="0" w:space="0" w:color="auto"/>
      </w:divBdr>
      <w:divsChild>
        <w:div w:id="1530296050">
          <w:marLeft w:val="0"/>
          <w:marRight w:val="0"/>
          <w:marTop w:val="0"/>
          <w:marBottom w:val="0"/>
          <w:divBdr>
            <w:top w:val="none" w:sz="0" w:space="0" w:color="auto"/>
            <w:left w:val="none" w:sz="0" w:space="0" w:color="auto"/>
            <w:bottom w:val="none" w:sz="0" w:space="0" w:color="auto"/>
            <w:right w:val="none" w:sz="0" w:space="0" w:color="auto"/>
          </w:divBdr>
        </w:div>
      </w:divsChild>
    </w:div>
    <w:div w:id="1563905100">
      <w:marLeft w:val="0"/>
      <w:marRight w:val="0"/>
      <w:marTop w:val="240"/>
      <w:marBottom w:val="0"/>
      <w:divBdr>
        <w:top w:val="none" w:sz="0" w:space="0" w:color="auto"/>
        <w:left w:val="none" w:sz="0" w:space="0" w:color="auto"/>
        <w:bottom w:val="none" w:sz="0" w:space="0" w:color="auto"/>
        <w:right w:val="none" w:sz="0" w:space="0" w:color="auto"/>
      </w:divBdr>
    </w:div>
    <w:div w:id="1567062474">
      <w:marLeft w:val="0"/>
      <w:marRight w:val="0"/>
      <w:marTop w:val="0"/>
      <w:marBottom w:val="240"/>
      <w:divBdr>
        <w:top w:val="none" w:sz="0" w:space="0" w:color="auto"/>
        <w:left w:val="none" w:sz="0" w:space="0" w:color="auto"/>
        <w:bottom w:val="none" w:sz="0" w:space="0" w:color="auto"/>
        <w:right w:val="none" w:sz="0" w:space="0" w:color="auto"/>
      </w:divBdr>
    </w:div>
    <w:div w:id="1567883324">
      <w:marLeft w:val="0"/>
      <w:marRight w:val="0"/>
      <w:marTop w:val="240"/>
      <w:marBottom w:val="0"/>
      <w:divBdr>
        <w:top w:val="none" w:sz="0" w:space="0" w:color="auto"/>
        <w:left w:val="none" w:sz="0" w:space="0" w:color="auto"/>
        <w:bottom w:val="none" w:sz="0" w:space="0" w:color="auto"/>
        <w:right w:val="none" w:sz="0" w:space="0" w:color="auto"/>
      </w:divBdr>
    </w:div>
    <w:div w:id="1576936436">
      <w:marLeft w:val="0"/>
      <w:marRight w:val="0"/>
      <w:marTop w:val="0"/>
      <w:marBottom w:val="240"/>
      <w:divBdr>
        <w:top w:val="none" w:sz="0" w:space="0" w:color="auto"/>
        <w:left w:val="none" w:sz="0" w:space="0" w:color="auto"/>
        <w:bottom w:val="none" w:sz="0" w:space="0" w:color="auto"/>
        <w:right w:val="none" w:sz="0" w:space="0" w:color="auto"/>
      </w:divBdr>
    </w:div>
    <w:div w:id="1581866232">
      <w:marLeft w:val="0"/>
      <w:marRight w:val="0"/>
      <w:marTop w:val="240"/>
      <w:marBottom w:val="0"/>
      <w:divBdr>
        <w:top w:val="none" w:sz="0" w:space="0" w:color="auto"/>
        <w:left w:val="none" w:sz="0" w:space="0" w:color="auto"/>
        <w:bottom w:val="none" w:sz="0" w:space="0" w:color="auto"/>
        <w:right w:val="none" w:sz="0" w:space="0" w:color="auto"/>
      </w:divBdr>
    </w:div>
    <w:div w:id="1581914661">
      <w:marLeft w:val="0"/>
      <w:marRight w:val="0"/>
      <w:marTop w:val="240"/>
      <w:marBottom w:val="0"/>
      <w:divBdr>
        <w:top w:val="none" w:sz="0" w:space="0" w:color="auto"/>
        <w:left w:val="none" w:sz="0" w:space="0" w:color="auto"/>
        <w:bottom w:val="none" w:sz="0" w:space="0" w:color="auto"/>
        <w:right w:val="none" w:sz="0" w:space="0" w:color="auto"/>
      </w:divBdr>
    </w:div>
    <w:div w:id="1584947268">
      <w:marLeft w:val="0"/>
      <w:marRight w:val="0"/>
      <w:marTop w:val="0"/>
      <w:marBottom w:val="0"/>
      <w:divBdr>
        <w:top w:val="none" w:sz="0" w:space="0" w:color="auto"/>
        <w:left w:val="none" w:sz="0" w:space="0" w:color="auto"/>
        <w:bottom w:val="none" w:sz="0" w:space="0" w:color="auto"/>
        <w:right w:val="none" w:sz="0" w:space="0" w:color="auto"/>
      </w:divBdr>
      <w:divsChild>
        <w:div w:id="1030108032">
          <w:marLeft w:val="0"/>
          <w:marRight w:val="0"/>
          <w:marTop w:val="0"/>
          <w:marBottom w:val="0"/>
          <w:divBdr>
            <w:top w:val="none" w:sz="0" w:space="0" w:color="auto"/>
            <w:left w:val="none" w:sz="0" w:space="0" w:color="auto"/>
            <w:bottom w:val="none" w:sz="0" w:space="0" w:color="auto"/>
            <w:right w:val="none" w:sz="0" w:space="0" w:color="auto"/>
          </w:divBdr>
        </w:div>
      </w:divsChild>
    </w:div>
    <w:div w:id="1585799775">
      <w:marLeft w:val="0"/>
      <w:marRight w:val="0"/>
      <w:marTop w:val="240"/>
      <w:marBottom w:val="0"/>
      <w:divBdr>
        <w:top w:val="none" w:sz="0" w:space="0" w:color="auto"/>
        <w:left w:val="none" w:sz="0" w:space="0" w:color="auto"/>
        <w:bottom w:val="none" w:sz="0" w:space="0" w:color="auto"/>
        <w:right w:val="none" w:sz="0" w:space="0" w:color="auto"/>
      </w:divBdr>
    </w:div>
    <w:div w:id="1586646268">
      <w:marLeft w:val="0"/>
      <w:marRight w:val="0"/>
      <w:marTop w:val="0"/>
      <w:marBottom w:val="0"/>
      <w:divBdr>
        <w:top w:val="none" w:sz="0" w:space="0" w:color="auto"/>
        <w:left w:val="none" w:sz="0" w:space="0" w:color="auto"/>
        <w:bottom w:val="none" w:sz="0" w:space="0" w:color="auto"/>
        <w:right w:val="none" w:sz="0" w:space="0" w:color="auto"/>
      </w:divBdr>
      <w:divsChild>
        <w:div w:id="1469785023">
          <w:marLeft w:val="0"/>
          <w:marRight w:val="0"/>
          <w:marTop w:val="0"/>
          <w:marBottom w:val="0"/>
          <w:divBdr>
            <w:top w:val="none" w:sz="0" w:space="0" w:color="auto"/>
            <w:left w:val="none" w:sz="0" w:space="0" w:color="auto"/>
            <w:bottom w:val="none" w:sz="0" w:space="0" w:color="auto"/>
            <w:right w:val="none" w:sz="0" w:space="0" w:color="auto"/>
          </w:divBdr>
        </w:div>
      </w:divsChild>
    </w:div>
    <w:div w:id="1591044135">
      <w:marLeft w:val="0"/>
      <w:marRight w:val="0"/>
      <w:marTop w:val="0"/>
      <w:marBottom w:val="240"/>
      <w:divBdr>
        <w:top w:val="none" w:sz="0" w:space="0" w:color="auto"/>
        <w:left w:val="none" w:sz="0" w:space="0" w:color="auto"/>
        <w:bottom w:val="none" w:sz="0" w:space="0" w:color="auto"/>
        <w:right w:val="none" w:sz="0" w:space="0" w:color="auto"/>
      </w:divBdr>
    </w:div>
    <w:div w:id="1593316080">
      <w:marLeft w:val="0"/>
      <w:marRight w:val="0"/>
      <w:marTop w:val="240"/>
      <w:marBottom w:val="0"/>
      <w:divBdr>
        <w:top w:val="none" w:sz="0" w:space="0" w:color="auto"/>
        <w:left w:val="none" w:sz="0" w:space="0" w:color="auto"/>
        <w:bottom w:val="none" w:sz="0" w:space="0" w:color="auto"/>
        <w:right w:val="none" w:sz="0" w:space="0" w:color="auto"/>
      </w:divBdr>
    </w:div>
    <w:div w:id="1594511606">
      <w:marLeft w:val="0"/>
      <w:marRight w:val="0"/>
      <w:marTop w:val="0"/>
      <w:marBottom w:val="120"/>
      <w:divBdr>
        <w:top w:val="none" w:sz="0" w:space="0" w:color="auto"/>
        <w:left w:val="none" w:sz="0" w:space="0" w:color="auto"/>
        <w:bottom w:val="none" w:sz="0" w:space="0" w:color="auto"/>
        <w:right w:val="none" w:sz="0" w:space="0" w:color="auto"/>
      </w:divBdr>
    </w:div>
    <w:div w:id="1594708689">
      <w:marLeft w:val="0"/>
      <w:marRight w:val="0"/>
      <w:marTop w:val="0"/>
      <w:marBottom w:val="240"/>
      <w:divBdr>
        <w:top w:val="none" w:sz="0" w:space="0" w:color="auto"/>
        <w:left w:val="none" w:sz="0" w:space="0" w:color="auto"/>
        <w:bottom w:val="none" w:sz="0" w:space="0" w:color="auto"/>
        <w:right w:val="none" w:sz="0" w:space="0" w:color="auto"/>
      </w:divBdr>
    </w:div>
    <w:div w:id="1596396967">
      <w:marLeft w:val="0"/>
      <w:marRight w:val="0"/>
      <w:marTop w:val="120"/>
      <w:marBottom w:val="0"/>
      <w:divBdr>
        <w:top w:val="none" w:sz="0" w:space="0" w:color="auto"/>
        <w:left w:val="none" w:sz="0" w:space="0" w:color="auto"/>
        <w:bottom w:val="none" w:sz="0" w:space="0" w:color="auto"/>
        <w:right w:val="none" w:sz="0" w:space="0" w:color="auto"/>
      </w:divBdr>
    </w:div>
    <w:div w:id="1596744058">
      <w:marLeft w:val="0"/>
      <w:marRight w:val="0"/>
      <w:marTop w:val="0"/>
      <w:marBottom w:val="240"/>
      <w:divBdr>
        <w:top w:val="none" w:sz="0" w:space="0" w:color="auto"/>
        <w:left w:val="none" w:sz="0" w:space="0" w:color="auto"/>
        <w:bottom w:val="none" w:sz="0" w:space="0" w:color="auto"/>
        <w:right w:val="none" w:sz="0" w:space="0" w:color="auto"/>
      </w:divBdr>
    </w:div>
    <w:div w:id="1597785694">
      <w:marLeft w:val="0"/>
      <w:marRight w:val="0"/>
      <w:marTop w:val="0"/>
      <w:marBottom w:val="240"/>
      <w:divBdr>
        <w:top w:val="none" w:sz="0" w:space="0" w:color="auto"/>
        <w:left w:val="none" w:sz="0" w:space="0" w:color="auto"/>
        <w:bottom w:val="none" w:sz="0" w:space="0" w:color="auto"/>
        <w:right w:val="none" w:sz="0" w:space="0" w:color="auto"/>
      </w:divBdr>
    </w:div>
    <w:div w:id="1601718150">
      <w:marLeft w:val="0"/>
      <w:marRight w:val="0"/>
      <w:marTop w:val="0"/>
      <w:marBottom w:val="0"/>
      <w:divBdr>
        <w:top w:val="none" w:sz="0" w:space="0" w:color="auto"/>
        <w:left w:val="none" w:sz="0" w:space="0" w:color="auto"/>
        <w:bottom w:val="none" w:sz="0" w:space="0" w:color="auto"/>
        <w:right w:val="none" w:sz="0" w:space="0" w:color="auto"/>
      </w:divBdr>
      <w:divsChild>
        <w:div w:id="1161308165">
          <w:marLeft w:val="0"/>
          <w:marRight w:val="0"/>
          <w:marTop w:val="0"/>
          <w:marBottom w:val="0"/>
          <w:divBdr>
            <w:top w:val="none" w:sz="0" w:space="0" w:color="auto"/>
            <w:left w:val="none" w:sz="0" w:space="0" w:color="auto"/>
            <w:bottom w:val="none" w:sz="0" w:space="0" w:color="auto"/>
            <w:right w:val="none" w:sz="0" w:space="0" w:color="auto"/>
          </w:divBdr>
        </w:div>
      </w:divsChild>
    </w:div>
    <w:div w:id="1602254648">
      <w:marLeft w:val="0"/>
      <w:marRight w:val="0"/>
      <w:marTop w:val="0"/>
      <w:marBottom w:val="0"/>
      <w:divBdr>
        <w:top w:val="none" w:sz="0" w:space="0" w:color="auto"/>
        <w:left w:val="none" w:sz="0" w:space="0" w:color="auto"/>
        <w:bottom w:val="none" w:sz="0" w:space="0" w:color="auto"/>
        <w:right w:val="none" w:sz="0" w:space="0" w:color="auto"/>
      </w:divBdr>
      <w:divsChild>
        <w:div w:id="1351833051">
          <w:marLeft w:val="0"/>
          <w:marRight w:val="0"/>
          <w:marTop w:val="0"/>
          <w:marBottom w:val="0"/>
          <w:divBdr>
            <w:top w:val="none" w:sz="0" w:space="0" w:color="auto"/>
            <w:left w:val="none" w:sz="0" w:space="0" w:color="auto"/>
            <w:bottom w:val="none" w:sz="0" w:space="0" w:color="auto"/>
            <w:right w:val="none" w:sz="0" w:space="0" w:color="auto"/>
          </w:divBdr>
        </w:div>
      </w:divsChild>
    </w:div>
    <w:div w:id="1602376518">
      <w:marLeft w:val="0"/>
      <w:marRight w:val="0"/>
      <w:marTop w:val="0"/>
      <w:marBottom w:val="0"/>
      <w:divBdr>
        <w:top w:val="none" w:sz="0" w:space="0" w:color="auto"/>
        <w:left w:val="none" w:sz="0" w:space="0" w:color="auto"/>
        <w:bottom w:val="none" w:sz="0" w:space="0" w:color="auto"/>
        <w:right w:val="none" w:sz="0" w:space="0" w:color="auto"/>
      </w:divBdr>
    </w:div>
    <w:div w:id="1602837791">
      <w:marLeft w:val="0"/>
      <w:marRight w:val="0"/>
      <w:marTop w:val="0"/>
      <w:marBottom w:val="0"/>
      <w:divBdr>
        <w:top w:val="none" w:sz="0" w:space="0" w:color="auto"/>
        <w:left w:val="none" w:sz="0" w:space="0" w:color="auto"/>
        <w:bottom w:val="none" w:sz="0" w:space="0" w:color="auto"/>
        <w:right w:val="none" w:sz="0" w:space="0" w:color="auto"/>
      </w:divBdr>
    </w:div>
    <w:div w:id="1606696582">
      <w:marLeft w:val="0"/>
      <w:marRight w:val="0"/>
      <w:marTop w:val="240"/>
      <w:marBottom w:val="0"/>
      <w:divBdr>
        <w:top w:val="none" w:sz="0" w:space="0" w:color="auto"/>
        <w:left w:val="none" w:sz="0" w:space="0" w:color="auto"/>
        <w:bottom w:val="none" w:sz="0" w:space="0" w:color="auto"/>
        <w:right w:val="none" w:sz="0" w:space="0" w:color="auto"/>
      </w:divBdr>
    </w:div>
    <w:div w:id="1609006319">
      <w:marLeft w:val="0"/>
      <w:marRight w:val="0"/>
      <w:marTop w:val="0"/>
      <w:marBottom w:val="120"/>
      <w:divBdr>
        <w:top w:val="none" w:sz="0" w:space="0" w:color="auto"/>
        <w:left w:val="none" w:sz="0" w:space="0" w:color="auto"/>
        <w:bottom w:val="none" w:sz="0" w:space="0" w:color="auto"/>
        <w:right w:val="none" w:sz="0" w:space="0" w:color="auto"/>
      </w:divBdr>
    </w:div>
    <w:div w:id="1609040897">
      <w:marLeft w:val="0"/>
      <w:marRight w:val="0"/>
      <w:marTop w:val="0"/>
      <w:marBottom w:val="240"/>
      <w:divBdr>
        <w:top w:val="none" w:sz="0" w:space="0" w:color="auto"/>
        <w:left w:val="none" w:sz="0" w:space="0" w:color="auto"/>
        <w:bottom w:val="none" w:sz="0" w:space="0" w:color="auto"/>
        <w:right w:val="none" w:sz="0" w:space="0" w:color="auto"/>
      </w:divBdr>
    </w:div>
    <w:div w:id="1611275793">
      <w:marLeft w:val="0"/>
      <w:marRight w:val="0"/>
      <w:marTop w:val="0"/>
      <w:marBottom w:val="240"/>
      <w:divBdr>
        <w:top w:val="none" w:sz="0" w:space="0" w:color="auto"/>
        <w:left w:val="none" w:sz="0" w:space="0" w:color="auto"/>
        <w:bottom w:val="none" w:sz="0" w:space="0" w:color="auto"/>
        <w:right w:val="none" w:sz="0" w:space="0" w:color="auto"/>
      </w:divBdr>
    </w:div>
    <w:div w:id="1611627034">
      <w:marLeft w:val="0"/>
      <w:marRight w:val="0"/>
      <w:marTop w:val="0"/>
      <w:marBottom w:val="0"/>
      <w:divBdr>
        <w:top w:val="none" w:sz="0" w:space="0" w:color="auto"/>
        <w:left w:val="none" w:sz="0" w:space="0" w:color="auto"/>
        <w:bottom w:val="none" w:sz="0" w:space="0" w:color="auto"/>
        <w:right w:val="none" w:sz="0" w:space="0" w:color="auto"/>
      </w:divBdr>
      <w:divsChild>
        <w:div w:id="115637219">
          <w:marLeft w:val="0"/>
          <w:marRight w:val="0"/>
          <w:marTop w:val="0"/>
          <w:marBottom w:val="0"/>
          <w:divBdr>
            <w:top w:val="none" w:sz="0" w:space="0" w:color="auto"/>
            <w:left w:val="none" w:sz="0" w:space="0" w:color="auto"/>
            <w:bottom w:val="none" w:sz="0" w:space="0" w:color="auto"/>
            <w:right w:val="none" w:sz="0" w:space="0" w:color="auto"/>
          </w:divBdr>
        </w:div>
      </w:divsChild>
    </w:div>
    <w:div w:id="1617756265">
      <w:marLeft w:val="0"/>
      <w:marRight w:val="0"/>
      <w:marTop w:val="0"/>
      <w:marBottom w:val="0"/>
      <w:divBdr>
        <w:top w:val="none" w:sz="0" w:space="0" w:color="auto"/>
        <w:left w:val="none" w:sz="0" w:space="0" w:color="auto"/>
        <w:bottom w:val="none" w:sz="0" w:space="0" w:color="auto"/>
        <w:right w:val="none" w:sz="0" w:space="0" w:color="auto"/>
      </w:divBdr>
      <w:divsChild>
        <w:div w:id="1828862872">
          <w:marLeft w:val="0"/>
          <w:marRight w:val="0"/>
          <w:marTop w:val="0"/>
          <w:marBottom w:val="0"/>
          <w:divBdr>
            <w:top w:val="none" w:sz="0" w:space="0" w:color="auto"/>
            <w:left w:val="none" w:sz="0" w:space="0" w:color="auto"/>
            <w:bottom w:val="none" w:sz="0" w:space="0" w:color="auto"/>
            <w:right w:val="none" w:sz="0" w:space="0" w:color="auto"/>
          </w:divBdr>
        </w:div>
      </w:divsChild>
    </w:div>
    <w:div w:id="1619141826">
      <w:marLeft w:val="0"/>
      <w:marRight w:val="0"/>
      <w:marTop w:val="240"/>
      <w:marBottom w:val="0"/>
      <w:divBdr>
        <w:top w:val="none" w:sz="0" w:space="0" w:color="auto"/>
        <w:left w:val="none" w:sz="0" w:space="0" w:color="auto"/>
        <w:bottom w:val="none" w:sz="0" w:space="0" w:color="auto"/>
        <w:right w:val="none" w:sz="0" w:space="0" w:color="auto"/>
      </w:divBdr>
    </w:div>
    <w:div w:id="1621109082">
      <w:marLeft w:val="0"/>
      <w:marRight w:val="0"/>
      <w:marTop w:val="0"/>
      <w:marBottom w:val="240"/>
      <w:divBdr>
        <w:top w:val="none" w:sz="0" w:space="0" w:color="auto"/>
        <w:left w:val="none" w:sz="0" w:space="0" w:color="auto"/>
        <w:bottom w:val="none" w:sz="0" w:space="0" w:color="auto"/>
        <w:right w:val="none" w:sz="0" w:space="0" w:color="auto"/>
      </w:divBdr>
    </w:div>
    <w:div w:id="1621913731">
      <w:marLeft w:val="0"/>
      <w:marRight w:val="0"/>
      <w:marTop w:val="240"/>
      <w:marBottom w:val="0"/>
      <w:divBdr>
        <w:top w:val="none" w:sz="0" w:space="0" w:color="auto"/>
        <w:left w:val="none" w:sz="0" w:space="0" w:color="auto"/>
        <w:bottom w:val="none" w:sz="0" w:space="0" w:color="auto"/>
        <w:right w:val="none" w:sz="0" w:space="0" w:color="auto"/>
      </w:divBdr>
    </w:div>
    <w:div w:id="1622111194">
      <w:marLeft w:val="0"/>
      <w:marRight w:val="0"/>
      <w:marTop w:val="240"/>
      <w:marBottom w:val="0"/>
      <w:divBdr>
        <w:top w:val="none" w:sz="0" w:space="0" w:color="auto"/>
        <w:left w:val="none" w:sz="0" w:space="0" w:color="auto"/>
        <w:bottom w:val="none" w:sz="0" w:space="0" w:color="auto"/>
        <w:right w:val="none" w:sz="0" w:space="0" w:color="auto"/>
      </w:divBdr>
    </w:div>
    <w:div w:id="1623463411">
      <w:marLeft w:val="0"/>
      <w:marRight w:val="0"/>
      <w:marTop w:val="0"/>
      <w:marBottom w:val="120"/>
      <w:divBdr>
        <w:top w:val="none" w:sz="0" w:space="0" w:color="auto"/>
        <w:left w:val="none" w:sz="0" w:space="0" w:color="auto"/>
        <w:bottom w:val="none" w:sz="0" w:space="0" w:color="auto"/>
        <w:right w:val="none" w:sz="0" w:space="0" w:color="auto"/>
      </w:divBdr>
    </w:div>
    <w:div w:id="1630623081">
      <w:marLeft w:val="0"/>
      <w:marRight w:val="0"/>
      <w:marTop w:val="0"/>
      <w:marBottom w:val="0"/>
      <w:divBdr>
        <w:top w:val="none" w:sz="0" w:space="0" w:color="auto"/>
        <w:left w:val="none" w:sz="0" w:space="0" w:color="auto"/>
        <w:bottom w:val="none" w:sz="0" w:space="0" w:color="auto"/>
        <w:right w:val="none" w:sz="0" w:space="0" w:color="auto"/>
      </w:divBdr>
      <w:divsChild>
        <w:div w:id="1165437931">
          <w:marLeft w:val="0"/>
          <w:marRight w:val="0"/>
          <w:marTop w:val="0"/>
          <w:marBottom w:val="0"/>
          <w:divBdr>
            <w:top w:val="none" w:sz="0" w:space="0" w:color="auto"/>
            <w:left w:val="none" w:sz="0" w:space="0" w:color="auto"/>
            <w:bottom w:val="none" w:sz="0" w:space="0" w:color="auto"/>
            <w:right w:val="none" w:sz="0" w:space="0" w:color="auto"/>
          </w:divBdr>
        </w:div>
      </w:divsChild>
    </w:div>
    <w:div w:id="1631938308">
      <w:marLeft w:val="0"/>
      <w:marRight w:val="0"/>
      <w:marTop w:val="240"/>
      <w:marBottom w:val="60"/>
      <w:divBdr>
        <w:top w:val="none" w:sz="0" w:space="0" w:color="auto"/>
        <w:left w:val="none" w:sz="0" w:space="0" w:color="auto"/>
        <w:bottom w:val="none" w:sz="0" w:space="0" w:color="auto"/>
        <w:right w:val="none" w:sz="0" w:space="0" w:color="auto"/>
      </w:divBdr>
    </w:div>
    <w:div w:id="1636106916">
      <w:marLeft w:val="0"/>
      <w:marRight w:val="0"/>
      <w:marTop w:val="120"/>
      <w:marBottom w:val="240"/>
      <w:divBdr>
        <w:top w:val="none" w:sz="0" w:space="0" w:color="auto"/>
        <w:left w:val="none" w:sz="0" w:space="0" w:color="auto"/>
        <w:bottom w:val="none" w:sz="0" w:space="0" w:color="auto"/>
        <w:right w:val="none" w:sz="0" w:space="0" w:color="auto"/>
      </w:divBdr>
    </w:div>
    <w:div w:id="1639724852">
      <w:marLeft w:val="0"/>
      <w:marRight w:val="0"/>
      <w:marTop w:val="100"/>
      <w:marBottom w:val="0"/>
      <w:divBdr>
        <w:top w:val="none" w:sz="0" w:space="0" w:color="auto"/>
        <w:left w:val="none" w:sz="0" w:space="0" w:color="auto"/>
        <w:bottom w:val="none" w:sz="0" w:space="0" w:color="auto"/>
        <w:right w:val="none" w:sz="0" w:space="0" w:color="auto"/>
      </w:divBdr>
    </w:div>
    <w:div w:id="1640920541">
      <w:marLeft w:val="0"/>
      <w:marRight w:val="0"/>
      <w:marTop w:val="0"/>
      <w:marBottom w:val="240"/>
      <w:divBdr>
        <w:top w:val="none" w:sz="0" w:space="0" w:color="auto"/>
        <w:left w:val="none" w:sz="0" w:space="0" w:color="auto"/>
        <w:bottom w:val="none" w:sz="0" w:space="0" w:color="auto"/>
        <w:right w:val="none" w:sz="0" w:space="0" w:color="auto"/>
      </w:divBdr>
    </w:div>
    <w:div w:id="1641033095">
      <w:marLeft w:val="0"/>
      <w:marRight w:val="0"/>
      <w:marTop w:val="240"/>
      <w:marBottom w:val="0"/>
      <w:divBdr>
        <w:top w:val="none" w:sz="0" w:space="0" w:color="auto"/>
        <w:left w:val="none" w:sz="0" w:space="0" w:color="auto"/>
        <w:bottom w:val="none" w:sz="0" w:space="0" w:color="auto"/>
        <w:right w:val="none" w:sz="0" w:space="0" w:color="auto"/>
      </w:divBdr>
    </w:div>
    <w:div w:id="1641180803">
      <w:marLeft w:val="0"/>
      <w:marRight w:val="0"/>
      <w:marTop w:val="0"/>
      <w:marBottom w:val="180"/>
      <w:divBdr>
        <w:top w:val="none" w:sz="0" w:space="0" w:color="auto"/>
        <w:left w:val="none" w:sz="0" w:space="0" w:color="auto"/>
        <w:bottom w:val="none" w:sz="0" w:space="0" w:color="auto"/>
        <w:right w:val="none" w:sz="0" w:space="0" w:color="auto"/>
      </w:divBdr>
    </w:div>
    <w:div w:id="1641836090">
      <w:marLeft w:val="0"/>
      <w:marRight w:val="0"/>
      <w:marTop w:val="0"/>
      <w:marBottom w:val="0"/>
      <w:divBdr>
        <w:top w:val="none" w:sz="0" w:space="0" w:color="auto"/>
        <w:left w:val="none" w:sz="0" w:space="0" w:color="auto"/>
        <w:bottom w:val="none" w:sz="0" w:space="0" w:color="auto"/>
        <w:right w:val="none" w:sz="0" w:space="0" w:color="auto"/>
      </w:divBdr>
      <w:divsChild>
        <w:div w:id="1332366774">
          <w:marLeft w:val="0"/>
          <w:marRight w:val="0"/>
          <w:marTop w:val="0"/>
          <w:marBottom w:val="0"/>
          <w:divBdr>
            <w:top w:val="none" w:sz="0" w:space="0" w:color="auto"/>
            <w:left w:val="none" w:sz="0" w:space="0" w:color="auto"/>
            <w:bottom w:val="none" w:sz="0" w:space="0" w:color="auto"/>
            <w:right w:val="none" w:sz="0" w:space="0" w:color="auto"/>
          </w:divBdr>
        </w:div>
      </w:divsChild>
    </w:div>
    <w:div w:id="1645046388">
      <w:marLeft w:val="0"/>
      <w:marRight w:val="0"/>
      <w:marTop w:val="0"/>
      <w:marBottom w:val="240"/>
      <w:divBdr>
        <w:top w:val="none" w:sz="0" w:space="0" w:color="auto"/>
        <w:left w:val="none" w:sz="0" w:space="0" w:color="auto"/>
        <w:bottom w:val="none" w:sz="0" w:space="0" w:color="auto"/>
        <w:right w:val="none" w:sz="0" w:space="0" w:color="auto"/>
      </w:divBdr>
    </w:div>
    <w:div w:id="1645429434">
      <w:marLeft w:val="0"/>
      <w:marRight w:val="0"/>
      <w:marTop w:val="240"/>
      <w:marBottom w:val="0"/>
      <w:divBdr>
        <w:top w:val="none" w:sz="0" w:space="0" w:color="auto"/>
        <w:left w:val="none" w:sz="0" w:space="0" w:color="auto"/>
        <w:bottom w:val="none" w:sz="0" w:space="0" w:color="auto"/>
        <w:right w:val="none" w:sz="0" w:space="0" w:color="auto"/>
      </w:divBdr>
    </w:div>
    <w:div w:id="1646155724">
      <w:marLeft w:val="0"/>
      <w:marRight w:val="0"/>
      <w:marTop w:val="0"/>
      <w:marBottom w:val="0"/>
      <w:divBdr>
        <w:top w:val="none" w:sz="0" w:space="0" w:color="auto"/>
        <w:left w:val="none" w:sz="0" w:space="0" w:color="auto"/>
        <w:bottom w:val="none" w:sz="0" w:space="0" w:color="auto"/>
        <w:right w:val="none" w:sz="0" w:space="0" w:color="auto"/>
      </w:divBdr>
      <w:divsChild>
        <w:div w:id="406076980">
          <w:marLeft w:val="0"/>
          <w:marRight w:val="0"/>
          <w:marTop w:val="0"/>
          <w:marBottom w:val="0"/>
          <w:divBdr>
            <w:top w:val="none" w:sz="0" w:space="0" w:color="auto"/>
            <w:left w:val="none" w:sz="0" w:space="0" w:color="auto"/>
            <w:bottom w:val="none" w:sz="0" w:space="0" w:color="auto"/>
            <w:right w:val="none" w:sz="0" w:space="0" w:color="auto"/>
          </w:divBdr>
        </w:div>
      </w:divsChild>
    </w:div>
    <w:div w:id="1650550189">
      <w:marLeft w:val="0"/>
      <w:marRight w:val="0"/>
      <w:marTop w:val="0"/>
      <w:marBottom w:val="0"/>
      <w:divBdr>
        <w:top w:val="none" w:sz="0" w:space="0" w:color="auto"/>
        <w:left w:val="none" w:sz="0" w:space="0" w:color="auto"/>
        <w:bottom w:val="none" w:sz="0" w:space="0" w:color="auto"/>
        <w:right w:val="none" w:sz="0" w:space="0" w:color="auto"/>
      </w:divBdr>
      <w:divsChild>
        <w:div w:id="2030905299">
          <w:marLeft w:val="0"/>
          <w:marRight w:val="0"/>
          <w:marTop w:val="0"/>
          <w:marBottom w:val="0"/>
          <w:divBdr>
            <w:top w:val="none" w:sz="0" w:space="0" w:color="auto"/>
            <w:left w:val="none" w:sz="0" w:space="0" w:color="auto"/>
            <w:bottom w:val="none" w:sz="0" w:space="0" w:color="auto"/>
            <w:right w:val="none" w:sz="0" w:space="0" w:color="auto"/>
          </w:divBdr>
        </w:div>
      </w:divsChild>
    </w:div>
    <w:div w:id="1653027421">
      <w:marLeft w:val="0"/>
      <w:marRight w:val="0"/>
      <w:marTop w:val="240"/>
      <w:marBottom w:val="0"/>
      <w:divBdr>
        <w:top w:val="none" w:sz="0" w:space="0" w:color="auto"/>
        <w:left w:val="none" w:sz="0" w:space="0" w:color="auto"/>
        <w:bottom w:val="none" w:sz="0" w:space="0" w:color="auto"/>
        <w:right w:val="none" w:sz="0" w:space="0" w:color="auto"/>
      </w:divBdr>
    </w:div>
    <w:div w:id="1653756982">
      <w:marLeft w:val="0"/>
      <w:marRight w:val="0"/>
      <w:marTop w:val="240"/>
      <w:marBottom w:val="0"/>
      <w:divBdr>
        <w:top w:val="none" w:sz="0" w:space="0" w:color="auto"/>
        <w:left w:val="none" w:sz="0" w:space="0" w:color="auto"/>
        <w:bottom w:val="none" w:sz="0" w:space="0" w:color="auto"/>
        <w:right w:val="none" w:sz="0" w:space="0" w:color="auto"/>
      </w:divBdr>
    </w:div>
    <w:div w:id="1656453564">
      <w:marLeft w:val="0"/>
      <w:marRight w:val="0"/>
      <w:marTop w:val="240"/>
      <w:marBottom w:val="0"/>
      <w:divBdr>
        <w:top w:val="none" w:sz="0" w:space="0" w:color="auto"/>
        <w:left w:val="none" w:sz="0" w:space="0" w:color="auto"/>
        <w:bottom w:val="none" w:sz="0" w:space="0" w:color="auto"/>
        <w:right w:val="none" w:sz="0" w:space="0" w:color="auto"/>
      </w:divBdr>
    </w:div>
    <w:div w:id="1658219326">
      <w:marLeft w:val="0"/>
      <w:marRight w:val="0"/>
      <w:marTop w:val="0"/>
      <w:marBottom w:val="0"/>
      <w:divBdr>
        <w:top w:val="none" w:sz="0" w:space="0" w:color="auto"/>
        <w:left w:val="none" w:sz="0" w:space="0" w:color="auto"/>
        <w:bottom w:val="none" w:sz="0" w:space="0" w:color="auto"/>
        <w:right w:val="none" w:sz="0" w:space="0" w:color="auto"/>
      </w:divBdr>
      <w:divsChild>
        <w:div w:id="1789160552">
          <w:marLeft w:val="0"/>
          <w:marRight w:val="0"/>
          <w:marTop w:val="0"/>
          <w:marBottom w:val="0"/>
          <w:divBdr>
            <w:top w:val="none" w:sz="0" w:space="0" w:color="auto"/>
            <w:left w:val="none" w:sz="0" w:space="0" w:color="auto"/>
            <w:bottom w:val="none" w:sz="0" w:space="0" w:color="auto"/>
            <w:right w:val="none" w:sz="0" w:space="0" w:color="auto"/>
          </w:divBdr>
        </w:div>
        <w:div w:id="201795377">
          <w:marLeft w:val="0"/>
          <w:marRight w:val="0"/>
          <w:marTop w:val="0"/>
          <w:marBottom w:val="0"/>
          <w:divBdr>
            <w:top w:val="none" w:sz="0" w:space="0" w:color="auto"/>
            <w:left w:val="none" w:sz="0" w:space="0" w:color="auto"/>
            <w:bottom w:val="none" w:sz="0" w:space="0" w:color="auto"/>
            <w:right w:val="none" w:sz="0" w:space="0" w:color="auto"/>
          </w:divBdr>
        </w:div>
        <w:div w:id="476997310">
          <w:marLeft w:val="0"/>
          <w:marRight w:val="0"/>
          <w:marTop w:val="0"/>
          <w:marBottom w:val="0"/>
          <w:divBdr>
            <w:top w:val="none" w:sz="0" w:space="0" w:color="auto"/>
            <w:left w:val="none" w:sz="0" w:space="0" w:color="auto"/>
            <w:bottom w:val="none" w:sz="0" w:space="0" w:color="auto"/>
            <w:right w:val="none" w:sz="0" w:space="0" w:color="auto"/>
          </w:divBdr>
        </w:div>
        <w:div w:id="663434477">
          <w:marLeft w:val="0"/>
          <w:marRight w:val="0"/>
          <w:marTop w:val="0"/>
          <w:marBottom w:val="0"/>
          <w:divBdr>
            <w:top w:val="none" w:sz="0" w:space="0" w:color="auto"/>
            <w:left w:val="none" w:sz="0" w:space="0" w:color="auto"/>
            <w:bottom w:val="none" w:sz="0" w:space="0" w:color="auto"/>
            <w:right w:val="none" w:sz="0" w:space="0" w:color="auto"/>
          </w:divBdr>
        </w:div>
        <w:div w:id="1979915852">
          <w:marLeft w:val="0"/>
          <w:marRight w:val="0"/>
          <w:marTop w:val="0"/>
          <w:marBottom w:val="0"/>
          <w:divBdr>
            <w:top w:val="none" w:sz="0" w:space="0" w:color="auto"/>
            <w:left w:val="none" w:sz="0" w:space="0" w:color="auto"/>
            <w:bottom w:val="none" w:sz="0" w:space="0" w:color="auto"/>
            <w:right w:val="none" w:sz="0" w:space="0" w:color="auto"/>
          </w:divBdr>
        </w:div>
        <w:div w:id="1208444783">
          <w:marLeft w:val="0"/>
          <w:marRight w:val="0"/>
          <w:marTop w:val="0"/>
          <w:marBottom w:val="0"/>
          <w:divBdr>
            <w:top w:val="none" w:sz="0" w:space="0" w:color="auto"/>
            <w:left w:val="none" w:sz="0" w:space="0" w:color="auto"/>
            <w:bottom w:val="none" w:sz="0" w:space="0" w:color="auto"/>
            <w:right w:val="none" w:sz="0" w:space="0" w:color="auto"/>
          </w:divBdr>
        </w:div>
        <w:div w:id="732630421">
          <w:marLeft w:val="0"/>
          <w:marRight w:val="0"/>
          <w:marTop w:val="0"/>
          <w:marBottom w:val="0"/>
          <w:divBdr>
            <w:top w:val="none" w:sz="0" w:space="0" w:color="auto"/>
            <w:left w:val="none" w:sz="0" w:space="0" w:color="auto"/>
            <w:bottom w:val="none" w:sz="0" w:space="0" w:color="auto"/>
            <w:right w:val="none" w:sz="0" w:space="0" w:color="auto"/>
          </w:divBdr>
        </w:div>
        <w:div w:id="697125769">
          <w:marLeft w:val="0"/>
          <w:marRight w:val="0"/>
          <w:marTop w:val="0"/>
          <w:marBottom w:val="0"/>
          <w:divBdr>
            <w:top w:val="none" w:sz="0" w:space="0" w:color="auto"/>
            <w:left w:val="none" w:sz="0" w:space="0" w:color="auto"/>
            <w:bottom w:val="none" w:sz="0" w:space="0" w:color="auto"/>
            <w:right w:val="none" w:sz="0" w:space="0" w:color="auto"/>
          </w:divBdr>
        </w:div>
        <w:div w:id="1890221918">
          <w:marLeft w:val="0"/>
          <w:marRight w:val="0"/>
          <w:marTop w:val="0"/>
          <w:marBottom w:val="0"/>
          <w:divBdr>
            <w:top w:val="none" w:sz="0" w:space="0" w:color="auto"/>
            <w:left w:val="none" w:sz="0" w:space="0" w:color="auto"/>
            <w:bottom w:val="none" w:sz="0" w:space="0" w:color="auto"/>
            <w:right w:val="none" w:sz="0" w:space="0" w:color="auto"/>
          </w:divBdr>
        </w:div>
        <w:div w:id="1699622685">
          <w:marLeft w:val="0"/>
          <w:marRight w:val="0"/>
          <w:marTop w:val="0"/>
          <w:marBottom w:val="0"/>
          <w:divBdr>
            <w:top w:val="none" w:sz="0" w:space="0" w:color="auto"/>
            <w:left w:val="none" w:sz="0" w:space="0" w:color="auto"/>
            <w:bottom w:val="none" w:sz="0" w:space="0" w:color="auto"/>
            <w:right w:val="none" w:sz="0" w:space="0" w:color="auto"/>
          </w:divBdr>
        </w:div>
        <w:div w:id="237524436">
          <w:marLeft w:val="0"/>
          <w:marRight w:val="0"/>
          <w:marTop w:val="0"/>
          <w:marBottom w:val="0"/>
          <w:divBdr>
            <w:top w:val="none" w:sz="0" w:space="0" w:color="auto"/>
            <w:left w:val="none" w:sz="0" w:space="0" w:color="auto"/>
            <w:bottom w:val="none" w:sz="0" w:space="0" w:color="auto"/>
            <w:right w:val="none" w:sz="0" w:space="0" w:color="auto"/>
          </w:divBdr>
        </w:div>
        <w:div w:id="1116212374">
          <w:marLeft w:val="0"/>
          <w:marRight w:val="0"/>
          <w:marTop w:val="0"/>
          <w:marBottom w:val="0"/>
          <w:divBdr>
            <w:top w:val="none" w:sz="0" w:space="0" w:color="auto"/>
            <w:left w:val="none" w:sz="0" w:space="0" w:color="auto"/>
            <w:bottom w:val="none" w:sz="0" w:space="0" w:color="auto"/>
            <w:right w:val="none" w:sz="0" w:space="0" w:color="auto"/>
          </w:divBdr>
        </w:div>
        <w:div w:id="1418403793">
          <w:marLeft w:val="0"/>
          <w:marRight w:val="0"/>
          <w:marTop w:val="0"/>
          <w:marBottom w:val="0"/>
          <w:divBdr>
            <w:top w:val="none" w:sz="0" w:space="0" w:color="auto"/>
            <w:left w:val="none" w:sz="0" w:space="0" w:color="auto"/>
            <w:bottom w:val="none" w:sz="0" w:space="0" w:color="auto"/>
            <w:right w:val="none" w:sz="0" w:space="0" w:color="auto"/>
          </w:divBdr>
        </w:div>
        <w:div w:id="827669460">
          <w:marLeft w:val="0"/>
          <w:marRight w:val="0"/>
          <w:marTop w:val="0"/>
          <w:marBottom w:val="0"/>
          <w:divBdr>
            <w:top w:val="none" w:sz="0" w:space="0" w:color="auto"/>
            <w:left w:val="none" w:sz="0" w:space="0" w:color="auto"/>
            <w:bottom w:val="none" w:sz="0" w:space="0" w:color="auto"/>
            <w:right w:val="none" w:sz="0" w:space="0" w:color="auto"/>
          </w:divBdr>
        </w:div>
        <w:div w:id="1350450513">
          <w:marLeft w:val="0"/>
          <w:marRight w:val="0"/>
          <w:marTop w:val="0"/>
          <w:marBottom w:val="0"/>
          <w:divBdr>
            <w:top w:val="none" w:sz="0" w:space="0" w:color="auto"/>
            <w:left w:val="none" w:sz="0" w:space="0" w:color="auto"/>
            <w:bottom w:val="none" w:sz="0" w:space="0" w:color="auto"/>
            <w:right w:val="none" w:sz="0" w:space="0" w:color="auto"/>
          </w:divBdr>
        </w:div>
        <w:div w:id="1457945320">
          <w:marLeft w:val="0"/>
          <w:marRight w:val="0"/>
          <w:marTop w:val="0"/>
          <w:marBottom w:val="0"/>
          <w:divBdr>
            <w:top w:val="none" w:sz="0" w:space="0" w:color="auto"/>
            <w:left w:val="none" w:sz="0" w:space="0" w:color="auto"/>
            <w:bottom w:val="none" w:sz="0" w:space="0" w:color="auto"/>
            <w:right w:val="none" w:sz="0" w:space="0" w:color="auto"/>
          </w:divBdr>
        </w:div>
        <w:div w:id="1283734492">
          <w:marLeft w:val="0"/>
          <w:marRight w:val="0"/>
          <w:marTop w:val="0"/>
          <w:marBottom w:val="0"/>
          <w:divBdr>
            <w:top w:val="none" w:sz="0" w:space="0" w:color="auto"/>
            <w:left w:val="none" w:sz="0" w:space="0" w:color="auto"/>
            <w:bottom w:val="none" w:sz="0" w:space="0" w:color="auto"/>
            <w:right w:val="none" w:sz="0" w:space="0" w:color="auto"/>
          </w:divBdr>
        </w:div>
        <w:div w:id="225605011">
          <w:marLeft w:val="0"/>
          <w:marRight w:val="0"/>
          <w:marTop w:val="0"/>
          <w:marBottom w:val="0"/>
          <w:divBdr>
            <w:top w:val="none" w:sz="0" w:space="0" w:color="auto"/>
            <w:left w:val="none" w:sz="0" w:space="0" w:color="auto"/>
            <w:bottom w:val="none" w:sz="0" w:space="0" w:color="auto"/>
            <w:right w:val="none" w:sz="0" w:space="0" w:color="auto"/>
          </w:divBdr>
        </w:div>
        <w:div w:id="559286679">
          <w:marLeft w:val="0"/>
          <w:marRight w:val="0"/>
          <w:marTop w:val="0"/>
          <w:marBottom w:val="0"/>
          <w:divBdr>
            <w:top w:val="none" w:sz="0" w:space="0" w:color="auto"/>
            <w:left w:val="none" w:sz="0" w:space="0" w:color="auto"/>
            <w:bottom w:val="none" w:sz="0" w:space="0" w:color="auto"/>
            <w:right w:val="none" w:sz="0" w:space="0" w:color="auto"/>
          </w:divBdr>
        </w:div>
        <w:div w:id="1734086039">
          <w:marLeft w:val="0"/>
          <w:marRight w:val="0"/>
          <w:marTop w:val="0"/>
          <w:marBottom w:val="0"/>
          <w:divBdr>
            <w:top w:val="none" w:sz="0" w:space="0" w:color="auto"/>
            <w:left w:val="none" w:sz="0" w:space="0" w:color="auto"/>
            <w:bottom w:val="none" w:sz="0" w:space="0" w:color="auto"/>
            <w:right w:val="none" w:sz="0" w:space="0" w:color="auto"/>
          </w:divBdr>
        </w:div>
        <w:div w:id="1609004715">
          <w:marLeft w:val="0"/>
          <w:marRight w:val="0"/>
          <w:marTop w:val="0"/>
          <w:marBottom w:val="0"/>
          <w:divBdr>
            <w:top w:val="none" w:sz="0" w:space="0" w:color="auto"/>
            <w:left w:val="none" w:sz="0" w:space="0" w:color="auto"/>
            <w:bottom w:val="none" w:sz="0" w:space="0" w:color="auto"/>
            <w:right w:val="none" w:sz="0" w:space="0" w:color="auto"/>
          </w:divBdr>
        </w:div>
        <w:div w:id="437602152">
          <w:marLeft w:val="0"/>
          <w:marRight w:val="0"/>
          <w:marTop w:val="0"/>
          <w:marBottom w:val="0"/>
          <w:divBdr>
            <w:top w:val="none" w:sz="0" w:space="0" w:color="auto"/>
            <w:left w:val="none" w:sz="0" w:space="0" w:color="auto"/>
            <w:bottom w:val="none" w:sz="0" w:space="0" w:color="auto"/>
            <w:right w:val="none" w:sz="0" w:space="0" w:color="auto"/>
          </w:divBdr>
        </w:div>
      </w:divsChild>
    </w:div>
    <w:div w:id="1658991827">
      <w:marLeft w:val="0"/>
      <w:marRight w:val="0"/>
      <w:marTop w:val="0"/>
      <w:marBottom w:val="240"/>
      <w:divBdr>
        <w:top w:val="none" w:sz="0" w:space="0" w:color="auto"/>
        <w:left w:val="none" w:sz="0" w:space="0" w:color="auto"/>
        <w:bottom w:val="none" w:sz="0" w:space="0" w:color="auto"/>
        <w:right w:val="none" w:sz="0" w:space="0" w:color="auto"/>
      </w:divBdr>
    </w:div>
    <w:div w:id="1660957601">
      <w:marLeft w:val="0"/>
      <w:marRight w:val="0"/>
      <w:marTop w:val="0"/>
      <w:marBottom w:val="0"/>
      <w:divBdr>
        <w:top w:val="none" w:sz="0" w:space="0" w:color="auto"/>
        <w:left w:val="none" w:sz="0" w:space="0" w:color="auto"/>
        <w:bottom w:val="none" w:sz="0" w:space="0" w:color="auto"/>
        <w:right w:val="none" w:sz="0" w:space="0" w:color="auto"/>
      </w:divBdr>
    </w:div>
    <w:div w:id="1663897505">
      <w:marLeft w:val="0"/>
      <w:marRight w:val="0"/>
      <w:marTop w:val="0"/>
      <w:marBottom w:val="240"/>
      <w:divBdr>
        <w:top w:val="none" w:sz="0" w:space="0" w:color="auto"/>
        <w:left w:val="none" w:sz="0" w:space="0" w:color="auto"/>
        <w:bottom w:val="none" w:sz="0" w:space="0" w:color="auto"/>
        <w:right w:val="none" w:sz="0" w:space="0" w:color="auto"/>
      </w:divBdr>
    </w:div>
    <w:div w:id="1664357659">
      <w:marLeft w:val="0"/>
      <w:marRight w:val="0"/>
      <w:marTop w:val="240"/>
      <w:marBottom w:val="0"/>
      <w:divBdr>
        <w:top w:val="none" w:sz="0" w:space="0" w:color="auto"/>
        <w:left w:val="none" w:sz="0" w:space="0" w:color="auto"/>
        <w:bottom w:val="none" w:sz="0" w:space="0" w:color="auto"/>
        <w:right w:val="none" w:sz="0" w:space="0" w:color="auto"/>
      </w:divBdr>
    </w:div>
    <w:div w:id="1665158293">
      <w:marLeft w:val="0"/>
      <w:marRight w:val="0"/>
      <w:marTop w:val="0"/>
      <w:marBottom w:val="0"/>
      <w:divBdr>
        <w:top w:val="none" w:sz="0" w:space="0" w:color="auto"/>
        <w:left w:val="none" w:sz="0" w:space="0" w:color="auto"/>
        <w:bottom w:val="none" w:sz="0" w:space="0" w:color="auto"/>
        <w:right w:val="none" w:sz="0" w:space="0" w:color="auto"/>
      </w:divBdr>
    </w:div>
    <w:div w:id="1669943065">
      <w:marLeft w:val="0"/>
      <w:marRight w:val="0"/>
      <w:marTop w:val="0"/>
      <w:marBottom w:val="240"/>
      <w:divBdr>
        <w:top w:val="none" w:sz="0" w:space="0" w:color="auto"/>
        <w:left w:val="none" w:sz="0" w:space="0" w:color="auto"/>
        <w:bottom w:val="none" w:sz="0" w:space="0" w:color="auto"/>
        <w:right w:val="none" w:sz="0" w:space="0" w:color="auto"/>
      </w:divBdr>
    </w:div>
    <w:div w:id="1673333505">
      <w:marLeft w:val="0"/>
      <w:marRight w:val="0"/>
      <w:marTop w:val="0"/>
      <w:marBottom w:val="0"/>
      <w:divBdr>
        <w:top w:val="none" w:sz="0" w:space="0" w:color="auto"/>
        <w:left w:val="none" w:sz="0" w:space="0" w:color="auto"/>
        <w:bottom w:val="none" w:sz="0" w:space="0" w:color="auto"/>
        <w:right w:val="none" w:sz="0" w:space="0" w:color="auto"/>
      </w:divBdr>
      <w:divsChild>
        <w:div w:id="773475230">
          <w:marLeft w:val="0"/>
          <w:marRight w:val="0"/>
          <w:marTop w:val="0"/>
          <w:marBottom w:val="0"/>
          <w:divBdr>
            <w:top w:val="none" w:sz="0" w:space="0" w:color="auto"/>
            <w:left w:val="none" w:sz="0" w:space="0" w:color="auto"/>
            <w:bottom w:val="none" w:sz="0" w:space="0" w:color="auto"/>
            <w:right w:val="none" w:sz="0" w:space="0" w:color="auto"/>
          </w:divBdr>
        </w:div>
        <w:div w:id="500123388">
          <w:marLeft w:val="0"/>
          <w:marRight w:val="0"/>
          <w:marTop w:val="0"/>
          <w:marBottom w:val="0"/>
          <w:divBdr>
            <w:top w:val="none" w:sz="0" w:space="0" w:color="auto"/>
            <w:left w:val="none" w:sz="0" w:space="0" w:color="auto"/>
            <w:bottom w:val="none" w:sz="0" w:space="0" w:color="auto"/>
            <w:right w:val="none" w:sz="0" w:space="0" w:color="auto"/>
          </w:divBdr>
        </w:div>
        <w:div w:id="1560434203">
          <w:marLeft w:val="0"/>
          <w:marRight w:val="0"/>
          <w:marTop w:val="0"/>
          <w:marBottom w:val="0"/>
          <w:divBdr>
            <w:top w:val="none" w:sz="0" w:space="0" w:color="auto"/>
            <w:left w:val="none" w:sz="0" w:space="0" w:color="auto"/>
            <w:bottom w:val="none" w:sz="0" w:space="0" w:color="auto"/>
            <w:right w:val="none" w:sz="0" w:space="0" w:color="auto"/>
          </w:divBdr>
        </w:div>
        <w:div w:id="2031294372">
          <w:marLeft w:val="0"/>
          <w:marRight w:val="0"/>
          <w:marTop w:val="0"/>
          <w:marBottom w:val="0"/>
          <w:divBdr>
            <w:top w:val="none" w:sz="0" w:space="0" w:color="auto"/>
            <w:left w:val="none" w:sz="0" w:space="0" w:color="auto"/>
            <w:bottom w:val="none" w:sz="0" w:space="0" w:color="auto"/>
            <w:right w:val="none" w:sz="0" w:space="0" w:color="auto"/>
          </w:divBdr>
        </w:div>
        <w:div w:id="2139452211">
          <w:marLeft w:val="0"/>
          <w:marRight w:val="0"/>
          <w:marTop w:val="0"/>
          <w:marBottom w:val="0"/>
          <w:divBdr>
            <w:top w:val="none" w:sz="0" w:space="0" w:color="auto"/>
            <w:left w:val="none" w:sz="0" w:space="0" w:color="auto"/>
            <w:bottom w:val="none" w:sz="0" w:space="0" w:color="auto"/>
            <w:right w:val="none" w:sz="0" w:space="0" w:color="auto"/>
          </w:divBdr>
        </w:div>
        <w:div w:id="304698193">
          <w:marLeft w:val="0"/>
          <w:marRight w:val="0"/>
          <w:marTop w:val="0"/>
          <w:marBottom w:val="0"/>
          <w:divBdr>
            <w:top w:val="none" w:sz="0" w:space="0" w:color="auto"/>
            <w:left w:val="none" w:sz="0" w:space="0" w:color="auto"/>
            <w:bottom w:val="none" w:sz="0" w:space="0" w:color="auto"/>
            <w:right w:val="none" w:sz="0" w:space="0" w:color="auto"/>
          </w:divBdr>
        </w:div>
        <w:div w:id="1776712390">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 w:id="284973393">
          <w:marLeft w:val="0"/>
          <w:marRight w:val="0"/>
          <w:marTop w:val="0"/>
          <w:marBottom w:val="0"/>
          <w:divBdr>
            <w:top w:val="none" w:sz="0" w:space="0" w:color="auto"/>
            <w:left w:val="none" w:sz="0" w:space="0" w:color="auto"/>
            <w:bottom w:val="none" w:sz="0" w:space="0" w:color="auto"/>
            <w:right w:val="none" w:sz="0" w:space="0" w:color="auto"/>
          </w:divBdr>
        </w:div>
        <w:div w:id="220333531">
          <w:marLeft w:val="0"/>
          <w:marRight w:val="0"/>
          <w:marTop w:val="0"/>
          <w:marBottom w:val="0"/>
          <w:divBdr>
            <w:top w:val="none" w:sz="0" w:space="0" w:color="auto"/>
            <w:left w:val="none" w:sz="0" w:space="0" w:color="auto"/>
            <w:bottom w:val="none" w:sz="0" w:space="0" w:color="auto"/>
            <w:right w:val="none" w:sz="0" w:space="0" w:color="auto"/>
          </w:divBdr>
        </w:div>
        <w:div w:id="621157814">
          <w:marLeft w:val="0"/>
          <w:marRight w:val="0"/>
          <w:marTop w:val="0"/>
          <w:marBottom w:val="0"/>
          <w:divBdr>
            <w:top w:val="none" w:sz="0" w:space="0" w:color="auto"/>
            <w:left w:val="none" w:sz="0" w:space="0" w:color="auto"/>
            <w:bottom w:val="none" w:sz="0" w:space="0" w:color="auto"/>
            <w:right w:val="none" w:sz="0" w:space="0" w:color="auto"/>
          </w:divBdr>
        </w:div>
      </w:divsChild>
    </w:div>
    <w:div w:id="1674145862">
      <w:marLeft w:val="0"/>
      <w:marRight w:val="0"/>
      <w:marTop w:val="0"/>
      <w:marBottom w:val="0"/>
      <w:divBdr>
        <w:top w:val="none" w:sz="0" w:space="0" w:color="auto"/>
        <w:left w:val="none" w:sz="0" w:space="0" w:color="auto"/>
        <w:bottom w:val="none" w:sz="0" w:space="0" w:color="auto"/>
        <w:right w:val="none" w:sz="0" w:space="0" w:color="auto"/>
      </w:divBdr>
    </w:div>
    <w:div w:id="1675457400">
      <w:marLeft w:val="0"/>
      <w:marRight w:val="0"/>
      <w:marTop w:val="240"/>
      <w:marBottom w:val="0"/>
      <w:divBdr>
        <w:top w:val="none" w:sz="0" w:space="0" w:color="auto"/>
        <w:left w:val="none" w:sz="0" w:space="0" w:color="auto"/>
        <w:bottom w:val="none" w:sz="0" w:space="0" w:color="auto"/>
        <w:right w:val="none" w:sz="0" w:space="0" w:color="auto"/>
      </w:divBdr>
    </w:div>
    <w:div w:id="1676297055">
      <w:marLeft w:val="0"/>
      <w:marRight w:val="0"/>
      <w:marTop w:val="0"/>
      <w:marBottom w:val="0"/>
      <w:divBdr>
        <w:top w:val="none" w:sz="0" w:space="0" w:color="auto"/>
        <w:left w:val="none" w:sz="0" w:space="0" w:color="auto"/>
        <w:bottom w:val="none" w:sz="0" w:space="0" w:color="auto"/>
        <w:right w:val="none" w:sz="0" w:space="0" w:color="auto"/>
      </w:divBdr>
      <w:divsChild>
        <w:div w:id="386417718">
          <w:marLeft w:val="0"/>
          <w:marRight w:val="0"/>
          <w:marTop w:val="0"/>
          <w:marBottom w:val="0"/>
          <w:divBdr>
            <w:top w:val="none" w:sz="0" w:space="0" w:color="auto"/>
            <w:left w:val="none" w:sz="0" w:space="0" w:color="auto"/>
            <w:bottom w:val="none" w:sz="0" w:space="0" w:color="auto"/>
            <w:right w:val="none" w:sz="0" w:space="0" w:color="auto"/>
          </w:divBdr>
        </w:div>
      </w:divsChild>
    </w:div>
    <w:div w:id="1678465366">
      <w:marLeft w:val="0"/>
      <w:marRight w:val="0"/>
      <w:marTop w:val="240"/>
      <w:marBottom w:val="0"/>
      <w:divBdr>
        <w:top w:val="none" w:sz="0" w:space="0" w:color="auto"/>
        <w:left w:val="none" w:sz="0" w:space="0" w:color="auto"/>
        <w:bottom w:val="none" w:sz="0" w:space="0" w:color="auto"/>
        <w:right w:val="none" w:sz="0" w:space="0" w:color="auto"/>
      </w:divBdr>
    </w:div>
    <w:div w:id="1682051435">
      <w:marLeft w:val="0"/>
      <w:marRight w:val="0"/>
      <w:marTop w:val="0"/>
      <w:marBottom w:val="0"/>
      <w:divBdr>
        <w:top w:val="none" w:sz="0" w:space="0" w:color="auto"/>
        <w:left w:val="none" w:sz="0" w:space="0" w:color="auto"/>
        <w:bottom w:val="none" w:sz="0" w:space="0" w:color="auto"/>
        <w:right w:val="none" w:sz="0" w:space="0" w:color="auto"/>
      </w:divBdr>
    </w:div>
    <w:div w:id="1682319710">
      <w:marLeft w:val="0"/>
      <w:marRight w:val="0"/>
      <w:marTop w:val="240"/>
      <w:marBottom w:val="0"/>
      <w:divBdr>
        <w:top w:val="none" w:sz="0" w:space="0" w:color="auto"/>
        <w:left w:val="none" w:sz="0" w:space="0" w:color="auto"/>
        <w:bottom w:val="none" w:sz="0" w:space="0" w:color="auto"/>
        <w:right w:val="none" w:sz="0" w:space="0" w:color="auto"/>
      </w:divBdr>
    </w:div>
    <w:div w:id="1684936690">
      <w:marLeft w:val="0"/>
      <w:marRight w:val="0"/>
      <w:marTop w:val="240"/>
      <w:marBottom w:val="240"/>
      <w:divBdr>
        <w:top w:val="none" w:sz="0" w:space="0" w:color="auto"/>
        <w:left w:val="none" w:sz="0" w:space="0" w:color="auto"/>
        <w:bottom w:val="none" w:sz="0" w:space="0" w:color="auto"/>
        <w:right w:val="none" w:sz="0" w:space="0" w:color="auto"/>
      </w:divBdr>
    </w:div>
    <w:div w:id="1685279469">
      <w:marLeft w:val="0"/>
      <w:marRight w:val="0"/>
      <w:marTop w:val="120"/>
      <w:marBottom w:val="0"/>
      <w:divBdr>
        <w:top w:val="none" w:sz="0" w:space="0" w:color="auto"/>
        <w:left w:val="none" w:sz="0" w:space="0" w:color="auto"/>
        <w:bottom w:val="none" w:sz="0" w:space="0" w:color="auto"/>
        <w:right w:val="none" w:sz="0" w:space="0" w:color="auto"/>
      </w:divBdr>
    </w:div>
    <w:div w:id="1686856338">
      <w:marLeft w:val="0"/>
      <w:marRight w:val="0"/>
      <w:marTop w:val="0"/>
      <w:marBottom w:val="240"/>
      <w:divBdr>
        <w:top w:val="none" w:sz="0" w:space="0" w:color="auto"/>
        <w:left w:val="none" w:sz="0" w:space="0" w:color="auto"/>
        <w:bottom w:val="none" w:sz="0" w:space="0" w:color="auto"/>
        <w:right w:val="none" w:sz="0" w:space="0" w:color="auto"/>
      </w:divBdr>
    </w:div>
    <w:div w:id="1687094237">
      <w:marLeft w:val="0"/>
      <w:marRight w:val="0"/>
      <w:marTop w:val="240"/>
      <w:marBottom w:val="0"/>
      <w:divBdr>
        <w:top w:val="none" w:sz="0" w:space="0" w:color="auto"/>
        <w:left w:val="none" w:sz="0" w:space="0" w:color="auto"/>
        <w:bottom w:val="none" w:sz="0" w:space="0" w:color="auto"/>
        <w:right w:val="none" w:sz="0" w:space="0" w:color="auto"/>
      </w:divBdr>
    </w:div>
    <w:div w:id="1688747848">
      <w:marLeft w:val="0"/>
      <w:marRight w:val="0"/>
      <w:marTop w:val="0"/>
      <w:marBottom w:val="0"/>
      <w:divBdr>
        <w:top w:val="none" w:sz="0" w:space="0" w:color="auto"/>
        <w:left w:val="none" w:sz="0" w:space="0" w:color="auto"/>
        <w:bottom w:val="none" w:sz="0" w:space="0" w:color="auto"/>
        <w:right w:val="none" w:sz="0" w:space="0" w:color="auto"/>
      </w:divBdr>
      <w:divsChild>
        <w:div w:id="583298665">
          <w:marLeft w:val="0"/>
          <w:marRight w:val="0"/>
          <w:marTop w:val="0"/>
          <w:marBottom w:val="0"/>
          <w:divBdr>
            <w:top w:val="none" w:sz="0" w:space="0" w:color="auto"/>
            <w:left w:val="none" w:sz="0" w:space="0" w:color="auto"/>
            <w:bottom w:val="none" w:sz="0" w:space="0" w:color="auto"/>
            <w:right w:val="none" w:sz="0" w:space="0" w:color="auto"/>
          </w:divBdr>
        </w:div>
      </w:divsChild>
    </w:div>
    <w:div w:id="1692730188">
      <w:marLeft w:val="0"/>
      <w:marRight w:val="0"/>
      <w:marTop w:val="240"/>
      <w:marBottom w:val="0"/>
      <w:divBdr>
        <w:top w:val="none" w:sz="0" w:space="0" w:color="auto"/>
        <w:left w:val="none" w:sz="0" w:space="0" w:color="auto"/>
        <w:bottom w:val="none" w:sz="0" w:space="0" w:color="auto"/>
        <w:right w:val="none" w:sz="0" w:space="0" w:color="auto"/>
      </w:divBdr>
    </w:div>
    <w:div w:id="1695614655">
      <w:marLeft w:val="0"/>
      <w:marRight w:val="0"/>
      <w:marTop w:val="0"/>
      <w:marBottom w:val="240"/>
      <w:divBdr>
        <w:top w:val="none" w:sz="0" w:space="0" w:color="auto"/>
        <w:left w:val="none" w:sz="0" w:space="0" w:color="auto"/>
        <w:bottom w:val="none" w:sz="0" w:space="0" w:color="auto"/>
        <w:right w:val="none" w:sz="0" w:space="0" w:color="auto"/>
      </w:divBdr>
    </w:div>
    <w:div w:id="1697807634">
      <w:marLeft w:val="0"/>
      <w:marRight w:val="0"/>
      <w:marTop w:val="120"/>
      <w:marBottom w:val="120"/>
      <w:divBdr>
        <w:top w:val="none" w:sz="0" w:space="0" w:color="auto"/>
        <w:left w:val="none" w:sz="0" w:space="0" w:color="auto"/>
        <w:bottom w:val="none" w:sz="0" w:space="0" w:color="auto"/>
        <w:right w:val="none" w:sz="0" w:space="0" w:color="auto"/>
      </w:divBdr>
    </w:div>
    <w:div w:id="1698044056">
      <w:marLeft w:val="0"/>
      <w:marRight w:val="0"/>
      <w:marTop w:val="0"/>
      <w:marBottom w:val="240"/>
      <w:divBdr>
        <w:top w:val="none" w:sz="0" w:space="0" w:color="auto"/>
        <w:left w:val="none" w:sz="0" w:space="0" w:color="auto"/>
        <w:bottom w:val="none" w:sz="0" w:space="0" w:color="auto"/>
        <w:right w:val="none" w:sz="0" w:space="0" w:color="auto"/>
      </w:divBdr>
    </w:div>
    <w:div w:id="1699430722">
      <w:marLeft w:val="0"/>
      <w:marRight w:val="0"/>
      <w:marTop w:val="0"/>
      <w:marBottom w:val="0"/>
      <w:divBdr>
        <w:top w:val="none" w:sz="0" w:space="0" w:color="auto"/>
        <w:left w:val="none" w:sz="0" w:space="0" w:color="auto"/>
        <w:bottom w:val="none" w:sz="0" w:space="0" w:color="auto"/>
        <w:right w:val="none" w:sz="0" w:space="0" w:color="auto"/>
      </w:divBdr>
      <w:divsChild>
        <w:div w:id="1007249414">
          <w:marLeft w:val="0"/>
          <w:marRight w:val="0"/>
          <w:marTop w:val="0"/>
          <w:marBottom w:val="0"/>
          <w:divBdr>
            <w:top w:val="none" w:sz="0" w:space="0" w:color="auto"/>
            <w:left w:val="none" w:sz="0" w:space="0" w:color="auto"/>
            <w:bottom w:val="none" w:sz="0" w:space="0" w:color="auto"/>
            <w:right w:val="none" w:sz="0" w:space="0" w:color="auto"/>
          </w:divBdr>
        </w:div>
      </w:divsChild>
    </w:div>
    <w:div w:id="1700425722">
      <w:marLeft w:val="0"/>
      <w:marRight w:val="0"/>
      <w:marTop w:val="240"/>
      <w:marBottom w:val="240"/>
      <w:divBdr>
        <w:top w:val="none" w:sz="0" w:space="0" w:color="auto"/>
        <w:left w:val="none" w:sz="0" w:space="0" w:color="auto"/>
        <w:bottom w:val="none" w:sz="0" w:space="0" w:color="auto"/>
        <w:right w:val="none" w:sz="0" w:space="0" w:color="auto"/>
      </w:divBdr>
    </w:div>
    <w:div w:id="1701206402">
      <w:marLeft w:val="0"/>
      <w:marRight w:val="0"/>
      <w:marTop w:val="0"/>
      <w:marBottom w:val="120"/>
      <w:divBdr>
        <w:top w:val="none" w:sz="0" w:space="0" w:color="auto"/>
        <w:left w:val="none" w:sz="0" w:space="0" w:color="auto"/>
        <w:bottom w:val="none" w:sz="0" w:space="0" w:color="auto"/>
        <w:right w:val="none" w:sz="0" w:space="0" w:color="auto"/>
      </w:divBdr>
    </w:div>
    <w:div w:id="1703282635">
      <w:marLeft w:val="0"/>
      <w:marRight w:val="0"/>
      <w:marTop w:val="0"/>
      <w:marBottom w:val="240"/>
      <w:divBdr>
        <w:top w:val="none" w:sz="0" w:space="0" w:color="auto"/>
        <w:left w:val="none" w:sz="0" w:space="0" w:color="auto"/>
        <w:bottom w:val="none" w:sz="0" w:space="0" w:color="auto"/>
        <w:right w:val="none" w:sz="0" w:space="0" w:color="auto"/>
      </w:divBdr>
    </w:div>
    <w:div w:id="1704330102">
      <w:marLeft w:val="0"/>
      <w:marRight w:val="0"/>
      <w:marTop w:val="0"/>
      <w:marBottom w:val="0"/>
      <w:divBdr>
        <w:top w:val="none" w:sz="0" w:space="0" w:color="auto"/>
        <w:left w:val="none" w:sz="0" w:space="0" w:color="auto"/>
        <w:bottom w:val="none" w:sz="0" w:space="0" w:color="auto"/>
        <w:right w:val="none" w:sz="0" w:space="0" w:color="auto"/>
      </w:divBdr>
    </w:div>
    <w:div w:id="1704941674">
      <w:marLeft w:val="0"/>
      <w:marRight w:val="0"/>
      <w:marTop w:val="240"/>
      <w:marBottom w:val="0"/>
      <w:divBdr>
        <w:top w:val="none" w:sz="0" w:space="0" w:color="auto"/>
        <w:left w:val="none" w:sz="0" w:space="0" w:color="auto"/>
        <w:bottom w:val="none" w:sz="0" w:space="0" w:color="auto"/>
        <w:right w:val="none" w:sz="0" w:space="0" w:color="auto"/>
      </w:divBdr>
    </w:div>
    <w:div w:id="1706170210">
      <w:marLeft w:val="0"/>
      <w:marRight w:val="0"/>
      <w:marTop w:val="240"/>
      <w:marBottom w:val="240"/>
      <w:divBdr>
        <w:top w:val="none" w:sz="0" w:space="0" w:color="auto"/>
        <w:left w:val="none" w:sz="0" w:space="0" w:color="auto"/>
        <w:bottom w:val="none" w:sz="0" w:space="0" w:color="auto"/>
        <w:right w:val="none" w:sz="0" w:space="0" w:color="auto"/>
      </w:divBdr>
    </w:div>
    <w:div w:id="1707411249">
      <w:marLeft w:val="0"/>
      <w:marRight w:val="0"/>
      <w:marTop w:val="240"/>
      <w:marBottom w:val="0"/>
      <w:divBdr>
        <w:top w:val="none" w:sz="0" w:space="0" w:color="auto"/>
        <w:left w:val="none" w:sz="0" w:space="0" w:color="auto"/>
        <w:bottom w:val="none" w:sz="0" w:space="0" w:color="auto"/>
        <w:right w:val="none" w:sz="0" w:space="0" w:color="auto"/>
      </w:divBdr>
    </w:div>
    <w:div w:id="1707490467">
      <w:marLeft w:val="0"/>
      <w:marRight w:val="0"/>
      <w:marTop w:val="0"/>
      <w:marBottom w:val="240"/>
      <w:divBdr>
        <w:top w:val="none" w:sz="0" w:space="0" w:color="auto"/>
        <w:left w:val="none" w:sz="0" w:space="0" w:color="auto"/>
        <w:bottom w:val="none" w:sz="0" w:space="0" w:color="auto"/>
        <w:right w:val="none" w:sz="0" w:space="0" w:color="auto"/>
      </w:divBdr>
    </w:div>
    <w:div w:id="1711951785">
      <w:marLeft w:val="0"/>
      <w:marRight w:val="0"/>
      <w:marTop w:val="200"/>
      <w:marBottom w:val="0"/>
      <w:divBdr>
        <w:top w:val="none" w:sz="0" w:space="0" w:color="auto"/>
        <w:left w:val="none" w:sz="0" w:space="0" w:color="auto"/>
        <w:bottom w:val="none" w:sz="0" w:space="0" w:color="auto"/>
        <w:right w:val="none" w:sz="0" w:space="0" w:color="auto"/>
      </w:divBdr>
    </w:div>
    <w:div w:id="1713191498">
      <w:marLeft w:val="0"/>
      <w:marRight w:val="0"/>
      <w:marTop w:val="240"/>
      <w:marBottom w:val="0"/>
      <w:divBdr>
        <w:top w:val="none" w:sz="0" w:space="0" w:color="auto"/>
        <w:left w:val="none" w:sz="0" w:space="0" w:color="auto"/>
        <w:bottom w:val="none" w:sz="0" w:space="0" w:color="auto"/>
        <w:right w:val="none" w:sz="0" w:space="0" w:color="auto"/>
      </w:divBdr>
    </w:div>
    <w:div w:id="1713917422">
      <w:marLeft w:val="0"/>
      <w:marRight w:val="0"/>
      <w:marTop w:val="240"/>
      <w:marBottom w:val="0"/>
      <w:divBdr>
        <w:top w:val="none" w:sz="0" w:space="0" w:color="auto"/>
        <w:left w:val="none" w:sz="0" w:space="0" w:color="auto"/>
        <w:bottom w:val="none" w:sz="0" w:space="0" w:color="auto"/>
        <w:right w:val="none" w:sz="0" w:space="0" w:color="auto"/>
      </w:divBdr>
    </w:div>
    <w:div w:id="1716199136">
      <w:marLeft w:val="0"/>
      <w:marRight w:val="0"/>
      <w:marTop w:val="0"/>
      <w:marBottom w:val="0"/>
      <w:divBdr>
        <w:top w:val="none" w:sz="0" w:space="0" w:color="auto"/>
        <w:left w:val="none" w:sz="0" w:space="0" w:color="auto"/>
        <w:bottom w:val="none" w:sz="0" w:space="0" w:color="auto"/>
        <w:right w:val="none" w:sz="0" w:space="0" w:color="auto"/>
      </w:divBdr>
      <w:divsChild>
        <w:div w:id="1053382117">
          <w:marLeft w:val="0"/>
          <w:marRight w:val="0"/>
          <w:marTop w:val="0"/>
          <w:marBottom w:val="0"/>
          <w:divBdr>
            <w:top w:val="none" w:sz="0" w:space="0" w:color="auto"/>
            <w:left w:val="none" w:sz="0" w:space="0" w:color="auto"/>
            <w:bottom w:val="none" w:sz="0" w:space="0" w:color="auto"/>
            <w:right w:val="none" w:sz="0" w:space="0" w:color="auto"/>
          </w:divBdr>
        </w:div>
      </w:divsChild>
    </w:div>
    <w:div w:id="1717927439">
      <w:marLeft w:val="0"/>
      <w:marRight w:val="0"/>
      <w:marTop w:val="240"/>
      <w:marBottom w:val="0"/>
      <w:divBdr>
        <w:top w:val="none" w:sz="0" w:space="0" w:color="auto"/>
        <w:left w:val="none" w:sz="0" w:space="0" w:color="auto"/>
        <w:bottom w:val="none" w:sz="0" w:space="0" w:color="auto"/>
        <w:right w:val="none" w:sz="0" w:space="0" w:color="auto"/>
      </w:divBdr>
    </w:div>
    <w:div w:id="1720089906">
      <w:marLeft w:val="0"/>
      <w:marRight w:val="0"/>
      <w:marTop w:val="240"/>
      <w:marBottom w:val="0"/>
      <w:divBdr>
        <w:top w:val="none" w:sz="0" w:space="0" w:color="auto"/>
        <w:left w:val="none" w:sz="0" w:space="0" w:color="auto"/>
        <w:bottom w:val="none" w:sz="0" w:space="0" w:color="auto"/>
        <w:right w:val="none" w:sz="0" w:space="0" w:color="auto"/>
      </w:divBdr>
    </w:div>
    <w:div w:id="1721900750">
      <w:marLeft w:val="0"/>
      <w:marRight w:val="0"/>
      <w:marTop w:val="0"/>
      <w:marBottom w:val="240"/>
      <w:divBdr>
        <w:top w:val="none" w:sz="0" w:space="0" w:color="auto"/>
        <w:left w:val="none" w:sz="0" w:space="0" w:color="auto"/>
        <w:bottom w:val="none" w:sz="0" w:space="0" w:color="auto"/>
        <w:right w:val="none" w:sz="0" w:space="0" w:color="auto"/>
      </w:divBdr>
    </w:div>
    <w:div w:id="1724789708">
      <w:marLeft w:val="0"/>
      <w:marRight w:val="0"/>
      <w:marTop w:val="240"/>
      <w:marBottom w:val="0"/>
      <w:divBdr>
        <w:top w:val="none" w:sz="0" w:space="0" w:color="auto"/>
        <w:left w:val="none" w:sz="0" w:space="0" w:color="auto"/>
        <w:bottom w:val="none" w:sz="0" w:space="0" w:color="auto"/>
        <w:right w:val="none" w:sz="0" w:space="0" w:color="auto"/>
      </w:divBdr>
    </w:div>
    <w:div w:id="1728256785">
      <w:marLeft w:val="0"/>
      <w:marRight w:val="0"/>
      <w:marTop w:val="0"/>
      <w:marBottom w:val="200"/>
      <w:divBdr>
        <w:top w:val="none" w:sz="0" w:space="0" w:color="auto"/>
        <w:left w:val="none" w:sz="0" w:space="0" w:color="auto"/>
        <w:bottom w:val="none" w:sz="0" w:space="0" w:color="auto"/>
        <w:right w:val="none" w:sz="0" w:space="0" w:color="auto"/>
      </w:divBdr>
    </w:div>
    <w:div w:id="1735350683">
      <w:marLeft w:val="0"/>
      <w:marRight w:val="0"/>
      <w:marTop w:val="240"/>
      <w:marBottom w:val="0"/>
      <w:divBdr>
        <w:top w:val="none" w:sz="0" w:space="0" w:color="auto"/>
        <w:left w:val="none" w:sz="0" w:space="0" w:color="auto"/>
        <w:bottom w:val="none" w:sz="0" w:space="0" w:color="auto"/>
        <w:right w:val="none" w:sz="0" w:space="0" w:color="auto"/>
      </w:divBdr>
    </w:div>
    <w:div w:id="1736120850">
      <w:marLeft w:val="0"/>
      <w:marRight w:val="0"/>
      <w:marTop w:val="0"/>
      <w:marBottom w:val="0"/>
      <w:divBdr>
        <w:top w:val="none" w:sz="0" w:space="0" w:color="auto"/>
        <w:left w:val="none" w:sz="0" w:space="0" w:color="auto"/>
        <w:bottom w:val="none" w:sz="0" w:space="0" w:color="auto"/>
        <w:right w:val="none" w:sz="0" w:space="0" w:color="auto"/>
      </w:divBdr>
      <w:divsChild>
        <w:div w:id="87042440">
          <w:marLeft w:val="0"/>
          <w:marRight w:val="0"/>
          <w:marTop w:val="0"/>
          <w:marBottom w:val="0"/>
          <w:divBdr>
            <w:top w:val="none" w:sz="0" w:space="0" w:color="auto"/>
            <w:left w:val="none" w:sz="0" w:space="0" w:color="auto"/>
            <w:bottom w:val="none" w:sz="0" w:space="0" w:color="auto"/>
            <w:right w:val="none" w:sz="0" w:space="0" w:color="auto"/>
          </w:divBdr>
        </w:div>
      </w:divsChild>
    </w:div>
    <w:div w:id="1741371075">
      <w:marLeft w:val="0"/>
      <w:marRight w:val="0"/>
      <w:marTop w:val="0"/>
      <w:marBottom w:val="240"/>
      <w:divBdr>
        <w:top w:val="none" w:sz="0" w:space="0" w:color="auto"/>
        <w:left w:val="none" w:sz="0" w:space="0" w:color="auto"/>
        <w:bottom w:val="none" w:sz="0" w:space="0" w:color="auto"/>
        <w:right w:val="none" w:sz="0" w:space="0" w:color="auto"/>
      </w:divBdr>
    </w:div>
    <w:div w:id="1741445953">
      <w:marLeft w:val="0"/>
      <w:marRight w:val="0"/>
      <w:marTop w:val="0"/>
      <w:marBottom w:val="0"/>
      <w:divBdr>
        <w:top w:val="none" w:sz="0" w:space="0" w:color="auto"/>
        <w:left w:val="none" w:sz="0" w:space="0" w:color="auto"/>
        <w:bottom w:val="none" w:sz="0" w:space="0" w:color="auto"/>
        <w:right w:val="none" w:sz="0" w:space="0" w:color="auto"/>
      </w:divBdr>
      <w:divsChild>
        <w:div w:id="1441951841">
          <w:marLeft w:val="0"/>
          <w:marRight w:val="0"/>
          <w:marTop w:val="0"/>
          <w:marBottom w:val="0"/>
          <w:divBdr>
            <w:top w:val="none" w:sz="0" w:space="0" w:color="auto"/>
            <w:left w:val="none" w:sz="0" w:space="0" w:color="auto"/>
            <w:bottom w:val="none" w:sz="0" w:space="0" w:color="auto"/>
            <w:right w:val="none" w:sz="0" w:space="0" w:color="auto"/>
          </w:divBdr>
        </w:div>
      </w:divsChild>
    </w:div>
    <w:div w:id="1742219141">
      <w:marLeft w:val="0"/>
      <w:marRight w:val="0"/>
      <w:marTop w:val="0"/>
      <w:marBottom w:val="0"/>
      <w:divBdr>
        <w:top w:val="none" w:sz="0" w:space="0" w:color="auto"/>
        <w:left w:val="none" w:sz="0" w:space="0" w:color="auto"/>
        <w:bottom w:val="none" w:sz="0" w:space="0" w:color="auto"/>
        <w:right w:val="none" w:sz="0" w:space="0" w:color="auto"/>
      </w:divBdr>
    </w:div>
    <w:div w:id="1744259644">
      <w:marLeft w:val="0"/>
      <w:marRight w:val="0"/>
      <w:marTop w:val="0"/>
      <w:marBottom w:val="120"/>
      <w:divBdr>
        <w:top w:val="none" w:sz="0" w:space="0" w:color="auto"/>
        <w:left w:val="none" w:sz="0" w:space="0" w:color="auto"/>
        <w:bottom w:val="none" w:sz="0" w:space="0" w:color="auto"/>
        <w:right w:val="none" w:sz="0" w:space="0" w:color="auto"/>
      </w:divBdr>
    </w:div>
    <w:div w:id="1745104981">
      <w:marLeft w:val="0"/>
      <w:marRight w:val="0"/>
      <w:marTop w:val="0"/>
      <w:marBottom w:val="240"/>
      <w:divBdr>
        <w:top w:val="none" w:sz="0" w:space="0" w:color="auto"/>
        <w:left w:val="none" w:sz="0" w:space="0" w:color="auto"/>
        <w:bottom w:val="none" w:sz="0" w:space="0" w:color="auto"/>
        <w:right w:val="none" w:sz="0" w:space="0" w:color="auto"/>
      </w:divBdr>
    </w:div>
    <w:div w:id="1756854644">
      <w:marLeft w:val="0"/>
      <w:marRight w:val="0"/>
      <w:marTop w:val="240"/>
      <w:marBottom w:val="0"/>
      <w:divBdr>
        <w:top w:val="none" w:sz="0" w:space="0" w:color="auto"/>
        <w:left w:val="none" w:sz="0" w:space="0" w:color="auto"/>
        <w:bottom w:val="none" w:sz="0" w:space="0" w:color="auto"/>
        <w:right w:val="none" w:sz="0" w:space="0" w:color="auto"/>
      </w:divBdr>
    </w:div>
    <w:div w:id="1763912201">
      <w:marLeft w:val="0"/>
      <w:marRight w:val="0"/>
      <w:marTop w:val="0"/>
      <w:marBottom w:val="0"/>
      <w:divBdr>
        <w:top w:val="none" w:sz="0" w:space="0" w:color="auto"/>
        <w:left w:val="none" w:sz="0" w:space="0" w:color="auto"/>
        <w:bottom w:val="none" w:sz="0" w:space="0" w:color="auto"/>
        <w:right w:val="none" w:sz="0" w:space="0" w:color="auto"/>
      </w:divBdr>
      <w:divsChild>
        <w:div w:id="743575979">
          <w:marLeft w:val="0"/>
          <w:marRight w:val="0"/>
          <w:marTop w:val="0"/>
          <w:marBottom w:val="0"/>
          <w:divBdr>
            <w:top w:val="none" w:sz="0" w:space="0" w:color="auto"/>
            <w:left w:val="none" w:sz="0" w:space="0" w:color="auto"/>
            <w:bottom w:val="none" w:sz="0" w:space="0" w:color="auto"/>
            <w:right w:val="none" w:sz="0" w:space="0" w:color="auto"/>
          </w:divBdr>
        </w:div>
      </w:divsChild>
    </w:div>
    <w:div w:id="1765026737">
      <w:marLeft w:val="0"/>
      <w:marRight w:val="0"/>
      <w:marTop w:val="240"/>
      <w:marBottom w:val="0"/>
      <w:divBdr>
        <w:top w:val="none" w:sz="0" w:space="0" w:color="auto"/>
        <w:left w:val="none" w:sz="0" w:space="0" w:color="auto"/>
        <w:bottom w:val="none" w:sz="0" w:space="0" w:color="auto"/>
        <w:right w:val="none" w:sz="0" w:space="0" w:color="auto"/>
      </w:divBdr>
    </w:div>
    <w:div w:id="1771051353">
      <w:marLeft w:val="0"/>
      <w:marRight w:val="0"/>
      <w:marTop w:val="0"/>
      <w:marBottom w:val="0"/>
      <w:divBdr>
        <w:top w:val="none" w:sz="0" w:space="0" w:color="auto"/>
        <w:left w:val="none" w:sz="0" w:space="0" w:color="auto"/>
        <w:bottom w:val="none" w:sz="0" w:space="0" w:color="auto"/>
        <w:right w:val="none" w:sz="0" w:space="0" w:color="auto"/>
      </w:divBdr>
    </w:div>
    <w:div w:id="1773083535">
      <w:marLeft w:val="0"/>
      <w:marRight w:val="0"/>
      <w:marTop w:val="120"/>
      <w:marBottom w:val="0"/>
      <w:divBdr>
        <w:top w:val="none" w:sz="0" w:space="0" w:color="auto"/>
        <w:left w:val="none" w:sz="0" w:space="0" w:color="auto"/>
        <w:bottom w:val="none" w:sz="0" w:space="0" w:color="auto"/>
        <w:right w:val="none" w:sz="0" w:space="0" w:color="auto"/>
      </w:divBdr>
    </w:div>
    <w:div w:id="1777290339">
      <w:marLeft w:val="0"/>
      <w:marRight w:val="0"/>
      <w:marTop w:val="0"/>
      <w:marBottom w:val="240"/>
      <w:divBdr>
        <w:top w:val="none" w:sz="0" w:space="0" w:color="auto"/>
        <w:left w:val="none" w:sz="0" w:space="0" w:color="auto"/>
        <w:bottom w:val="none" w:sz="0" w:space="0" w:color="auto"/>
        <w:right w:val="none" w:sz="0" w:space="0" w:color="auto"/>
      </w:divBdr>
    </w:div>
    <w:div w:id="1777821561">
      <w:marLeft w:val="0"/>
      <w:marRight w:val="0"/>
      <w:marTop w:val="240"/>
      <w:marBottom w:val="0"/>
      <w:divBdr>
        <w:top w:val="none" w:sz="0" w:space="0" w:color="auto"/>
        <w:left w:val="none" w:sz="0" w:space="0" w:color="auto"/>
        <w:bottom w:val="none" w:sz="0" w:space="0" w:color="auto"/>
        <w:right w:val="none" w:sz="0" w:space="0" w:color="auto"/>
      </w:divBdr>
    </w:div>
    <w:div w:id="1780173802">
      <w:marLeft w:val="0"/>
      <w:marRight w:val="0"/>
      <w:marTop w:val="0"/>
      <w:marBottom w:val="240"/>
      <w:divBdr>
        <w:top w:val="none" w:sz="0" w:space="0" w:color="auto"/>
        <w:left w:val="none" w:sz="0" w:space="0" w:color="auto"/>
        <w:bottom w:val="none" w:sz="0" w:space="0" w:color="auto"/>
        <w:right w:val="none" w:sz="0" w:space="0" w:color="auto"/>
      </w:divBdr>
    </w:div>
    <w:div w:id="1780905982">
      <w:marLeft w:val="0"/>
      <w:marRight w:val="0"/>
      <w:marTop w:val="0"/>
      <w:marBottom w:val="0"/>
      <w:divBdr>
        <w:top w:val="none" w:sz="0" w:space="0" w:color="auto"/>
        <w:left w:val="none" w:sz="0" w:space="0" w:color="auto"/>
        <w:bottom w:val="none" w:sz="0" w:space="0" w:color="auto"/>
        <w:right w:val="none" w:sz="0" w:space="0" w:color="auto"/>
      </w:divBdr>
      <w:divsChild>
        <w:div w:id="846863591">
          <w:marLeft w:val="0"/>
          <w:marRight w:val="0"/>
          <w:marTop w:val="0"/>
          <w:marBottom w:val="0"/>
          <w:divBdr>
            <w:top w:val="none" w:sz="0" w:space="0" w:color="auto"/>
            <w:left w:val="none" w:sz="0" w:space="0" w:color="auto"/>
            <w:bottom w:val="none" w:sz="0" w:space="0" w:color="auto"/>
            <w:right w:val="none" w:sz="0" w:space="0" w:color="auto"/>
          </w:divBdr>
        </w:div>
      </w:divsChild>
    </w:div>
    <w:div w:id="1783304024">
      <w:marLeft w:val="0"/>
      <w:marRight w:val="0"/>
      <w:marTop w:val="240"/>
      <w:marBottom w:val="0"/>
      <w:divBdr>
        <w:top w:val="none" w:sz="0" w:space="0" w:color="auto"/>
        <w:left w:val="none" w:sz="0" w:space="0" w:color="auto"/>
        <w:bottom w:val="none" w:sz="0" w:space="0" w:color="auto"/>
        <w:right w:val="none" w:sz="0" w:space="0" w:color="auto"/>
      </w:divBdr>
    </w:div>
    <w:div w:id="1785809249">
      <w:marLeft w:val="0"/>
      <w:marRight w:val="0"/>
      <w:marTop w:val="0"/>
      <w:marBottom w:val="240"/>
      <w:divBdr>
        <w:top w:val="none" w:sz="0" w:space="0" w:color="auto"/>
        <w:left w:val="none" w:sz="0" w:space="0" w:color="auto"/>
        <w:bottom w:val="none" w:sz="0" w:space="0" w:color="auto"/>
        <w:right w:val="none" w:sz="0" w:space="0" w:color="auto"/>
      </w:divBdr>
    </w:div>
    <w:div w:id="1785881589">
      <w:marLeft w:val="0"/>
      <w:marRight w:val="0"/>
      <w:marTop w:val="0"/>
      <w:marBottom w:val="240"/>
      <w:divBdr>
        <w:top w:val="none" w:sz="0" w:space="0" w:color="auto"/>
        <w:left w:val="none" w:sz="0" w:space="0" w:color="auto"/>
        <w:bottom w:val="none" w:sz="0" w:space="0" w:color="auto"/>
        <w:right w:val="none" w:sz="0" w:space="0" w:color="auto"/>
      </w:divBdr>
    </w:div>
    <w:div w:id="1788771683">
      <w:marLeft w:val="0"/>
      <w:marRight w:val="0"/>
      <w:marTop w:val="240"/>
      <w:marBottom w:val="240"/>
      <w:divBdr>
        <w:top w:val="none" w:sz="0" w:space="0" w:color="auto"/>
        <w:left w:val="none" w:sz="0" w:space="0" w:color="auto"/>
        <w:bottom w:val="none" w:sz="0" w:space="0" w:color="auto"/>
        <w:right w:val="none" w:sz="0" w:space="0" w:color="auto"/>
      </w:divBdr>
    </w:div>
    <w:div w:id="1790010624">
      <w:marLeft w:val="0"/>
      <w:marRight w:val="0"/>
      <w:marTop w:val="240"/>
      <w:marBottom w:val="0"/>
      <w:divBdr>
        <w:top w:val="none" w:sz="0" w:space="0" w:color="auto"/>
        <w:left w:val="none" w:sz="0" w:space="0" w:color="auto"/>
        <w:bottom w:val="none" w:sz="0" w:space="0" w:color="auto"/>
        <w:right w:val="none" w:sz="0" w:space="0" w:color="auto"/>
      </w:divBdr>
    </w:div>
    <w:div w:id="1791514354">
      <w:marLeft w:val="0"/>
      <w:marRight w:val="0"/>
      <w:marTop w:val="0"/>
      <w:marBottom w:val="240"/>
      <w:divBdr>
        <w:top w:val="none" w:sz="0" w:space="0" w:color="auto"/>
        <w:left w:val="none" w:sz="0" w:space="0" w:color="auto"/>
        <w:bottom w:val="none" w:sz="0" w:space="0" w:color="auto"/>
        <w:right w:val="none" w:sz="0" w:space="0" w:color="auto"/>
      </w:divBdr>
    </w:div>
    <w:div w:id="1792361323">
      <w:marLeft w:val="0"/>
      <w:marRight w:val="0"/>
      <w:marTop w:val="240"/>
      <w:marBottom w:val="0"/>
      <w:divBdr>
        <w:top w:val="none" w:sz="0" w:space="0" w:color="auto"/>
        <w:left w:val="none" w:sz="0" w:space="0" w:color="auto"/>
        <w:bottom w:val="none" w:sz="0" w:space="0" w:color="auto"/>
        <w:right w:val="none" w:sz="0" w:space="0" w:color="auto"/>
      </w:divBdr>
    </w:div>
    <w:div w:id="1792438757">
      <w:marLeft w:val="0"/>
      <w:marRight w:val="0"/>
      <w:marTop w:val="240"/>
      <w:marBottom w:val="0"/>
      <w:divBdr>
        <w:top w:val="none" w:sz="0" w:space="0" w:color="auto"/>
        <w:left w:val="none" w:sz="0" w:space="0" w:color="auto"/>
        <w:bottom w:val="none" w:sz="0" w:space="0" w:color="auto"/>
        <w:right w:val="none" w:sz="0" w:space="0" w:color="auto"/>
      </w:divBdr>
    </w:div>
    <w:div w:id="1794906295">
      <w:marLeft w:val="0"/>
      <w:marRight w:val="0"/>
      <w:marTop w:val="0"/>
      <w:marBottom w:val="0"/>
      <w:divBdr>
        <w:top w:val="none" w:sz="0" w:space="0" w:color="auto"/>
        <w:left w:val="none" w:sz="0" w:space="0" w:color="auto"/>
        <w:bottom w:val="none" w:sz="0" w:space="0" w:color="auto"/>
        <w:right w:val="none" w:sz="0" w:space="0" w:color="auto"/>
      </w:divBdr>
      <w:divsChild>
        <w:div w:id="1113015203">
          <w:marLeft w:val="0"/>
          <w:marRight w:val="0"/>
          <w:marTop w:val="0"/>
          <w:marBottom w:val="0"/>
          <w:divBdr>
            <w:top w:val="none" w:sz="0" w:space="0" w:color="auto"/>
            <w:left w:val="none" w:sz="0" w:space="0" w:color="auto"/>
            <w:bottom w:val="none" w:sz="0" w:space="0" w:color="auto"/>
            <w:right w:val="none" w:sz="0" w:space="0" w:color="auto"/>
          </w:divBdr>
        </w:div>
      </w:divsChild>
    </w:div>
    <w:div w:id="1797068758">
      <w:marLeft w:val="0"/>
      <w:marRight w:val="0"/>
      <w:marTop w:val="0"/>
      <w:marBottom w:val="240"/>
      <w:divBdr>
        <w:top w:val="none" w:sz="0" w:space="0" w:color="auto"/>
        <w:left w:val="none" w:sz="0" w:space="0" w:color="auto"/>
        <w:bottom w:val="none" w:sz="0" w:space="0" w:color="auto"/>
        <w:right w:val="none" w:sz="0" w:space="0" w:color="auto"/>
      </w:divBdr>
    </w:div>
    <w:div w:id="1797404304">
      <w:marLeft w:val="0"/>
      <w:marRight w:val="0"/>
      <w:marTop w:val="100"/>
      <w:marBottom w:val="0"/>
      <w:divBdr>
        <w:top w:val="none" w:sz="0" w:space="0" w:color="auto"/>
        <w:left w:val="none" w:sz="0" w:space="0" w:color="auto"/>
        <w:bottom w:val="none" w:sz="0" w:space="0" w:color="auto"/>
        <w:right w:val="none" w:sz="0" w:space="0" w:color="auto"/>
      </w:divBdr>
    </w:div>
    <w:div w:id="1807119111">
      <w:marLeft w:val="0"/>
      <w:marRight w:val="0"/>
      <w:marTop w:val="100"/>
      <w:marBottom w:val="0"/>
      <w:divBdr>
        <w:top w:val="none" w:sz="0" w:space="0" w:color="auto"/>
        <w:left w:val="none" w:sz="0" w:space="0" w:color="auto"/>
        <w:bottom w:val="none" w:sz="0" w:space="0" w:color="auto"/>
        <w:right w:val="none" w:sz="0" w:space="0" w:color="auto"/>
      </w:divBdr>
    </w:div>
    <w:div w:id="1810322578">
      <w:marLeft w:val="0"/>
      <w:marRight w:val="0"/>
      <w:marTop w:val="0"/>
      <w:marBottom w:val="240"/>
      <w:divBdr>
        <w:top w:val="none" w:sz="0" w:space="0" w:color="auto"/>
        <w:left w:val="none" w:sz="0" w:space="0" w:color="auto"/>
        <w:bottom w:val="none" w:sz="0" w:space="0" w:color="auto"/>
        <w:right w:val="none" w:sz="0" w:space="0" w:color="auto"/>
      </w:divBdr>
    </w:div>
    <w:div w:id="1813710769">
      <w:marLeft w:val="0"/>
      <w:marRight w:val="0"/>
      <w:marTop w:val="240"/>
      <w:marBottom w:val="0"/>
      <w:divBdr>
        <w:top w:val="none" w:sz="0" w:space="0" w:color="auto"/>
        <w:left w:val="none" w:sz="0" w:space="0" w:color="auto"/>
        <w:bottom w:val="none" w:sz="0" w:space="0" w:color="auto"/>
        <w:right w:val="none" w:sz="0" w:space="0" w:color="auto"/>
      </w:divBdr>
    </w:div>
    <w:div w:id="1820265597">
      <w:marLeft w:val="0"/>
      <w:marRight w:val="0"/>
      <w:marTop w:val="200"/>
      <w:marBottom w:val="0"/>
      <w:divBdr>
        <w:top w:val="none" w:sz="0" w:space="0" w:color="auto"/>
        <w:left w:val="none" w:sz="0" w:space="0" w:color="auto"/>
        <w:bottom w:val="none" w:sz="0" w:space="0" w:color="auto"/>
        <w:right w:val="none" w:sz="0" w:space="0" w:color="auto"/>
      </w:divBdr>
    </w:div>
    <w:div w:id="1822576688">
      <w:marLeft w:val="0"/>
      <w:marRight w:val="0"/>
      <w:marTop w:val="0"/>
      <w:marBottom w:val="240"/>
      <w:divBdr>
        <w:top w:val="none" w:sz="0" w:space="0" w:color="auto"/>
        <w:left w:val="none" w:sz="0" w:space="0" w:color="auto"/>
        <w:bottom w:val="none" w:sz="0" w:space="0" w:color="auto"/>
        <w:right w:val="none" w:sz="0" w:space="0" w:color="auto"/>
      </w:divBdr>
    </w:div>
    <w:div w:id="1823306932">
      <w:marLeft w:val="0"/>
      <w:marRight w:val="0"/>
      <w:marTop w:val="0"/>
      <w:marBottom w:val="0"/>
      <w:divBdr>
        <w:top w:val="none" w:sz="0" w:space="0" w:color="auto"/>
        <w:left w:val="none" w:sz="0" w:space="0" w:color="auto"/>
        <w:bottom w:val="none" w:sz="0" w:space="0" w:color="auto"/>
        <w:right w:val="none" w:sz="0" w:space="0" w:color="auto"/>
      </w:divBdr>
    </w:div>
    <w:div w:id="1823690800">
      <w:marLeft w:val="0"/>
      <w:marRight w:val="0"/>
      <w:marTop w:val="240"/>
      <w:marBottom w:val="240"/>
      <w:divBdr>
        <w:top w:val="none" w:sz="0" w:space="0" w:color="auto"/>
        <w:left w:val="none" w:sz="0" w:space="0" w:color="auto"/>
        <w:bottom w:val="none" w:sz="0" w:space="0" w:color="auto"/>
        <w:right w:val="none" w:sz="0" w:space="0" w:color="auto"/>
      </w:divBdr>
    </w:div>
    <w:div w:id="1829898212">
      <w:marLeft w:val="0"/>
      <w:marRight w:val="0"/>
      <w:marTop w:val="0"/>
      <w:marBottom w:val="0"/>
      <w:divBdr>
        <w:top w:val="none" w:sz="0" w:space="0" w:color="auto"/>
        <w:left w:val="none" w:sz="0" w:space="0" w:color="auto"/>
        <w:bottom w:val="none" w:sz="0" w:space="0" w:color="auto"/>
        <w:right w:val="none" w:sz="0" w:space="0" w:color="auto"/>
      </w:divBdr>
      <w:divsChild>
        <w:div w:id="1996373456">
          <w:marLeft w:val="0"/>
          <w:marRight w:val="0"/>
          <w:marTop w:val="0"/>
          <w:marBottom w:val="0"/>
          <w:divBdr>
            <w:top w:val="none" w:sz="0" w:space="0" w:color="auto"/>
            <w:left w:val="none" w:sz="0" w:space="0" w:color="auto"/>
            <w:bottom w:val="none" w:sz="0" w:space="0" w:color="auto"/>
            <w:right w:val="none" w:sz="0" w:space="0" w:color="auto"/>
          </w:divBdr>
        </w:div>
      </w:divsChild>
    </w:div>
    <w:div w:id="1831210796">
      <w:marLeft w:val="0"/>
      <w:marRight w:val="0"/>
      <w:marTop w:val="0"/>
      <w:marBottom w:val="0"/>
      <w:divBdr>
        <w:top w:val="none" w:sz="0" w:space="0" w:color="auto"/>
        <w:left w:val="none" w:sz="0" w:space="0" w:color="auto"/>
        <w:bottom w:val="none" w:sz="0" w:space="0" w:color="auto"/>
        <w:right w:val="none" w:sz="0" w:space="0" w:color="auto"/>
      </w:divBdr>
      <w:divsChild>
        <w:div w:id="1949577786">
          <w:marLeft w:val="0"/>
          <w:marRight w:val="0"/>
          <w:marTop w:val="0"/>
          <w:marBottom w:val="0"/>
          <w:divBdr>
            <w:top w:val="none" w:sz="0" w:space="0" w:color="auto"/>
            <w:left w:val="none" w:sz="0" w:space="0" w:color="auto"/>
            <w:bottom w:val="none" w:sz="0" w:space="0" w:color="auto"/>
            <w:right w:val="none" w:sz="0" w:space="0" w:color="auto"/>
          </w:divBdr>
        </w:div>
      </w:divsChild>
    </w:div>
    <w:div w:id="1831940614">
      <w:marLeft w:val="0"/>
      <w:marRight w:val="0"/>
      <w:marTop w:val="0"/>
      <w:marBottom w:val="0"/>
      <w:divBdr>
        <w:top w:val="none" w:sz="0" w:space="0" w:color="auto"/>
        <w:left w:val="none" w:sz="0" w:space="0" w:color="auto"/>
        <w:bottom w:val="none" w:sz="0" w:space="0" w:color="auto"/>
        <w:right w:val="none" w:sz="0" w:space="0" w:color="auto"/>
      </w:divBdr>
      <w:divsChild>
        <w:div w:id="574895611">
          <w:marLeft w:val="0"/>
          <w:marRight w:val="0"/>
          <w:marTop w:val="0"/>
          <w:marBottom w:val="0"/>
          <w:divBdr>
            <w:top w:val="none" w:sz="0" w:space="0" w:color="auto"/>
            <w:left w:val="none" w:sz="0" w:space="0" w:color="auto"/>
            <w:bottom w:val="none" w:sz="0" w:space="0" w:color="auto"/>
            <w:right w:val="none" w:sz="0" w:space="0" w:color="auto"/>
          </w:divBdr>
        </w:div>
      </w:divsChild>
    </w:div>
    <w:div w:id="1832794951">
      <w:marLeft w:val="0"/>
      <w:marRight w:val="0"/>
      <w:marTop w:val="240"/>
      <w:marBottom w:val="0"/>
      <w:divBdr>
        <w:top w:val="none" w:sz="0" w:space="0" w:color="auto"/>
        <w:left w:val="none" w:sz="0" w:space="0" w:color="auto"/>
        <w:bottom w:val="none" w:sz="0" w:space="0" w:color="auto"/>
        <w:right w:val="none" w:sz="0" w:space="0" w:color="auto"/>
      </w:divBdr>
    </w:div>
    <w:div w:id="1833256132">
      <w:marLeft w:val="0"/>
      <w:marRight w:val="0"/>
      <w:marTop w:val="0"/>
      <w:marBottom w:val="0"/>
      <w:divBdr>
        <w:top w:val="none" w:sz="0" w:space="0" w:color="auto"/>
        <w:left w:val="none" w:sz="0" w:space="0" w:color="auto"/>
        <w:bottom w:val="none" w:sz="0" w:space="0" w:color="auto"/>
        <w:right w:val="none" w:sz="0" w:space="0" w:color="auto"/>
      </w:divBdr>
      <w:divsChild>
        <w:div w:id="1943682622">
          <w:marLeft w:val="0"/>
          <w:marRight w:val="0"/>
          <w:marTop w:val="0"/>
          <w:marBottom w:val="0"/>
          <w:divBdr>
            <w:top w:val="none" w:sz="0" w:space="0" w:color="auto"/>
            <w:left w:val="none" w:sz="0" w:space="0" w:color="auto"/>
            <w:bottom w:val="none" w:sz="0" w:space="0" w:color="auto"/>
            <w:right w:val="none" w:sz="0" w:space="0" w:color="auto"/>
          </w:divBdr>
        </w:div>
      </w:divsChild>
    </w:div>
    <w:div w:id="1834367043">
      <w:marLeft w:val="0"/>
      <w:marRight w:val="0"/>
      <w:marTop w:val="240"/>
      <w:marBottom w:val="0"/>
      <w:divBdr>
        <w:top w:val="none" w:sz="0" w:space="0" w:color="auto"/>
        <w:left w:val="none" w:sz="0" w:space="0" w:color="auto"/>
        <w:bottom w:val="none" w:sz="0" w:space="0" w:color="auto"/>
        <w:right w:val="none" w:sz="0" w:space="0" w:color="auto"/>
      </w:divBdr>
    </w:div>
    <w:div w:id="1835487335">
      <w:marLeft w:val="0"/>
      <w:marRight w:val="0"/>
      <w:marTop w:val="0"/>
      <w:marBottom w:val="0"/>
      <w:divBdr>
        <w:top w:val="none" w:sz="0" w:space="0" w:color="auto"/>
        <w:left w:val="none" w:sz="0" w:space="0" w:color="auto"/>
        <w:bottom w:val="none" w:sz="0" w:space="0" w:color="auto"/>
        <w:right w:val="none" w:sz="0" w:space="0" w:color="auto"/>
      </w:divBdr>
    </w:div>
    <w:div w:id="1839152774">
      <w:marLeft w:val="0"/>
      <w:marRight w:val="0"/>
      <w:marTop w:val="0"/>
      <w:marBottom w:val="0"/>
      <w:divBdr>
        <w:top w:val="none" w:sz="0" w:space="0" w:color="auto"/>
        <w:left w:val="none" w:sz="0" w:space="0" w:color="auto"/>
        <w:bottom w:val="none" w:sz="0" w:space="0" w:color="auto"/>
        <w:right w:val="none" w:sz="0" w:space="0" w:color="auto"/>
      </w:divBdr>
    </w:div>
    <w:div w:id="1840002654">
      <w:marLeft w:val="0"/>
      <w:marRight w:val="0"/>
      <w:marTop w:val="0"/>
      <w:marBottom w:val="0"/>
      <w:divBdr>
        <w:top w:val="none" w:sz="0" w:space="0" w:color="auto"/>
        <w:left w:val="none" w:sz="0" w:space="0" w:color="auto"/>
        <w:bottom w:val="none" w:sz="0" w:space="0" w:color="auto"/>
        <w:right w:val="none" w:sz="0" w:space="0" w:color="auto"/>
      </w:divBdr>
    </w:div>
    <w:div w:id="1840925064">
      <w:marLeft w:val="0"/>
      <w:marRight w:val="0"/>
      <w:marTop w:val="0"/>
      <w:marBottom w:val="120"/>
      <w:divBdr>
        <w:top w:val="none" w:sz="0" w:space="0" w:color="auto"/>
        <w:left w:val="none" w:sz="0" w:space="0" w:color="auto"/>
        <w:bottom w:val="none" w:sz="0" w:space="0" w:color="auto"/>
        <w:right w:val="none" w:sz="0" w:space="0" w:color="auto"/>
      </w:divBdr>
    </w:div>
    <w:div w:id="1841386664">
      <w:marLeft w:val="0"/>
      <w:marRight w:val="0"/>
      <w:marTop w:val="0"/>
      <w:marBottom w:val="240"/>
      <w:divBdr>
        <w:top w:val="none" w:sz="0" w:space="0" w:color="auto"/>
        <w:left w:val="none" w:sz="0" w:space="0" w:color="auto"/>
        <w:bottom w:val="none" w:sz="0" w:space="0" w:color="auto"/>
        <w:right w:val="none" w:sz="0" w:space="0" w:color="auto"/>
      </w:divBdr>
    </w:div>
    <w:div w:id="1844202610">
      <w:marLeft w:val="0"/>
      <w:marRight w:val="0"/>
      <w:marTop w:val="0"/>
      <w:marBottom w:val="240"/>
      <w:divBdr>
        <w:top w:val="none" w:sz="0" w:space="0" w:color="auto"/>
        <w:left w:val="none" w:sz="0" w:space="0" w:color="auto"/>
        <w:bottom w:val="none" w:sz="0" w:space="0" w:color="auto"/>
        <w:right w:val="none" w:sz="0" w:space="0" w:color="auto"/>
      </w:divBdr>
    </w:div>
    <w:div w:id="1845167091">
      <w:marLeft w:val="0"/>
      <w:marRight w:val="0"/>
      <w:marTop w:val="0"/>
      <w:marBottom w:val="1"/>
      <w:divBdr>
        <w:top w:val="none" w:sz="0" w:space="0" w:color="auto"/>
        <w:left w:val="none" w:sz="0" w:space="0" w:color="auto"/>
        <w:bottom w:val="none" w:sz="0" w:space="0" w:color="auto"/>
        <w:right w:val="none" w:sz="0" w:space="0" w:color="auto"/>
      </w:divBdr>
    </w:div>
    <w:div w:id="1854369588">
      <w:marLeft w:val="0"/>
      <w:marRight w:val="0"/>
      <w:marTop w:val="0"/>
      <w:marBottom w:val="0"/>
      <w:divBdr>
        <w:top w:val="none" w:sz="0" w:space="0" w:color="auto"/>
        <w:left w:val="none" w:sz="0" w:space="0" w:color="auto"/>
        <w:bottom w:val="none" w:sz="0" w:space="0" w:color="auto"/>
        <w:right w:val="none" w:sz="0" w:space="0" w:color="auto"/>
      </w:divBdr>
      <w:divsChild>
        <w:div w:id="5984958">
          <w:marLeft w:val="0"/>
          <w:marRight w:val="0"/>
          <w:marTop w:val="0"/>
          <w:marBottom w:val="0"/>
          <w:divBdr>
            <w:top w:val="none" w:sz="0" w:space="0" w:color="auto"/>
            <w:left w:val="none" w:sz="0" w:space="0" w:color="auto"/>
            <w:bottom w:val="none" w:sz="0" w:space="0" w:color="auto"/>
            <w:right w:val="none" w:sz="0" w:space="0" w:color="auto"/>
          </w:divBdr>
        </w:div>
      </w:divsChild>
    </w:div>
    <w:div w:id="1858733486">
      <w:marLeft w:val="0"/>
      <w:marRight w:val="0"/>
      <w:marTop w:val="0"/>
      <w:marBottom w:val="240"/>
      <w:divBdr>
        <w:top w:val="none" w:sz="0" w:space="0" w:color="auto"/>
        <w:left w:val="none" w:sz="0" w:space="0" w:color="auto"/>
        <w:bottom w:val="none" w:sz="0" w:space="0" w:color="auto"/>
        <w:right w:val="none" w:sz="0" w:space="0" w:color="auto"/>
      </w:divBdr>
    </w:div>
    <w:div w:id="1862742129">
      <w:marLeft w:val="0"/>
      <w:marRight w:val="0"/>
      <w:marTop w:val="0"/>
      <w:marBottom w:val="240"/>
      <w:divBdr>
        <w:top w:val="none" w:sz="0" w:space="0" w:color="auto"/>
        <w:left w:val="none" w:sz="0" w:space="0" w:color="auto"/>
        <w:bottom w:val="none" w:sz="0" w:space="0" w:color="auto"/>
        <w:right w:val="none" w:sz="0" w:space="0" w:color="auto"/>
      </w:divBdr>
    </w:div>
    <w:div w:id="1865172562">
      <w:marLeft w:val="0"/>
      <w:marRight w:val="0"/>
      <w:marTop w:val="0"/>
      <w:marBottom w:val="0"/>
      <w:divBdr>
        <w:top w:val="none" w:sz="0" w:space="0" w:color="auto"/>
        <w:left w:val="none" w:sz="0" w:space="0" w:color="auto"/>
        <w:bottom w:val="none" w:sz="0" w:space="0" w:color="auto"/>
        <w:right w:val="none" w:sz="0" w:space="0" w:color="auto"/>
      </w:divBdr>
      <w:divsChild>
        <w:div w:id="924654437">
          <w:marLeft w:val="0"/>
          <w:marRight w:val="0"/>
          <w:marTop w:val="0"/>
          <w:marBottom w:val="0"/>
          <w:divBdr>
            <w:top w:val="none" w:sz="0" w:space="0" w:color="auto"/>
            <w:left w:val="none" w:sz="0" w:space="0" w:color="auto"/>
            <w:bottom w:val="none" w:sz="0" w:space="0" w:color="auto"/>
            <w:right w:val="none" w:sz="0" w:space="0" w:color="auto"/>
          </w:divBdr>
        </w:div>
      </w:divsChild>
    </w:div>
    <w:div w:id="1865821415">
      <w:marLeft w:val="0"/>
      <w:marRight w:val="0"/>
      <w:marTop w:val="240"/>
      <w:marBottom w:val="0"/>
      <w:divBdr>
        <w:top w:val="none" w:sz="0" w:space="0" w:color="auto"/>
        <w:left w:val="none" w:sz="0" w:space="0" w:color="auto"/>
        <w:bottom w:val="none" w:sz="0" w:space="0" w:color="auto"/>
        <w:right w:val="none" w:sz="0" w:space="0" w:color="auto"/>
      </w:divBdr>
    </w:div>
    <w:div w:id="1877816598">
      <w:marLeft w:val="0"/>
      <w:marRight w:val="0"/>
      <w:marTop w:val="240"/>
      <w:marBottom w:val="0"/>
      <w:divBdr>
        <w:top w:val="none" w:sz="0" w:space="0" w:color="auto"/>
        <w:left w:val="none" w:sz="0" w:space="0" w:color="auto"/>
        <w:bottom w:val="none" w:sz="0" w:space="0" w:color="auto"/>
        <w:right w:val="none" w:sz="0" w:space="0" w:color="auto"/>
      </w:divBdr>
    </w:div>
    <w:div w:id="1879581583">
      <w:marLeft w:val="0"/>
      <w:marRight w:val="0"/>
      <w:marTop w:val="0"/>
      <w:marBottom w:val="120"/>
      <w:divBdr>
        <w:top w:val="none" w:sz="0" w:space="0" w:color="auto"/>
        <w:left w:val="none" w:sz="0" w:space="0" w:color="auto"/>
        <w:bottom w:val="none" w:sz="0" w:space="0" w:color="auto"/>
        <w:right w:val="none" w:sz="0" w:space="0" w:color="auto"/>
      </w:divBdr>
    </w:div>
    <w:div w:id="1881745931">
      <w:marLeft w:val="0"/>
      <w:marRight w:val="0"/>
      <w:marTop w:val="240"/>
      <w:marBottom w:val="0"/>
      <w:divBdr>
        <w:top w:val="none" w:sz="0" w:space="0" w:color="auto"/>
        <w:left w:val="none" w:sz="0" w:space="0" w:color="auto"/>
        <w:bottom w:val="none" w:sz="0" w:space="0" w:color="auto"/>
        <w:right w:val="none" w:sz="0" w:space="0" w:color="auto"/>
      </w:divBdr>
    </w:div>
    <w:div w:id="1882668970">
      <w:marLeft w:val="0"/>
      <w:marRight w:val="0"/>
      <w:marTop w:val="0"/>
      <w:marBottom w:val="0"/>
      <w:divBdr>
        <w:top w:val="none" w:sz="0" w:space="0" w:color="auto"/>
        <w:left w:val="none" w:sz="0" w:space="0" w:color="auto"/>
        <w:bottom w:val="none" w:sz="0" w:space="0" w:color="auto"/>
        <w:right w:val="none" w:sz="0" w:space="0" w:color="auto"/>
      </w:divBdr>
      <w:divsChild>
        <w:div w:id="478305529">
          <w:marLeft w:val="0"/>
          <w:marRight w:val="0"/>
          <w:marTop w:val="0"/>
          <w:marBottom w:val="0"/>
          <w:divBdr>
            <w:top w:val="none" w:sz="0" w:space="0" w:color="auto"/>
            <w:left w:val="none" w:sz="0" w:space="0" w:color="auto"/>
            <w:bottom w:val="none" w:sz="0" w:space="0" w:color="auto"/>
            <w:right w:val="none" w:sz="0" w:space="0" w:color="auto"/>
          </w:divBdr>
        </w:div>
      </w:divsChild>
    </w:div>
    <w:div w:id="1883052882">
      <w:marLeft w:val="0"/>
      <w:marRight w:val="0"/>
      <w:marTop w:val="240"/>
      <w:marBottom w:val="0"/>
      <w:divBdr>
        <w:top w:val="none" w:sz="0" w:space="0" w:color="auto"/>
        <w:left w:val="none" w:sz="0" w:space="0" w:color="auto"/>
        <w:bottom w:val="none" w:sz="0" w:space="0" w:color="auto"/>
        <w:right w:val="none" w:sz="0" w:space="0" w:color="auto"/>
      </w:divBdr>
    </w:div>
    <w:div w:id="1884829203">
      <w:marLeft w:val="0"/>
      <w:marRight w:val="0"/>
      <w:marTop w:val="240"/>
      <w:marBottom w:val="0"/>
      <w:divBdr>
        <w:top w:val="none" w:sz="0" w:space="0" w:color="auto"/>
        <w:left w:val="none" w:sz="0" w:space="0" w:color="auto"/>
        <w:bottom w:val="none" w:sz="0" w:space="0" w:color="auto"/>
        <w:right w:val="none" w:sz="0" w:space="0" w:color="auto"/>
      </w:divBdr>
    </w:div>
    <w:div w:id="1888420035">
      <w:marLeft w:val="0"/>
      <w:marRight w:val="0"/>
      <w:marTop w:val="0"/>
      <w:marBottom w:val="0"/>
      <w:divBdr>
        <w:top w:val="none" w:sz="0" w:space="0" w:color="auto"/>
        <w:left w:val="none" w:sz="0" w:space="0" w:color="auto"/>
        <w:bottom w:val="none" w:sz="0" w:space="0" w:color="auto"/>
        <w:right w:val="none" w:sz="0" w:space="0" w:color="auto"/>
      </w:divBdr>
    </w:div>
    <w:div w:id="1888448881">
      <w:marLeft w:val="0"/>
      <w:marRight w:val="0"/>
      <w:marTop w:val="0"/>
      <w:marBottom w:val="0"/>
      <w:divBdr>
        <w:top w:val="none" w:sz="0" w:space="0" w:color="auto"/>
        <w:left w:val="none" w:sz="0" w:space="0" w:color="auto"/>
        <w:bottom w:val="none" w:sz="0" w:space="0" w:color="auto"/>
        <w:right w:val="none" w:sz="0" w:space="0" w:color="auto"/>
      </w:divBdr>
      <w:divsChild>
        <w:div w:id="1866091652">
          <w:marLeft w:val="0"/>
          <w:marRight w:val="0"/>
          <w:marTop w:val="0"/>
          <w:marBottom w:val="0"/>
          <w:divBdr>
            <w:top w:val="none" w:sz="0" w:space="0" w:color="auto"/>
            <w:left w:val="none" w:sz="0" w:space="0" w:color="auto"/>
            <w:bottom w:val="none" w:sz="0" w:space="0" w:color="auto"/>
            <w:right w:val="none" w:sz="0" w:space="0" w:color="auto"/>
          </w:divBdr>
        </w:div>
      </w:divsChild>
    </w:div>
    <w:div w:id="1888493509">
      <w:marLeft w:val="0"/>
      <w:marRight w:val="0"/>
      <w:marTop w:val="0"/>
      <w:marBottom w:val="0"/>
      <w:divBdr>
        <w:top w:val="none" w:sz="0" w:space="0" w:color="auto"/>
        <w:left w:val="none" w:sz="0" w:space="0" w:color="auto"/>
        <w:bottom w:val="none" w:sz="0" w:space="0" w:color="auto"/>
        <w:right w:val="none" w:sz="0" w:space="0" w:color="auto"/>
      </w:divBdr>
      <w:divsChild>
        <w:div w:id="1623851281">
          <w:marLeft w:val="0"/>
          <w:marRight w:val="0"/>
          <w:marTop w:val="0"/>
          <w:marBottom w:val="0"/>
          <w:divBdr>
            <w:top w:val="none" w:sz="0" w:space="0" w:color="auto"/>
            <w:left w:val="none" w:sz="0" w:space="0" w:color="auto"/>
            <w:bottom w:val="none" w:sz="0" w:space="0" w:color="auto"/>
            <w:right w:val="none" w:sz="0" w:space="0" w:color="auto"/>
          </w:divBdr>
        </w:div>
      </w:divsChild>
    </w:div>
    <w:div w:id="1889100357">
      <w:marLeft w:val="0"/>
      <w:marRight w:val="0"/>
      <w:marTop w:val="0"/>
      <w:marBottom w:val="240"/>
      <w:divBdr>
        <w:top w:val="none" w:sz="0" w:space="0" w:color="auto"/>
        <w:left w:val="none" w:sz="0" w:space="0" w:color="auto"/>
        <w:bottom w:val="none" w:sz="0" w:space="0" w:color="auto"/>
        <w:right w:val="none" w:sz="0" w:space="0" w:color="auto"/>
      </w:divBdr>
    </w:div>
    <w:div w:id="1890141899">
      <w:marLeft w:val="0"/>
      <w:marRight w:val="0"/>
      <w:marTop w:val="240"/>
      <w:marBottom w:val="0"/>
      <w:divBdr>
        <w:top w:val="none" w:sz="0" w:space="0" w:color="auto"/>
        <w:left w:val="none" w:sz="0" w:space="0" w:color="auto"/>
        <w:bottom w:val="none" w:sz="0" w:space="0" w:color="auto"/>
        <w:right w:val="none" w:sz="0" w:space="0" w:color="auto"/>
      </w:divBdr>
    </w:div>
    <w:div w:id="1893617659">
      <w:marLeft w:val="0"/>
      <w:marRight w:val="0"/>
      <w:marTop w:val="120"/>
      <w:marBottom w:val="0"/>
      <w:divBdr>
        <w:top w:val="none" w:sz="0" w:space="0" w:color="auto"/>
        <w:left w:val="none" w:sz="0" w:space="0" w:color="auto"/>
        <w:bottom w:val="none" w:sz="0" w:space="0" w:color="auto"/>
        <w:right w:val="none" w:sz="0" w:space="0" w:color="auto"/>
      </w:divBdr>
    </w:div>
    <w:div w:id="1895576945">
      <w:marLeft w:val="0"/>
      <w:marRight w:val="0"/>
      <w:marTop w:val="0"/>
      <w:marBottom w:val="0"/>
      <w:divBdr>
        <w:top w:val="none" w:sz="0" w:space="0" w:color="auto"/>
        <w:left w:val="none" w:sz="0" w:space="0" w:color="auto"/>
        <w:bottom w:val="none" w:sz="0" w:space="0" w:color="auto"/>
        <w:right w:val="none" w:sz="0" w:space="0" w:color="auto"/>
      </w:divBdr>
    </w:div>
    <w:div w:id="1897205007">
      <w:marLeft w:val="0"/>
      <w:marRight w:val="0"/>
      <w:marTop w:val="240"/>
      <w:marBottom w:val="0"/>
      <w:divBdr>
        <w:top w:val="none" w:sz="0" w:space="0" w:color="auto"/>
        <w:left w:val="none" w:sz="0" w:space="0" w:color="auto"/>
        <w:bottom w:val="none" w:sz="0" w:space="0" w:color="auto"/>
        <w:right w:val="none" w:sz="0" w:space="0" w:color="auto"/>
      </w:divBdr>
    </w:div>
    <w:div w:id="1900245257">
      <w:marLeft w:val="0"/>
      <w:marRight w:val="0"/>
      <w:marTop w:val="0"/>
      <w:marBottom w:val="240"/>
      <w:divBdr>
        <w:top w:val="none" w:sz="0" w:space="0" w:color="auto"/>
        <w:left w:val="none" w:sz="0" w:space="0" w:color="auto"/>
        <w:bottom w:val="none" w:sz="0" w:space="0" w:color="auto"/>
        <w:right w:val="none" w:sz="0" w:space="0" w:color="auto"/>
      </w:divBdr>
    </w:div>
    <w:div w:id="1902279621">
      <w:marLeft w:val="0"/>
      <w:marRight w:val="0"/>
      <w:marTop w:val="240"/>
      <w:marBottom w:val="0"/>
      <w:divBdr>
        <w:top w:val="none" w:sz="0" w:space="0" w:color="auto"/>
        <w:left w:val="none" w:sz="0" w:space="0" w:color="auto"/>
        <w:bottom w:val="none" w:sz="0" w:space="0" w:color="auto"/>
        <w:right w:val="none" w:sz="0" w:space="0" w:color="auto"/>
      </w:divBdr>
    </w:div>
    <w:div w:id="1908567766">
      <w:marLeft w:val="0"/>
      <w:marRight w:val="0"/>
      <w:marTop w:val="0"/>
      <w:marBottom w:val="240"/>
      <w:divBdr>
        <w:top w:val="none" w:sz="0" w:space="0" w:color="auto"/>
        <w:left w:val="none" w:sz="0" w:space="0" w:color="auto"/>
        <w:bottom w:val="none" w:sz="0" w:space="0" w:color="auto"/>
        <w:right w:val="none" w:sz="0" w:space="0" w:color="auto"/>
      </w:divBdr>
    </w:div>
    <w:div w:id="1909221658">
      <w:marLeft w:val="0"/>
      <w:marRight w:val="0"/>
      <w:marTop w:val="240"/>
      <w:marBottom w:val="0"/>
      <w:divBdr>
        <w:top w:val="none" w:sz="0" w:space="0" w:color="auto"/>
        <w:left w:val="none" w:sz="0" w:space="0" w:color="auto"/>
        <w:bottom w:val="none" w:sz="0" w:space="0" w:color="auto"/>
        <w:right w:val="none" w:sz="0" w:space="0" w:color="auto"/>
      </w:divBdr>
    </w:div>
    <w:div w:id="1910921929">
      <w:marLeft w:val="0"/>
      <w:marRight w:val="0"/>
      <w:marTop w:val="0"/>
      <w:marBottom w:val="0"/>
      <w:divBdr>
        <w:top w:val="none" w:sz="0" w:space="0" w:color="auto"/>
        <w:left w:val="none" w:sz="0" w:space="0" w:color="auto"/>
        <w:bottom w:val="none" w:sz="0" w:space="0" w:color="auto"/>
        <w:right w:val="none" w:sz="0" w:space="0" w:color="auto"/>
      </w:divBdr>
    </w:div>
    <w:div w:id="1911429868">
      <w:marLeft w:val="0"/>
      <w:marRight w:val="0"/>
      <w:marTop w:val="240"/>
      <w:marBottom w:val="0"/>
      <w:divBdr>
        <w:top w:val="none" w:sz="0" w:space="0" w:color="auto"/>
        <w:left w:val="none" w:sz="0" w:space="0" w:color="auto"/>
        <w:bottom w:val="none" w:sz="0" w:space="0" w:color="auto"/>
        <w:right w:val="none" w:sz="0" w:space="0" w:color="auto"/>
      </w:divBdr>
    </w:div>
    <w:div w:id="1913737064">
      <w:marLeft w:val="0"/>
      <w:marRight w:val="0"/>
      <w:marTop w:val="240"/>
      <w:marBottom w:val="0"/>
      <w:divBdr>
        <w:top w:val="none" w:sz="0" w:space="0" w:color="auto"/>
        <w:left w:val="none" w:sz="0" w:space="0" w:color="auto"/>
        <w:bottom w:val="none" w:sz="0" w:space="0" w:color="auto"/>
        <w:right w:val="none" w:sz="0" w:space="0" w:color="auto"/>
      </w:divBdr>
    </w:div>
    <w:div w:id="1913814781">
      <w:marLeft w:val="0"/>
      <w:marRight w:val="0"/>
      <w:marTop w:val="0"/>
      <w:marBottom w:val="240"/>
      <w:divBdr>
        <w:top w:val="none" w:sz="0" w:space="0" w:color="auto"/>
        <w:left w:val="none" w:sz="0" w:space="0" w:color="auto"/>
        <w:bottom w:val="none" w:sz="0" w:space="0" w:color="auto"/>
        <w:right w:val="none" w:sz="0" w:space="0" w:color="auto"/>
      </w:divBdr>
    </w:div>
    <w:div w:id="1916621235">
      <w:marLeft w:val="0"/>
      <w:marRight w:val="0"/>
      <w:marTop w:val="0"/>
      <w:marBottom w:val="0"/>
      <w:divBdr>
        <w:top w:val="none" w:sz="0" w:space="0" w:color="auto"/>
        <w:left w:val="none" w:sz="0" w:space="0" w:color="auto"/>
        <w:bottom w:val="none" w:sz="0" w:space="0" w:color="auto"/>
        <w:right w:val="none" w:sz="0" w:space="0" w:color="auto"/>
      </w:divBdr>
      <w:divsChild>
        <w:div w:id="2005206683">
          <w:marLeft w:val="0"/>
          <w:marRight w:val="0"/>
          <w:marTop w:val="0"/>
          <w:marBottom w:val="0"/>
          <w:divBdr>
            <w:top w:val="none" w:sz="0" w:space="0" w:color="auto"/>
            <w:left w:val="none" w:sz="0" w:space="0" w:color="auto"/>
            <w:bottom w:val="none" w:sz="0" w:space="0" w:color="auto"/>
            <w:right w:val="none" w:sz="0" w:space="0" w:color="auto"/>
          </w:divBdr>
        </w:div>
      </w:divsChild>
    </w:div>
    <w:div w:id="1917208388">
      <w:marLeft w:val="0"/>
      <w:marRight w:val="0"/>
      <w:marTop w:val="240"/>
      <w:marBottom w:val="0"/>
      <w:divBdr>
        <w:top w:val="none" w:sz="0" w:space="0" w:color="auto"/>
        <w:left w:val="none" w:sz="0" w:space="0" w:color="auto"/>
        <w:bottom w:val="none" w:sz="0" w:space="0" w:color="auto"/>
        <w:right w:val="none" w:sz="0" w:space="0" w:color="auto"/>
      </w:divBdr>
    </w:div>
    <w:div w:id="1917470571">
      <w:marLeft w:val="0"/>
      <w:marRight w:val="0"/>
      <w:marTop w:val="0"/>
      <w:marBottom w:val="60"/>
      <w:divBdr>
        <w:top w:val="none" w:sz="0" w:space="0" w:color="auto"/>
        <w:left w:val="none" w:sz="0" w:space="0" w:color="auto"/>
        <w:bottom w:val="none" w:sz="0" w:space="0" w:color="auto"/>
        <w:right w:val="none" w:sz="0" w:space="0" w:color="auto"/>
      </w:divBdr>
    </w:div>
    <w:div w:id="1920554429">
      <w:marLeft w:val="0"/>
      <w:marRight w:val="0"/>
      <w:marTop w:val="0"/>
      <w:marBottom w:val="240"/>
      <w:divBdr>
        <w:top w:val="none" w:sz="0" w:space="0" w:color="auto"/>
        <w:left w:val="none" w:sz="0" w:space="0" w:color="auto"/>
        <w:bottom w:val="none" w:sz="0" w:space="0" w:color="auto"/>
        <w:right w:val="none" w:sz="0" w:space="0" w:color="auto"/>
      </w:divBdr>
    </w:div>
    <w:div w:id="1921672594">
      <w:marLeft w:val="0"/>
      <w:marRight w:val="0"/>
      <w:marTop w:val="0"/>
      <w:marBottom w:val="0"/>
      <w:divBdr>
        <w:top w:val="none" w:sz="0" w:space="0" w:color="auto"/>
        <w:left w:val="none" w:sz="0" w:space="0" w:color="auto"/>
        <w:bottom w:val="none" w:sz="0" w:space="0" w:color="auto"/>
        <w:right w:val="none" w:sz="0" w:space="0" w:color="auto"/>
      </w:divBdr>
      <w:divsChild>
        <w:div w:id="1132943332">
          <w:marLeft w:val="0"/>
          <w:marRight w:val="0"/>
          <w:marTop w:val="0"/>
          <w:marBottom w:val="0"/>
          <w:divBdr>
            <w:top w:val="none" w:sz="0" w:space="0" w:color="auto"/>
            <w:left w:val="none" w:sz="0" w:space="0" w:color="auto"/>
            <w:bottom w:val="none" w:sz="0" w:space="0" w:color="auto"/>
            <w:right w:val="none" w:sz="0" w:space="0" w:color="auto"/>
          </w:divBdr>
        </w:div>
      </w:divsChild>
    </w:div>
    <w:div w:id="1929150361">
      <w:marLeft w:val="0"/>
      <w:marRight w:val="0"/>
      <w:marTop w:val="0"/>
      <w:marBottom w:val="0"/>
      <w:divBdr>
        <w:top w:val="none" w:sz="0" w:space="0" w:color="auto"/>
        <w:left w:val="none" w:sz="0" w:space="0" w:color="auto"/>
        <w:bottom w:val="none" w:sz="0" w:space="0" w:color="auto"/>
        <w:right w:val="none" w:sz="0" w:space="0" w:color="auto"/>
      </w:divBdr>
      <w:divsChild>
        <w:div w:id="784620273">
          <w:marLeft w:val="0"/>
          <w:marRight w:val="0"/>
          <w:marTop w:val="0"/>
          <w:marBottom w:val="0"/>
          <w:divBdr>
            <w:top w:val="none" w:sz="0" w:space="0" w:color="auto"/>
            <w:left w:val="none" w:sz="0" w:space="0" w:color="auto"/>
            <w:bottom w:val="none" w:sz="0" w:space="0" w:color="auto"/>
            <w:right w:val="none" w:sz="0" w:space="0" w:color="auto"/>
          </w:divBdr>
        </w:div>
      </w:divsChild>
    </w:div>
    <w:div w:id="1929732113">
      <w:marLeft w:val="0"/>
      <w:marRight w:val="0"/>
      <w:marTop w:val="0"/>
      <w:marBottom w:val="240"/>
      <w:divBdr>
        <w:top w:val="none" w:sz="0" w:space="0" w:color="auto"/>
        <w:left w:val="none" w:sz="0" w:space="0" w:color="auto"/>
        <w:bottom w:val="none" w:sz="0" w:space="0" w:color="auto"/>
        <w:right w:val="none" w:sz="0" w:space="0" w:color="auto"/>
      </w:divBdr>
    </w:div>
    <w:div w:id="1931812884">
      <w:marLeft w:val="0"/>
      <w:marRight w:val="0"/>
      <w:marTop w:val="240"/>
      <w:marBottom w:val="0"/>
      <w:divBdr>
        <w:top w:val="none" w:sz="0" w:space="0" w:color="auto"/>
        <w:left w:val="none" w:sz="0" w:space="0" w:color="auto"/>
        <w:bottom w:val="none" w:sz="0" w:space="0" w:color="auto"/>
        <w:right w:val="none" w:sz="0" w:space="0" w:color="auto"/>
      </w:divBdr>
    </w:div>
    <w:div w:id="1938902041">
      <w:marLeft w:val="0"/>
      <w:marRight w:val="0"/>
      <w:marTop w:val="0"/>
      <w:marBottom w:val="0"/>
      <w:divBdr>
        <w:top w:val="none" w:sz="0" w:space="0" w:color="auto"/>
        <w:left w:val="none" w:sz="0" w:space="0" w:color="auto"/>
        <w:bottom w:val="none" w:sz="0" w:space="0" w:color="auto"/>
        <w:right w:val="none" w:sz="0" w:space="0" w:color="auto"/>
      </w:divBdr>
    </w:div>
    <w:div w:id="1946031999">
      <w:marLeft w:val="0"/>
      <w:marRight w:val="0"/>
      <w:marTop w:val="240"/>
      <w:marBottom w:val="0"/>
      <w:divBdr>
        <w:top w:val="none" w:sz="0" w:space="0" w:color="auto"/>
        <w:left w:val="none" w:sz="0" w:space="0" w:color="auto"/>
        <w:bottom w:val="none" w:sz="0" w:space="0" w:color="auto"/>
        <w:right w:val="none" w:sz="0" w:space="0" w:color="auto"/>
      </w:divBdr>
    </w:div>
    <w:div w:id="1948072936">
      <w:marLeft w:val="0"/>
      <w:marRight w:val="0"/>
      <w:marTop w:val="240"/>
      <w:marBottom w:val="0"/>
      <w:divBdr>
        <w:top w:val="none" w:sz="0" w:space="0" w:color="auto"/>
        <w:left w:val="none" w:sz="0" w:space="0" w:color="auto"/>
        <w:bottom w:val="none" w:sz="0" w:space="0" w:color="auto"/>
        <w:right w:val="none" w:sz="0" w:space="0" w:color="auto"/>
      </w:divBdr>
    </w:div>
    <w:div w:id="1949658635">
      <w:marLeft w:val="0"/>
      <w:marRight w:val="0"/>
      <w:marTop w:val="0"/>
      <w:marBottom w:val="0"/>
      <w:divBdr>
        <w:top w:val="none" w:sz="0" w:space="0" w:color="auto"/>
        <w:left w:val="none" w:sz="0" w:space="0" w:color="auto"/>
        <w:bottom w:val="none" w:sz="0" w:space="0" w:color="auto"/>
        <w:right w:val="none" w:sz="0" w:space="0" w:color="auto"/>
      </w:divBdr>
      <w:divsChild>
        <w:div w:id="1228341388">
          <w:marLeft w:val="0"/>
          <w:marRight w:val="0"/>
          <w:marTop w:val="0"/>
          <w:marBottom w:val="0"/>
          <w:divBdr>
            <w:top w:val="none" w:sz="0" w:space="0" w:color="auto"/>
            <w:left w:val="none" w:sz="0" w:space="0" w:color="auto"/>
            <w:bottom w:val="none" w:sz="0" w:space="0" w:color="auto"/>
            <w:right w:val="none" w:sz="0" w:space="0" w:color="auto"/>
          </w:divBdr>
        </w:div>
      </w:divsChild>
    </w:div>
    <w:div w:id="1952205404">
      <w:marLeft w:val="0"/>
      <w:marRight w:val="0"/>
      <w:marTop w:val="240"/>
      <w:marBottom w:val="240"/>
      <w:divBdr>
        <w:top w:val="none" w:sz="0" w:space="0" w:color="auto"/>
        <w:left w:val="none" w:sz="0" w:space="0" w:color="auto"/>
        <w:bottom w:val="none" w:sz="0" w:space="0" w:color="auto"/>
        <w:right w:val="none" w:sz="0" w:space="0" w:color="auto"/>
      </w:divBdr>
    </w:div>
    <w:div w:id="1953973061">
      <w:marLeft w:val="0"/>
      <w:marRight w:val="0"/>
      <w:marTop w:val="240"/>
      <w:marBottom w:val="0"/>
      <w:divBdr>
        <w:top w:val="none" w:sz="0" w:space="0" w:color="auto"/>
        <w:left w:val="none" w:sz="0" w:space="0" w:color="auto"/>
        <w:bottom w:val="none" w:sz="0" w:space="0" w:color="auto"/>
        <w:right w:val="none" w:sz="0" w:space="0" w:color="auto"/>
      </w:divBdr>
    </w:div>
    <w:div w:id="1959752281">
      <w:marLeft w:val="0"/>
      <w:marRight w:val="0"/>
      <w:marTop w:val="0"/>
      <w:marBottom w:val="0"/>
      <w:divBdr>
        <w:top w:val="none" w:sz="0" w:space="0" w:color="auto"/>
        <w:left w:val="none" w:sz="0" w:space="0" w:color="auto"/>
        <w:bottom w:val="none" w:sz="0" w:space="0" w:color="auto"/>
        <w:right w:val="none" w:sz="0" w:space="0" w:color="auto"/>
      </w:divBdr>
      <w:divsChild>
        <w:div w:id="798375223">
          <w:marLeft w:val="0"/>
          <w:marRight w:val="0"/>
          <w:marTop w:val="0"/>
          <w:marBottom w:val="0"/>
          <w:divBdr>
            <w:top w:val="none" w:sz="0" w:space="0" w:color="auto"/>
            <w:left w:val="none" w:sz="0" w:space="0" w:color="auto"/>
            <w:bottom w:val="none" w:sz="0" w:space="0" w:color="auto"/>
            <w:right w:val="none" w:sz="0" w:space="0" w:color="auto"/>
          </w:divBdr>
        </w:div>
        <w:div w:id="325018766">
          <w:marLeft w:val="0"/>
          <w:marRight w:val="0"/>
          <w:marTop w:val="0"/>
          <w:marBottom w:val="0"/>
          <w:divBdr>
            <w:top w:val="none" w:sz="0" w:space="0" w:color="auto"/>
            <w:left w:val="none" w:sz="0" w:space="0" w:color="auto"/>
            <w:bottom w:val="none" w:sz="0" w:space="0" w:color="auto"/>
            <w:right w:val="none" w:sz="0" w:space="0" w:color="auto"/>
          </w:divBdr>
        </w:div>
        <w:div w:id="1212881339">
          <w:marLeft w:val="0"/>
          <w:marRight w:val="0"/>
          <w:marTop w:val="0"/>
          <w:marBottom w:val="0"/>
          <w:divBdr>
            <w:top w:val="none" w:sz="0" w:space="0" w:color="auto"/>
            <w:left w:val="none" w:sz="0" w:space="0" w:color="auto"/>
            <w:bottom w:val="none" w:sz="0" w:space="0" w:color="auto"/>
            <w:right w:val="none" w:sz="0" w:space="0" w:color="auto"/>
          </w:divBdr>
        </w:div>
      </w:divsChild>
    </w:div>
    <w:div w:id="1960719098">
      <w:marLeft w:val="0"/>
      <w:marRight w:val="0"/>
      <w:marTop w:val="0"/>
      <w:marBottom w:val="0"/>
      <w:divBdr>
        <w:top w:val="none" w:sz="0" w:space="0" w:color="auto"/>
        <w:left w:val="none" w:sz="0" w:space="0" w:color="auto"/>
        <w:bottom w:val="none" w:sz="0" w:space="0" w:color="auto"/>
        <w:right w:val="none" w:sz="0" w:space="0" w:color="auto"/>
      </w:divBdr>
    </w:div>
    <w:div w:id="1967395187">
      <w:marLeft w:val="0"/>
      <w:marRight w:val="0"/>
      <w:marTop w:val="0"/>
      <w:marBottom w:val="0"/>
      <w:divBdr>
        <w:top w:val="none" w:sz="0" w:space="0" w:color="auto"/>
        <w:left w:val="none" w:sz="0" w:space="0" w:color="auto"/>
        <w:bottom w:val="none" w:sz="0" w:space="0" w:color="auto"/>
        <w:right w:val="none" w:sz="0" w:space="0" w:color="auto"/>
      </w:divBdr>
    </w:div>
    <w:div w:id="1967466945">
      <w:marLeft w:val="0"/>
      <w:marRight w:val="0"/>
      <w:marTop w:val="0"/>
      <w:marBottom w:val="120"/>
      <w:divBdr>
        <w:top w:val="none" w:sz="0" w:space="0" w:color="auto"/>
        <w:left w:val="none" w:sz="0" w:space="0" w:color="auto"/>
        <w:bottom w:val="none" w:sz="0" w:space="0" w:color="auto"/>
        <w:right w:val="none" w:sz="0" w:space="0" w:color="auto"/>
      </w:divBdr>
    </w:div>
    <w:div w:id="1970281519">
      <w:marLeft w:val="0"/>
      <w:marRight w:val="0"/>
      <w:marTop w:val="0"/>
      <w:marBottom w:val="0"/>
      <w:divBdr>
        <w:top w:val="none" w:sz="0" w:space="0" w:color="auto"/>
        <w:left w:val="none" w:sz="0" w:space="0" w:color="auto"/>
        <w:bottom w:val="none" w:sz="0" w:space="0" w:color="auto"/>
        <w:right w:val="none" w:sz="0" w:space="0" w:color="auto"/>
      </w:divBdr>
    </w:div>
    <w:div w:id="1974172631">
      <w:marLeft w:val="0"/>
      <w:marRight w:val="0"/>
      <w:marTop w:val="240"/>
      <w:marBottom w:val="0"/>
      <w:divBdr>
        <w:top w:val="none" w:sz="0" w:space="0" w:color="auto"/>
        <w:left w:val="none" w:sz="0" w:space="0" w:color="auto"/>
        <w:bottom w:val="none" w:sz="0" w:space="0" w:color="auto"/>
        <w:right w:val="none" w:sz="0" w:space="0" w:color="auto"/>
      </w:divBdr>
    </w:div>
    <w:div w:id="1974947256">
      <w:marLeft w:val="0"/>
      <w:marRight w:val="0"/>
      <w:marTop w:val="0"/>
      <w:marBottom w:val="240"/>
      <w:divBdr>
        <w:top w:val="none" w:sz="0" w:space="0" w:color="auto"/>
        <w:left w:val="none" w:sz="0" w:space="0" w:color="auto"/>
        <w:bottom w:val="none" w:sz="0" w:space="0" w:color="auto"/>
        <w:right w:val="none" w:sz="0" w:space="0" w:color="auto"/>
      </w:divBdr>
    </w:div>
    <w:div w:id="1976324686">
      <w:marLeft w:val="0"/>
      <w:marRight w:val="0"/>
      <w:marTop w:val="240"/>
      <w:marBottom w:val="0"/>
      <w:divBdr>
        <w:top w:val="none" w:sz="0" w:space="0" w:color="auto"/>
        <w:left w:val="none" w:sz="0" w:space="0" w:color="auto"/>
        <w:bottom w:val="none" w:sz="0" w:space="0" w:color="auto"/>
        <w:right w:val="none" w:sz="0" w:space="0" w:color="auto"/>
      </w:divBdr>
    </w:div>
    <w:div w:id="1976788291">
      <w:marLeft w:val="0"/>
      <w:marRight w:val="0"/>
      <w:marTop w:val="240"/>
      <w:marBottom w:val="0"/>
      <w:divBdr>
        <w:top w:val="none" w:sz="0" w:space="0" w:color="auto"/>
        <w:left w:val="none" w:sz="0" w:space="0" w:color="auto"/>
        <w:bottom w:val="none" w:sz="0" w:space="0" w:color="auto"/>
        <w:right w:val="none" w:sz="0" w:space="0" w:color="auto"/>
      </w:divBdr>
    </w:div>
    <w:div w:id="1977029089">
      <w:marLeft w:val="0"/>
      <w:marRight w:val="0"/>
      <w:marTop w:val="240"/>
      <w:marBottom w:val="0"/>
      <w:divBdr>
        <w:top w:val="none" w:sz="0" w:space="0" w:color="auto"/>
        <w:left w:val="none" w:sz="0" w:space="0" w:color="auto"/>
        <w:bottom w:val="none" w:sz="0" w:space="0" w:color="auto"/>
        <w:right w:val="none" w:sz="0" w:space="0" w:color="auto"/>
      </w:divBdr>
    </w:div>
    <w:div w:id="1979068861">
      <w:marLeft w:val="0"/>
      <w:marRight w:val="0"/>
      <w:marTop w:val="240"/>
      <w:marBottom w:val="0"/>
      <w:divBdr>
        <w:top w:val="none" w:sz="0" w:space="0" w:color="auto"/>
        <w:left w:val="none" w:sz="0" w:space="0" w:color="auto"/>
        <w:bottom w:val="none" w:sz="0" w:space="0" w:color="auto"/>
        <w:right w:val="none" w:sz="0" w:space="0" w:color="auto"/>
      </w:divBdr>
    </w:div>
    <w:div w:id="1985961617">
      <w:marLeft w:val="0"/>
      <w:marRight w:val="0"/>
      <w:marTop w:val="0"/>
      <w:marBottom w:val="0"/>
      <w:divBdr>
        <w:top w:val="none" w:sz="0" w:space="0" w:color="auto"/>
        <w:left w:val="none" w:sz="0" w:space="0" w:color="auto"/>
        <w:bottom w:val="none" w:sz="0" w:space="0" w:color="auto"/>
        <w:right w:val="none" w:sz="0" w:space="0" w:color="auto"/>
      </w:divBdr>
      <w:divsChild>
        <w:div w:id="2112776599">
          <w:marLeft w:val="0"/>
          <w:marRight w:val="0"/>
          <w:marTop w:val="0"/>
          <w:marBottom w:val="0"/>
          <w:divBdr>
            <w:top w:val="none" w:sz="0" w:space="0" w:color="auto"/>
            <w:left w:val="none" w:sz="0" w:space="0" w:color="auto"/>
            <w:bottom w:val="none" w:sz="0" w:space="0" w:color="auto"/>
            <w:right w:val="none" w:sz="0" w:space="0" w:color="auto"/>
          </w:divBdr>
        </w:div>
      </w:divsChild>
    </w:div>
    <w:div w:id="1988976645">
      <w:marLeft w:val="0"/>
      <w:marRight w:val="0"/>
      <w:marTop w:val="0"/>
      <w:marBottom w:val="0"/>
      <w:divBdr>
        <w:top w:val="none" w:sz="0" w:space="0" w:color="auto"/>
        <w:left w:val="none" w:sz="0" w:space="0" w:color="auto"/>
        <w:bottom w:val="none" w:sz="0" w:space="0" w:color="auto"/>
        <w:right w:val="none" w:sz="0" w:space="0" w:color="auto"/>
      </w:divBdr>
    </w:div>
    <w:div w:id="1989816814">
      <w:marLeft w:val="0"/>
      <w:marRight w:val="0"/>
      <w:marTop w:val="100"/>
      <w:marBottom w:val="0"/>
      <w:divBdr>
        <w:top w:val="none" w:sz="0" w:space="0" w:color="auto"/>
        <w:left w:val="none" w:sz="0" w:space="0" w:color="auto"/>
        <w:bottom w:val="none" w:sz="0" w:space="0" w:color="auto"/>
        <w:right w:val="none" w:sz="0" w:space="0" w:color="auto"/>
      </w:divBdr>
    </w:div>
    <w:div w:id="1993752663">
      <w:marLeft w:val="0"/>
      <w:marRight w:val="0"/>
      <w:marTop w:val="240"/>
      <w:marBottom w:val="0"/>
      <w:divBdr>
        <w:top w:val="none" w:sz="0" w:space="0" w:color="auto"/>
        <w:left w:val="none" w:sz="0" w:space="0" w:color="auto"/>
        <w:bottom w:val="none" w:sz="0" w:space="0" w:color="auto"/>
        <w:right w:val="none" w:sz="0" w:space="0" w:color="auto"/>
      </w:divBdr>
    </w:div>
    <w:div w:id="1997293297">
      <w:marLeft w:val="0"/>
      <w:marRight w:val="0"/>
      <w:marTop w:val="0"/>
      <w:marBottom w:val="0"/>
      <w:divBdr>
        <w:top w:val="none" w:sz="0" w:space="0" w:color="auto"/>
        <w:left w:val="none" w:sz="0" w:space="0" w:color="auto"/>
        <w:bottom w:val="none" w:sz="0" w:space="0" w:color="auto"/>
        <w:right w:val="none" w:sz="0" w:space="0" w:color="auto"/>
      </w:divBdr>
      <w:divsChild>
        <w:div w:id="737022847">
          <w:marLeft w:val="0"/>
          <w:marRight w:val="0"/>
          <w:marTop w:val="0"/>
          <w:marBottom w:val="0"/>
          <w:divBdr>
            <w:top w:val="none" w:sz="0" w:space="0" w:color="auto"/>
            <w:left w:val="none" w:sz="0" w:space="0" w:color="auto"/>
            <w:bottom w:val="none" w:sz="0" w:space="0" w:color="auto"/>
            <w:right w:val="none" w:sz="0" w:space="0" w:color="auto"/>
          </w:divBdr>
        </w:div>
      </w:divsChild>
    </w:div>
    <w:div w:id="2000881166">
      <w:marLeft w:val="0"/>
      <w:marRight w:val="0"/>
      <w:marTop w:val="120"/>
      <w:marBottom w:val="240"/>
      <w:divBdr>
        <w:top w:val="none" w:sz="0" w:space="0" w:color="auto"/>
        <w:left w:val="none" w:sz="0" w:space="0" w:color="auto"/>
        <w:bottom w:val="none" w:sz="0" w:space="0" w:color="auto"/>
        <w:right w:val="none" w:sz="0" w:space="0" w:color="auto"/>
      </w:divBdr>
    </w:div>
    <w:div w:id="2002543623">
      <w:marLeft w:val="0"/>
      <w:marRight w:val="0"/>
      <w:marTop w:val="0"/>
      <w:marBottom w:val="0"/>
      <w:divBdr>
        <w:top w:val="none" w:sz="0" w:space="0" w:color="auto"/>
        <w:left w:val="none" w:sz="0" w:space="0" w:color="auto"/>
        <w:bottom w:val="none" w:sz="0" w:space="0" w:color="auto"/>
        <w:right w:val="none" w:sz="0" w:space="0" w:color="auto"/>
      </w:divBdr>
      <w:divsChild>
        <w:div w:id="361367299">
          <w:marLeft w:val="0"/>
          <w:marRight w:val="0"/>
          <w:marTop w:val="0"/>
          <w:marBottom w:val="0"/>
          <w:divBdr>
            <w:top w:val="none" w:sz="0" w:space="0" w:color="auto"/>
            <w:left w:val="none" w:sz="0" w:space="0" w:color="auto"/>
            <w:bottom w:val="none" w:sz="0" w:space="0" w:color="auto"/>
            <w:right w:val="none" w:sz="0" w:space="0" w:color="auto"/>
          </w:divBdr>
        </w:div>
      </w:divsChild>
    </w:div>
    <w:div w:id="2005544491">
      <w:marLeft w:val="0"/>
      <w:marRight w:val="0"/>
      <w:marTop w:val="0"/>
      <w:marBottom w:val="0"/>
      <w:divBdr>
        <w:top w:val="none" w:sz="0" w:space="0" w:color="auto"/>
        <w:left w:val="none" w:sz="0" w:space="0" w:color="auto"/>
        <w:bottom w:val="none" w:sz="0" w:space="0" w:color="auto"/>
        <w:right w:val="none" w:sz="0" w:space="0" w:color="auto"/>
      </w:divBdr>
      <w:divsChild>
        <w:div w:id="1817916740">
          <w:marLeft w:val="0"/>
          <w:marRight w:val="0"/>
          <w:marTop w:val="0"/>
          <w:marBottom w:val="0"/>
          <w:divBdr>
            <w:top w:val="none" w:sz="0" w:space="0" w:color="auto"/>
            <w:left w:val="none" w:sz="0" w:space="0" w:color="auto"/>
            <w:bottom w:val="none" w:sz="0" w:space="0" w:color="auto"/>
            <w:right w:val="none" w:sz="0" w:space="0" w:color="auto"/>
          </w:divBdr>
        </w:div>
      </w:divsChild>
    </w:div>
    <w:div w:id="2007590835">
      <w:marLeft w:val="0"/>
      <w:marRight w:val="0"/>
      <w:marTop w:val="0"/>
      <w:marBottom w:val="0"/>
      <w:divBdr>
        <w:top w:val="none" w:sz="0" w:space="0" w:color="auto"/>
        <w:left w:val="none" w:sz="0" w:space="0" w:color="auto"/>
        <w:bottom w:val="none" w:sz="0" w:space="0" w:color="auto"/>
        <w:right w:val="none" w:sz="0" w:space="0" w:color="auto"/>
      </w:divBdr>
    </w:div>
    <w:div w:id="2009022237">
      <w:marLeft w:val="0"/>
      <w:marRight w:val="0"/>
      <w:marTop w:val="0"/>
      <w:marBottom w:val="0"/>
      <w:divBdr>
        <w:top w:val="none" w:sz="0" w:space="0" w:color="auto"/>
        <w:left w:val="none" w:sz="0" w:space="0" w:color="auto"/>
        <w:bottom w:val="none" w:sz="0" w:space="0" w:color="auto"/>
        <w:right w:val="none" w:sz="0" w:space="0" w:color="auto"/>
      </w:divBdr>
    </w:div>
    <w:div w:id="2010131637">
      <w:marLeft w:val="0"/>
      <w:marRight w:val="0"/>
      <w:marTop w:val="240"/>
      <w:marBottom w:val="0"/>
      <w:divBdr>
        <w:top w:val="none" w:sz="0" w:space="0" w:color="auto"/>
        <w:left w:val="none" w:sz="0" w:space="0" w:color="auto"/>
        <w:bottom w:val="none" w:sz="0" w:space="0" w:color="auto"/>
        <w:right w:val="none" w:sz="0" w:space="0" w:color="auto"/>
      </w:divBdr>
    </w:div>
    <w:div w:id="2011902504">
      <w:marLeft w:val="0"/>
      <w:marRight w:val="0"/>
      <w:marTop w:val="0"/>
      <w:marBottom w:val="0"/>
      <w:divBdr>
        <w:top w:val="none" w:sz="0" w:space="0" w:color="auto"/>
        <w:left w:val="none" w:sz="0" w:space="0" w:color="auto"/>
        <w:bottom w:val="none" w:sz="0" w:space="0" w:color="auto"/>
        <w:right w:val="none" w:sz="0" w:space="0" w:color="auto"/>
      </w:divBdr>
      <w:divsChild>
        <w:div w:id="1580627392">
          <w:marLeft w:val="0"/>
          <w:marRight w:val="0"/>
          <w:marTop w:val="0"/>
          <w:marBottom w:val="0"/>
          <w:divBdr>
            <w:top w:val="none" w:sz="0" w:space="0" w:color="auto"/>
            <w:left w:val="none" w:sz="0" w:space="0" w:color="auto"/>
            <w:bottom w:val="none" w:sz="0" w:space="0" w:color="auto"/>
            <w:right w:val="none" w:sz="0" w:space="0" w:color="auto"/>
          </w:divBdr>
        </w:div>
      </w:divsChild>
    </w:div>
    <w:div w:id="2013022428">
      <w:marLeft w:val="0"/>
      <w:marRight w:val="0"/>
      <w:marTop w:val="240"/>
      <w:marBottom w:val="0"/>
      <w:divBdr>
        <w:top w:val="none" w:sz="0" w:space="0" w:color="auto"/>
        <w:left w:val="none" w:sz="0" w:space="0" w:color="auto"/>
        <w:bottom w:val="none" w:sz="0" w:space="0" w:color="auto"/>
        <w:right w:val="none" w:sz="0" w:space="0" w:color="auto"/>
      </w:divBdr>
    </w:div>
    <w:div w:id="2013528382">
      <w:marLeft w:val="0"/>
      <w:marRight w:val="0"/>
      <w:marTop w:val="240"/>
      <w:marBottom w:val="240"/>
      <w:divBdr>
        <w:top w:val="none" w:sz="0" w:space="0" w:color="auto"/>
        <w:left w:val="none" w:sz="0" w:space="0" w:color="auto"/>
        <w:bottom w:val="none" w:sz="0" w:space="0" w:color="auto"/>
        <w:right w:val="none" w:sz="0" w:space="0" w:color="auto"/>
      </w:divBdr>
    </w:div>
    <w:div w:id="2014019294">
      <w:marLeft w:val="0"/>
      <w:marRight w:val="0"/>
      <w:marTop w:val="0"/>
      <w:marBottom w:val="240"/>
      <w:divBdr>
        <w:top w:val="none" w:sz="0" w:space="0" w:color="auto"/>
        <w:left w:val="none" w:sz="0" w:space="0" w:color="auto"/>
        <w:bottom w:val="none" w:sz="0" w:space="0" w:color="auto"/>
        <w:right w:val="none" w:sz="0" w:space="0" w:color="auto"/>
      </w:divBdr>
    </w:div>
    <w:div w:id="2018186642">
      <w:marLeft w:val="0"/>
      <w:marRight w:val="0"/>
      <w:marTop w:val="100"/>
      <w:marBottom w:val="0"/>
      <w:divBdr>
        <w:top w:val="none" w:sz="0" w:space="0" w:color="auto"/>
        <w:left w:val="none" w:sz="0" w:space="0" w:color="auto"/>
        <w:bottom w:val="none" w:sz="0" w:space="0" w:color="auto"/>
        <w:right w:val="none" w:sz="0" w:space="0" w:color="auto"/>
      </w:divBdr>
    </w:div>
    <w:div w:id="2018728286">
      <w:marLeft w:val="0"/>
      <w:marRight w:val="0"/>
      <w:marTop w:val="0"/>
      <w:marBottom w:val="240"/>
      <w:divBdr>
        <w:top w:val="none" w:sz="0" w:space="0" w:color="auto"/>
        <w:left w:val="none" w:sz="0" w:space="0" w:color="auto"/>
        <w:bottom w:val="none" w:sz="0" w:space="0" w:color="auto"/>
        <w:right w:val="none" w:sz="0" w:space="0" w:color="auto"/>
      </w:divBdr>
    </w:div>
    <w:div w:id="2019963859">
      <w:marLeft w:val="0"/>
      <w:marRight w:val="0"/>
      <w:marTop w:val="120"/>
      <w:marBottom w:val="0"/>
      <w:divBdr>
        <w:top w:val="none" w:sz="0" w:space="0" w:color="auto"/>
        <w:left w:val="none" w:sz="0" w:space="0" w:color="auto"/>
        <w:bottom w:val="none" w:sz="0" w:space="0" w:color="auto"/>
        <w:right w:val="none" w:sz="0" w:space="0" w:color="auto"/>
      </w:divBdr>
    </w:div>
    <w:div w:id="2021882102">
      <w:marLeft w:val="0"/>
      <w:marRight w:val="0"/>
      <w:marTop w:val="0"/>
      <w:marBottom w:val="240"/>
      <w:divBdr>
        <w:top w:val="none" w:sz="0" w:space="0" w:color="auto"/>
        <w:left w:val="none" w:sz="0" w:space="0" w:color="auto"/>
        <w:bottom w:val="none" w:sz="0" w:space="0" w:color="auto"/>
        <w:right w:val="none" w:sz="0" w:space="0" w:color="auto"/>
      </w:divBdr>
    </w:div>
    <w:div w:id="2021929776">
      <w:marLeft w:val="0"/>
      <w:marRight w:val="0"/>
      <w:marTop w:val="240"/>
      <w:marBottom w:val="0"/>
      <w:divBdr>
        <w:top w:val="none" w:sz="0" w:space="0" w:color="auto"/>
        <w:left w:val="none" w:sz="0" w:space="0" w:color="auto"/>
        <w:bottom w:val="none" w:sz="0" w:space="0" w:color="auto"/>
        <w:right w:val="none" w:sz="0" w:space="0" w:color="auto"/>
      </w:divBdr>
    </w:div>
    <w:div w:id="2023702669">
      <w:marLeft w:val="0"/>
      <w:marRight w:val="0"/>
      <w:marTop w:val="240"/>
      <w:marBottom w:val="0"/>
      <w:divBdr>
        <w:top w:val="none" w:sz="0" w:space="0" w:color="auto"/>
        <w:left w:val="none" w:sz="0" w:space="0" w:color="auto"/>
        <w:bottom w:val="none" w:sz="0" w:space="0" w:color="auto"/>
        <w:right w:val="none" w:sz="0" w:space="0" w:color="auto"/>
      </w:divBdr>
    </w:div>
    <w:div w:id="2024550629">
      <w:marLeft w:val="0"/>
      <w:marRight w:val="0"/>
      <w:marTop w:val="0"/>
      <w:marBottom w:val="240"/>
      <w:divBdr>
        <w:top w:val="none" w:sz="0" w:space="0" w:color="auto"/>
        <w:left w:val="none" w:sz="0" w:space="0" w:color="auto"/>
        <w:bottom w:val="none" w:sz="0" w:space="0" w:color="auto"/>
        <w:right w:val="none" w:sz="0" w:space="0" w:color="auto"/>
      </w:divBdr>
    </w:div>
    <w:div w:id="2026010322">
      <w:marLeft w:val="0"/>
      <w:marRight w:val="0"/>
      <w:marTop w:val="120"/>
      <w:marBottom w:val="0"/>
      <w:divBdr>
        <w:top w:val="none" w:sz="0" w:space="0" w:color="auto"/>
        <w:left w:val="none" w:sz="0" w:space="0" w:color="auto"/>
        <w:bottom w:val="none" w:sz="0" w:space="0" w:color="auto"/>
        <w:right w:val="none" w:sz="0" w:space="0" w:color="auto"/>
      </w:divBdr>
    </w:div>
    <w:div w:id="2026706333">
      <w:marLeft w:val="0"/>
      <w:marRight w:val="0"/>
      <w:marTop w:val="240"/>
      <w:marBottom w:val="0"/>
      <w:divBdr>
        <w:top w:val="none" w:sz="0" w:space="0" w:color="auto"/>
        <w:left w:val="none" w:sz="0" w:space="0" w:color="auto"/>
        <w:bottom w:val="none" w:sz="0" w:space="0" w:color="auto"/>
        <w:right w:val="none" w:sz="0" w:space="0" w:color="auto"/>
      </w:divBdr>
    </w:div>
    <w:div w:id="2031183115">
      <w:marLeft w:val="0"/>
      <w:marRight w:val="0"/>
      <w:marTop w:val="240"/>
      <w:marBottom w:val="240"/>
      <w:divBdr>
        <w:top w:val="none" w:sz="0" w:space="0" w:color="auto"/>
        <w:left w:val="none" w:sz="0" w:space="0" w:color="auto"/>
        <w:bottom w:val="none" w:sz="0" w:space="0" w:color="auto"/>
        <w:right w:val="none" w:sz="0" w:space="0" w:color="auto"/>
      </w:divBdr>
    </w:div>
    <w:div w:id="2036348692">
      <w:marLeft w:val="0"/>
      <w:marRight w:val="0"/>
      <w:marTop w:val="0"/>
      <w:marBottom w:val="0"/>
      <w:divBdr>
        <w:top w:val="none" w:sz="0" w:space="0" w:color="auto"/>
        <w:left w:val="none" w:sz="0" w:space="0" w:color="auto"/>
        <w:bottom w:val="none" w:sz="0" w:space="0" w:color="auto"/>
        <w:right w:val="none" w:sz="0" w:space="0" w:color="auto"/>
      </w:divBdr>
      <w:divsChild>
        <w:div w:id="215972402">
          <w:marLeft w:val="0"/>
          <w:marRight w:val="0"/>
          <w:marTop w:val="0"/>
          <w:marBottom w:val="0"/>
          <w:divBdr>
            <w:top w:val="none" w:sz="0" w:space="0" w:color="auto"/>
            <w:left w:val="none" w:sz="0" w:space="0" w:color="auto"/>
            <w:bottom w:val="none" w:sz="0" w:space="0" w:color="auto"/>
            <w:right w:val="none" w:sz="0" w:space="0" w:color="auto"/>
          </w:divBdr>
        </w:div>
      </w:divsChild>
    </w:div>
    <w:div w:id="2038464049">
      <w:marLeft w:val="0"/>
      <w:marRight w:val="0"/>
      <w:marTop w:val="240"/>
      <w:marBottom w:val="0"/>
      <w:divBdr>
        <w:top w:val="none" w:sz="0" w:space="0" w:color="auto"/>
        <w:left w:val="none" w:sz="0" w:space="0" w:color="auto"/>
        <w:bottom w:val="none" w:sz="0" w:space="0" w:color="auto"/>
        <w:right w:val="none" w:sz="0" w:space="0" w:color="auto"/>
      </w:divBdr>
    </w:div>
    <w:div w:id="2039116187">
      <w:marLeft w:val="0"/>
      <w:marRight w:val="0"/>
      <w:marTop w:val="240"/>
      <w:marBottom w:val="0"/>
      <w:divBdr>
        <w:top w:val="none" w:sz="0" w:space="0" w:color="auto"/>
        <w:left w:val="none" w:sz="0" w:space="0" w:color="auto"/>
        <w:bottom w:val="none" w:sz="0" w:space="0" w:color="auto"/>
        <w:right w:val="none" w:sz="0" w:space="0" w:color="auto"/>
      </w:divBdr>
    </w:div>
    <w:div w:id="2039964938">
      <w:marLeft w:val="0"/>
      <w:marRight w:val="0"/>
      <w:marTop w:val="240"/>
      <w:marBottom w:val="0"/>
      <w:divBdr>
        <w:top w:val="none" w:sz="0" w:space="0" w:color="auto"/>
        <w:left w:val="none" w:sz="0" w:space="0" w:color="auto"/>
        <w:bottom w:val="none" w:sz="0" w:space="0" w:color="auto"/>
        <w:right w:val="none" w:sz="0" w:space="0" w:color="auto"/>
      </w:divBdr>
    </w:div>
    <w:div w:id="2040811153">
      <w:marLeft w:val="0"/>
      <w:marRight w:val="0"/>
      <w:marTop w:val="100"/>
      <w:marBottom w:val="0"/>
      <w:divBdr>
        <w:top w:val="none" w:sz="0" w:space="0" w:color="auto"/>
        <w:left w:val="none" w:sz="0" w:space="0" w:color="auto"/>
        <w:bottom w:val="none" w:sz="0" w:space="0" w:color="auto"/>
        <w:right w:val="none" w:sz="0" w:space="0" w:color="auto"/>
      </w:divBdr>
    </w:div>
    <w:div w:id="2041322012">
      <w:marLeft w:val="0"/>
      <w:marRight w:val="0"/>
      <w:marTop w:val="0"/>
      <w:marBottom w:val="0"/>
      <w:divBdr>
        <w:top w:val="none" w:sz="0" w:space="0" w:color="auto"/>
        <w:left w:val="none" w:sz="0" w:space="0" w:color="auto"/>
        <w:bottom w:val="none" w:sz="0" w:space="0" w:color="auto"/>
        <w:right w:val="none" w:sz="0" w:space="0" w:color="auto"/>
      </w:divBdr>
      <w:divsChild>
        <w:div w:id="1362701705">
          <w:marLeft w:val="0"/>
          <w:marRight w:val="0"/>
          <w:marTop w:val="0"/>
          <w:marBottom w:val="0"/>
          <w:divBdr>
            <w:top w:val="none" w:sz="0" w:space="0" w:color="auto"/>
            <w:left w:val="none" w:sz="0" w:space="0" w:color="auto"/>
            <w:bottom w:val="none" w:sz="0" w:space="0" w:color="auto"/>
            <w:right w:val="none" w:sz="0" w:space="0" w:color="auto"/>
          </w:divBdr>
        </w:div>
      </w:divsChild>
    </w:div>
    <w:div w:id="2041585917">
      <w:marLeft w:val="0"/>
      <w:marRight w:val="0"/>
      <w:marTop w:val="120"/>
      <w:marBottom w:val="0"/>
      <w:divBdr>
        <w:top w:val="none" w:sz="0" w:space="0" w:color="auto"/>
        <w:left w:val="none" w:sz="0" w:space="0" w:color="auto"/>
        <w:bottom w:val="none" w:sz="0" w:space="0" w:color="auto"/>
        <w:right w:val="none" w:sz="0" w:space="0" w:color="auto"/>
      </w:divBdr>
    </w:div>
    <w:div w:id="2045328342">
      <w:marLeft w:val="0"/>
      <w:marRight w:val="0"/>
      <w:marTop w:val="240"/>
      <w:marBottom w:val="0"/>
      <w:divBdr>
        <w:top w:val="none" w:sz="0" w:space="0" w:color="auto"/>
        <w:left w:val="none" w:sz="0" w:space="0" w:color="auto"/>
        <w:bottom w:val="none" w:sz="0" w:space="0" w:color="auto"/>
        <w:right w:val="none" w:sz="0" w:space="0" w:color="auto"/>
      </w:divBdr>
    </w:div>
    <w:div w:id="2055420545">
      <w:marLeft w:val="0"/>
      <w:marRight w:val="0"/>
      <w:marTop w:val="0"/>
      <w:marBottom w:val="0"/>
      <w:divBdr>
        <w:top w:val="none" w:sz="0" w:space="0" w:color="auto"/>
        <w:left w:val="none" w:sz="0" w:space="0" w:color="auto"/>
        <w:bottom w:val="none" w:sz="0" w:space="0" w:color="auto"/>
        <w:right w:val="none" w:sz="0" w:space="0" w:color="auto"/>
      </w:divBdr>
    </w:div>
    <w:div w:id="2056738724">
      <w:marLeft w:val="0"/>
      <w:marRight w:val="0"/>
      <w:marTop w:val="100"/>
      <w:marBottom w:val="0"/>
      <w:divBdr>
        <w:top w:val="none" w:sz="0" w:space="0" w:color="auto"/>
        <w:left w:val="none" w:sz="0" w:space="0" w:color="auto"/>
        <w:bottom w:val="none" w:sz="0" w:space="0" w:color="auto"/>
        <w:right w:val="none" w:sz="0" w:space="0" w:color="auto"/>
      </w:divBdr>
    </w:div>
    <w:div w:id="2056853943">
      <w:marLeft w:val="0"/>
      <w:marRight w:val="0"/>
      <w:marTop w:val="0"/>
      <w:marBottom w:val="120"/>
      <w:divBdr>
        <w:top w:val="none" w:sz="0" w:space="0" w:color="auto"/>
        <w:left w:val="none" w:sz="0" w:space="0" w:color="auto"/>
        <w:bottom w:val="none" w:sz="0" w:space="0" w:color="auto"/>
        <w:right w:val="none" w:sz="0" w:space="0" w:color="auto"/>
      </w:divBdr>
    </w:div>
    <w:div w:id="2061636979">
      <w:marLeft w:val="0"/>
      <w:marRight w:val="0"/>
      <w:marTop w:val="0"/>
      <w:marBottom w:val="120"/>
      <w:divBdr>
        <w:top w:val="none" w:sz="0" w:space="0" w:color="auto"/>
        <w:left w:val="none" w:sz="0" w:space="0" w:color="auto"/>
        <w:bottom w:val="none" w:sz="0" w:space="0" w:color="auto"/>
        <w:right w:val="none" w:sz="0" w:space="0" w:color="auto"/>
      </w:divBdr>
    </w:div>
    <w:div w:id="2061859729">
      <w:marLeft w:val="0"/>
      <w:marRight w:val="0"/>
      <w:marTop w:val="0"/>
      <w:marBottom w:val="0"/>
      <w:divBdr>
        <w:top w:val="none" w:sz="0" w:space="0" w:color="auto"/>
        <w:left w:val="none" w:sz="0" w:space="0" w:color="auto"/>
        <w:bottom w:val="none" w:sz="0" w:space="0" w:color="auto"/>
        <w:right w:val="none" w:sz="0" w:space="0" w:color="auto"/>
      </w:divBdr>
      <w:divsChild>
        <w:div w:id="98765347">
          <w:marLeft w:val="0"/>
          <w:marRight w:val="0"/>
          <w:marTop w:val="0"/>
          <w:marBottom w:val="0"/>
          <w:divBdr>
            <w:top w:val="none" w:sz="0" w:space="0" w:color="auto"/>
            <w:left w:val="none" w:sz="0" w:space="0" w:color="auto"/>
            <w:bottom w:val="none" w:sz="0" w:space="0" w:color="auto"/>
            <w:right w:val="none" w:sz="0" w:space="0" w:color="auto"/>
          </w:divBdr>
        </w:div>
      </w:divsChild>
    </w:div>
    <w:div w:id="2067293518">
      <w:marLeft w:val="0"/>
      <w:marRight w:val="0"/>
      <w:marTop w:val="240"/>
      <w:marBottom w:val="0"/>
      <w:divBdr>
        <w:top w:val="none" w:sz="0" w:space="0" w:color="auto"/>
        <w:left w:val="none" w:sz="0" w:space="0" w:color="auto"/>
        <w:bottom w:val="none" w:sz="0" w:space="0" w:color="auto"/>
        <w:right w:val="none" w:sz="0" w:space="0" w:color="auto"/>
      </w:divBdr>
    </w:div>
    <w:div w:id="2073502042">
      <w:marLeft w:val="0"/>
      <w:marRight w:val="0"/>
      <w:marTop w:val="240"/>
      <w:marBottom w:val="0"/>
      <w:divBdr>
        <w:top w:val="none" w:sz="0" w:space="0" w:color="auto"/>
        <w:left w:val="none" w:sz="0" w:space="0" w:color="auto"/>
        <w:bottom w:val="none" w:sz="0" w:space="0" w:color="auto"/>
        <w:right w:val="none" w:sz="0" w:space="0" w:color="auto"/>
      </w:divBdr>
    </w:div>
    <w:div w:id="2073888915">
      <w:marLeft w:val="0"/>
      <w:marRight w:val="0"/>
      <w:marTop w:val="0"/>
      <w:marBottom w:val="0"/>
      <w:divBdr>
        <w:top w:val="none" w:sz="0" w:space="0" w:color="auto"/>
        <w:left w:val="none" w:sz="0" w:space="0" w:color="auto"/>
        <w:bottom w:val="none" w:sz="0" w:space="0" w:color="auto"/>
        <w:right w:val="none" w:sz="0" w:space="0" w:color="auto"/>
      </w:divBdr>
      <w:divsChild>
        <w:div w:id="1281523529">
          <w:marLeft w:val="0"/>
          <w:marRight w:val="0"/>
          <w:marTop w:val="0"/>
          <w:marBottom w:val="0"/>
          <w:divBdr>
            <w:top w:val="none" w:sz="0" w:space="0" w:color="auto"/>
            <w:left w:val="none" w:sz="0" w:space="0" w:color="auto"/>
            <w:bottom w:val="none" w:sz="0" w:space="0" w:color="auto"/>
            <w:right w:val="none" w:sz="0" w:space="0" w:color="auto"/>
          </w:divBdr>
        </w:div>
      </w:divsChild>
    </w:div>
    <w:div w:id="2077824088">
      <w:marLeft w:val="0"/>
      <w:marRight w:val="0"/>
      <w:marTop w:val="240"/>
      <w:marBottom w:val="240"/>
      <w:divBdr>
        <w:top w:val="none" w:sz="0" w:space="0" w:color="auto"/>
        <w:left w:val="none" w:sz="0" w:space="0" w:color="auto"/>
        <w:bottom w:val="none" w:sz="0" w:space="0" w:color="auto"/>
        <w:right w:val="none" w:sz="0" w:space="0" w:color="auto"/>
      </w:divBdr>
    </w:div>
    <w:div w:id="2092116542">
      <w:marLeft w:val="0"/>
      <w:marRight w:val="0"/>
      <w:marTop w:val="240"/>
      <w:marBottom w:val="0"/>
      <w:divBdr>
        <w:top w:val="none" w:sz="0" w:space="0" w:color="auto"/>
        <w:left w:val="none" w:sz="0" w:space="0" w:color="auto"/>
        <w:bottom w:val="none" w:sz="0" w:space="0" w:color="auto"/>
        <w:right w:val="none" w:sz="0" w:space="0" w:color="auto"/>
      </w:divBdr>
    </w:div>
    <w:div w:id="2098820593">
      <w:marLeft w:val="0"/>
      <w:marRight w:val="0"/>
      <w:marTop w:val="0"/>
      <w:marBottom w:val="0"/>
      <w:divBdr>
        <w:top w:val="none" w:sz="0" w:space="0" w:color="auto"/>
        <w:left w:val="none" w:sz="0" w:space="0" w:color="auto"/>
        <w:bottom w:val="none" w:sz="0" w:space="0" w:color="auto"/>
        <w:right w:val="none" w:sz="0" w:space="0" w:color="auto"/>
      </w:divBdr>
    </w:div>
    <w:div w:id="2099016817">
      <w:marLeft w:val="0"/>
      <w:marRight w:val="0"/>
      <w:marTop w:val="240"/>
      <w:marBottom w:val="0"/>
      <w:divBdr>
        <w:top w:val="none" w:sz="0" w:space="0" w:color="auto"/>
        <w:left w:val="none" w:sz="0" w:space="0" w:color="auto"/>
        <w:bottom w:val="none" w:sz="0" w:space="0" w:color="auto"/>
        <w:right w:val="none" w:sz="0" w:space="0" w:color="auto"/>
      </w:divBdr>
    </w:div>
    <w:div w:id="2099934825">
      <w:marLeft w:val="0"/>
      <w:marRight w:val="0"/>
      <w:marTop w:val="240"/>
      <w:marBottom w:val="0"/>
      <w:divBdr>
        <w:top w:val="none" w:sz="0" w:space="0" w:color="auto"/>
        <w:left w:val="none" w:sz="0" w:space="0" w:color="auto"/>
        <w:bottom w:val="none" w:sz="0" w:space="0" w:color="auto"/>
        <w:right w:val="none" w:sz="0" w:space="0" w:color="auto"/>
      </w:divBdr>
    </w:div>
    <w:div w:id="2102873484">
      <w:marLeft w:val="0"/>
      <w:marRight w:val="0"/>
      <w:marTop w:val="0"/>
      <w:marBottom w:val="240"/>
      <w:divBdr>
        <w:top w:val="none" w:sz="0" w:space="0" w:color="auto"/>
        <w:left w:val="none" w:sz="0" w:space="0" w:color="auto"/>
        <w:bottom w:val="none" w:sz="0" w:space="0" w:color="auto"/>
        <w:right w:val="none" w:sz="0" w:space="0" w:color="auto"/>
      </w:divBdr>
    </w:div>
    <w:div w:id="2103380646">
      <w:marLeft w:val="0"/>
      <w:marRight w:val="0"/>
      <w:marTop w:val="0"/>
      <w:marBottom w:val="0"/>
      <w:divBdr>
        <w:top w:val="none" w:sz="0" w:space="0" w:color="auto"/>
        <w:left w:val="none" w:sz="0" w:space="0" w:color="auto"/>
        <w:bottom w:val="none" w:sz="0" w:space="0" w:color="auto"/>
        <w:right w:val="none" w:sz="0" w:space="0" w:color="auto"/>
      </w:divBdr>
      <w:divsChild>
        <w:div w:id="57216039">
          <w:marLeft w:val="0"/>
          <w:marRight w:val="0"/>
          <w:marTop w:val="0"/>
          <w:marBottom w:val="0"/>
          <w:divBdr>
            <w:top w:val="none" w:sz="0" w:space="0" w:color="auto"/>
            <w:left w:val="none" w:sz="0" w:space="0" w:color="auto"/>
            <w:bottom w:val="none" w:sz="0" w:space="0" w:color="auto"/>
            <w:right w:val="none" w:sz="0" w:space="0" w:color="auto"/>
          </w:divBdr>
        </w:div>
        <w:div w:id="817847626">
          <w:marLeft w:val="0"/>
          <w:marRight w:val="0"/>
          <w:marTop w:val="0"/>
          <w:marBottom w:val="0"/>
          <w:divBdr>
            <w:top w:val="none" w:sz="0" w:space="0" w:color="auto"/>
            <w:left w:val="none" w:sz="0" w:space="0" w:color="auto"/>
            <w:bottom w:val="none" w:sz="0" w:space="0" w:color="auto"/>
            <w:right w:val="none" w:sz="0" w:space="0" w:color="auto"/>
          </w:divBdr>
        </w:div>
        <w:div w:id="197817946">
          <w:marLeft w:val="0"/>
          <w:marRight w:val="0"/>
          <w:marTop w:val="0"/>
          <w:marBottom w:val="0"/>
          <w:divBdr>
            <w:top w:val="none" w:sz="0" w:space="0" w:color="auto"/>
            <w:left w:val="none" w:sz="0" w:space="0" w:color="auto"/>
            <w:bottom w:val="none" w:sz="0" w:space="0" w:color="auto"/>
            <w:right w:val="none" w:sz="0" w:space="0" w:color="auto"/>
          </w:divBdr>
        </w:div>
        <w:div w:id="12652277">
          <w:marLeft w:val="0"/>
          <w:marRight w:val="0"/>
          <w:marTop w:val="0"/>
          <w:marBottom w:val="0"/>
          <w:divBdr>
            <w:top w:val="none" w:sz="0" w:space="0" w:color="auto"/>
            <w:left w:val="none" w:sz="0" w:space="0" w:color="auto"/>
            <w:bottom w:val="none" w:sz="0" w:space="0" w:color="auto"/>
            <w:right w:val="none" w:sz="0" w:space="0" w:color="auto"/>
          </w:divBdr>
        </w:div>
      </w:divsChild>
    </w:div>
    <w:div w:id="2103795232">
      <w:marLeft w:val="0"/>
      <w:marRight w:val="0"/>
      <w:marTop w:val="0"/>
      <w:marBottom w:val="0"/>
      <w:divBdr>
        <w:top w:val="none" w:sz="0" w:space="0" w:color="auto"/>
        <w:left w:val="none" w:sz="0" w:space="0" w:color="auto"/>
        <w:bottom w:val="none" w:sz="0" w:space="0" w:color="auto"/>
        <w:right w:val="none" w:sz="0" w:space="0" w:color="auto"/>
      </w:divBdr>
      <w:divsChild>
        <w:div w:id="1324697405">
          <w:marLeft w:val="0"/>
          <w:marRight w:val="0"/>
          <w:marTop w:val="0"/>
          <w:marBottom w:val="0"/>
          <w:divBdr>
            <w:top w:val="none" w:sz="0" w:space="0" w:color="auto"/>
            <w:left w:val="none" w:sz="0" w:space="0" w:color="auto"/>
            <w:bottom w:val="none" w:sz="0" w:space="0" w:color="auto"/>
            <w:right w:val="none" w:sz="0" w:space="0" w:color="auto"/>
          </w:divBdr>
        </w:div>
      </w:divsChild>
    </w:div>
    <w:div w:id="2104034675">
      <w:marLeft w:val="0"/>
      <w:marRight w:val="0"/>
      <w:marTop w:val="240"/>
      <w:marBottom w:val="0"/>
      <w:divBdr>
        <w:top w:val="none" w:sz="0" w:space="0" w:color="auto"/>
        <w:left w:val="none" w:sz="0" w:space="0" w:color="auto"/>
        <w:bottom w:val="none" w:sz="0" w:space="0" w:color="auto"/>
        <w:right w:val="none" w:sz="0" w:space="0" w:color="auto"/>
      </w:divBdr>
    </w:div>
    <w:div w:id="2105345702">
      <w:marLeft w:val="0"/>
      <w:marRight w:val="0"/>
      <w:marTop w:val="0"/>
      <w:marBottom w:val="240"/>
      <w:divBdr>
        <w:top w:val="none" w:sz="0" w:space="0" w:color="auto"/>
        <w:left w:val="none" w:sz="0" w:space="0" w:color="auto"/>
        <w:bottom w:val="none" w:sz="0" w:space="0" w:color="auto"/>
        <w:right w:val="none" w:sz="0" w:space="0" w:color="auto"/>
      </w:divBdr>
    </w:div>
    <w:div w:id="2114090828">
      <w:marLeft w:val="0"/>
      <w:marRight w:val="0"/>
      <w:marTop w:val="0"/>
      <w:marBottom w:val="0"/>
      <w:divBdr>
        <w:top w:val="none" w:sz="0" w:space="0" w:color="auto"/>
        <w:left w:val="none" w:sz="0" w:space="0" w:color="auto"/>
        <w:bottom w:val="none" w:sz="0" w:space="0" w:color="auto"/>
        <w:right w:val="none" w:sz="0" w:space="0" w:color="auto"/>
      </w:divBdr>
    </w:div>
    <w:div w:id="2115126226">
      <w:marLeft w:val="0"/>
      <w:marRight w:val="0"/>
      <w:marTop w:val="0"/>
      <w:marBottom w:val="0"/>
      <w:divBdr>
        <w:top w:val="none" w:sz="0" w:space="0" w:color="auto"/>
        <w:left w:val="none" w:sz="0" w:space="0" w:color="auto"/>
        <w:bottom w:val="none" w:sz="0" w:space="0" w:color="auto"/>
        <w:right w:val="none" w:sz="0" w:space="0" w:color="auto"/>
      </w:divBdr>
    </w:div>
    <w:div w:id="2116710353">
      <w:marLeft w:val="0"/>
      <w:marRight w:val="0"/>
      <w:marTop w:val="0"/>
      <w:marBottom w:val="120"/>
      <w:divBdr>
        <w:top w:val="none" w:sz="0" w:space="0" w:color="auto"/>
        <w:left w:val="none" w:sz="0" w:space="0" w:color="auto"/>
        <w:bottom w:val="none" w:sz="0" w:space="0" w:color="auto"/>
        <w:right w:val="none" w:sz="0" w:space="0" w:color="auto"/>
      </w:divBdr>
    </w:div>
    <w:div w:id="2119988362">
      <w:marLeft w:val="0"/>
      <w:marRight w:val="0"/>
      <w:marTop w:val="240"/>
      <w:marBottom w:val="0"/>
      <w:divBdr>
        <w:top w:val="none" w:sz="0" w:space="0" w:color="auto"/>
        <w:left w:val="none" w:sz="0" w:space="0" w:color="auto"/>
        <w:bottom w:val="none" w:sz="0" w:space="0" w:color="auto"/>
        <w:right w:val="none" w:sz="0" w:space="0" w:color="auto"/>
      </w:divBdr>
    </w:div>
    <w:div w:id="2121407674">
      <w:marLeft w:val="0"/>
      <w:marRight w:val="0"/>
      <w:marTop w:val="0"/>
      <w:marBottom w:val="0"/>
      <w:divBdr>
        <w:top w:val="none" w:sz="0" w:space="0" w:color="auto"/>
        <w:left w:val="none" w:sz="0" w:space="0" w:color="auto"/>
        <w:bottom w:val="none" w:sz="0" w:space="0" w:color="auto"/>
        <w:right w:val="none" w:sz="0" w:space="0" w:color="auto"/>
      </w:divBdr>
      <w:divsChild>
        <w:div w:id="1261185784">
          <w:marLeft w:val="0"/>
          <w:marRight w:val="0"/>
          <w:marTop w:val="0"/>
          <w:marBottom w:val="0"/>
          <w:divBdr>
            <w:top w:val="none" w:sz="0" w:space="0" w:color="auto"/>
            <w:left w:val="none" w:sz="0" w:space="0" w:color="auto"/>
            <w:bottom w:val="none" w:sz="0" w:space="0" w:color="auto"/>
            <w:right w:val="none" w:sz="0" w:space="0" w:color="auto"/>
          </w:divBdr>
        </w:div>
      </w:divsChild>
    </w:div>
    <w:div w:id="2122986927">
      <w:marLeft w:val="0"/>
      <w:marRight w:val="0"/>
      <w:marTop w:val="0"/>
      <w:marBottom w:val="240"/>
      <w:divBdr>
        <w:top w:val="none" w:sz="0" w:space="0" w:color="auto"/>
        <w:left w:val="none" w:sz="0" w:space="0" w:color="auto"/>
        <w:bottom w:val="none" w:sz="0" w:space="0" w:color="auto"/>
        <w:right w:val="none" w:sz="0" w:space="0" w:color="auto"/>
      </w:divBdr>
    </w:div>
    <w:div w:id="2124763150">
      <w:marLeft w:val="0"/>
      <w:marRight w:val="0"/>
      <w:marTop w:val="240"/>
      <w:marBottom w:val="0"/>
      <w:divBdr>
        <w:top w:val="none" w:sz="0" w:space="0" w:color="auto"/>
        <w:left w:val="none" w:sz="0" w:space="0" w:color="auto"/>
        <w:bottom w:val="none" w:sz="0" w:space="0" w:color="auto"/>
        <w:right w:val="none" w:sz="0" w:space="0" w:color="auto"/>
      </w:divBdr>
    </w:div>
    <w:div w:id="2125035265">
      <w:marLeft w:val="0"/>
      <w:marRight w:val="0"/>
      <w:marTop w:val="240"/>
      <w:marBottom w:val="0"/>
      <w:divBdr>
        <w:top w:val="none" w:sz="0" w:space="0" w:color="auto"/>
        <w:left w:val="none" w:sz="0" w:space="0" w:color="auto"/>
        <w:bottom w:val="none" w:sz="0" w:space="0" w:color="auto"/>
        <w:right w:val="none" w:sz="0" w:space="0" w:color="auto"/>
      </w:divBdr>
    </w:div>
    <w:div w:id="2129856888">
      <w:marLeft w:val="0"/>
      <w:marRight w:val="0"/>
      <w:marTop w:val="0"/>
      <w:marBottom w:val="0"/>
      <w:divBdr>
        <w:top w:val="none" w:sz="0" w:space="0" w:color="auto"/>
        <w:left w:val="none" w:sz="0" w:space="0" w:color="auto"/>
        <w:bottom w:val="none" w:sz="0" w:space="0" w:color="auto"/>
        <w:right w:val="none" w:sz="0" w:space="0" w:color="auto"/>
      </w:divBdr>
    </w:div>
    <w:div w:id="2135172480">
      <w:marLeft w:val="0"/>
      <w:marRight w:val="0"/>
      <w:marTop w:val="0"/>
      <w:marBottom w:val="0"/>
      <w:divBdr>
        <w:top w:val="none" w:sz="0" w:space="0" w:color="auto"/>
        <w:left w:val="none" w:sz="0" w:space="0" w:color="auto"/>
        <w:bottom w:val="none" w:sz="0" w:space="0" w:color="auto"/>
        <w:right w:val="none" w:sz="0" w:space="0" w:color="auto"/>
      </w:divBdr>
      <w:divsChild>
        <w:div w:id="2141920108">
          <w:marLeft w:val="0"/>
          <w:marRight w:val="0"/>
          <w:marTop w:val="0"/>
          <w:marBottom w:val="0"/>
          <w:divBdr>
            <w:top w:val="none" w:sz="0" w:space="0" w:color="auto"/>
            <w:left w:val="none" w:sz="0" w:space="0" w:color="auto"/>
            <w:bottom w:val="none" w:sz="0" w:space="0" w:color="auto"/>
            <w:right w:val="none" w:sz="0" w:space="0" w:color="auto"/>
          </w:divBdr>
        </w:div>
      </w:divsChild>
    </w:div>
    <w:div w:id="2139256832">
      <w:marLeft w:val="0"/>
      <w:marRight w:val="0"/>
      <w:marTop w:val="240"/>
      <w:marBottom w:val="0"/>
      <w:divBdr>
        <w:top w:val="none" w:sz="0" w:space="0" w:color="auto"/>
        <w:left w:val="none" w:sz="0" w:space="0" w:color="auto"/>
        <w:bottom w:val="none" w:sz="0" w:space="0" w:color="auto"/>
        <w:right w:val="none" w:sz="0" w:space="0" w:color="auto"/>
      </w:divBdr>
    </w:div>
    <w:div w:id="2140683900">
      <w:marLeft w:val="0"/>
      <w:marRight w:val="0"/>
      <w:marTop w:val="0"/>
      <w:marBottom w:val="0"/>
      <w:divBdr>
        <w:top w:val="none" w:sz="0" w:space="0" w:color="auto"/>
        <w:left w:val="none" w:sz="0" w:space="0" w:color="auto"/>
        <w:bottom w:val="none" w:sz="0" w:space="0" w:color="auto"/>
        <w:right w:val="none" w:sz="0" w:space="0" w:color="auto"/>
      </w:divBdr>
      <w:divsChild>
        <w:div w:id="1735273548">
          <w:marLeft w:val="0"/>
          <w:marRight w:val="0"/>
          <w:marTop w:val="0"/>
          <w:marBottom w:val="0"/>
          <w:divBdr>
            <w:top w:val="none" w:sz="0" w:space="0" w:color="auto"/>
            <w:left w:val="none" w:sz="0" w:space="0" w:color="auto"/>
            <w:bottom w:val="none" w:sz="0" w:space="0" w:color="auto"/>
            <w:right w:val="none" w:sz="0" w:space="0" w:color="auto"/>
          </w:divBdr>
        </w:div>
      </w:divsChild>
    </w:div>
    <w:div w:id="2140760713">
      <w:marLeft w:val="0"/>
      <w:marRight w:val="0"/>
      <w:marTop w:val="120"/>
      <w:marBottom w:val="0"/>
      <w:divBdr>
        <w:top w:val="none" w:sz="0" w:space="0" w:color="auto"/>
        <w:left w:val="none" w:sz="0" w:space="0" w:color="auto"/>
        <w:bottom w:val="none" w:sz="0" w:space="0" w:color="auto"/>
        <w:right w:val="none" w:sz="0" w:space="0" w:color="auto"/>
      </w:divBdr>
    </w:div>
    <w:div w:id="2140872557">
      <w:marLeft w:val="0"/>
      <w:marRight w:val="0"/>
      <w:marTop w:val="0"/>
      <w:marBottom w:val="0"/>
      <w:divBdr>
        <w:top w:val="none" w:sz="0" w:space="0" w:color="auto"/>
        <w:left w:val="none" w:sz="0" w:space="0" w:color="auto"/>
        <w:bottom w:val="none" w:sz="0" w:space="0" w:color="auto"/>
        <w:right w:val="none" w:sz="0" w:space="0" w:color="auto"/>
      </w:divBdr>
    </w:div>
    <w:div w:id="2145466179">
      <w:marLeft w:val="0"/>
      <w:marRight w:val="0"/>
      <w:marTop w:val="0"/>
      <w:marBottom w:val="240"/>
      <w:divBdr>
        <w:top w:val="none" w:sz="0" w:space="0" w:color="auto"/>
        <w:left w:val="none" w:sz="0" w:space="0" w:color="auto"/>
        <w:bottom w:val="none" w:sz="0" w:space="0" w:color="auto"/>
        <w:right w:val="none" w:sz="0" w:space="0" w:color="auto"/>
      </w:divBdr>
    </w:div>
    <w:div w:id="2146116588">
      <w:marLeft w:val="0"/>
      <w:marRight w:val="0"/>
      <w:marTop w:val="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393311/000119312519105162/d735473dex42.htm" TargetMode="External"/><Relationship Id="rId21" Type="http://schemas.openxmlformats.org/officeDocument/2006/relationships/hyperlink" Target="https://www.sec.gov/Archives/edgar/data/1393311/000119312522002641/d278496dex31.htm" TargetMode="External"/><Relationship Id="rId42" Type="http://schemas.openxmlformats.org/officeDocument/2006/relationships/hyperlink" Target="http://www.sec.gov/Archives/edgar/data/1393311/000139331116000036/psa-20151231ex101308fcd.htm" TargetMode="External"/><Relationship Id="rId47" Type="http://schemas.openxmlformats.org/officeDocument/2006/relationships/hyperlink" Target="http://www.sec.gov/Archives/edgar/data/1393311/000139331117000008/psa-20161231xex10_19.htm" TargetMode="External"/><Relationship Id="rId63" Type="http://schemas.openxmlformats.org/officeDocument/2006/relationships/hyperlink" Target="psa-123121xex21.htm" TargetMode="External"/><Relationship Id="rId68" Type="http://schemas.openxmlformats.org/officeDocument/2006/relationships/fontTable" Target="fontTable.xml"/><Relationship Id="rId7" Type="http://schemas.openxmlformats.org/officeDocument/2006/relationships/hyperlink" Target="https://www.sec.gov/Archives/edgar/data/1393311/000156276221000166/psa-20210331xex3_2.htm" TargetMode="External"/><Relationship Id="rId2" Type="http://schemas.openxmlformats.org/officeDocument/2006/relationships/settings" Target="settings.xml"/><Relationship Id="rId16" Type="http://schemas.openxmlformats.org/officeDocument/2006/relationships/hyperlink" Target="https://www.sec.gov/Archives/edgar/data/1393311/000119312520259620/d824439dex31.htm" TargetMode="External"/><Relationship Id="rId29" Type="http://schemas.openxmlformats.org/officeDocument/2006/relationships/hyperlink" Target="https://www.sec.gov/Archives/edgar/data/1393311/000119312521128967/d135565dex42.htm" TargetMode="External"/><Relationship Id="rId11" Type="http://schemas.openxmlformats.org/officeDocument/2006/relationships/hyperlink" Target="http://www.sec.gov/Archives/edgar/data/1393311/000119312519240029/d95914dex31.htm" TargetMode="External"/><Relationship Id="rId24" Type="http://schemas.openxmlformats.org/officeDocument/2006/relationships/hyperlink" Target="http://www.sec.gov/Archives/edgar/data/1393311/000119312517287377/d443739dex41.htm" TargetMode="External"/><Relationship Id="rId32" Type="http://schemas.openxmlformats.org/officeDocument/2006/relationships/hyperlink" Target="https://www.sec.gov/Archives/edgar/data/1393311/000119312521268821/d228573dex42.htm" TargetMode="External"/><Relationship Id="rId37" Type="http://schemas.openxmlformats.org/officeDocument/2006/relationships/hyperlink" Target="http://www.sec.gov/Archives/edgar/data/866368/0000866368-98-000024.txt" TargetMode="External"/><Relationship Id="rId40" Type="http://schemas.openxmlformats.org/officeDocument/2006/relationships/hyperlink" Target="http://www.sec.gov/Archives/edgar/data/1393311/000139331116000036/psa-20151231ex10116996e.htm" TargetMode="External"/><Relationship Id="rId45" Type="http://schemas.openxmlformats.org/officeDocument/2006/relationships/hyperlink" Target="http://www.sec.gov/Archives/edgar/data/1393311/000139331117000008/psa-20161231xex10_18.htm" TargetMode="External"/><Relationship Id="rId53" Type="http://schemas.openxmlformats.org/officeDocument/2006/relationships/hyperlink" Target="http://www.sec.gov/Archives/edgar/data/1393311/000139331118000009/psa-20180331xex10_1.htm" TargetMode="External"/><Relationship Id="rId58" Type="http://schemas.openxmlformats.org/officeDocument/2006/relationships/hyperlink" Target="https://www.sec.gov/Archives/edgar/data/1393311/000156276220000160/psa-20200331xex10_4.htm" TargetMode="External"/><Relationship Id="rId66" Type="http://schemas.openxmlformats.org/officeDocument/2006/relationships/hyperlink" Target="psa-123121xex31_2.htm" TargetMode="External"/><Relationship Id="rId5" Type="http://schemas.openxmlformats.org/officeDocument/2006/relationships/hyperlink" Target="https://www.sec.gov/Archives/edgar/data/1393311/000156276221000166/psa-20210331xex3_1.htm" TargetMode="External"/><Relationship Id="rId61" Type="http://schemas.openxmlformats.org/officeDocument/2006/relationships/hyperlink" Target="https://www.sec.gov/Archives/edgar/data/1393311/000156276221000287/psa-20210630xex10_2.htm" TargetMode="External"/><Relationship Id="rId19" Type="http://schemas.openxmlformats.org/officeDocument/2006/relationships/hyperlink" Target="https://www.sec.gov/Archives/edgar/data/1393311/000119312521243371/d187599dex31.htm" TargetMode="External"/><Relationship Id="rId14" Type="http://schemas.openxmlformats.org/officeDocument/2006/relationships/hyperlink" Target="https://www.sec.gov/Archives/edgar/data/1393311/000119312520165668/d941759dex31.htm" TargetMode="External"/><Relationship Id="rId22" Type="http://schemas.openxmlformats.org/officeDocument/2006/relationships/hyperlink" Target="http://www.sec.gov/Archives/edgar/data/1393311/000119312507130364/dex101.htm" TargetMode="External"/><Relationship Id="rId27" Type="http://schemas.openxmlformats.org/officeDocument/2006/relationships/hyperlink" Target="http://www.sec.gov/Archives/edgar/data/1393311/000119312520014211/d877682dex42.htm" TargetMode="External"/><Relationship Id="rId30" Type="http://schemas.openxmlformats.org/officeDocument/2006/relationships/hyperlink" Target="https://www.sec.gov/Archives/edgar/data/1393311/000119312521128967/d135565dex43.htm" TargetMode="External"/><Relationship Id="rId35" Type="http://schemas.openxmlformats.org/officeDocument/2006/relationships/hyperlink" Target="https://www.sec.gov/Archives/edgar/data/1393311/000119312521324419/d257375dex44.htm" TargetMode="External"/><Relationship Id="rId43" Type="http://schemas.openxmlformats.org/officeDocument/2006/relationships/hyperlink" Target="http://www.sec.gov/Archives/edgar/data/1393311/000139331116000036/psa-20151231ex10145e220.htm" TargetMode="External"/><Relationship Id="rId48" Type="http://schemas.openxmlformats.org/officeDocument/2006/relationships/hyperlink" Target="http://www.sec.gov/Archives/edgar/data/1393311/000139331114000011/psa-20140501ex101aec3ff.htm" TargetMode="External"/><Relationship Id="rId56" Type="http://schemas.openxmlformats.org/officeDocument/2006/relationships/hyperlink" Target="http://www.sec.gov/Archives/edgar/data/1393311/000139331119000004/psa-20181231xex10_30.htm" TargetMode="External"/><Relationship Id="rId64" Type="http://schemas.openxmlformats.org/officeDocument/2006/relationships/hyperlink" Target="psa-123121xex23_1.htm" TargetMode="External"/><Relationship Id="rId69" Type="http://schemas.openxmlformats.org/officeDocument/2006/relationships/theme" Target="theme/theme1.xml"/><Relationship Id="rId8" Type="http://schemas.openxmlformats.org/officeDocument/2006/relationships/hyperlink" Target="https://www.sec.gov/Archives/edgar/data/1393311/000119312517181653/d403845dex31.htm" TargetMode="External"/><Relationship Id="rId51" Type="http://schemas.openxmlformats.org/officeDocument/2006/relationships/hyperlink" Target="http://www.sec.gov/Archives/edgar/data/1393311/000139331115000031/psa-20151104ex101c7717b.htm" TargetMode="External"/><Relationship Id="rId3" Type="http://schemas.openxmlformats.org/officeDocument/2006/relationships/webSettings" Target="webSettings.xml"/><Relationship Id="rId12" Type="http://schemas.openxmlformats.org/officeDocument/2006/relationships/hyperlink" Target="http://www.sec.gov/Archives/edgar/data/1393311/000119312519286081/d820234dex31.htm" TargetMode="External"/><Relationship Id="rId17" Type="http://schemas.openxmlformats.org/officeDocument/2006/relationships/hyperlink" Target="https://www.sec.gov/Archives/edgar/data/1393311/000119312520293004/d24818dex31.htm" TargetMode="External"/><Relationship Id="rId25" Type="http://schemas.openxmlformats.org/officeDocument/2006/relationships/hyperlink" Target="http://www.sec.gov/Archives/edgar/data/1393311/000119312517287377/d443739dex42.htm" TargetMode="External"/><Relationship Id="rId33" Type="http://schemas.openxmlformats.org/officeDocument/2006/relationships/hyperlink" Target="https://www.sec.gov/Archives/edgar/data/1393311/000119312521324419/d257375dex42.htm" TargetMode="External"/><Relationship Id="rId38" Type="http://schemas.openxmlformats.org/officeDocument/2006/relationships/hyperlink" Target="http://www.sec.gov/Archives/edgar/data/318380/000031838099000018/0000318380-99-000018.txt" TargetMode="External"/><Relationship Id="rId46" Type="http://schemas.openxmlformats.org/officeDocument/2006/relationships/hyperlink" Target="http://www.sec.gov/Archives/edgar/data/1393311/000139331117000008/psa-20161231xex10_19.htm" TargetMode="External"/><Relationship Id="rId59" Type="http://schemas.openxmlformats.org/officeDocument/2006/relationships/hyperlink" Target="https://www.sec.gov/Archives/edgar/data/1393311/000156276220000160/psa-20200331xex10_5.htm" TargetMode="External"/><Relationship Id="rId67" Type="http://schemas.openxmlformats.org/officeDocument/2006/relationships/hyperlink" Target="psa-123121xex32.htm" TargetMode="External"/><Relationship Id="rId20" Type="http://schemas.openxmlformats.org/officeDocument/2006/relationships/hyperlink" Target="https://www.sec.gov/Archives/edgar/data/1393311/000119312521325998/d240102dex31.htm" TargetMode="External"/><Relationship Id="rId41" Type="http://schemas.openxmlformats.org/officeDocument/2006/relationships/hyperlink" Target="http://www.sec.gov/Archives/edgar/data/1393311/000139331116000036/psa-20151231ex101227ce4.htm" TargetMode="External"/><Relationship Id="rId54" Type="http://schemas.openxmlformats.org/officeDocument/2006/relationships/hyperlink" Target="http://www.sec.gov/Archives/edgar/data/1393311/000139331119000004/psa-20181231xex10_26.htm" TargetMode="External"/><Relationship Id="rId62" Type="http://schemas.openxmlformats.org/officeDocument/2006/relationships/hyperlink" Target="https://www.sec.gov/Archives/edgar/data/1393311/000156276221000287/psa-20210630xex10_3.htm" TargetMode="External"/><Relationship Id="rId1" Type="http://schemas.openxmlformats.org/officeDocument/2006/relationships/styles" Target="styles.xml"/><Relationship Id="rId6" Type="http://schemas.openxmlformats.org/officeDocument/2006/relationships/hyperlink" Target="https://www.sec.gov/Archives/edgar/data/1393311/000156276221000166/psa-20210331xex3_1.htm" TargetMode="External"/><Relationship Id="rId15" Type="http://schemas.openxmlformats.org/officeDocument/2006/relationships/hyperlink" Target="https://www.sec.gov/Archives/edgar/data/1393311/000119312520219127/d43890dex31.htm" TargetMode="External"/><Relationship Id="rId23" Type="http://schemas.openxmlformats.org/officeDocument/2006/relationships/hyperlink" Target="psa-123121xex4_2.htm" TargetMode="External"/><Relationship Id="rId28" Type="http://schemas.openxmlformats.org/officeDocument/2006/relationships/hyperlink" Target="https://www.sec.gov/Archives/edgar/data/0001393311/000119312521011436/d105642dex42.htm" TargetMode="External"/><Relationship Id="rId36" Type="http://schemas.openxmlformats.org/officeDocument/2006/relationships/hyperlink" Target="https://www.sec.gov/Archives/edgar/data/1393311/000119312521324419/d257375dex44.htm" TargetMode="External"/><Relationship Id="rId49" Type="http://schemas.openxmlformats.org/officeDocument/2006/relationships/hyperlink" Target="http://www.sec.gov/Archives/edgar/data/1393311/000119312516506122/d126315ddef14a.htm" TargetMode="External"/><Relationship Id="rId57" Type="http://schemas.openxmlformats.org/officeDocument/2006/relationships/hyperlink" Target="https://www.sec.gov/Archives/edgar/data/1393311/000156276220000160/psa-20200331xex10_2.htm" TargetMode="External"/><Relationship Id="rId10" Type="http://schemas.openxmlformats.org/officeDocument/2006/relationships/hyperlink" Target="http://www.sec.gov/Archives/edgar/data/1393311/000119312519060872/d707503dex31.htm" TargetMode="External"/><Relationship Id="rId31" Type="http://schemas.openxmlformats.org/officeDocument/2006/relationships/hyperlink" Target="https://www.sec.gov/Archives/edgar/data/1393311/000119312521128967/d135565dex44.htm" TargetMode="External"/><Relationship Id="rId44" Type="http://schemas.openxmlformats.org/officeDocument/2006/relationships/hyperlink" Target="http://www.sec.gov/Archives/edgar/data/1393311/000139331117000008/psa-20161231xex10_16.htm" TargetMode="External"/><Relationship Id="rId52" Type="http://schemas.openxmlformats.org/officeDocument/2006/relationships/hyperlink" Target="http://www.sec.gov/Archives/edgar/data/1393311/000139331116000038/psa-20160413xex10_1.htm" TargetMode="External"/><Relationship Id="rId60" Type="http://schemas.openxmlformats.org/officeDocument/2006/relationships/hyperlink" Target="https://www.sec.gov/Archives/edgar/data/1393311/000156276221000287/psa-20210630xex10_1.htm" TargetMode="External"/><Relationship Id="rId65" Type="http://schemas.openxmlformats.org/officeDocument/2006/relationships/hyperlink" Target="psa-123121xex31_1.htm" TargetMode="External"/><Relationship Id="rId4" Type="http://schemas.openxmlformats.org/officeDocument/2006/relationships/image" Target="file:///E:\projects\LLMs\new_data_collection\data_new\htm\Public%20Storage\psa-20211231_g1.jpg" TargetMode="External"/><Relationship Id="rId9" Type="http://schemas.openxmlformats.org/officeDocument/2006/relationships/hyperlink" Target="https://www.sec.gov/Archives/edgar/data/1393311/000119312517244616/d431375dex31.htm" TargetMode="External"/><Relationship Id="rId13" Type="http://schemas.openxmlformats.org/officeDocument/2006/relationships/hyperlink" Target="http://www.sec.gov/Archives/edgar/data/1393311/000119312519312789/d847836dex31.htm" TargetMode="External"/><Relationship Id="rId18" Type="http://schemas.openxmlformats.org/officeDocument/2006/relationships/hyperlink" Target="https://www.sec.gov/Archives/edgar/data/1393311/000119312521186733/d180655dex31.htm" TargetMode="External"/><Relationship Id="rId39" Type="http://schemas.openxmlformats.org/officeDocument/2006/relationships/hyperlink" Target="http://www.sec.gov/Archives/edgar/data/1393311/000119312519112437/d738199dex101.htm" TargetMode="External"/><Relationship Id="rId34" Type="http://schemas.openxmlformats.org/officeDocument/2006/relationships/hyperlink" Target="https://www.sec.gov/Archives/edgar/data/1393311/000119312521324419/d257375dex43.htm" TargetMode="External"/><Relationship Id="rId50" Type="http://schemas.openxmlformats.org/officeDocument/2006/relationships/hyperlink" Target="http://www.sec.gov/Archives/edgar/data/1393311/000119312521082780/d848425ddef14a.htm" TargetMode="External"/><Relationship Id="rId55" Type="http://schemas.openxmlformats.org/officeDocument/2006/relationships/hyperlink" Target="http://www.sec.gov/Archives/edgar/data/1393311/000139331119000004/psa-20181231xex10_2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50165</Words>
  <Characters>285946</Characters>
  <Application>Microsoft Office Word</Application>
  <DocSecurity>0</DocSecurity>
  <Lines>2382</Lines>
  <Paragraphs>670</Paragraphs>
  <ScaleCrop>false</ScaleCrop>
  <Company/>
  <LinksUpToDate>false</LinksUpToDate>
  <CharactersWithSpaces>335441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psa-20211231</dc:title>
  <dc:subject/>
  <dc:creator>Chongjian.Yue</dc:creator>
  <cp:keywords/>
  <dc:description/>
  <cp:lastModifiedBy>Yue Chongjian</cp:lastModifiedBy>
  <cp:revision>1</cp:revision>
  <dcterms:created xsi:type="dcterms:W3CDTF">2024-01-04T15:58:00Z</dcterms:created>
  <dcterms:modified xsi:type="dcterms:W3CDTF">2024-01-04T15:58:00Z</dcterms:modified>
</cp:coreProperties>
</file>