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C49E1">
      <w:pPr>
        <w:divId w:val="1482574758"/>
        <w:rPr>
          <w:rFonts w:eastAsia="Times New Roman"/>
          <w:vanish/>
        </w:rPr>
      </w:pPr>
      <w:r>
        <w:rPr>
          <w:rFonts w:eastAsia="Times New Roman"/>
          <w:vanish/>
        </w:rPr>
        <w:t>FALSE2022Q112/31000139331100013933112022-01-012022-03-310001393311us-gaap:CommonStockMember2022-01-012022-03-310001393311us-gaap:SeriesFPreferredStockMember2022-01-012022-03-310001393311</w:t>
      </w:r>
      <w:r>
        <w:rPr>
          <w:rFonts w:eastAsia="Times New Roman"/>
          <w:vanish/>
        </w:rPr>
        <w:t>us-gaap:SeriesGPreferredStockMember2022-01-012022-03-310001393311us-gaap:SeriesHPreferredStockMember2022-01-012022-03-310001393311psa:SeriesIPreferredStockMember2022-01-012022-03-310001393311psa:SeriesJPreferredStockMember2022-01-012022-03-310001393311psa:</w:t>
      </w:r>
      <w:r>
        <w:rPr>
          <w:rFonts w:eastAsia="Times New Roman"/>
          <w:vanish/>
        </w:rPr>
        <w:t>SeriesKPreferredStockMember2022-01-012022-03-310001393311psa:SeriesLPreferredStockMember2022-01-012022-03-310001393311psa:SeriesMPreferredStockMember2022-01-012022-03-310001393311psa:SeriesNPreferredStockMember2022-01-012022-03-310001393311psa:SeriesOPrefe</w:t>
      </w:r>
      <w:r>
        <w:rPr>
          <w:rFonts w:eastAsia="Times New Roman"/>
          <w:vanish/>
        </w:rPr>
        <w:t>rredStockMember2022-01-012022-03-310001393311psa:SeriesPPreferredStockMember2022-01-012022-03-310001393311psa:SeriesQPreferredStockMember2022-01-012022-03-310001393311psa:SeriesRPreferredStockMember2022-01-012022-03-310001393311psa:SeriesSPreferredStockMem</w:t>
      </w:r>
      <w:r>
        <w:rPr>
          <w:rFonts w:eastAsia="Times New Roman"/>
          <w:vanish/>
        </w:rPr>
        <w:t>ber2022-01-012022-03-310001393311psa:NotesDue2032Member2022-01-012022-03-310001393311psa:NotesDue2030Member2022-01-012022-03-3100013933112022-04-28xbrli:shares00013933112022-03-31iso4217:USD00013933112021-12-31iso4217:USDxbrli:shares0001393311psa:SelfStora</w:t>
      </w:r>
      <w:r>
        <w:rPr>
          <w:rFonts w:eastAsia="Times New Roman"/>
          <w:vanish/>
        </w:rPr>
        <w:t>geOperationsMember2022-01-012022-03-310001393311psa:SelfStorageOperationsMember2021-01-012021-03-310001393311psa:AncillaryOperationsMember2022-01-012022-03-310001393311psa:AncillaryOperationsMember2021-01-012021-03-3100013933112021-01-012021-03-31000139331</w:t>
      </w:r>
      <w:r>
        <w:rPr>
          <w:rFonts w:eastAsia="Times New Roman"/>
          <w:vanish/>
        </w:rPr>
        <w:t>1us-gaap:PreferredStockMember2021-12-310001393311us-gaap:CommonStockMember2021-12-310001393311us-gaap:AdditionalPaidInCapitalMember2021-12-310001393311us-gaap:RetainedEarningsMember2021-12-310001393311us-gaap:AccumulatedOtherComprehensiveIncomeMember2021-1</w:t>
      </w:r>
      <w:r>
        <w:rPr>
          <w:rFonts w:eastAsia="Times New Roman"/>
          <w:vanish/>
        </w:rPr>
        <w:t>2-310001393311us-gaap:ParentMember2021-12-310001393311us-gaap:NoncontrollingInterestMember2021-12-310001393311us-gaap:PreferredStockMember2022-01-012022-03-310001393311us-gaap:PreferredStockMemberus-gaap:PreferredStockMember2022-01-012022-03-310001393311us</w:t>
      </w:r>
      <w:r>
        <w:rPr>
          <w:rFonts w:eastAsia="Times New Roman"/>
          <w:vanish/>
        </w:rPr>
        <w:t>-gaap:PreferredStockMemberus-gaap:AdditionalPaidInCapitalMember2022-01-012022-03-310001393311us-gaap:PreferredStockMemberus-gaap:ParentMember2022-01-012022-03-310001393311us-gaap:CommonStockMemberus-gaap:CommonStockMember2022-01-012022-03-310001393311us-ga</w:t>
      </w:r>
      <w:r>
        <w:rPr>
          <w:rFonts w:eastAsia="Times New Roman"/>
          <w:vanish/>
        </w:rPr>
        <w:t>ap:AdditionalPaidInCapitalMemberus-gaap:CommonStockMember2022-01-012022-03-310001393311us-gaap:ParentMemberus-gaap:CommonStockMember2022-01-012022-03-310001393311us-gaap:AdditionalPaidInCapitalMember2022-01-012022-03-310001393311us-gaap:ParentMember2022-01</w:t>
      </w:r>
      <w:r>
        <w:rPr>
          <w:rFonts w:eastAsia="Times New Roman"/>
          <w:vanish/>
        </w:rPr>
        <w:t>-012022-03-310001393311us-gaap:NoncontrollingInterestMember2022-01-012022-03-310001393311us-gaap:RetainedEarningsMember2022-01-012022-03-310001393311us-gaap:AccumulatedOtherComprehensiveIncomeMember2022-01-012022-03-310001393311us-gaap:PreferredStockMember</w:t>
      </w:r>
      <w:r>
        <w:rPr>
          <w:rFonts w:eastAsia="Times New Roman"/>
          <w:vanish/>
        </w:rPr>
        <w:t>2022-03-310001393311us-gaap:CommonStockMember2022-03-310001393311us-gaap:AdditionalPaidInCapitalMember2022-03-310001393311us-gaap:RetainedEarningsMember2022-03-310001393311us-gaap:AccumulatedOtherComprehensiveIncomeMember2022-03-310001393311us-gaap:ParentM</w:t>
      </w:r>
      <w:r>
        <w:rPr>
          <w:rFonts w:eastAsia="Times New Roman"/>
          <w:vanish/>
        </w:rPr>
        <w:t>ember2022-03-310001393311us-gaap:NoncontrollingInterestMember2022-03-310001393311us-gaap:PreferredStockMember2020-12-310001393311us-gaap:CommonStockMember2020-12-310001393311us-gaap:AdditionalPaidInCapitalMember2020-12-310001393311us-gaap:RetainedEarningsM</w:t>
      </w:r>
      <w:r>
        <w:rPr>
          <w:rFonts w:eastAsia="Times New Roman"/>
          <w:vanish/>
        </w:rPr>
        <w:t>ember2020-12-310001393311us-gaap:AccumulatedOtherComprehensiveIncomeMember2020-12-310001393311us-gaap:ParentMember2020-12-310001393311us-gaap:NoncontrollingInterestMember2020-12-3100013933112020-12-310001393311us-gaap:CommonStockMember2021-01-012021-03-310</w:t>
      </w:r>
      <w:r>
        <w:rPr>
          <w:rFonts w:eastAsia="Times New Roman"/>
          <w:vanish/>
        </w:rPr>
        <w:t>001393311us-gaap:CommonStockMemberus-gaap:CommonStockMember2021-01-012021-03-310001393311us-gaap:AdditionalPaidInCapitalMemberus-gaap:CommonStockMember2021-01-012021-03-310001393311us-gaap:ParentMemberus-gaap:CommonStockMember2021-01-012021-03-310001393311</w:t>
      </w:r>
      <w:r>
        <w:rPr>
          <w:rFonts w:eastAsia="Times New Roman"/>
          <w:vanish/>
        </w:rPr>
        <w:t>us-gaap:AdditionalPaidInCapitalMember2021-01-012021-03-310001393311us-gaap:ParentMember2021-01-012021-03-310001393311us-gaap:NoncontrollingInterestMember2021-01-012021-03-310001393311us-gaap:RetainedEarningsMember2021-01-012021-03-310001393311us-gaap:Accum</w:t>
      </w:r>
      <w:r>
        <w:rPr>
          <w:rFonts w:eastAsia="Times New Roman"/>
          <w:vanish/>
        </w:rPr>
        <w:t>ulatedOtherComprehensiveIncomeMember2021-01-012021-03-310001393311us-gaap:PreferredStockMember2021-03-310001393311us-gaap:CommonStockMember2021-03-310001393311us-gaap:AdditionalPaidInCapitalMember2021-03-310001393311us-gaap:RetainedEarningsMember2021-03-31</w:t>
      </w:r>
      <w:r>
        <w:rPr>
          <w:rFonts w:eastAsia="Times New Roman"/>
          <w:vanish/>
        </w:rPr>
        <w:t>0001393311us-gaap:AccumulatedOtherComprehensiveIncomeMember2021-03-310001393311us-gaap:ParentMember2021-03-310001393311us-gaap:NoncontrollingInterestMember2021-03-3100013933112021-03-310001393311psa:PublicStorageMember2022-03-31psa:storageFacilityutr:sqftp</w:t>
      </w:r>
      <w:r>
        <w:rPr>
          <w:rFonts w:eastAsia="Times New Roman"/>
          <w:vanish/>
        </w:rPr>
        <w:t>sa:state0001393311psa:CommercialAndRetailSpaceMemberpsa:PublicStorageMember2022-03-310001393311psa:ShurgardSelfStorageSaMember2022-03-31xbrli:pure0001393311psa:ShurgardSelfStorageSaMember2021-12-31psa:country0001393311psa:PSBusinessParksMember2022-03-31000</w:t>
      </w:r>
      <w:r>
        <w:rPr>
          <w:rFonts w:eastAsia="Times New Roman"/>
          <w:vanish/>
        </w:rPr>
        <w:t>1393311psa:AcquisitionOfSelfStorageFacilitiesMember2022-01-012022-03-310001393311psa:CompletedDevelopmentAndExpansionProjectMemberpsa:ExpansionProjectsMember2022-01-012022-03-310001393311psa:PSBusinessParksMember2021-12-310001393311psa:PSBusinessParksMembe</w:t>
      </w:r>
      <w:r>
        <w:rPr>
          <w:rFonts w:eastAsia="Times New Roman"/>
          <w:vanish/>
        </w:rPr>
        <w:t>r2022-01-012022-03-310001393311psa:PSBusinessParksMember2021-01-012021-03-310001393311psa:ShurgardSelfStorageSaMember2022-01-012022-03-310001393311psa:ShurgardSelfStorageSaMember2021-01-012021-03-31iso4217:EURxbrli:shares0001393311psa:ShurgardSelfStorageSa</w:t>
      </w:r>
      <w:r>
        <w:rPr>
          <w:rFonts w:eastAsia="Times New Roman"/>
          <w:vanish/>
        </w:rPr>
        <w:t>Memberus-gaap:LicenseMember2021-01-012021-03-310001393311psa:ShurgardSelfStorageSaMemberus-gaap:LicenseMember2022-01-012022-03-310001393311us-gaap:TradeNamesMember2022-03-310001393311us-gaap:TradeNamesMember2021-12-310001393311us-gaap:RevolvingCreditFacili</w:t>
      </w:r>
      <w:r>
        <w:rPr>
          <w:rFonts w:eastAsia="Times New Roman"/>
          <w:vanish/>
        </w:rPr>
        <w:t>tyMember2022-03-310001393311srt:MinimumMemberus-gaap:RevolvingCreditFacilityMember2022-01-012022-03-310001393311srt:MaximumMemberus-gaap:RevolvingCreditFacilityMember2022-01-012022-03-310001393311us-gaap:RevolvingCreditFacilityMember2022-03-312022-03-31000</w:t>
      </w:r>
      <w:r>
        <w:rPr>
          <w:rFonts w:eastAsia="Times New Roman"/>
          <w:vanish/>
        </w:rPr>
        <w:t>1393311us-gaap:SubsequentEventMemberus-gaap:RevolvingCreditFacilityMember2022-05-030001393311us-gaap:StandbyLettersOfCreditMember2022-03-310001393311us-gaap:StandbyLettersOfCreditMember2021-12-310001393311psa:NotesDueSeptember152022Memberpsa:USDollarDenomi</w:t>
      </w:r>
      <w:r>
        <w:rPr>
          <w:rFonts w:eastAsia="Times New Roman"/>
          <w:vanish/>
        </w:rPr>
        <w:t>natedUnsecuredDebtMember2022-03-310001393311us-gaap:SecuredOvernightFinancingRateSofrOvernightIndexSwapRateMemberpsa:NotesDueApril232024Memberpsa:USDollarDenominatedUnsecuredDebtMember2022-03-312022-03-310001393311psa:NotesDueApril232024Memberpsa:USDollarD</w:t>
      </w:r>
      <w:r>
        <w:rPr>
          <w:rFonts w:eastAsia="Times New Roman"/>
          <w:vanish/>
        </w:rPr>
        <w:t>enominatedUnsecuredDebtMember2022-03-310001393311psa:USDollarDenominatedUnsecuredDebtMemberpsa:NotesDueFebruary152026Member2022-03-310001393311psa:NotesDueNovember92026Memberpsa:USDollarDenominatedUnsecuredDebtMember2022-03-310001393311psa:USDollarDenomina</w:t>
      </w:r>
      <w:r>
        <w:rPr>
          <w:rFonts w:eastAsia="Times New Roman"/>
          <w:vanish/>
        </w:rPr>
        <w:t>tedUnsecuredDebtMemberpsa:NotesDueSeptember152027Member2022-03-310001393311psa:NotesDueMay12028Memberpsa:USDollarDenominatedUnsecuredDebtMember2022-03-310001393311psa:USDollarDenominatedUnsecuredDebtMemberpsa:NotesDueNovember92028Member2022-03-310001393311</w:t>
      </w:r>
      <w:r>
        <w:rPr>
          <w:rFonts w:eastAsia="Times New Roman"/>
          <w:vanish/>
        </w:rPr>
        <w:t>psa:USDollarDenominatedUnsecuredDebtMemberpsa:NotesDueMay12029Member2022-03-310001393311psa:NotesDueMay12031Memberpsa:USDollarDenominatedUnsecuredDebtMember2022-03-310001393311psa:NotesDueNovember92031Memberpsa:USDollarDenominatedUnsecuredDebtMember2022-03</w:t>
      </w:r>
      <w:r>
        <w:rPr>
          <w:rFonts w:eastAsia="Times New Roman"/>
          <w:vanish/>
        </w:rPr>
        <w:t>-310001393311psa:USDollarDenominatedUnsecuredDebtMember2022-03-310001393311psa:EuroDenominatedUnsecuredDebtMemberpsa:NotesDueApril122024Member2022-03-310001393311psa:EuroDenominatedUnsecuredDebtMemberpsa:NotesDueNovember32025Member2022-03-310001393311psa:E</w:t>
      </w:r>
      <w:r>
        <w:rPr>
          <w:rFonts w:eastAsia="Times New Roman"/>
          <w:vanish/>
        </w:rPr>
        <w:t>uroDenominatedUnsecuredDebtMemberpsa:NotesDueSeptember92030Member2022-03-310001393311psa:EuroDenominatedUnsecuredDebtMemberpsa:NotesDueJanuary242032Member2022-03-310001393311psa:EuroDenominatedUnsecuredDebtMember2022-03-310001393311us-gaap:MortgagesMember2</w:t>
      </w:r>
      <w:r>
        <w:rPr>
          <w:rFonts w:eastAsia="Times New Roman"/>
          <w:vanish/>
        </w:rPr>
        <w:t>022-03-31psa:company0001393311psa:NotesDueSeptember152022Memberpsa:USDollarDenominatedUnsecuredDebtMember2021-12-310001393311psa:NotesDueApril232024Memberpsa:USDollarDenominatedUnsecuredDebtMember2021-12-310001393311psa:USDollarDenominatedUnsecuredDebtMemb</w:t>
      </w:r>
      <w:r>
        <w:rPr>
          <w:rFonts w:eastAsia="Times New Roman"/>
          <w:vanish/>
        </w:rPr>
        <w:t>erpsa:NotesDueFebruary152026Member2021-12-310001393311psa:NotesDueNovember92026Memberpsa:USDollarDenominatedUnsecuredDebtMember2021-12-310001393311psa:USDollarDenominatedUnsecuredDebtMemberpsa:NotesDueSeptember152027Member2021-12-310001393311psa:NotesDueMa</w:t>
      </w:r>
      <w:r>
        <w:rPr>
          <w:rFonts w:eastAsia="Times New Roman"/>
          <w:vanish/>
        </w:rPr>
        <w:t>y12028Memberpsa:USDollarDenominatedUnsecuredDebtMember2021-12-310001393311psa:USDollarDenominatedUnsecuredDebtMemberpsa:NotesDueNovember92028Member2021-12-310001393311psa:USDollarDenominatedUnsecuredDebtMemberpsa:NotesDueMay12029Member2021-12-310001393311p</w:t>
      </w:r>
      <w:r>
        <w:rPr>
          <w:rFonts w:eastAsia="Times New Roman"/>
          <w:vanish/>
        </w:rPr>
        <w:t>sa:NotesDueMay12031Memberpsa:USDollarDenominatedUnsecuredDebtMember2021-12-310001393311psa:NotesDueNovember92031Memberpsa:USDollarDenominatedUnsecuredDebtMember2021-12-310001393311psa:USDollarDenominatedUnsecuredDebtMember2021-12-310001393311psa:EuroDenomi</w:t>
      </w:r>
      <w:r>
        <w:rPr>
          <w:rFonts w:eastAsia="Times New Roman"/>
          <w:vanish/>
        </w:rPr>
        <w:t>natedUnsecuredDebtMemberpsa:NotesDueApril122024Member2021-12-310001393311psa:EuroDenominatedUnsecuredDebtMemberpsa:NotesDueNovember32025Member2021-12-310001393311psa:EuroDenominatedUnsecuredDebtMemberpsa:NotesDueSeptember92030Member2021-12-310001393311psa:</w:t>
      </w:r>
      <w:r>
        <w:rPr>
          <w:rFonts w:eastAsia="Times New Roman"/>
          <w:vanish/>
        </w:rPr>
        <w:t>EuroDenominatedUnsecuredDebtMemberpsa:NotesDueJanuary242032Member2021-12-310001393311psa:EuroDenominatedUnsecuredDebtMember2021-12-310001393311us-gaap:MortgagesMember2021-12-310001393311psa:MaximumCovenantMemberpsa:USDollarDenominatedUnsecuredDebtMember202</w:t>
      </w:r>
      <w:r>
        <w:rPr>
          <w:rFonts w:eastAsia="Times New Roman"/>
          <w:vanish/>
        </w:rPr>
        <w:t>2-03-310001393311srt:MinimumMemberpsa:USDollarDenominatedUnsecuredDebtMember2021-04-012022-03-310001393311psa:USDollarDenominatedUnsecuredDebtMember2021-04-012022-03-31psa:tranche0001393311psa:EuroDenominatedUnsecuredDebtMemberpsa:NotesDueNovember32025Memb</w:t>
      </w:r>
      <w:r>
        <w:rPr>
          <w:rFonts w:eastAsia="Times New Roman"/>
          <w:vanish/>
        </w:rPr>
        <w:t>er2015-11-03iso4217:EUR0001393311psa:EuroDenominatedUnsecuredDebtMemberpsa:NotesDueApril122024Member2016-04-120001393311psa:EuroDenominatedUnsecuredDebtMemberpsa:NotesDueJanuary242032Member2020-01-240001393311psa:EuroDenominatedUnsecuredDebtMemberpsa:Notes</w:t>
      </w:r>
      <w:r>
        <w:rPr>
          <w:rFonts w:eastAsia="Times New Roman"/>
          <w:vanish/>
        </w:rPr>
        <w:t>DueSeptember92030Member2021-09-090001393311srt:MinimumMemberus-gaap:MortgagesMember2022-03-310001393311us-gaap:MortgagesMembersrt:MaximumMember2022-03-310001393311us-gaap:UnsecuredDebtMember2022-03-310001393311us-gaap:NotesPayableToBanksMember2022-03-31000</w:t>
      </w:r>
      <w:r>
        <w:rPr>
          <w:rFonts w:eastAsia="Times New Roman"/>
          <w:vanish/>
        </w:rPr>
        <w:t>1393311psa:AcquisitionOfSelfStorageFacilitiesToDateMemberus-gaap:NoncontrollingInterestMember2022-03-310001393311psa:AcquisitionOfSelfStorageFacilitiesToDateMember2022-01-012022-03-310001393311psa:AcquisitionOfSelfStorageFacilitiesMemberus-gaap:Noncontroll</w:t>
      </w:r>
      <w:r>
        <w:rPr>
          <w:rFonts w:eastAsia="Times New Roman"/>
          <w:vanish/>
        </w:rPr>
        <w:t>ingInterestMember2022-03-310001393311us-gaap:SeriesFPreferredStockMember2022-03-310001393311us-gaap:SeriesFPreferredStockMember2021-12-310001393311us-gaap:SeriesGPreferredStockMember2022-03-310001393311us-gaap:SeriesGPreferredStockMember2021-12-31000139331</w:t>
      </w:r>
      <w:r>
        <w:rPr>
          <w:rFonts w:eastAsia="Times New Roman"/>
          <w:vanish/>
        </w:rPr>
        <w:t>1us-gaap:SeriesHPreferredStockMember2022-03-310001393311us-gaap:SeriesHPreferredStockMember2021-12-310001393311psa:SeriesIPreferredStockMember2022-03-310001393311psa:SeriesIPreferredStockMember2021-12-310001393311psa:SeriesJPreferredStockMember2022-03-3100</w:t>
      </w:r>
      <w:r>
        <w:rPr>
          <w:rFonts w:eastAsia="Times New Roman"/>
          <w:vanish/>
        </w:rPr>
        <w:t>01393311psa:SeriesJPreferredStockMember2021-12-310001393311psa:SeriesKPreferredStockMember2022-03-310001393311psa:SeriesKPreferredStockMember2021-12-310001393311psa:SeriesLPreferredStockMember2022-03-310001393311psa:SeriesLPreferredStockMember2021-12-31000</w:t>
      </w:r>
      <w:r>
        <w:rPr>
          <w:rFonts w:eastAsia="Times New Roman"/>
          <w:vanish/>
        </w:rPr>
        <w:t>1393311psa:SeriesMPreferredStockMember2022-03-310001393311psa:SeriesMPreferredStockMember2021-12-310001393311psa:SeriesNPreferredStockMember2022-03-310001393311psa:SeriesNPreferredStockMember2021-12-310001393311psa:SeriesOPreferredStockMember2022-03-310001</w:t>
      </w:r>
      <w:r>
        <w:rPr>
          <w:rFonts w:eastAsia="Times New Roman"/>
          <w:vanish/>
        </w:rPr>
        <w:t>393311psa:SeriesOPreferredStockMember2021-12-310001393311psa:SeriesPPreferredStockMember2022-03-310001393311psa:SeriesPPreferredStockMember2021-12-310001393311psa:SeriesQPreferredStockMember2022-03-310001393311psa:SeriesQPreferredStockMember2021-12-3100013</w:t>
      </w:r>
      <w:r>
        <w:rPr>
          <w:rFonts w:eastAsia="Times New Roman"/>
          <w:vanish/>
        </w:rPr>
        <w:t>93311psa:SeriesRPreferredStockMember2022-03-310001393311psa:SeriesRPreferredStockMember2021-12-310001393311psa:SeriesSPreferredStockMember2022-03-310001393311psa:SeriesSPreferredStockMember2021-12-31psa:dividendpsa:boardMember0001393311psa:SeriesSPreferred</w:t>
      </w:r>
      <w:r>
        <w:rPr>
          <w:rFonts w:eastAsia="Times New Roman"/>
          <w:vanish/>
        </w:rPr>
        <w:t>StockMember2022-01-130001393311psa:SeriesSPreferredStockMember2022-01-132022-01-130001393311country:CApsa:HughesOwnedCanadianFacilitiesMember2022-03-310001393311psa:DirectCostsOfLeasedAndRentedPropertyOrEquipmentMember2022-01-012022-03-310001393311psa:Dire</w:t>
      </w:r>
      <w:r>
        <w:rPr>
          <w:rFonts w:eastAsia="Times New Roman"/>
          <w:vanish/>
        </w:rPr>
        <w:t>ctCostsOfLeasedAndRentedPropertyOrEquipmentMember2021-01-012021-03-310001393311psa:OtherCostOfOperatingRevenueMember2022-01-012022-03-310001393311psa:OtherCostOfOperatingRevenueMember2021-01-012021-03-310001393311us-gaap:GeneralAndAdministrativeExpenseMemb</w:t>
      </w:r>
      <w:r>
        <w:rPr>
          <w:rFonts w:eastAsia="Times New Roman"/>
          <w:vanish/>
        </w:rPr>
        <w:t>er2022-01-012022-03-310001393311us-gaap:GeneralAndAdministrativeExpenseMember2021-01-012021-03-310001393311srt:MinimumMemberus-gaap:EmployeeStockOptionMember2022-01-012022-03-310001393311us-gaap:EmployeeStockOptionMembersrt:MaximumMember2022-01-012022-03-3</w:t>
      </w:r>
      <w:r>
        <w:rPr>
          <w:rFonts w:eastAsia="Times New Roman"/>
          <w:vanish/>
        </w:rPr>
        <w:t>10001393311us-gaap:EmployeeStockOptionMember2022-01-012022-03-310001393311psa:PerformanceTargetStockOptionsMember2022-01-012022-03-310001393311psa:PerformanceTargetStockOptionsMember2022-03-310001393311us-gaap:EmployeeStockOptionMember2021-01-012021-03-310</w:t>
      </w:r>
      <w:r>
        <w:rPr>
          <w:rFonts w:eastAsia="Times New Roman"/>
          <w:vanish/>
        </w:rPr>
        <w:t>001393311srt:MinimumMemberus-gaap:RestrictedStockUnitsRSUMember2022-01-012022-03-310001393311srt:MaximumMemberus-gaap:RestrictedStockUnitsRSUMember2022-01-012022-03-310001393311us-gaap:RestrictedStockUnitsRSUMember2022-01-012022-03-310001393311us-gaap:Rest</w:t>
      </w:r>
      <w:r>
        <w:rPr>
          <w:rFonts w:eastAsia="Times New Roman"/>
          <w:vanish/>
        </w:rPr>
        <w:t>rictedStockUnitsRSUMember2022-03-310001393311us-gaap:RestrictedStockUnitsRSUMember2021-12-310001393311psa:PerformanceTargetRestrictedShareUnitsMember2022-01-012022-03-310001393311psa:PerformanceTargetRestrictedShareUnitsMember2022-03-310001393311psa:Servic</w:t>
      </w:r>
      <w:r>
        <w:rPr>
          <w:rFonts w:eastAsia="Times New Roman"/>
          <w:vanish/>
        </w:rPr>
        <w:t>eBasedRestrictedStockUnitsRSUsMember2022-01-012022-03-310001393311us-gaap:RestrictedStockUnitsRSUMember2021-01-012021-03-310001393311psa:DeferredStockUnitsDSUsMember2022-01-012022-03-310001393311psa:UnrestrictedCommonStockMember2022-01-012022-03-3100013933</w:t>
      </w:r>
      <w:r>
        <w:rPr>
          <w:rFonts w:eastAsia="Times New Roman"/>
          <w:vanish/>
        </w:rPr>
        <w:t>11psa:SelfStorageOperationsMemberus-gaap:OperatingSegmentsMember2022-01-012022-03-310001393311psa:SelfStorageOperationsMemberus-gaap:OperatingSegmentsMember2021-01-012021-03-310001393311psa:AncillaryOperationsMemberus-gaap:OperatingSegmentsMember2022-01-01</w:t>
      </w:r>
      <w:r>
        <w:rPr>
          <w:rFonts w:eastAsia="Times New Roman"/>
          <w:vanish/>
        </w:rPr>
        <w:t>2022-03-310001393311psa:AncillaryOperationsMemberus-gaap:OperatingSegmentsMember2021-01-012021-03-310001393311us-gaap:OperatingSegmentsMember2022-01-012022-03-310001393311us-gaap:OperatingSegmentsMember2021-01-012021-03-310001393311us-gaap:MaterialReconcil</w:t>
      </w:r>
      <w:r>
        <w:rPr>
          <w:rFonts w:eastAsia="Times New Roman"/>
          <w:vanish/>
        </w:rPr>
        <w:t>ingItemsMember2022-01-012022-03-310001393311us-gaap:MaterialReconcilingItemsMember2021-01-012021-03-31psa:certificate0001393311us-gaap:SubsequentEventMemberpsa:AcquisitionOfSelfStorageFacilitiesMember2022-05-030001393311us-gaap:SubsequentEventMemberpsa:Acq</w:t>
      </w:r>
      <w:r>
        <w:rPr>
          <w:rFonts w:eastAsia="Times New Roman"/>
          <w:vanish/>
        </w:rPr>
        <w:t>uisitionOfSelfStorageFacilitiesMember2022-04-012022-05-030001393311psa:BlackstoneRealEstateMemberus-gaap:SubsequentEventMemberpsa:PSBusinessParksMembersrt:ScenarioForecastMember2022-09-300001393311psa:BlackstoneRealEstateMemberpsa:PSBusinessParksMemberus-g</w:t>
      </w:r>
      <w:r>
        <w:rPr>
          <w:rFonts w:eastAsia="Times New Roman"/>
          <w:vanish/>
        </w:rPr>
        <w:t>aap:SubsequentEventMembersrt:ScenarioForecastMember2022-07-012022-09-30</w:t>
      </w:r>
    </w:p>
    <w:p w:rsidR="00000000" w:rsidRDefault="007C49E1">
      <w:pPr>
        <w:divId w:val="829255918"/>
        <w:rPr>
          <w:rFonts w:eastAsia="Times New Roman"/>
        </w:rPr>
      </w:pPr>
    </w:p>
    <w:p w:rsidR="00000000" w:rsidRDefault="007C49E1">
      <w:pPr>
        <w:jc w:val="center"/>
        <w:divId w:val="122500943"/>
        <w:rPr>
          <w:rFonts w:eastAsia="Times New Roman"/>
        </w:rPr>
      </w:pPr>
      <w:r>
        <w:rPr>
          <w:rFonts w:eastAsia="Times New Roman"/>
          <w:b/>
          <w:bCs/>
          <w:color w:val="000000"/>
          <w:sz w:val="20"/>
          <w:szCs w:val="20"/>
        </w:rPr>
        <w:t>UNITED STATES</w:t>
      </w:r>
    </w:p>
    <w:p w:rsidR="00000000" w:rsidRDefault="007C49E1">
      <w:pPr>
        <w:jc w:val="center"/>
        <w:divId w:val="2041469418"/>
        <w:rPr>
          <w:rFonts w:eastAsia="Times New Roman"/>
        </w:rPr>
      </w:pPr>
      <w:r>
        <w:rPr>
          <w:rFonts w:eastAsia="Times New Roman"/>
          <w:b/>
          <w:bCs/>
          <w:color w:val="000000"/>
          <w:sz w:val="20"/>
          <w:szCs w:val="20"/>
        </w:rPr>
        <w:t>SECURITIES AND EXCHANGE COMMISSION</w:t>
      </w:r>
    </w:p>
    <w:p w:rsidR="00000000" w:rsidRDefault="007C49E1">
      <w:pPr>
        <w:jc w:val="center"/>
        <w:divId w:val="410003127"/>
        <w:rPr>
          <w:rFonts w:eastAsia="Times New Roman"/>
        </w:rPr>
      </w:pPr>
      <w:r>
        <w:rPr>
          <w:rFonts w:eastAsia="Times New Roman"/>
          <w:b/>
          <w:bCs/>
          <w:color w:val="000000"/>
          <w:sz w:val="20"/>
          <w:szCs w:val="20"/>
        </w:rPr>
        <w:t>WASHINGTON, D.C. 20549</w:t>
      </w:r>
    </w:p>
    <w:p w:rsidR="00000000" w:rsidRDefault="007C49E1">
      <w:pPr>
        <w:jc w:val="center"/>
        <w:divId w:val="1458794129"/>
        <w:rPr>
          <w:rFonts w:eastAsia="Times New Roman"/>
        </w:rPr>
      </w:pPr>
      <w:r>
        <w:rPr>
          <w:rFonts w:eastAsia="Times New Roman"/>
          <w:b/>
          <w:bCs/>
          <w:color w:val="000000"/>
          <w:sz w:val="20"/>
          <w:szCs w:val="20"/>
        </w:rPr>
        <w:t>FORM 10-Q</w:t>
      </w:r>
    </w:p>
    <w:p w:rsidR="00000000" w:rsidRDefault="007C49E1">
      <w:pPr>
        <w:jc w:val="both"/>
        <w:divId w:val="1194001361"/>
        <w:rPr>
          <w:rFonts w:eastAsia="Times New Roman"/>
        </w:rPr>
      </w:pPr>
      <w:r>
        <w:rPr>
          <w:rFonts w:ascii="Segoe UI Symbol" w:eastAsia="Times New Roman" w:hAnsi="Segoe UI Symbol" w:cs="Segoe UI Symbol"/>
          <w:b/>
          <w:bCs/>
          <w:color w:val="000000"/>
          <w:sz w:val="20"/>
          <w:szCs w:val="20"/>
        </w:rPr>
        <w:t>☒</w:t>
      </w:r>
      <w:r>
        <w:rPr>
          <w:rFonts w:eastAsia="Times New Roman"/>
          <w:b/>
          <w:bCs/>
          <w:color w:val="000000"/>
          <w:sz w:val="20"/>
          <w:szCs w:val="20"/>
        </w:rPr>
        <w:t xml:space="preserve"> Quarterly Report Pursuant to Section 13 or 15(d) of the Securities Exchange Act of 1934</w:t>
      </w:r>
    </w:p>
    <w:p w:rsidR="00000000" w:rsidRDefault="007C49E1">
      <w:pPr>
        <w:jc w:val="both"/>
        <w:divId w:val="1804615132"/>
        <w:rPr>
          <w:rFonts w:eastAsia="Times New Roman"/>
        </w:rPr>
      </w:pPr>
      <w:r>
        <w:rPr>
          <w:rFonts w:eastAsia="Times New Roman"/>
          <w:b/>
          <w:bCs/>
          <w:color w:val="000000"/>
          <w:sz w:val="20"/>
          <w:szCs w:val="20"/>
        </w:rPr>
        <w:t>For the qu</w:t>
      </w:r>
      <w:r>
        <w:rPr>
          <w:rFonts w:eastAsia="Times New Roman"/>
          <w:b/>
          <w:bCs/>
          <w:color w:val="000000"/>
          <w:sz w:val="20"/>
          <w:szCs w:val="20"/>
        </w:rPr>
        <w:t>arterly period ended March 31, 2022</w:t>
      </w:r>
    </w:p>
    <w:p w:rsidR="00000000" w:rsidRDefault="007C49E1">
      <w:pPr>
        <w:jc w:val="center"/>
        <w:divId w:val="730540638"/>
        <w:rPr>
          <w:rFonts w:eastAsia="Times New Roman"/>
        </w:rPr>
      </w:pPr>
      <w:r>
        <w:rPr>
          <w:rFonts w:eastAsia="Times New Roman"/>
          <w:b/>
          <w:bCs/>
          <w:color w:val="000000"/>
          <w:sz w:val="20"/>
          <w:szCs w:val="20"/>
        </w:rPr>
        <w:t>or</w:t>
      </w:r>
    </w:p>
    <w:p w:rsidR="00000000" w:rsidRDefault="007C49E1">
      <w:pPr>
        <w:jc w:val="both"/>
        <w:divId w:val="2027560770"/>
        <w:rPr>
          <w:rFonts w:eastAsia="Times New Roman"/>
        </w:rPr>
      </w:pPr>
      <w:r>
        <w:rPr>
          <w:rFonts w:ascii="Segoe UI Symbol" w:eastAsia="Times New Roman" w:hAnsi="Segoe UI Symbol" w:cs="Segoe UI Symbol"/>
          <w:b/>
          <w:bCs/>
          <w:color w:val="000000"/>
          <w:sz w:val="20"/>
          <w:szCs w:val="20"/>
        </w:rPr>
        <w:t>☐</w:t>
      </w:r>
      <w:r>
        <w:rPr>
          <w:rFonts w:eastAsia="Times New Roman"/>
          <w:b/>
          <w:bCs/>
          <w:color w:val="000000"/>
          <w:sz w:val="20"/>
          <w:szCs w:val="20"/>
        </w:rPr>
        <w:t xml:space="preserve"> Transition Report Pursuant to Section 13 or 15(d) of the Securities Exchange Act of 1934</w:t>
      </w:r>
    </w:p>
    <w:p w:rsidR="00000000" w:rsidRDefault="007C49E1">
      <w:pPr>
        <w:jc w:val="both"/>
        <w:divId w:val="1218859367"/>
        <w:rPr>
          <w:rFonts w:eastAsia="Times New Roman"/>
        </w:rPr>
      </w:pPr>
      <w:r>
        <w:rPr>
          <w:rFonts w:eastAsia="Times New Roman"/>
          <w:b/>
          <w:bCs/>
          <w:color w:val="000000"/>
          <w:sz w:val="20"/>
          <w:szCs w:val="20"/>
        </w:rPr>
        <w:t xml:space="preserve">For the transition period from </w:t>
      </w:r>
      <w:r>
        <w:rPr>
          <w:rFonts w:eastAsia="Times New Roman"/>
          <w:color w:val="000000"/>
          <w:sz w:val="20"/>
          <w:szCs w:val="20"/>
        </w:rPr>
        <w:t xml:space="preserve">____________ </w:t>
      </w:r>
      <w:r>
        <w:rPr>
          <w:rFonts w:eastAsia="Times New Roman"/>
          <w:b/>
          <w:bCs/>
          <w:color w:val="000000"/>
          <w:sz w:val="20"/>
          <w:szCs w:val="20"/>
        </w:rPr>
        <w:t xml:space="preserve">to </w:t>
      </w:r>
      <w:r>
        <w:rPr>
          <w:rFonts w:eastAsia="Times New Roman"/>
          <w:color w:val="000000"/>
          <w:sz w:val="20"/>
          <w:szCs w:val="20"/>
        </w:rPr>
        <w:t>____________.</w:t>
      </w:r>
    </w:p>
    <w:p w:rsidR="00000000" w:rsidRDefault="007C49E1">
      <w:pPr>
        <w:jc w:val="both"/>
        <w:divId w:val="165175350"/>
        <w:rPr>
          <w:rFonts w:eastAsia="Times New Roman"/>
        </w:rPr>
      </w:pPr>
      <w:r>
        <w:rPr>
          <w:rFonts w:eastAsia="Times New Roman"/>
          <w:b/>
          <w:bCs/>
          <w:color w:val="000000"/>
          <w:sz w:val="20"/>
          <w:szCs w:val="20"/>
        </w:rPr>
        <w:t xml:space="preserve">Commission File Number: </w:t>
      </w:r>
      <w:r>
        <w:rPr>
          <w:rFonts w:eastAsia="Times New Roman"/>
          <w:b/>
          <w:bCs/>
          <w:color w:val="000000"/>
          <w:sz w:val="20"/>
          <w:szCs w:val="20"/>
          <w:u w:val="single"/>
        </w:rPr>
        <w:t>001-33519</w:t>
      </w:r>
    </w:p>
    <w:p w:rsidR="00000000" w:rsidRDefault="007C49E1">
      <w:pPr>
        <w:jc w:val="center"/>
        <w:divId w:val="483812633"/>
        <w:rPr>
          <w:rFonts w:eastAsia="Times New Roman"/>
        </w:rPr>
      </w:pPr>
      <w:r>
        <w:rPr>
          <w:rFonts w:eastAsia="Times New Roman"/>
          <w:b/>
          <w:bCs/>
          <w:color w:val="000000"/>
          <w:sz w:val="20"/>
          <w:szCs w:val="20"/>
          <w:u w:val="single"/>
        </w:rPr>
        <w:t>Public Storage</w:t>
      </w:r>
    </w:p>
    <w:p w:rsidR="00000000" w:rsidRDefault="007C49E1">
      <w:pPr>
        <w:jc w:val="center"/>
        <w:divId w:val="375590779"/>
        <w:rPr>
          <w:rFonts w:eastAsia="Times New Roman"/>
        </w:rPr>
      </w:pPr>
      <w:r>
        <w:rPr>
          <w:rFonts w:eastAsia="Times New Roman"/>
          <w:color w:val="000000"/>
          <w:sz w:val="20"/>
          <w:szCs w:val="20"/>
        </w:rPr>
        <w:t>(Exact name of r</w:t>
      </w:r>
      <w:r>
        <w:rPr>
          <w:rFonts w:eastAsia="Times New Roman"/>
          <w:color w:val="000000"/>
          <w:sz w:val="20"/>
          <w:szCs w:val="20"/>
        </w:rPr>
        <w:t>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4008"/>
        <w:gridCol w:w="36"/>
        <w:gridCol w:w="36"/>
        <w:gridCol w:w="36"/>
        <w:gridCol w:w="36"/>
        <w:gridCol w:w="55"/>
        <w:gridCol w:w="4009"/>
        <w:gridCol w:w="36"/>
      </w:tblGrid>
      <w:tr w:rsidR="00000000">
        <w:trPr>
          <w:divId w:val="206573887"/>
          <w:jc w:val="center"/>
        </w:trPr>
        <w:tc>
          <w:tcPr>
            <w:tcW w:w="50" w:type="pct"/>
            <w:vAlign w:val="center"/>
            <w:hideMark/>
          </w:tcPr>
          <w:p w:rsidR="00000000" w:rsidRDefault="007C49E1">
            <w:pPr>
              <w:jc w:val="center"/>
              <w:rPr>
                <w:rFonts w:eastAsia="Times New Roman"/>
              </w:rPr>
            </w:pPr>
          </w:p>
        </w:tc>
        <w:tc>
          <w:tcPr>
            <w:tcW w:w="24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24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206573887"/>
          <w:jc w:val="center"/>
        </w:trPr>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Maryland</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95-3551121</w:t>
            </w:r>
          </w:p>
        </w:tc>
      </w:tr>
      <w:tr w:rsidR="00000000">
        <w:trPr>
          <w:divId w:val="206573887"/>
          <w:jc w:val="center"/>
        </w:trPr>
        <w:tc>
          <w:tcPr>
            <w:tcW w:w="0" w:type="auto"/>
            <w:gridSpan w:val="3"/>
            <w:tcBorders>
              <w:top w:val="single" w:sz="8" w:space="0" w:color="000000"/>
            </w:tcBorders>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(State or other jurisdiction of</w:t>
            </w:r>
          </w:p>
          <w:p w:rsidR="00000000" w:rsidRDefault="007C49E1">
            <w:pPr>
              <w:spacing w:after="100"/>
              <w:jc w:val="center"/>
              <w:rPr>
                <w:rFonts w:eastAsia="Times New Roman"/>
              </w:rPr>
            </w:pPr>
            <w:r>
              <w:rPr>
                <w:rFonts w:eastAsia="Times New Roman"/>
                <w:color w:val="000000"/>
                <w:sz w:val="20"/>
                <w:szCs w:val="20"/>
              </w:rPr>
              <w:t>incorporation or organization)</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(I.R.S. Employer Identification Number)</w:t>
            </w:r>
          </w:p>
        </w:tc>
      </w:tr>
      <w:tr w:rsidR="00000000">
        <w:trPr>
          <w:divId w:val="206573887"/>
          <w:jc w:val="center"/>
        </w:trPr>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 </w:t>
            </w:r>
          </w:p>
        </w:tc>
      </w:tr>
      <w:tr w:rsidR="00000000">
        <w:trPr>
          <w:divId w:val="206573887"/>
          <w:jc w:val="center"/>
        </w:trPr>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701 Western Avenue, Glendale, California</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91201-2349</w:t>
            </w:r>
          </w:p>
        </w:tc>
      </w:tr>
      <w:tr w:rsidR="00000000">
        <w:trPr>
          <w:divId w:val="206573887"/>
          <w:jc w:val="center"/>
        </w:trPr>
        <w:tc>
          <w:tcPr>
            <w:tcW w:w="0" w:type="auto"/>
            <w:gridSpan w:val="3"/>
            <w:tcBorders>
              <w:top w:val="single" w:sz="8" w:space="0" w:color="000000"/>
            </w:tcBorders>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(Address of principal executive offices)</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(Zip Code)</w:t>
            </w:r>
          </w:p>
        </w:tc>
      </w:tr>
    </w:tbl>
    <w:p w:rsidR="00000000" w:rsidRDefault="007C49E1">
      <w:pPr>
        <w:divId w:val="978195746"/>
        <w:rPr>
          <w:rFonts w:eastAsia="Times New Roman"/>
        </w:rPr>
      </w:pPr>
      <w:r>
        <w:rPr>
          <w:rFonts w:eastAsia="Times New Roman"/>
          <w:color w:val="000000"/>
          <w:sz w:val="20"/>
          <w:szCs w:val="20"/>
        </w:rPr>
        <w:t xml:space="preserve">Registrant’s telephone number, including area code: </w:t>
      </w:r>
      <w:r>
        <w:rPr>
          <w:rFonts w:eastAsia="Times New Roman"/>
          <w:color w:val="000000"/>
          <w:sz w:val="20"/>
          <w:szCs w:val="20"/>
          <w:u w:val="single"/>
        </w:rPr>
        <w:t>(818) 244-8080</w:t>
      </w:r>
      <w:r>
        <w:rPr>
          <w:rFonts w:eastAsia="Times New Roman"/>
          <w:color w:val="000000"/>
          <w:sz w:val="20"/>
          <w:szCs w:val="20"/>
        </w:rPr>
        <w:t>.</w:t>
      </w:r>
    </w:p>
    <w:p w:rsidR="00000000" w:rsidRDefault="007C49E1">
      <w:pPr>
        <w:divId w:val="1098405522"/>
        <w:rPr>
          <w:rFonts w:eastAsia="Times New Roman"/>
        </w:rPr>
      </w:pPr>
      <w:r>
        <w:rPr>
          <w:rFonts w:eastAsia="Times New Roman"/>
          <w:color w:val="000000"/>
          <w:sz w:val="20"/>
          <w:szCs w:val="20"/>
        </w:rPr>
        <w:t>Former name, former address and former fiscal, if changed since last report: N/A</w:t>
      </w:r>
    </w:p>
    <w:p w:rsidR="00000000" w:rsidRDefault="007C49E1">
      <w:pPr>
        <w:divId w:val="1097364868"/>
        <w:rPr>
          <w:rFonts w:eastAsia="Times New Roman"/>
        </w:rPr>
      </w:pPr>
      <w:r>
        <w:rPr>
          <w:rFonts w:eastAsia="Times New Roman"/>
          <w:color w:val="000000"/>
          <w:sz w:val="20"/>
          <w:szCs w:val="20"/>
        </w:rPr>
        <w:t>Securities registered pursuant to Section 12b of the Act:</w:t>
      </w:r>
    </w:p>
    <w:tbl>
      <w:tblPr>
        <w:tblW w:w="4984" w:type="pct"/>
        <w:jc w:val="center"/>
        <w:tblCellMar>
          <w:top w:w="15" w:type="dxa"/>
          <w:left w:w="15" w:type="dxa"/>
          <w:bottom w:w="15" w:type="dxa"/>
          <w:right w:w="15" w:type="dxa"/>
        </w:tblCellMar>
        <w:tblLook w:val="04A0" w:firstRow="1" w:lastRow="0" w:firstColumn="1" w:lastColumn="0" w:noHBand="0" w:noVBand="1"/>
      </w:tblPr>
      <w:tblGrid>
        <w:gridCol w:w="58"/>
        <w:gridCol w:w="4870"/>
        <w:gridCol w:w="38"/>
        <w:gridCol w:w="36"/>
        <w:gridCol w:w="36"/>
        <w:gridCol w:w="36"/>
        <w:gridCol w:w="44"/>
        <w:gridCol w:w="1152"/>
        <w:gridCol w:w="36"/>
        <w:gridCol w:w="36"/>
        <w:gridCol w:w="36"/>
        <w:gridCol w:w="36"/>
        <w:gridCol w:w="43"/>
        <w:gridCol w:w="1786"/>
        <w:gridCol w:w="36"/>
      </w:tblGrid>
      <w:tr w:rsidR="00000000">
        <w:trPr>
          <w:divId w:val="119811271"/>
          <w:jc w:val="center"/>
        </w:trPr>
        <w:tc>
          <w:tcPr>
            <w:tcW w:w="50" w:type="pct"/>
            <w:vAlign w:val="center"/>
            <w:hideMark/>
          </w:tcPr>
          <w:p w:rsidR="00000000" w:rsidRDefault="007C49E1">
            <w:pPr>
              <w:rPr>
                <w:rFonts w:eastAsia="Times New Roman"/>
              </w:rPr>
            </w:pPr>
          </w:p>
        </w:tc>
        <w:tc>
          <w:tcPr>
            <w:tcW w:w="2954"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712"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092"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119811271"/>
          <w:jc w:val="center"/>
        </w:trPr>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b/>
                <w:bCs/>
                <w:color w:val="000000"/>
                <w:sz w:val="18"/>
                <w:szCs w:val="18"/>
              </w:rPr>
              <w:t>Title of Class</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b/>
                <w:bCs/>
                <w:color w:val="000000"/>
                <w:sz w:val="18"/>
                <w:szCs w:val="18"/>
              </w:rPr>
              <w:t>Trading Symbol</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b/>
                <w:bCs/>
                <w:color w:val="000000"/>
                <w:sz w:val="18"/>
                <w:szCs w:val="18"/>
              </w:rPr>
              <w:t>Name of each exchange on which registered</w:t>
            </w:r>
          </w:p>
        </w:tc>
      </w:tr>
      <w:tr w:rsidR="00000000">
        <w:trPr>
          <w:divId w:val="119811271"/>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rPr>
                <w:rFonts w:eastAsia="Times New Roman"/>
              </w:rPr>
            </w:pPr>
            <w:r>
              <w:rPr>
                <w:rFonts w:eastAsia="Times New Roman"/>
                <w:color w:val="000000"/>
                <w:sz w:val="18"/>
                <w:szCs w:val="18"/>
              </w:rPr>
              <w:t>Common Shares, $0.10 par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Depositary Shares Each Representing 1/1,000 of a 5.150% Cum Pref Share, Series F, $0.01 par value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PSAPrF</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Depositary Shares Each Representing 1/1,000 of a 5.050% Cum Pref Share, Series G, $0.01 par value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PSAPrG</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Depositary Shares Each Representing 1/1,000 of a 5.600% Cum Pref Share, Series H, $0.01 par value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PSAPrH</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Depositary Shares Each Representing 1/1,000 of a 4.875% Cum Pref Share, Series I, $0.01 par value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PSAPrI</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Depositary Shares Each Representing 1/1,000 of a 4.700% Cum Pref Share, Series J, $0.01 par value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PSAPrJ</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Depositary Shares Each Representing 1/1,000 of a 4.750% Cum Pref Share, Series K, $0.01 par value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PSAPrK</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Depositary Shares Each Representing 1/1,000 of a 4.625% Cum Pref Share, Series L, $0.01 par value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PSAPrL</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Depositary Shares Each Representing 1/1,000 of a 4.125% Cum Pref Share, Series M, $0.01 par value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PSAPrM</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shd w:val="clear" w:color="auto" w:fill="FFFFFF"/>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lastRenderedPageBreak/>
              <w:t>Depositary Shares Each Representing 1/1,000 of a 3.875% Cum Pref Share, Series N, $0.01 par value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PSAPrN</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Depositary Shares Each Representing 1/1,000 of a 3.900% Cum Pref Share, Series O, $0.01 par value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PSAPrO</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Depositary Shares Each Representing 1/1,000 of a 4.000% Cum Pref Share, Series P, $0.01 par value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PSAPrP</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shd w:val="clear" w:color="auto" w:fill="FFFFFF"/>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Depositary Shares Each Representing 1/1,000 of a 3.950% Cum Pref Share, Series Q, $0.01 par value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PSAPrQ</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shd w:val="clear" w:color="auto" w:fill="FFFFFF"/>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Depositary Shares Each Representing 1/1,000 of a 4.000% Cum Pref Share, Series R, $0.01 par value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PSAPrR</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shd w:val="clear" w:color="auto" w:fill="FFFFFF"/>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Depositary Shares Each Representing 1/1,000 of a 4.100% Cum Pref Share, Series S, $0.01 par value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PSAPrS</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0.875% Senior Notes due 2032</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PSA32</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r w:rsidR="00000000">
        <w:trPr>
          <w:divId w:val="119811271"/>
          <w:jc w:val="center"/>
        </w:trPr>
        <w:tc>
          <w:tcPr>
            <w:tcW w:w="0" w:type="auto"/>
            <w:gridSpan w:val="3"/>
            <w:shd w:val="clear" w:color="auto" w:fill="FFFFFF"/>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8"/>
                <w:szCs w:val="18"/>
              </w:rPr>
              <w:t>0.500% Senior Notes due 2030</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PSA30</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New York Stock Exchange</w:t>
            </w:r>
          </w:p>
        </w:tc>
      </w:tr>
    </w:tbl>
    <w:p w:rsidR="00000000" w:rsidRDefault="007C49E1">
      <w:pPr>
        <w:jc w:val="both"/>
        <w:divId w:val="1955136912"/>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at least the past 90 days.</w:t>
      </w:r>
    </w:p>
    <w:p w:rsidR="00000000" w:rsidRDefault="007C49E1">
      <w:pPr>
        <w:jc w:val="center"/>
        <w:divId w:val="1953049029"/>
        <w:rPr>
          <w:rFonts w:eastAsia="Times New Roman"/>
        </w:rPr>
      </w:pPr>
      <w:r>
        <w:rPr>
          <w:rFonts w:ascii="Segoe UI Symbol" w:eastAsia="Times New Roman" w:hAnsi="Segoe UI Symbol" w:cs="Segoe UI Symbol"/>
          <w:color w:val="000000"/>
          <w:sz w:val="20"/>
          <w:szCs w:val="20"/>
        </w:rPr>
        <w:t>☒</w:t>
      </w:r>
      <w:r>
        <w:rPr>
          <w:rFonts w:eastAsia="Times New Roman"/>
          <w:color w:val="000000"/>
          <w:sz w:val="20"/>
          <w:szCs w:val="20"/>
        </w:rPr>
        <w:t xml:space="preserve">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w:t>
      </w:r>
    </w:p>
    <w:p w:rsidR="00000000" w:rsidRDefault="007C49E1">
      <w:pPr>
        <w:jc w:val="both"/>
        <w:divId w:val="1960527934"/>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w:t>
      </w:r>
    </w:p>
    <w:p w:rsidR="00000000" w:rsidRDefault="007C49E1">
      <w:pPr>
        <w:jc w:val="center"/>
        <w:divId w:val="456684729"/>
        <w:rPr>
          <w:rFonts w:eastAsia="Times New Roman"/>
        </w:rPr>
      </w:pPr>
      <w:r>
        <w:rPr>
          <w:rFonts w:ascii="Segoe UI Symbol" w:eastAsia="Times New Roman" w:hAnsi="Segoe UI Symbol" w:cs="Segoe UI Symbol"/>
          <w:color w:val="000000"/>
          <w:sz w:val="20"/>
          <w:szCs w:val="20"/>
        </w:rPr>
        <w:t>☒</w:t>
      </w:r>
      <w:r>
        <w:rPr>
          <w:rFonts w:eastAsia="Times New Roman"/>
          <w:color w:val="000000"/>
          <w:sz w:val="20"/>
          <w:szCs w:val="20"/>
        </w:rPr>
        <w:t xml:space="preserve">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w:t>
      </w:r>
    </w:p>
    <w:p w:rsidR="00000000" w:rsidRDefault="007C49E1">
      <w:pPr>
        <w:jc w:val="both"/>
        <w:divId w:val="183400466"/>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the d</w:t>
      </w:r>
      <w:r>
        <w:rPr>
          <w:rFonts w:eastAsia="Times New Roman"/>
          <w:color w:val="000000"/>
          <w:sz w:val="20"/>
          <w:szCs w:val="20"/>
        </w:rPr>
        <w:t>efinitions of “large accelerated filer,” “accelerated filer,” “smaller reporting company,” and “emerging growth company” in Rule 12b-2 of the Exchange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466"/>
        <w:gridCol w:w="36"/>
        <w:gridCol w:w="69"/>
        <w:gridCol w:w="1466"/>
        <w:gridCol w:w="36"/>
        <w:gridCol w:w="69"/>
        <w:gridCol w:w="1557"/>
        <w:gridCol w:w="36"/>
        <w:gridCol w:w="70"/>
        <w:gridCol w:w="1733"/>
        <w:gridCol w:w="36"/>
        <w:gridCol w:w="70"/>
        <w:gridCol w:w="1557"/>
        <w:gridCol w:w="36"/>
      </w:tblGrid>
      <w:tr w:rsidR="00000000">
        <w:trPr>
          <w:divId w:val="293951173"/>
          <w:jc w:val="center"/>
        </w:trPr>
        <w:tc>
          <w:tcPr>
            <w:tcW w:w="50" w:type="pct"/>
            <w:vAlign w:val="center"/>
            <w:hideMark/>
          </w:tcPr>
          <w:p w:rsidR="00000000" w:rsidRDefault="007C49E1">
            <w:pPr>
              <w:jc w:val="both"/>
              <w:rPr>
                <w:rFonts w:eastAsia="Times New Roman"/>
              </w:rPr>
            </w:pPr>
          </w:p>
        </w:tc>
        <w:tc>
          <w:tcPr>
            <w:tcW w:w="89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9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94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05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94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293951173"/>
          <w:jc w:val="center"/>
        </w:trPr>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 xml:space="preserve">Accelerated </w:t>
            </w:r>
            <w:r>
              <w:rPr>
                <w:rFonts w:eastAsia="Times New Roman"/>
                <w:color w:val="000000"/>
                <w:sz w:val="20"/>
                <w:szCs w:val="20"/>
              </w:rPr>
              <w:br/>
              <w:t>filer</w:t>
            </w:r>
          </w:p>
        </w:tc>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Emerging growth company</w:t>
            </w:r>
          </w:p>
        </w:tc>
      </w:tr>
      <w:tr w:rsidR="00000000">
        <w:trPr>
          <w:divId w:val="293951173"/>
          <w:jc w:val="center"/>
        </w:trPr>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7C49E1">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7C49E1">
      <w:pPr>
        <w:jc w:val="both"/>
        <w:divId w:val="2014212364"/>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7C49E1">
      <w:pPr>
        <w:jc w:val="both"/>
        <w:divId w:val="1966345769"/>
        <w:rPr>
          <w:rFonts w:eastAsia="Times New Roman"/>
        </w:rPr>
      </w:pPr>
      <w:r>
        <w:rPr>
          <w:rFonts w:eastAsia="Times New Roman"/>
          <w:color w:val="000000"/>
          <w:sz w:val="20"/>
          <w:szCs w:val="20"/>
        </w:rPr>
        <w:t>Ind</w:t>
      </w:r>
      <w:r>
        <w:rPr>
          <w:rFonts w:eastAsia="Times New Roman"/>
          <w:color w:val="000000"/>
          <w:sz w:val="20"/>
          <w:szCs w:val="20"/>
        </w:rPr>
        <w:t>icate by check mark whether the registrant is a shell company (as defined in Rule 12b-2 of the Exchange Act).</w:t>
      </w:r>
    </w:p>
    <w:p w:rsidR="00000000" w:rsidRDefault="007C49E1">
      <w:pPr>
        <w:jc w:val="center"/>
        <w:divId w:val="1423641160"/>
        <w:rPr>
          <w:rFonts w:eastAsia="Times New Roman"/>
        </w:rPr>
      </w:pPr>
      <w:r>
        <w:rPr>
          <w:rFonts w:ascii="Segoe UI Symbol" w:eastAsia="Times New Roman" w:hAnsi="Segoe UI Symbol" w:cs="Segoe UI Symbol"/>
          <w:color w:val="000000"/>
          <w:sz w:val="20"/>
          <w:szCs w:val="20"/>
        </w:rPr>
        <w:t>☐</w:t>
      </w:r>
      <w:r>
        <w:rPr>
          <w:rFonts w:eastAsia="Times New Roman"/>
          <w:color w:val="000000"/>
          <w:sz w:val="20"/>
          <w:szCs w:val="20"/>
        </w:rPr>
        <w:t xml:space="preserve">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w:t>
      </w:r>
    </w:p>
    <w:p w:rsidR="00000000" w:rsidRDefault="007C49E1">
      <w:pPr>
        <w:jc w:val="both"/>
        <w:divId w:val="1953394295"/>
        <w:rPr>
          <w:rFonts w:eastAsia="Times New Roman"/>
        </w:rPr>
      </w:pPr>
      <w:r>
        <w:rPr>
          <w:rFonts w:eastAsia="Times New Roman"/>
          <w:color w:val="000000"/>
          <w:sz w:val="20"/>
          <w:szCs w:val="20"/>
        </w:rPr>
        <w:t>Indicate the number of the registrant’s outstanding common shares of beneficial interest, as of April 28, 2022:</w:t>
      </w:r>
    </w:p>
    <w:p w:rsidR="00000000" w:rsidRDefault="007C49E1">
      <w:pPr>
        <w:divId w:val="1978140087"/>
        <w:rPr>
          <w:rFonts w:eastAsia="Times New Roman"/>
        </w:rPr>
      </w:pPr>
      <w:r>
        <w:rPr>
          <w:rFonts w:eastAsia="Times New Roman"/>
          <w:color w:val="000000"/>
          <w:sz w:val="20"/>
          <w:szCs w:val="20"/>
        </w:rPr>
        <w:t>Common Shares of benefi</w:t>
      </w:r>
      <w:r>
        <w:rPr>
          <w:rFonts w:eastAsia="Times New Roman"/>
          <w:color w:val="000000"/>
          <w:sz w:val="20"/>
          <w:szCs w:val="20"/>
        </w:rPr>
        <w:t>cial interest, $0.10 par value per share – 175,528,938 shares</w:t>
      </w:r>
    </w:p>
    <w:p w:rsidR="00000000" w:rsidRDefault="007C49E1">
      <w:pPr>
        <w:jc w:val="center"/>
        <w:divId w:val="1453092956"/>
        <w:rPr>
          <w:rFonts w:eastAsia="Times New Roman"/>
        </w:rPr>
      </w:pPr>
    </w:p>
    <w:p w:rsidR="00000000" w:rsidRDefault="007C49E1">
      <w:pPr>
        <w:rPr>
          <w:rFonts w:eastAsia="Times New Roman"/>
        </w:rPr>
      </w:pPr>
      <w:r>
        <w:rPr>
          <w:rFonts w:eastAsia="Times New Roman"/>
        </w:rPr>
        <w:pict>
          <v:rect id="_x0000_i1025" style="width:0;height:1.5pt" o:hralign="center" o:hrstd="t" o:hr="t" fillcolor="#a0a0a0" stroked="f"/>
        </w:pict>
      </w:r>
    </w:p>
    <w:p w:rsidR="00000000" w:rsidRDefault="007C49E1">
      <w:pPr>
        <w:divId w:val="1590844209"/>
        <w:rPr>
          <w:rFonts w:eastAsia="Times New Roman"/>
        </w:rPr>
      </w:pPr>
    </w:p>
    <w:p w:rsidR="00000000" w:rsidRDefault="007C49E1">
      <w:pPr>
        <w:jc w:val="center"/>
        <w:divId w:val="1597054168"/>
        <w:rPr>
          <w:rFonts w:eastAsia="Times New Roman"/>
        </w:rPr>
      </w:pPr>
      <w:r>
        <w:rPr>
          <w:rFonts w:eastAsia="Times New Roman"/>
          <w:b/>
          <w:bCs/>
          <w:color w:val="000000"/>
          <w:sz w:val="20"/>
          <w:szCs w:val="20"/>
          <w:u w:val="single"/>
        </w:rPr>
        <w:t>PUBLIC STORAGE</w:t>
      </w:r>
    </w:p>
    <w:p w:rsidR="00000000" w:rsidRDefault="007C49E1">
      <w:pPr>
        <w:jc w:val="center"/>
        <w:rPr>
          <w:rFonts w:eastAsia="Times New Roman"/>
        </w:rPr>
      </w:pPr>
      <w:r>
        <w:rPr>
          <w:rFonts w:eastAsia="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37"/>
        <w:gridCol w:w="36"/>
        <w:gridCol w:w="69"/>
        <w:gridCol w:w="6692"/>
        <w:gridCol w:w="36"/>
        <w:gridCol w:w="69"/>
        <w:gridCol w:w="562"/>
        <w:gridCol w:w="36"/>
      </w:tblGrid>
      <w:tr w:rsidR="00000000">
        <w:trPr>
          <w:jc w:val="center"/>
        </w:trPr>
        <w:tc>
          <w:tcPr>
            <w:tcW w:w="50" w:type="pct"/>
            <w:vAlign w:val="center"/>
            <w:hideMark/>
          </w:tcPr>
          <w:p w:rsidR="00000000" w:rsidRDefault="007C49E1">
            <w:pPr>
              <w:jc w:val="center"/>
              <w:rPr>
                <w:rFonts w:eastAsia="Times New Roman"/>
              </w:rPr>
            </w:pPr>
          </w:p>
        </w:tc>
        <w:tc>
          <w:tcPr>
            <w:tcW w:w="452"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403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4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lastRenderedPageBreak/>
              <w:t>PART I</w:t>
            </w:r>
          </w:p>
        </w:tc>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u w:val="single"/>
              </w:rPr>
              <w:t>FINANCIAL INFORMATION</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u w:val="single"/>
              </w:rPr>
              <w:t>Pages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Consolidated Financial Statements (Unaudited)</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 </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C49E1">
            <w:pPr>
              <w:spacing w:after="100"/>
              <w:divId w:val="651644407"/>
              <w:rPr>
                <w:rFonts w:eastAsia="Times New Roman"/>
              </w:rPr>
            </w:pPr>
            <w:r>
              <w:rPr>
                <w:rFonts w:eastAsia="Times New Roman"/>
                <w:color w:val="000000"/>
                <w:sz w:val="20"/>
                <w:szCs w:val="20"/>
              </w:rPr>
              <w:t>Consolidated Balance Sheets at March 31, 2022 and December 31, 2021</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hyperlink w:anchor="i19ab7506e6364a92a256014246405411_139" w:history="1">
              <w:r>
                <w:rPr>
                  <w:rStyle w:val="a3"/>
                  <w:rFonts w:eastAsia="Times New Roman"/>
                  <w:color w:val="000000"/>
                  <w:sz w:val="20"/>
                  <w:szCs w:val="20"/>
                  <w:u w:val="none"/>
                </w:rPr>
                <w:t>1</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C49E1">
            <w:pPr>
              <w:spacing w:after="100"/>
              <w:divId w:val="614866530"/>
              <w:rPr>
                <w:rFonts w:eastAsia="Times New Roman"/>
              </w:rPr>
            </w:pPr>
            <w:r>
              <w:rPr>
                <w:rFonts w:eastAsia="Times New Roman"/>
                <w:color w:val="000000"/>
                <w:sz w:val="20"/>
                <w:szCs w:val="20"/>
              </w:rPr>
              <w:t>Consolidated Statements of Income for the Three Months Ended March 31, 2022 and 2021</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hyperlink w:anchor="i19ab7506e6364a92a256014246405411_142" w:history="1">
              <w:r>
                <w:rPr>
                  <w:rStyle w:val="a3"/>
                  <w:rFonts w:eastAsia="Times New Roman"/>
                  <w:color w:val="000000"/>
                  <w:sz w:val="20"/>
                  <w:szCs w:val="20"/>
                  <w:u w:val="none"/>
                </w:rPr>
                <w:t>2</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C49E1">
            <w:pPr>
              <w:spacing w:after="100"/>
              <w:divId w:val="419299582"/>
              <w:rPr>
                <w:rFonts w:eastAsia="Times New Roman"/>
              </w:rPr>
            </w:pPr>
            <w:r>
              <w:rPr>
                <w:rFonts w:eastAsia="Times New Roman"/>
                <w:color w:val="000000"/>
                <w:sz w:val="20"/>
                <w:szCs w:val="20"/>
              </w:rPr>
              <w:t>Consolidated Statements of Comprehensive Income for the Three Months Ended March 31, 2022 and 2021</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hyperlink w:anchor="i19ab7506e6364a92a256014246405411_145" w:history="1">
              <w:r>
                <w:rPr>
                  <w:rStyle w:val="a3"/>
                  <w:rFonts w:eastAsia="Times New Roman"/>
                  <w:color w:val="000000"/>
                  <w:sz w:val="20"/>
                  <w:szCs w:val="20"/>
                  <w:u w:val="none"/>
                </w:rPr>
                <w:t>3</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C49E1">
            <w:pPr>
              <w:spacing w:after="100"/>
              <w:divId w:val="248543204"/>
              <w:rPr>
                <w:rFonts w:eastAsia="Times New Roman"/>
              </w:rPr>
            </w:pPr>
            <w:r>
              <w:rPr>
                <w:rFonts w:eastAsia="Times New Roman"/>
                <w:color w:val="000000"/>
                <w:sz w:val="20"/>
                <w:szCs w:val="20"/>
              </w:rPr>
              <w:t>Consolidated Statements of Equity and Redeemable Noncontrolling Interests fo</w:t>
            </w:r>
            <w:r>
              <w:rPr>
                <w:rFonts w:eastAsia="Times New Roman"/>
                <w:color w:val="000000"/>
                <w:sz w:val="20"/>
                <w:szCs w:val="20"/>
              </w:rPr>
              <w:t>r the Three Months Ended March 31, 2022 and 2021</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hyperlink w:anchor="i19ab7506e6364a92a256014246405411_1085" w:history="1">
              <w:r>
                <w:rPr>
                  <w:rStyle w:val="a3"/>
                  <w:rFonts w:eastAsia="Times New Roman"/>
                  <w:color w:val="000000"/>
                  <w:sz w:val="20"/>
                  <w:szCs w:val="20"/>
                  <w:u w:val="none"/>
                </w:rPr>
                <w:t>4</w:t>
              </w:r>
            </w:hyperlink>
            <w:r>
              <w:rPr>
                <w:rFonts w:eastAsia="Times New Roman"/>
                <w:color w:val="000000"/>
                <w:sz w:val="20"/>
                <w:szCs w:val="20"/>
              </w:rPr>
              <w:t>-5</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C49E1">
            <w:pPr>
              <w:spacing w:after="100"/>
              <w:divId w:val="529807355"/>
              <w:rPr>
                <w:rFonts w:eastAsia="Times New Roman"/>
              </w:rPr>
            </w:pPr>
            <w:r>
              <w:rPr>
                <w:rFonts w:eastAsia="Times New Roman"/>
                <w:color w:val="000000"/>
                <w:sz w:val="20"/>
                <w:szCs w:val="20"/>
              </w:rPr>
              <w:t>Consolidated Statements of Cash Flows for the Three Months Ended March 31, 2022 and 2021</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hyperlink w:anchor="i19ab7506e6364a92a256014246405411_151" w:history="1">
              <w:r>
                <w:rPr>
                  <w:rStyle w:val="a3"/>
                  <w:rFonts w:eastAsia="Times New Roman"/>
                  <w:color w:val="000000"/>
                  <w:sz w:val="20"/>
                  <w:szCs w:val="20"/>
                  <w:u w:val="none"/>
                </w:rPr>
                <w:t>6</w:t>
              </w:r>
            </w:hyperlink>
            <w:r>
              <w:rPr>
                <w:rFonts w:eastAsia="Times New Roman"/>
                <w:color w:val="000000"/>
                <w:sz w:val="20"/>
                <w:szCs w:val="20"/>
              </w:rPr>
              <w:t>-7</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Condensed Notes to Consolidated Financial Statements</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hyperlink w:anchor="i19ab7506e6364a92a256014246405411_154" w:history="1">
              <w:r>
                <w:rPr>
                  <w:rStyle w:val="a3"/>
                  <w:rFonts w:eastAsia="Times New Roman"/>
                  <w:color w:val="000000"/>
                  <w:sz w:val="20"/>
                  <w:szCs w:val="20"/>
                  <w:u w:val="none"/>
                </w:rPr>
                <w:t>8</w:t>
              </w:r>
            </w:hyperlink>
            <w:r>
              <w:rPr>
                <w:rFonts w:eastAsia="Times New Roman"/>
                <w:color w:val="000000"/>
                <w:sz w:val="20"/>
                <w:szCs w:val="20"/>
              </w:rPr>
              <w:t>-20</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Management’</w:t>
            </w:r>
            <w:r>
              <w:rPr>
                <w:rFonts w:eastAsia="Times New Roman"/>
                <w:color w:val="000000"/>
                <w:sz w:val="20"/>
                <w:szCs w:val="20"/>
              </w:rPr>
              <w:t>s Discussion and Analysis of Financial Condition and Results of Operations</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hyperlink w:anchor="i19ab7506e6364a92a256014246405411_37" w:history="1">
              <w:r>
                <w:rPr>
                  <w:rStyle w:val="a3"/>
                  <w:rFonts w:eastAsia="Times New Roman"/>
                  <w:color w:val="000000"/>
                  <w:sz w:val="20"/>
                  <w:szCs w:val="20"/>
                  <w:u w:val="none"/>
                </w:rPr>
                <w:t>21</w:t>
              </w:r>
            </w:hyperlink>
            <w:r>
              <w:rPr>
                <w:rFonts w:eastAsia="Times New Roman"/>
                <w:color w:val="000000"/>
                <w:sz w:val="20"/>
                <w:szCs w:val="20"/>
              </w:rPr>
              <w:t>-44</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Quantitative and Qualitative Disclosures About Market Risk</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hyperlink w:anchor="i19ab7506e6364a92a256014246405411_76" w:history="1">
              <w:r>
                <w:rPr>
                  <w:rStyle w:val="a3"/>
                  <w:rFonts w:eastAsia="Times New Roman"/>
                  <w:color w:val="000000"/>
                  <w:sz w:val="20"/>
                  <w:szCs w:val="20"/>
                  <w:u w:val="none"/>
                </w:rPr>
                <w:t>45</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Controls and Procedures</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hyperlink w:anchor="i19ab7506e6364a92a256014246405411_919" w:history="1">
              <w:r>
                <w:rPr>
                  <w:rStyle w:val="a3"/>
                  <w:rFonts w:eastAsia="Times New Roman"/>
                  <w:color w:val="000000"/>
                  <w:sz w:val="20"/>
                  <w:szCs w:val="20"/>
                  <w:u w:val="none"/>
                </w:rPr>
                <w:t>45</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PART II</w:t>
            </w:r>
          </w:p>
        </w:tc>
        <w:tc>
          <w:tcPr>
            <w:tcW w:w="0" w:type="auto"/>
            <w:gridSpan w:val="3"/>
            <w:tcMar>
              <w:top w:w="30" w:type="dxa"/>
              <w:left w:w="20" w:type="dxa"/>
              <w:bottom w:w="30" w:type="dxa"/>
              <w:right w:w="20" w:type="dxa"/>
            </w:tcMar>
            <w:vAlign w:val="bottom"/>
            <w:hideMark/>
          </w:tcPr>
          <w:p w:rsidR="00000000" w:rsidRDefault="007C49E1">
            <w:pPr>
              <w:spacing w:after="100"/>
              <w:divId w:val="516122416"/>
              <w:rPr>
                <w:rFonts w:eastAsia="Times New Roman"/>
              </w:rPr>
            </w:pPr>
            <w:r>
              <w:rPr>
                <w:rFonts w:eastAsia="Times New Roman"/>
                <w:color w:val="000000"/>
                <w:sz w:val="20"/>
                <w:szCs w:val="20"/>
                <w:u w:val="single"/>
              </w:rPr>
              <w:t>OTHER INFORMATION</w:t>
            </w:r>
            <w:r>
              <w:rPr>
                <w:rFonts w:eastAsia="Times New Roman"/>
                <w:color w:val="000000"/>
                <w:sz w:val="20"/>
                <w:szCs w:val="20"/>
              </w:rPr>
              <w:t xml:space="preserve"> (Items 3, 4 and 5 are not applicable)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Legal Proceedings</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hyperlink w:anchor="i19ab7506e6364a92a256014246405411_934" w:history="1">
              <w:r>
                <w:rPr>
                  <w:rStyle w:val="a3"/>
                  <w:rFonts w:eastAsia="Times New Roman"/>
                  <w:color w:val="000000"/>
                  <w:sz w:val="20"/>
                  <w:szCs w:val="20"/>
                  <w:u w:val="none"/>
                </w:rPr>
                <w:t>46</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Risk Factors</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hyperlink w:anchor="i19ab7506e6364a92a256014246405411_941" w:history="1">
              <w:r>
                <w:rPr>
                  <w:rStyle w:val="a3"/>
                  <w:rFonts w:eastAsia="Times New Roman"/>
                  <w:color w:val="000000"/>
                  <w:sz w:val="20"/>
                  <w:szCs w:val="20"/>
                  <w:u w:val="none"/>
                </w:rPr>
                <w:t>46</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Unregistered Sales of Equity Securities and Use of Proceeds</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hyperlink w:anchor="i19ab7506e6364a92a256014246405411_948" w:history="1">
              <w:r>
                <w:rPr>
                  <w:rStyle w:val="a3"/>
                  <w:rFonts w:eastAsia="Times New Roman"/>
                  <w:color w:val="000000"/>
                  <w:sz w:val="20"/>
                  <w:szCs w:val="20"/>
                  <w:u w:val="none"/>
                </w:rPr>
                <w:t>46</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Exhibits</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hyperlink w:anchor="i19ab7506e6364a92a256014246405411_955" w:history="1">
              <w:r>
                <w:rPr>
                  <w:rStyle w:val="a3"/>
                  <w:rFonts w:eastAsia="Times New Roman"/>
                  <w:color w:val="000000"/>
                  <w:sz w:val="20"/>
                  <w:szCs w:val="20"/>
                  <w:u w:val="none"/>
                </w:rPr>
                <w:t>46</w:t>
              </w:r>
            </w:hyperlink>
          </w:p>
        </w:tc>
      </w:tr>
    </w:tbl>
    <w:p w:rsidR="00000000" w:rsidRDefault="007C49E1">
      <w:pPr>
        <w:jc w:val="center"/>
        <w:divId w:val="171265544"/>
        <w:rPr>
          <w:rFonts w:eastAsia="Times New Roman"/>
        </w:rPr>
      </w:pPr>
    </w:p>
    <w:p w:rsidR="00000000" w:rsidRDefault="007C49E1">
      <w:pPr>
        <w:rPr>
          <w:rFonts w:eastAsia="Times New Roman"/>
        </w:rPr>
      </w:pPr>
      <w:r>
        <w:rPr>
          <w:rFonts w:eastAsia="Times New Roman"/>
        </w:rPr>
        <w:pict>
          <v:rect id="_x0000_i1026" style="width:0;height:1.5pt" o:hralign="center" o:hrstd="t" o:hr="t" fillcolor="#a0a0a0" stroked="f"/>
        </w:pict>
      </w:r>
    </w:p>
    <w:p w:rsidR="00000000" w:rsidRDefault="007C49E1">
      <w:pPr>
        <w:divId w:val="857233129"/>
        <w:rPr>
          <w:rFonts w:eastAsia="Times New Roman"/>
        </w:rPr>
      </w:pPr>
    </w:p>
    <w:p w:rsidR="00000000" w:rsidRDefault="007C49E1">
      <w:pPr>
        <w:divId w:val="1268542150"/>
        <w:rPr>
          <w:rFonts w:eastAsia="Times New Roman"/>
        </w:rPr>
      </w:pPr>
    </w:p>
    <w:p w:rsidR="00000000" w:rsidRDefault="007C49E1">
      <w:pPr>
        <w:divId w:val="1292131335"/>
        <w:rPr>
          <w:rFonts w:eastAsia="Times New Roman"/>
        </w:rPr>
      </w:pPr>
    </w:p>
    <w:p w:rsidR="00000000" w:rsidRDefault="007C49E1">
      <w:pPr>
        <w:jc w:val="center"/>
        <w:rPr>
          <w:rFonts w:eastAsia="Times New Roman"/>
        </w:rPr>
      </w:pPr>
      <w:r>
        <w:rPr>
          <w:rFonts w:eastAsia="Times New Roman"/>
          <w:b/>
          <w:bCs/>
          <w:color w:val="000000"/>
          <w:sz w:val="20"/>
          <w:szCs w:val="20"/>
        </w:rPr>
        <w:t>PUBLIC STORAGE</w:t>
      </w:r>
    </w:p>
    <w:p w:rsidR="00000000" w:rsidRDefault="007C49E1">
      <w:pPr>
        <w:jc w:val="center"/>
        <w:rPr>
          <w:rFonts w:eastAsia="Times New Roman"/>
        </w:rPr>
      </w:pPr>
      <w:r>
        <w:rPr>
          <w:rFonts w:eastAsia="Times New Roman"/>
          <w:b/>
          <w:bCs/>
          <w:color w:val="000000"/>
          <w:sz w:val="20"/>
          <w:szCs w:val="20"/>
        </w:rPr>
        <w:t>CONSOLIDATED BALANCE SHEETS</w:t>
      </w:r>
    </w:p>
    <w:p w:rsidR="00000000" w:rsidRDefault="007C49E1">
      <w:pPr>
        <w:jc w:val="center"/>
        <w:rPr>
          <w:rFonts w:eastAsia="Times New Roman"/>
        </w:rPr>
      </w:pPr>
      <w:r>
        <w:rPr>
          <w:rFonts w:eastAsia="Times New Roman"/>
          <w:b/>
          <w:bCs/>
          <w:color w:val="000000"/>
          <w:sz w:val="20"/>
          <w:szCs w:val="20"/>
        </w:rPr>
        <w:t>(Amounts in thousands, except share data)</w:t>
      </w:r>
    </w:p>
    <w:p w:rsidR="00000000" w:rsidRDefault="007C49E1">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5596"/>
        <w:gridCol w:w="42"/>
        <w:gridCol w:w="110"/>
        <w:gridCol w:w="1127"/>
        <w:gridCol w:w="36"/>
        <w:gridCol w:w="36"/>
        <w:gridCol w:w="36"/>
        <w:gridCol w:w="36"/>
        <w:gridCol w:w="110"/>
        <w:gridCol w:w="1097"/>
        <w:gridCol w:w="36"/>
      </w:tblGrid>
      <w:tr w:rsidR="00000000">
        <w:trPr>
          <w:divId w:val="1350178096"/>
        </w:trPr>
        <w:tc>
          <w:tcPr>
            <w:tcW w:w="50" w:type="pct"/>
            <w:vAlign w:val="center"/>
            <w:hideMark/>
          </w:tcPr>
          <w:p w:rsidR="00000000" w:rsidRDefault="007C49E1">
            <w:pPr>
              <w:jc w:val="center"/>
              <w:rPr>
                <w:rFonts w:eastAsia="Times New Roman"/>
              </w:rPr>
            </w:pPr>
          </w:p>
        </w:tc>
        <w:tc>
          <w:tcPr>
            <w:tcW w:w="339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702"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702"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2021</w:t>
            </w:r>
          </w:p>
        </w:tc>
      </w:tr>
      <w:tr w:rsidR="00000000">
        <w:trPr>
          <w:divId w:val="1350178096"/>
        </w:trPr>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b/>
                <w:bCs/>
                <w:color w:val="000000"/>
                <w:sz w:val="18"/>
                <w:szCs w:val="18"/>
              </w:rPr>
              <w:t>(Unaudited)</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b/>
                <w:bCs/>
                <w:color w:val="000000"/>
                <w:sz w:val="18"/>
                <w:szCs w:val="18"/>
                <w:u w:val="single"/>
              </w:rPr>
              <w:t>ASSETS</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  </w:t>
            </w:r>
          </w:p>
        </w:tc>
      </w:tr>
      <w:tr w:rsidR="00000000">
        <w:trPr>
          <w:divId w:val="1350178096"/>
        </w:trPr>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Cash and equivalents</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940,524 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734,599 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lastRenderedPageBreak/>
              <w:t xml:space="preserve">Real estate facilities, at cost: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1350178096"/>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Land</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5,156,795 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5,134,060 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Buildings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17,886,912 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17,673,773 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23,043,707 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22,807,833 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Accumulated depreciation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(7,958,536)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(7,773,308)</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15,085,171 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15,034,525 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Construction in process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337,552 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272,471 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15,422,723 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15,306,996 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Height w:val="180"/>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Investments in unconsolidated real estate entities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850,649 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828,763 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Goodwill and other intangible assets, net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271,127 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302,894 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Other assets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213,758 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207,656 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93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Total assets </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17,698,781 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17,380,908 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r>
      <w:tr w:rsidR="00000000">
        <w:trPr>
          <w:divId w:val="1350178096"/>
        </w:trPr>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b/>
                <w:bCs/>
                <w:color w:val="000000"/>
                <w:sz w:val="18"/>
                <w:szCs w:val="18"/>
                <w:u w:val="single"/>
              </w:rPr>
              <w:t>LIABILITIES AND EQUITY</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r>
      <w:tr w:rsidR="00000000">
        <w:trPr>
          <w:divId w:val="1350178096"/>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payable</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7,441,723 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7,475,279 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Accrued and other liabilities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453,971 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482,091 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7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7,895,694 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7,957,370 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Commitments and contingencies (Note 14)</w:t>
            </w:r>
          </w:p>
        </w:tc>
        <w:tc>
          <w:tcPr>
            <w:tcW w:w="0" w:type="auto"/>
            <w:gridSpan w:val="3"/>
            <w:tcMar>
              <w:top w:w="30" w:type="dxa"/>
              <w:left w:w="20" w:type="dxa"/>
              <w:bottom w:w="30" w:type="dxa"/>
              <w:right w:w="20" w:type="dxa"/>
            </w:tcMar>
            <w:vAlign w:val="bottom"/>
            <w:hideMark/>
          </w:tcPr>
          <w:p w:rsidR="00000000" w:rsidRDefault="007C49E1">
            <w:pPr>
              <w:spacing w:after="100"/>
              <w:divId w:val="612833771"/>
              <w:rPr>
                <w:rFonts w:eastAsia="Times New Roman"/>
              </w:rPr>
            </w:pPr>
            <w:r>
              <w:rPr>
                <w:rFonts w:eastAsia="Times New Roman"/>
                <w:color w:val="000000"/>
                <w:sz w:val="18"/>
                <w:szCs w:val="18"/>
              </w:rPr>
              <w:t> </w:t>
            </w: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divId w:val="1668512544"/>
              <w:rPr>
                <w:rFonts w:eastAsia="Times New Roman"/>
              </w:rPr>
            </w:pPr>
            <w:r>
              <w:rPr>
                <w:rFonts w:eastAsia="Times New Roman"/>
                <w:color w:val="000000"/>
                <w:sz w:val="18"/>
                <w:szCs w:val="18"/>
              </w:rPr>
              <w:t> </w:t>
            </w:r>
            <w:r>
              <w:rPr>
                <w:rFonts w:eastAsia="Times New Roman"/>
                <w:color w:val="000000"/>
                <w:sz w:val="20"/>
                <w:szCs w:val="20"/>
              </w:rPr>
              <w:t> </w:t>
            </w:r>
          </w:p>
        </w:tc>
      </w:tr>
      <w:tr w:rsidR="00000000">
        <w:trPr>
          <w:divId w:val="1350178096"/>
          <w:trHeight w:val="180"/>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Redeemable noncontrolling interests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83,826 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68,249 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Equity:</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r>
      <w:tr w:rsidR="00000000">
        <w:trPr>
          <w:divId w:val="1350178096"/>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Public Storage shareholders’ equity:</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ind w:hanging="307"/>
              <w:divId w:val="548421738"/>
              <w:rPr>
                <w:rFonts w:eastAsia="Times New Roman"/>
              </w:rPr>
            </w:pPr>
            <w:r>
              <w:rPr>
                <w:rFonts w:eastAsia="Times New Roman"/>
                <w:color w:val="000000"/>
                <w:sz w:val="18"/>
                <w:szCs w:val="18"/>
              </w:rPr>
              <w:t>Preferred Shares, $0.01 par value, 100,000,000 shares authorized, 174,000 shares issued (in series) and outstanding, (164,000 at December 31, 2021) at liquidation preference</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4,350,000 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4,100,000 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20" w:type="dxa"/>
              <w:bottom w:w="30" w:type="dxa"/>
              <w:right w:w="20" w:type="dxa"/>
            </w:tcMar>
            <w:vAlign w:val="bottom"/>
            <w:hideMark/>
          </w:tcPr>
          <w:p w:rsidR="00000000" w:rsidRDefault="007C49E1">
            <w:pPr>
              <w:spacing w:after="100"/>
              <w:ind w:hanging="307"/>
              <w:divId w:val="1337686951"/>
              <w:rPr>
                <w:rFonts w:eastAsia="Times New Roman"/>
              </w:rPr>
            </w:pPr>
            <w:r>
              <w:rPr>
                <w:rFonts w:eastAsia="Times New Roman"/>
                <w:color w:val="000000"/>
                <w:sz w:val="18"/>
                <w:szCs w:val="18"/>
              </w:rPr>
              <w:t xml:space="preserve">Common Shares, $0.10 par value, </w:t>
            </w:r>
            <w:r>
              <w:rPr>
                <w:rFonts w:eastAsia="Times New Roman"/>
                <w:color w:val="000000"/>
                <w:sz w:val="18"/>
                <w:szCs w:val="18"/>
              </w:rPr>
              <w:t>650,000,000 shares authorized, 175,212,439 shares issued and outstanding (175,134,455 shares at December 31, 2021)</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17,521 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17,513 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Paid-in capital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5,827,674 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5,821,667 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Accumulated deficit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(436,101)</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(550,416)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Accumulated other comprehensive loss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(60,382)</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(53,587)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57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Total Public Storage shareholders’ equity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9,698,712 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9,335,177 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Noncontrolling interests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20,549 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20,112 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7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Total equity</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9,719,261 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9,355,289 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0178096"/>
        </w:trPr>
        <w:tc>
          <w:tcPr>
            <w:tcW w:w="0" w:type="auto"/>
            <w:gridSpan w:val="3"/>
            <w:tcMar>
              <w:top w:w="30" w:type="dxa"/>
              <w:left w:w="93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Total liabilities, redeemable noncontrolling interests and equity</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17,698,781 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17,380,908 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bl>
    <w:p w:rsidR="00000000" w:rsidRDefault="007C49E1">
      <w:pPr>
        <w:divId w:val="1651013557"/>
        <w:rPr>
          <w:rFonts w:eastAsia="Times New Roman"/>
        </w:rPr>
      </w:pPr>
    </w:p>
    <w:p w:rsidR="00000000" w:rsidRDefault="007C49E1">
      <w:pPr>
        <w:jc w:val="center"/>
        <w:divId w:val="387265511"/>
        <w:rPr>
          <w:rFonts w:eastAsia="Times New Roman"/>
        </w:rPr>
      </w:pPr>
      <w:r>
        <w:rPr>
          <w:rFonts w:eastAsia="Times New Roman"/>
          <w:color w:val="000000"/>
          <w:sz w:val="20"/>
          <w:szCs w:val="20"/>
        </w:rPr>
        <w:t>See accompanying notes.</w:t>
      </w:r>
    </w:p>
    <w:p w:rsidR="00000000" w:rsidRDefault="007C49E1">
      <w:pPr>
        <w:jc w:val="center"/>
        <w:divId w:val="387265511"/>
        <w:rPr>
          <w:rFonts w:eastAsia="Times New Roman"/>
        </w:rPr>
      </w:pPr>
      <w:r>
        <w:rPr>
          <w:rFonts w:eastAsia="Times New Roman"/>
          <w:color w:val="000000"/>
          <w:sz w:val="20"/>
          <w:szCs w:val="20"/>
        </w:rPr>
        <w:lastRenderedPageBreak/>
        <w:t>1</w:t>
      </w:r>
    </w:p>
    <w:p w:rsidR="00000000" w:rsidRDefault="007C49E1">
      <w:pPr>
        <w:rPr>
          <w:rFonts w:eastAsia="Times New Roman"/>
        </w:rPr>
      </w:pPr>
      <w:r>
        <w:rPr>
          <w:rFonts w:eastAsia="Times New Roman"/>
        </w:rPr>
        <w:pict>
          <v:rect id="_x0000_i1027" style="width:0;height:1.5pt" o:hralign="center" o:hrstd="t" o:hr="t" fillcolor="#a0a0a0" stroked="f"/>
        </w:pict>
      </w:r>
    </w:p>
    <w:p w:rsidR="00000000" w:rsidRDefault="007C49E1">
      <w:pPr>
        <w:divId w:val="126362907"/>
        <w:rPr>
          <w:rFonts w:eastAsia="Times New Roman"/>
        </w:rPr>
      </w:pPr>
    </w:p>
    <w:p w:rsidR="00000000" w:rsidRDefault="007C49E1">
      <w:pPr>
        <w:jc w:val="center"/>
        <w:rPr>
          <w:rFonts w:eastAsia="Times New Roman"/>
        </w:rPr>
      </w:pPr>
      <w:r>
        <w:rPr>
          <w:rFonts w:eastAsia="Times New Roman"/>
          <w:b/>
          <w:bCs/>
          <w:color w:val="000000"/>
          <w:sz w:val="20"/>
          <w:szCs w:val="20"/>
        </w:rPr>
        <w:t>PUBLIC STORAGE</w:t>
      </w:r>
    </w:p>
    <w:p w:rsidR="00000000" w:rsidRDefault="007C49E1">
      <w:pPr>
        <w:jc w:val="center"/>
        <w:rPr>
          <w:rFonts w:eastAsia="Times New Roman"/>
        </w:rPr>
      </w:pPr>
      <w:r>
        <w:rPr>
          <w:rFonts w:eastAsia="Times New Roman"/>
          <w:b/>
          <w:bCs/>
          <w:color w:val="000000"/>
          <w:sz w:val="20"/>
          <w:szCs w:val="20"/>
        </w:rPr>
        <w:t>CONSOLIDATED STATEMENTS OF INCOME</w:t>
      </w:r>
    </w:p>
    <w:p w:rsidR="00000000" w:rsidRDefault="007C49E1">
      <w:pPr>
        <w:jc w:val="center"/>
        <w:divId w:val="1786386254"/>
        <w:rPr>
          <w:rFonts w:eastAsia="Times New Roman"/>
        </w:rPr>
      </w:pPr>
      <w:r>
        <w:rPr>
          <w:rFonts w:eastAsia="Times New Roman"/>
          <w:b/>
          <w:bCs/>
          <w:color w:val="000000"/>
          <w:sz w:val="20"/>
          <w:szCs w:val="20"/>
        </w:rPr>
        <w:t>(Amounts in thousands, except per share amounts)</w:t>
      </w:r>
    </w:p>
    <w:p w:rsidR="00000000" w:rsidRDefault="007C49E1">
      <w:pPr>
        <w:jc w:val="center"/>
        <w:divId w:val="412775384"/>
        <w:rPr>
          <w:rFonts w:eastAsia="Times New Roman"/>
        </w:rPr>
      </w:pPr>
      <w:r>
        <w:rPr>
          <w:rFonts w:eastAsia="Times New Roman"/>
          <w:b/>
          <w:bCs/>
          <w:color w:val="000000"/>
          <w:sz w:val="20"/>
          <w:szCs w:val="20"/>
        </w:rPr>
        <w:t>(Unaudited)</w:t>
      </w:r>
    </w:p>
    <w:p w:rsidR="00000000" w:rsidRDefault="007C49E1">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959"/>
        <w:gridCol w:w="39"/>
        <w:gridCol w:w="110"/>
        <w:gridCol w:w="1342"/>
        <w:gridCol w:w="36"/>
        <w:gridCol w:w="36"/>
        <w:gridCol w:w="36"/>
        <w:gridCol w:w="36"/>
        <w:gridCol w:w="110"/>
        <w:gridCol w:w="1309"/>
        <w:gridCol w:w="36"/>
        <w:gridCol w:w="36"/>
        <w:gridCol w:w="36"/>
        <w:gridCol w:w="36"/>
        <w:gridCol w:w="36"/>
        <w:gridCol w:w="36"/>
        <w:gridCol w:w="36"/>
      </w:tblGrid>
      <w:tr w:rsidR="00000000">
        <w:trPr>
          <w:jc w:val="center"/>
        </w:trPr>
        <w:tc>
          <w:tcPr>
            <w:tcW w:w="50" w:type="pct"/>
            <w:vAlign w:val="center"/>
            <w:hideMark/>
          </w:tcPr>
          <w:p w:rsidR="00000000" w:rsidRDefault="007C49E1">
            <w:pPr>
              <w:jc w:val="center"/>
              <w:rPr>
                <w:rFonts w:eastAsia="Times New Roman"/>
              </w:rPr>
            </w:pPr>
          </w:p>
        </w:tc>
        <w:tc>
          <w:tcPr>
            <w:tcW w:w="308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54"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54"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Three Months Ended March 31,</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Revenues:</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Self-storage facilities </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917,015 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716,347 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Ancillary operations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56,430 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50,915 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973,445 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767,262 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Expenses:</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Self-storage cost of operations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245,494 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212,105 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Ancillary cost of operations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15,515 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16,318 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Depreciation and amortization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222,128 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146,859 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General and administrative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23,069 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19,574 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Interest expense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33,124 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15,250 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539,330 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410,106 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Other increases to net income: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Interest and other income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3,379 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2,852 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Equity in earnings of unconsolidated real estate entities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43,424 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19,456 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Foreign currency exchange gain</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35,377 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45,385 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Gain on sale of real estate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9,413 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Net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516,295 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434,262 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Allocation to noncontrolling interests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(2,352)</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(1,226)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Net income allocable to Public Storage shareholders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513,943 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433,036 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Allocation of net income to:</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Preferred shareholders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(48,365)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w:t>
            </w:r>
            <w:r>
              <w:rPr>
                <w:rFonts w:eastAsia="Times New Roman"/>
                <w:color w:val="000000"/>
                <w:sz w:val="18"/>
                <w:szCs w:val="18"/>
              </w:rPr>
              <w:t>46,080)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Restricted share units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(1,454)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(1,146)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Net income allocable to common shareholders</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464,124 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385,810 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Net income per common share:</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Basic</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Diluted</w:t>
            </w:r>
          </w:p>
        </w:tc>
        <w:tc>
          <w:tcPr>
            <w:tcW w:w="0" w:type="auto"/>
            <w:tcBorders>
              <w:top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2.63 </w:t>
            </w:r>
          </w:p>
        </w:tc>
        <w:tc>
          <w:tcPr>
            <w:tcW w:w="0" w:type="auto"/>
            <w:tcBorders>
              <w:top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2.21 </w:t>
            </w:r>
          </w:p>
        </w:tc>
        <w:tc>
          <w:tcPr>
            <w:tcW w:w="0" w:type="auto"/>
            <w:tcBorders>
              <w:top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Basic weighted average common shares outstanding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175,170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174,611</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lastRenderedPageBreak/>
              <w:t>Diluted weighted average common shares outstanding</w:t>
            </w: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176,336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174,840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divId w:val="1043821241"/>
        <w:rPr>
          <w:rFonts w:eastAsia="Times New Roman"/>
        </w:rPr>
      </w:pPr>
    </w:p>
    <w:p w:rsidR="00000000" w:rsidRDefault="007C49E1">
      <w:pPr>
        <w:jc w:val="center"/>
        <w:divId w:val="1244409920"/>
        <w:rPr>
          <w:rFonts w:eastAsia="Times New Roman"/>
        </w:rPr>
      </w:pPr>
      <w:r>
        <w:rPr>
          <w:rFonts w:eastAsia="Times New Roman"/>
          <w:color w:val="000000"/>
          <w:sz w:val="20"/>
          <w:szCs w:val="20"/>
        </w:rPr>
        <w:t>See accompanying notes.</w:t>
      </w:r>
    </w:p>
    <w:p w:rsidR="00000000" w:rsidRDefault="007C49E1">
      <w:pPr>
        <w:jc w:val="center"/>
        <w:divId w:val="1244409920"/>
        <w:rPr>
          <w:rFonts w:eastAsia="Times New Roman"/>
        </w:rPr>
      </w:pPr>
      <w:r>
        <w:rPr>
          <w:rFonts w:eastAsia="Times New Roman"/>
          <w:color w:val="000000"/>
          <w:sz w:val="20"/>
          <w:szCs w:val="20"/>
        </w:rPr>
        <w:t>2</w:t>
      </w:r>
    </w:p>
    <w:p w:rsidR="00000000" w:rsidRDefault="007C49E1">
      <w:pPr>
        <w:rPr>
          <w:rFonts w:eastAsia="Times New Roman"/>
        </w:rPr>
      </w:pPr>
      <w:r>
        <w:rPr>
          <w:rFonts w:eastAsia="Times New Roman"/>
        </w:rPr>
        <w:pict>
          <v:rect id="_x0000_i1028" style="width:0;height:1.5pt" o:hralign="center" o:hrstd="t" o:hr="t" fillcolor="#a0a0a0" stroked="f"/>
        </w:pict>
      </w:r>
    </w:p>
    <w:p w:rsidR="00000000" w:rsidRDefault="007C49E1">
      <w:pPr>
        <w:divId w:val="42872416"/>
        <w:rPr>
          <w:rFonts w:eastAsia="Times New Roman"/>
        </w:rPr>
      </w:pPr>
    </w:p>
    <w:p w:rsidR="00000000" w:rsidRDefault="007C49E1">
      <w:pPr>
        <w:jc w:val="center"/>
        <w:rPr>
          <w:rFonts w:eastAsia="Times New Roman"/>
        </w:rPr>
      </w:pPr>
      <w:r>
        <w:rPr>
          <w:rFonts w:eastAsia="Times New Roman"/>
          <w:b/>
          <w:bCs/>
          <w:color w:val="000000"/>
          <w:sz w:val="20"/>
          <w:szCs w:val="20"/>
        </w:rPr>
        <w:t>PUBLIC STORAGE</w:t>
      </w:r>
    </w:p>
    <w:p w:rsidR="00000000" w:rsidRDefault="007C49E1">
      <w:pPr>
        <w:jc w:val="center"/>
        <w:rPr>
          <w:rFonts w:eastAsia="Times New Roman"/>
        </w:rPr>
      </w:pPr>
      <w:r>
        <w:rPr>
          <w:rFonts w:eastAsia="Times New Roman"/>
          <w:b/>
          <w:bCs/>
          <w:color w:val="000000"/>
          <w:sz w:val="20"/>
          <w:szCs w:val="20"/>
        </w:rPr>
        <w:t>CONSOLIDATED STATEMENTS OF COMPREHENSIVE INCOME</w:t>
      </w:r>
    </w:p>
    <w:p w:rsidR="00000000" w:rsidRDefault="007C49E1">
      <w:pPr>
        <w:jc w:val="center"/>
        <w:divId w:val="1315141679"/>
        <w:rPr>
          <w:rFonts w:eastAsia="Times New Roman"/>
        </w:rPr>
      </w:pPr>
      <w:r>
        <w:rPr>
          <w:rFonts w:eastAsia="Times New Roman"/>
          <w:b/>
          <w:bCs/>
          <w:color w:val="000000"/>
          <w:sz w:val="20"/>
          <w:szCs w:val="20"/>
        </w:rPr>
        <w:t>(Amounts in thousands)</w:t>
      </w:r>
    </w:p>
    <w:p w:rsidR="00000000" w:rsidRDefault="007C49E1">
      <w:pPr>
        <w:jc w:val="center"/>
        <w:divId w:val="1113283670"/>
        <w:rPr>
          <w:rFonts w:eastAsia="Times New Roman"/>
        </w:rPr>
      </w:pPr>
      <w:r>
        <w:rPr>
          <w:rFonts w:eastAsia="Times New Roman"/>
          <w:b/>
          <w:bCs/>
          <w:color w:val="000000"/>
          <w:sz w:val="20"/>
          <w:szCs w:val="20"/>
        </w:rPr>
        <w:t>(Unaudited)</w:t>
      </w:r>
    </w:p>
    <w:p w:rsidR="00000000" w:rsidRDefault="007C49E1">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959"/>
        <w:gridCol w:w="37"/>
        <w:gridCol w:w="110"/>
        <w:gridCol w:w="1342"/>
        <w:gridCol w:w="36"/>
        <w:gridCol w:w="36"/>
        <w:gridCol w:w="36"/>
        <w:gridCol w:w="36"/>
        <w:gridCol w:w="110"/>
        <w:gridCol w:w="1311"/>
        <w:gridCol w:w="36"/>
        <w:gridCol w:w="36"/>
        <w:gridCol w:w="36"/>
        <w:gridCol w:w="36"/>
        <w:gridCol w:w="36"/>
        <w:gridCol w:w="36"/>
        <w:gridCol w:w="36"/>
      </w:tblGrid>
      <w:tr w:rsidR="00000000">
        <w:trPr>
          <w:jc w:val="center"/>
        </w:trPr>
        <w:tc>
          <w:tcPr>
            <w:tcW w:w="50" w:type="pct"/>
            <w:vAlign w:val="center"/>
            <w:hideMark/>
          </w:tcPr>
          <w:p w:rsidR="00000000" w:rsidRDefault="007C49E1">
            <w:pPr>
              <w:jc w:val="center"/>
              <w:rPr>
                <w:rFonts w:eastAsia="Times New Roman"/>
              </w:rPr>
            </w:pPr>
          </w:p>
        </w:tc>
        <w:tc>
          <w:tcPr>
            <w:tcW w:w="308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54"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54"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Three Months Ended March 31,</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Net income </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516,295 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434,262 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18"/>
                <w:szCs w:val="18"/>
              </w:rPr>
              <w:t>Foreign currency exchange loss on investment in Shurgard</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(6,795)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(5,940)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Total comprehensive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509,500 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428,322 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Allocation to noncontrolling interests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(2,352)</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(1,226)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18"/>
                <w:szCs w:val="18"/>
              </w:rPr>
              <w:t>Comprehensive income allocable to Public Storage shareholders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507,148 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427,096 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divId w:val="1478760918"/>
        <w:rPr>
          <w:rFonts w:eastAsia="Times New Roman"/>
        </w:rPr>
      </w:pPr>
    </w:p>
    <w:p w:rsidR="00000000" w:rsidRDefault="007C49E1">
      <w:pPr>
        <w:jc w:val="center"/>
        <w:divId w:val="630599067"/>
        <w:rPr>
          <w:rFonts w:eastAsia="Times New Roman"/>
        </w:rPr>
      </w:pPr>
      <w:r>
        <w:rPr>
          <w:rFonts w:eastAsia="Times New Roman"/>
          <w:color w:val="000000"/>
          <w:sz w:val="20"/>
          <w:szCs w:val="20"/>
        </w:rPr>
        <w:t>See accompanying notes.</w:t>
      </w:r>
    </w:p>
    <w:p w:rsidR="00000000" w:rsidRDefault="007C49E1">
      <w:pPr>
        <w:jc w:val="center"/>
        <w:divId w:val="630599067"/>
        <w:rPr>
          <w:rFonts w:eastAsia="Times New Roman"/>
        </w:rPr>
      </w:pPr>
      <w:r>
        <w:rPr>
          <w:rFonts w:eastAsia="Times New Roman"/>
          <w:color w:val="000000"/>
          <w:sz w:val="20"/>
          <w:szCs w:val="20"/>
        </w:rPr>
        <w:t>3</w:t>
      </w:r>
    </w:p>
    <w:p w:rsidR="00000000" w:rsidRDefault="007C49E1">
      <w:pPr>
        <w:rPr>
          <w:rFonts w:eastAsia="Times New Roman"/>
        </w:rPr>
      </w:pPr>
      <w:r>
        <w:rPr>
          <w:rFonts w:eastAsia="Times New Roman"/>
        </w:rPr>
        <w:pict>
          <v:rect id="_x0000_i1029" style="width:0;height:1.5pt" o:hralign="center" o:hrstd="t" o:hr="t" fillcolor="#a0a0a0" stroked="f"/>
        </w:pict>
      </w:r>
    </w:p>
    <w:p w:rsidR="00000000" w:rsidRDefault="007C49E1">
      <w:pPr>
        <w:divId w:val="1304042390"/>
        <w:rPr>
          <w:rFonts w:eastAsia="Times New Roman"/>
        </w:rPr>
      </w:pPr>
    </w:p>
    <w:p w:rsidR="00000000" w:rsidRDefault="007C49E1">
      <w:pPr>
        <w:jc w:val="center"/>
        <w:rPr>
          <w:rFonts w:eastAsia="Times New Roman"/>
        </w:rPr>
      </w:pPr>
      <w:r>
        <w:rPr>
          <w:rFonts w:eastAsia="Times New Roman"/>
          <w:b/>
          <w:bCs/>
          <w:color w:val="000000"/>
          <w:sz w:val="20"/>
          <w:szCs w:val="20"/>
        </w:rPr>
        <w:t>PUBLIC STORAGE</w:t>
      </w:r>
    </w:p>
    <w:p w:rsidR="00000000" w:rsidRDefault="007C49E1">
      <w:pPr>
        <w:jc w:val="center"/>
        <w:rPr>
          <w:rFonts w:eastAsia="Times New Roman"/>
        </w:rPr>
      </w:pPr>
      <w:r>
        <w:rPr>
          <w:rFonts w:eastAsia="Times New Roman"/>
          <w:b/>
          <w:bCs/>
          <w:color w:val="000000"/>
          <w:sz w:val="20"/>
          <w:szCs w:val="20"/>
        </w:rPr>
        <w:t>CONSOLIDATED STATEMENTS OF EQUITY AND REDEEMABLE NONCONTROLLING INTERESTS</w:t>
      </w:r>
    </w:p>
    <w:p w:rsidR="00000000" w:rsidRDefault="007C49E1">
      <w:pPr>
        <w:jc w:val="center"/>
        <w:rPr>
          <w:rFonts w:eastAsia="Times New Roman"/>
        </w:rPr>
      </w:pPr>
      <w:r>
        <w:rPr>
          <w:rFonts w:eastAsia="Times New Roman"/>
          <w:b/>
          <w:bCs/>
          <w:color w:val="000000"/>
          <w:sz w:val="20"/>
          <w:szCs w:val="20"/>
        </w:rPr>
        <w:t>Three Months Ended March 31, 2022</w:t>
      </w:r>
    </w:p>
    <w:p w:rsidR="00000000" w:rsidRDefault="007C49E1">
      <w:pPr>
        <w:jc w:val="center"/>
        <w:rPr>
          <w:rFonts w:eastAsia="Times New Roman"/>
        </w:rPr>
      </w:pPr>
      <w:r>
        <w:rPr>
          <w:rFonts w:eastAsia="Times New Roman"/>
          <w:b/>
          <w:bCs/>
          <w:color w:val="000000"/>
          <w:sz w:val="20"/>
          <w:szCs w:val="20"/>
        </w:rPr>
        <w:t>(Amounts in thousands, except share and per share amounts)</w:t>
      </w:r>
    </w:p>
    <w:p w:rsidR="00000000" w:rsidRDefault="007C49E1">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137"/>
        <w:gridCol w:w="38"/>
        <w:gridCol w:w="110"/>
        <w:gridCol w:w="765"/>
        <w:gridCol w:w="36"/>
        <w:gridCol w:w="36"/>
        <w:gridCol w:w="36"/>
        <w:gridCol w:w="36"/>
        <w:gridCol w:w="110"/>
        <w:gridCol w:w="540"/>
        <w:gridCol w:w="36"/>
        <w:gridCol w:w="36"/>
        <w:gridCol w:w="36"/>
        <w:gridCol w:w="36"/>
        <w:gridCol w:w="110"/>
        <w:gridCol w:w="765"/>
        <w:gridCol w:w="36"/>
        <w:gridCol w:w="36"/>
        <w:gridCol w:w="36"/>
        <w:gridCol w:w="36"/>
        <w:gridCol w:w="112"/>
        <w:gridCol w:w="770"/>
        <w:gridCol w:w="36"/>
        <w:gridCol w:w="36"/>
        <w:gridCol w:w="36"/>
        <w:gridCol w:w="36"/>
        <w:gridCol w:w="131"/>
        <w:gridCol w:w="901"/>
        <w:gridCol w:w="36"/>
        <w:gridCol w:w="36"/>
        <w:gridCol w:w="36"/>
        <w:gridCol w:w="36"/>
        <w:gridCol w:w="110"/>
        <w:gridCol w:w="765"/>
        <w:gridCol w:w="36"/>
        <w:gridCol w:w="36"/>
        <w:gridCol w:w="36"/>
        <w:gridCol w:w="36"/>
        <w:gridCol w:w="127"/>
        <w:gridCol w:w="879"/>
        <w:gridCol w:w="36"/>
        <w:gridCol w:w="36"/>
        <w:gridCol w:w="36"/>
        <w:gridCol w:w="36"/>
        <w:gridCol w:w="110"/>
        <w:gridCol w:w="765"/>
        <w:gridCol w:w="36"/>
        <w:gridCol w:w="36"/>
        <w:gridCol w:w="36"/>
        <w:gridCol w:w="36"/>
        <w:gridCol w:w="127"/>
        <w:gridCol w:w="879"/>
        <w:gridCol w:w="36"/>
      </w:tblGrid>
      <w:tr w:rsidR="00000000">
        <w:trPr>
          <w:jc w:val="center"/>
        </w:trPr>
        <w:tc>
          <w:tcPr>
            <w:tcW w:w="50" w:type="pct"/>
            <w:vAlign w:val="center"/>
            <w:hideMark/>
          </w:tcPr>
          <w:p w:rsidR="00000000" w:rsidRDefault="007C49E1">
            <w:pPr>
              <w:jc w:val="center"/>
              <w:rPr>
                <w:rFonts w:eastAsia="Times New Roman"/>
              </w:rPr>
            </w:pPr>
          </w:p>
        </w:tc>
        <w:tc>
          <w:tcPr>
            <w:tcW w:w="116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4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4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4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4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4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4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4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4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4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r>
            <w:r>
              <w:rPr>
                <w:rFonts w:eastAsia="Times New Roman"/>
                <w:color w:val="000000"/>
                <w:sz w:val="16"/>
                <w:szCs w:val="16"/>
              </w:rPr>
              <w:t>Other Comprehensive Loss</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Total Equity</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Redeemable Noncontrolling Interests</w:t>
            </w: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divId w:val="1880167977"/>
              <w:rPr>
                <w:rFonts w:eastAsia="Times New Roman"/>
              </w:rPr>
            </w:pPr>
            <w:r>
              <w:rPr>
                <w:rFonts w:eastAsia="Times New Roman"/>
                <w:b/>
                <w:bCs/>
                <w:color w:val="000000"/>
                <w:sz w:val="18"/>
                <w:szCs w:val="18"/>
              </w:rPr>
              <w:t>Balances at December 31, 2021</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4,100,000 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17,513 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5,821,667 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w:t>
            </w:r>
            <w:r>
              <w:rPr>
                <w:rFonts w:eastAsia="Times New Roman"/>
                <w:color w:val="000000"/>
                <w:sz w:val="18"/>
                <w:szCs w:val="18"/>
              </w:rPr>
              <w:t>550,416)</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(53,587)</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9,335,177 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20,112 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9,355,289 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68,249 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582300818"/>
              <w:rPr>
                <w:rFonts w:eastAsia="Times New Roman"/>
              </w:rPr>
            </w:pPr>
            <w:r>
              <w:rPr>
                <w:rFonts w:eastAsia="Times New Roman"/>
                <w:color w:val="000000"/>
                <w:sz w:val="18"/>
                <w:szCs w:val="18"/>
              </w:rPr>
              <w:t xml:space="preserve">Issuance of 10,000 preferred shares (Note 9)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250,000 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(7,168)</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242,832 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242,832 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ind w:hanging="90"/>
              <w:divId w:val="1321887057"/>
              <w:rPr>
                <w:rFonts w:eastAsia="Times New Roman"/>
              </w:rPr>
            </w:pPr>
            <w:r>
              <w:rPr>
                <w:rFonts w:eastAsia="Times New Roman"/>
                <w:color w:val="000000"/>
                <w:sz w:val="18"/>
                <w:szCs w:val="18"/>
              </w:rPr>
              <w:t>Issuance of common shares in connection with share-based compensation (77,984 shares) (Note 11)</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8,099 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8,107 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8,107 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18"/>
                <w:szCs w:val="18"/>
              </w:rPr>
              <w:t>Taxes withheld upon net share settlement of restricted share units (Note 11)</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(10,574)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(10,574)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(10,574)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18"/>
                <w:szCs w:val="18"/>
              </w:rPr>
              <w:t>Share-based compensation expense (Note 11)</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15,650 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15,650 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15,650 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791 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791 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15,426 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516,295 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516,295 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516,295 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(2,352)</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(2,352)</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1,692 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(660)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660 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7C49E1">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Preferred shareholders (Note 9)</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(48,365)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(48,365)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(48,365)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(2,046)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(2,046)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ind w:hanging="90"/>
              <w:divId w:val="164784114"/>
              <w:rPr>
                <w:rFonts w:eastAsia="Times New Roman"/>
              </w:rPr>
            </w:pPr>
            <w:r>
              <w:rPr>
                <w:rFonts w:eastAsia="Times New Roman"/>
                <w:color w:val="000000"/>
                <w:sz w:val="18"/>
                <w:szCs w:val="18"/>
              </w:rPr>
              <w:t>Common shareholders and restricted share unitholders ($2.00 per share) (Note 9)</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(351,263)</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(351,263)</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(351,263)</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Other comprehensive loss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(6,795)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w:t>
            </w:r>
            <w:r>
              <w:rPr>
                <w:rFonts w:eastAsia="Times New Roman"/>
                <w:color w:val="000000"/>
                <w:sz w:val="18"/>
                <w:szCs w:val="18"/>
              </w:rPr>
              <w:t>6,795)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(6,795)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divId w:val="1432892230"/>
              <w:rPr>
                <w:rFonts w:eastAsia="Times New Roman"/>
              </w:rPr>
            </w:pPr>
            <w:r>
              <w:rPr>
                <w:rFonts w:eastAsia="Times New Roman"/>
                <w:b/>
                <w:bCs/>
                <w:color w:val="000000"/>
                <w:sz w:val="18"/>
                <w:szCs w:val="18"/>
              </w:rPr>
              <w:t>Balances at March 31, 2022</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4,350,000 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17,521 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5,827,674 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(436,101)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(60,382)</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9,698,712 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20,549 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9,719,261 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83,826 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bl>
    <w:p w:rsidR="00000000" w:rsidRDefault="007C49E1">
      <w:pPr>
        <w:jc w:val="center"/>
        <w:divId w:val="507791207"/>
        <w:rPr>
          <w:rFonts w:eastAsia="Times New Roman"/>
        </w:rPr>
      </w:pPr>
      <w:r>
        <w:rPr>
          <w:rFonts w:eastAsia="Times New Roman"/>
          <w:color w:val="000000"/>
          <w:sz w:val="20"/>
          <w:szCs w:val="20"/>
        </w:rPr>
        <w:t>See accompanying notes.</w:t>
      </w:r>
    </w:p>
    <w:p w:rsidR="00000000" w:rsidRDefault="007C49E1">
      <w:pPr>
        <w:jc w:val="center"/>
        <w:divId w:val="507791207"/>
        <w:rPr>
          <w:rFonts w:eastAsia="Times New Roman"/>
        </w:rPr>
      </w:pPr>
      <w:r>
        <w:rPr>
          <w:rFonts w:eastAsia="Times New Roman"/>
          <w:color w:val="000000"/>
          <w:sz w:val="20"/>
          <w:szCs w:val="20"/>
        </w:rPr>
        <w:t>4</w:t>
      </w:r>
    </w:p>
    <w:p w:rsidR="00000000" w:rsidRDefault="007C49E1">
      <w:pPr>
        <w:rPr>
          <w:rFonts w:eastAsia="Times New Roman"/>
        </w:rPr>
      </w:pPr>
      <w:r>
        <w:rPr>
          <w:rFonts w:eastAsia="Times New Roman"/>
        </w:rPr>
        <w:pict>
          <v:rect id="_x0000_i1030" style="width:0;height:1.5pt" o:hralign="center" o:hrstd="t" o:hr="t" fillcolor="#a0a0a0" stroked="f"/>
        </w:pict>
      </w:r>
    </w:p>
    <w:p w:rsidR="00000000" w:rsidRDefault="007C49E1">
      <w:pPr>
        <w:divId w:val="1317495738"/>
        <w:rPr>
          <w:rFonts w:eastAsia="Times New Roman"/>
        </w:rPr>
      </w:pPr>
    </w:p>
    <w:p w:rsidR="00000000" w:rsidRDefault="007C49E1">
      <w:pPr>
        <w:jc w:val="center"/>
        <w:rPr>
          <w:rFonts w:eastAsia="Times New Roman"/>
        </w:rPr>
      </w:pPr>
      <w:r>
        <w:rPr>
          <w:rFonts w:eastAsia="Times New Roman"/>
          <w:b/>
          <w:bCs/>
          <w:color w:val="000000"/>
          <w:sz w:val="20"/>
          <w:szCs w:val="20"/>
        </w:rPr>
        <w:t>PUBLIC STORAGE</w:t>
      </w:r>
    </w:p>
    <w:p w:rsidR="00000000" w:rsidRDefault="007C49E1">
      <w:pPr>
        <w:jc w:val="center"/>
        <w:rPr>
          <w:rFonts w:eastAsia="Times New Roman"/>
        </w:rPr>
      </w:pPr>
      <w:r>
        <w:rPr>
          <w:rFonts w:eastAsia="Times New Roman"/>
          <w:b/>
          <w:bCs/>
          <w:color w:val="000000"/>
          <w:sz w:val="20"/>
          <w:szCs w:val="20"/>
        </w:rPr>
        <w:t>CONSOLIDATE</w:t>
      </w:r>
      <w:r>
        <w:rPr>
          <w:rFonts w:eastAsia="Times New Roman"/>
          <w:b/>
          <w:bCs/>
          <w:color w:val="000000"/>
          <w:sz w:val="20"/>
          <w:szCs w:val="20"/>
        </w:rPr>
        <w:t>D STATEMENTS OF EQUITY AND REDEEMABLE NONCONTROLLING INTERESTS</w:t>
      </w:r>
    </w:p>
    <w:p w:rsidR="00000000" w:rsidRDefault="007C49E1">
      <w:pPr>
        <w:jc w:val="center"/>
        <w:rPr>
          <w:rFonts w:eastAsia="Times New Roman"/>
        </w:rPr>
      </w:pPr>
      <w:r>
        <w:rPr>
          <w:rFonts w:eastAsia="Times New Roman"/>
          <w:b/>
          <w:bCs/>
          <w:color w:val="000000"/>
          <w:sz w:val="20"/>
          <w:szCs w:val="20"/>
        </w:rPr>
        <w:t>Three Months Ended March 31, 2021</w:t>
      </w:r>
    </w:p>
    <w:p w:rsidR="00000000" w:rsidRDefault="007C49E1">
      <w:pPr>
        <w:jc w:val="center"/>
        <w:rPr>
          <w:rFonts w:eastAsia="Times New Roman"/>
        </w:rPr>
      </w:pPr>
      <w:r>
        <w:rPr>
          <w:rFonts w:eastAsia="Times New Roman"/>
          <w:b/>
          <w:bCs/>
          <w:color w:val="000000"/>
          <w:sz w:val="20"/>
          <w:szCs w:val="20"/>
        </w:rPr>
        <w:t>(Amounts in thousands, except share and per share amounts)</w:t>
      </w:r>
    </w:p>
    <w:p w:rsidR="00000000" w:rsidRDefault="007C49E1">
      <w:pPr>
        <w:jc w:val="center"/>
        <w:rPr>
          <w:rFonts w:eastAsia="Times New Roman"/>
        </w:rPr>
      </w:pPr>
      <w:r>
        <w:rPr>
          <w:rFonts w:eastAsia="Times New Roman"/>
          <w:b/>
          <w:bCs/>
          <w:color w:val="000000"/>
          <w:sz w:val="20"/>
          <w:szCs w:val="20"/>
        </w:rPr>
        <w:t>(Unaudited)</w:t>
      </w:r>
    </w:p>
    <w:p w:rsidR="00000000" w:rsidRDefault="007C49E1">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135"/>
        <w:gridCol w:w="37"/>
        <w:gridCol w:w="110"/>
        <w:gridCol w:w="765"/>
        <w:gridCol w:w="36"/>
        <w:gridCol w:w="36"/>
        <w:gridCol w:w="36"/>
        <w:gridCol w:w="36"/>
        <w:gridCol w:w="110"/>
        <w:gridCol w:w="540"/>
        <w:gridCol w:w="36"/>
        <w:gridCol w:w="36"/>
        <w:gridCol w:w="36"/>
        <w:gridCol w:w="36"/>
        <w:gridCol w:w="110"/>
        <w:gridCol w:w="765"/>
        <w:gridCol w:w="36"/>
        <w:gridCol w:w="36"/>
        <w:gridCol w:w="36"/>
        <w:gridCol w:w="36"/>
        <w:gridCol w:w="111"/>
        <w:gridCol w:w="773"/>
        <w:gridCol w:w="36"/>
        <w:gridCol w:w="36"/>
        <w:gridCol w:w="36"/>
        <w:gridCol w:w="36"/>
        <w:gridCol w:w="129"/>
        <w:gridCol w:w="904"/>
        <w:gridCol w:w="36"/>
        <w:gridCol w:w="36"/>
        <w:gridCol w:w="36"/>
        <w:gridCol w:w="36"/>
        <w:gridCol w:w="110"/>
        <w:gridCol w:w="765"/>
        <w:gridCol w:w="36"/>
        <w:gridCol w:w="36"/>
        <w:gridCol w:w="36"/>
        <w:gridCol w:w="36"/>
        <w:gridCol w:w="126"/>
        <w:gridCol w:w="880"/>
        <w:gridCol w:w="36"/>
        <w:gridCol w:w="36"/>
        <w:gridCol w:w="36"/>
        <w:gridCol w:w="36"/>
        <w:gridCol w:w="110"/>
        <w:gridCol w:w="765"/>
        <w:gridCol w:w="36"/>
        <w:gridCol w:w="36"/>
        <w:gridCol w:w="36"/>
        <w:gridCol w:w="36"/>
        <w:gridCol w:w="126"/>
        <w:gridCol w:w="880"/>
        <w:gridCol w:w="36"/>
      </w:tblGrid>
      <w:tr w:rsidR="00000000">
        <w:trPr>
          <w:jc w:val="center"/>
        </w:trPr>
        <w:tc>
          <w:tcPr>
            <w:tcW w:w="50" w:type="pct"/>
            <w:vAlign w:val="center"/>
            <w:hideMark/>
          </w:tcPr>
          <w:p w:rsidR="00000000" w:rsidRDefault="007C49E1">
            <w:pPr>
              <w:jc w:val="center"/>
              <w:rPr>
                <w:rFonts w:eastAsia="Times New Roman"/>
              </w:rPr>
            </w:pPr>
          </w:p>
        </w:tc>
        <w:tc>
          <w:tcPr>
            <w:tcW w:w="1123"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5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5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5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5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5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5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5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5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1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5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t>Other Comprehensive Loss</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Total Equity</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6"/>
                <w:szCs w:val="16"/>
              </w:rPr>
              <w:t>Redeemable Noncontrolling Interests</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divId w:val="592787660"/>
              <w:rPr>
                <w:rFonts w:eastAsia="Times New Roman"/>
              </w:rPr>
            </w:pPr>
            <w:r>
              <w:rPr>
                <w:rFonts w:eastAsia="Times New Roman"/>
                <w:b/>
                <w:bCs/>
                <w:color w:val="000000"/>
                <w:sz w:val="18"/>
                <w:szCs w:val="18"/>
              </w:rPr>
              <w:t>Balances at December 31, 2020</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3,792,500 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17,458 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5,707,101 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(914,791)</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(43,401)</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8,558,867 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18,032 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8,576,899 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ind w:hanging="90"/>
              <w:divId w:val="125586185"/>
              <w:rPr>
                <w:rFonts w:eastAsia="Times New Roman"/>
              </w:rPr>
            </w:pPr>
            <w:r>
              <w:rPr>
                <w:rFonts w:eastAsia="Times New Roman"/>
                <w:color w:val="000000"/>
                <w:sz w:val="18"/>
                <w:szCs w:val="18"/>
              </w:rPr>
              <w:t>Issuance of common shares in connection with share-based compensation (69,262 shares)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4,696 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4,703 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4,703 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ind w:hanging="90"/>
              <w:divId w:val="975915415"/>
              <w:rPr>
                <w:rFonts w:eastAsia="Times New Roman"/>
              </w:rPr>
            </w:pPr>
            <w:r>
              <w:rPr>
                <w:rFonts w:eastAsia="Times New Roman"/>
                <w:color w:val="000000"/>
                <w:sz w:val="18"/>
                <w:szCs w:val="18"/>
              </w:rPr>
              <w:t>Share-based compensation expense, net of cash paid in lieu of common shares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3,489 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3,489 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3,489 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18"/>
                <w:szCs w:val="18"/>
              </w:rPr>
              <w:t>Acquisition of noncontrolling interests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w:t>
            </w:r>
            <w:r>
              <w:rPr>
                <w:rFonts w:eastAsia="Times New Roman"/>
                <w:color w:val="000000"/>
                <w:sz w:val="18"/>
                <w:szCs w:val="18"/>
              </w:rPr>
              <w:t>1)</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1,380 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1,380 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434,262 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434,262 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434,262 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(1,226)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(1,226)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1,226 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7C49E1">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Preferred shareholders (Note 9)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(46,080)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(46,080)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(46,080)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(1,269)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(1,269)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ind w:hanging="90"/>
              <w:divId w:val="1096748969"/>
              <w:rPr>
                <w:rFonts w:eastAsia="Times New Roman"/>
              </w:rPr>
            </w:pPr>
            <w:r>
              <w:rPr>
                <w:rFonts w:eastAsia="Times New Roman"/>
                <w:color w:val="000000"/>
                <w:sz w:val="18"/>
                <w:szCs w:val="18"/>
              </w:rPr>
              <w:t>Common shareholders and restricted share unitholders ($2.00 per share) (Note 9)</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(350,096)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(350,096)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(350,096)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Other comprehensive loss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(5,940)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(5,940)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(5,940)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divId w:val="1474101750"/>
              <w:rPr>
                <w:rFonts w:eastAsia="Times New Roman"/>
              </w:rPr>
            </w:pPr>
            <w:r>
              <w:rPr>
                <w:rFonts w:eastAsia="Times New Roman"/>
                <w:b/>
                <w:bCs/>
                <w:color w:val="000000"/>
                <w:sz w:val="18"/>
                <w:szCs w:val="18"/>
              </w:rPr>
              <w:t>Balances at March 31, 2021</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3,792,500 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17,465 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5,715,254 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(877,931)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(49,341)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8,597,947 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19,368 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8,617,315 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bl>
    <w:p w:rsidR="00000000" w:rsidRDefault="007C49E1">
      <w:pPr>
        <w:divId w:val="1390618326"/>
        <w:rPr>
          <w:rFonts w:eastAsia="Times New Roman"/>
        </w:rPr>
      </w:pPr>
    </w:p>
    <w:p w:rsidR="00000000" w:rsidRDefault="007C49E1">
      <w:pPr>
        <w:jc w:val="center"/>
        <w:divId w:val="1618563496"/>
        <w:rPr>
          <w:rFonts w:eastAsia="Times New Roman"/>
        </w:rPr>
      </w:pPr>
      <w:r>
        <w:rPr>
          <w:rFonts w:eastAsia="Times New Roman"/>
          <w:color w:val="000000"/>
          <w:sz w:val="20"/>
          <w:szCs w:val="20"/>
        </w:rPr>
        <w:t>See accompanying notes.</w:t>
      </w:r>
    </w:p>
    <w:p w:rsidR="00000000" w:rsidRDefault="007C49E1">
      <w:pPr>
        <w:jc w:val="center"/>
        <w:divId w:val="1618563496"/>
        <w:rPr>
          <w:rFonts w:eastAsia="Times New Roman"/>
        </w:rPr>
      </w:pPr>
      <w:r>
        <w:rPr>
          <w:rFonts w:eastAsia="Times New Roman"/>
          <w:color w:val="000000"/>
          <w:sz w:val="20"/>
          <w:szCs w:val="20"/>
        </w:rPr>
        <w:t>5</w:t>
      </w:r>
    </w:p>
    <w:p w:rsidR="00000000" w:rsidRDefault="007C49E1">
      <w:pPr>
        <w:rPr>
          <w:rFonts w:eastAsia="Times New Roman"/>
        </w:rPr>
      </w:pPr>
      <w:r>
        <w:rPr>
          <w:rFonts w:eastAsia="Times New Roman"/>
        </w:rPr>
        <w:pict>
          <v:rect id="_x0000_i1031" style="width:0;height:1.5pt" o:hralign="center" o:hrstd="t" o:hr="t" fillcolor="#a0a0a0" stroked="f"/>
        </w:pict>
      </w:r>
    </w:p>
    <w:p w:rsidR="00000000" w:rsidRDefault="007C49E1">
      <w:pPr>
        <w:divId w:val="809786724"/>
        <w:rPr>
          <w:rFonts w:eastAsia="Times New Roman"/>
        </w:rPr>
      </w:pPr>
    </w:p>
    <w:p w:rsidR="00000000" w:rsidRDefault="007C49E1">
      <w:pPr>
        <w:jc w:val="center"/>
        <w:rPr>
          <w:rFonts w:eastAsia="Times New Roman"/>
        </w:rPr>
      </w:pPr>
      <w:r>
        <w:rPr>
          <w:rFonts w:eastAsia="Times New Roman"/>
          <w:b/>
          <w:bCs/>
          <w:color w:val="000000"/>
          <w:sz w:val="20"/>
          <w:szCs w:val="20"/>
        </w:rPr>
        <w:t>PUBLIC STORAGE</w:t>
      </w:r>
    </w:p>
    <w:p w:rsidR="00000000" w:rsidRDefault="007C49E1">
      <w:pPr>
        <w:jc w:val="center"/>
        <w:rPr>
          <w:rFonts w:eastAsia="Times New Roman"/>
        </w:rPr>
      </w:pPr>
      <w:r>
        <w:rPr>
          <w:rFonts w:eastAsia="Times New Roman"/>
          <w:b/>
          <w:bCs/>
          <w:color w:val="000000"/>
          <w:sz w:val="20"/>
          <w:szCs w:val="20"/>
        </w:rPr>
        <w:t>CONSOLIDATED STATEMENTS OF CASH FLOWS</w:t>
      </w:r>
    </w:p>
    <w:p w:rsidR="00000000" w:rsidRDefault="007C49E1">
      <w:pPr>
        <w:jc w:val="center"/>
        <w:rPr>
          <w:rFonts w:eastAsia="Times New Roman"/>
        </w:rPr>
      </w:pPr>
      <w:r>
        <w:rPr>
          <w:rFonts w:eastAsia="Times New Roman"/>
          <w:b/>
          <w:bCs/>
          <w:color w:val="000000"/>
          <w:sz w:val="20"/>
          <w:szCs w:val="20"/>
        </w:rPr>
        <w:t>(Amounts in thousands)</w:t>
      </w:r>
    </w:p>
    <w:p w:rsidR="00000000" w:rsidRDefault="007C49E1">
      <w:pPr>
        <w:jc w:val="center"/>
        <w:rPr>
          <w:rFonts w:eastAsia="Times New Roman"/>
        </w:rPr>
      </w:pPr>
      <w:r>
        <w:rPr>
          <w:rFonts w:eastAsia="Times New Roman"/>
          <w:b/>
          <w:bCs/>
          <w:color w:val="000000"/>
          <w:sz w:val="20"/>
          <w:szCs w:val="20"/>
        </w:rPr>
        <w:t>(Unaudited)</w:t>
      </w:r>
    </w:p>
    <w:p w:rsidR="00000000" w:rsidRDefault="007C49E1">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959"/>
        <w:gridCol w:w="39"/>
        <w:gridCol w:w="110"/>
        <w:gridCol w:w="1342"/>
        <w:gridCol w:w="36"/>
        <w:gridCol w:w="36"/>
        <w:gridCol w:w="36"/>
        <w:gridCol w:w="36"/>
        <w:gridCol w:w="110"/>
        <w:gridCol w:w="1309"/>
        <w:gridCol w:w="36"/>
        <w:gridCol w:w="36"/>
        <w:gridCol w:w="36"/>
        <w:gridCol w:w="36"/>
        <w:gridCol w:w="36"/>
        <w:gridCol w:w="36"/>
        <w:gridCol w:w="36"/>
      </w:tblGrid>
      <w:tr w:rsidR="00000000">
        <w:trPr>
          <w:jc w:val="center"/>
        </w:trPr>
        <w:tc>
          <w:tcPr>
            <w:tcW w:w="50" w:type="pct"/>
            <w:vAlign w:val="center"/>
            <w:hideMark/>
          </w:tcPr>
          <w:p w:rsidR="00000000" w:rsidRDefault="007C49E1">
            <w:pPr>
              <w:jc w:val="center"/>
              <w:rPr>
                <w:rFonts w:eastAsia="Times New Roman"/>
              </w:rPr>
            </w:pPr>
          </w:p>
        </w:tc>
        <w:tc>
          <w:tcPr>
            <w:tcW w:w="308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54"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54"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For the Three Months Ended March 31,</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Cash flows from operating activities: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vAlign w:val="center"/>
            <w:hideMark/>
          </w:tcPr>
          <w:p w:rsidR="00000000" w:rsidRDefault="007C49E1">
            <w:pPr>
              <w:spacing w:after="100"/>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Net income </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516,295 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434,262 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18"/>
                <w:szCs w:val="18"/>
              </w:rPr>
              <w:t>Adjustments to reconcile net income to net cash flows from operating activities:</w:t>
            </w:r>
          </w:p>
        </w:tc>
        <w:tc>
          <w:tcPr>
            <w:tcW w:w="0" w:type="auto"/>
            <w:gridSpan w:val="3"/>
            <w:tcMar>
              <w:top w:w="0" w:type="dxa"/>
              <w:left w:w="20" w:type="dxa"/>
              <w:bottom w:w="0" w:type="dxa"/>
              <w:right w:w="20" w:type="dxa"/>
            </w:tcMar>
            <w:vAlign w:val="center"/>
            <w:hideMark/>
          </w:tcPr>
          <w:p w:rsidR="00000000" w:rsidRDefault="007C49E1">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Gain on sale of real estate</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(9,413)</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Depreciation and amortization</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222,128 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146,859 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Equity in earnings of unconsolidated real estate entities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(43,424)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(19,456)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Distributions from cumulative equity in earnings of unconsolidated real estate entities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15,501 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15,487 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Foreign currency exchange gain</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(35,377)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(45,385)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Share-based compensation expense</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13,928 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14,407 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Other </w:t>
            </w:r>
          </w:p>
        </w:tc>
        <w:tc>
          <w:tcPr>
            <w:tcW w:w="0" w:type="auto"/>
            <w:gridSpan w:val="2"/>
            <w:tcMar>
              <w:top w:w="30" w:type="dxa"/>
              <w:left w:w="20" w:type="dxa"/>
              <w:bottom w:w="30" w:type="dxa"/>
              <w:right w:w="0" w:type="dxa"/>
            </w:tcMar>
            <w:vAlign w:val="center"/>
            <w:hideMark/>
          </w:tcPr>
          <w:p w:rsidR="00000000" w:rsidRDefault="007C49E1">
            <w:pPr>
              <w:spacing w:after="100"/>
              <w:jc w:val="right"/>
              <w:rPr>
                <w:rFonts w:eastAsia="Times New Roman"/>
              </w:rPr>
            </w:pPr>
            <w:r>
              <w:rPr>
                <w:rFonts w:eastAsia="Times New Roman"/>
                <w:color w:val="000000"/>
                <w:sz w:val="18"/>
                <w:szCs w:val="18"/>
              </w:rPr>
              <w:t>(32,810)</w:t>
            </w:r>
          </w:p>
        </w:tc>
        <w:tc>
          <w:tcPr>
            <w:tcW w:w="0" w:type="auto"/>
            <w:tcMar>
              <w:top w:w="30" w:type="dxa"/>
              <w:left w:w="0" w:type="dxa"/>
              <w:bottom w:w="3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(27,599)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56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Total adjustments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7C49E1">
            <w:pPr>
              <w:spacing w:after="100"/>
              <w:jc w:val="right"/>
              <w:rPr>
                <w:rFonts w:eastAsia="Times New Roman"/>
              </w:rPr>
            </w:pPr>
            <w:r>
              <w:rPr>
                <w:rFonts w:eastAsia="Times New Roman"/>
                <w:color w:val="000000"/>
                <w:sz w:val="18"/>
                <w:szCs w:val="18"/>
              </w:rPr>
              <w:t>139,946 </w:t>
            </w:r>
          </w:p>
        </w:tc>
        <w:tc>
          <w:tcPr>
            <w:tcW w:w="0" w:type="auto"/>
            <w:tcBorders>
              <w:top w:val="single" w:sz="8" w:space="0" w:color="000000"/>
            </w:tcBorders>
            <w:tcMar>
              <w:top w:w="30" w:type="dxa"/>
              <w:left w:w="0" w:type="dxa"/>
              <w:bottom w:w="3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7C49E1">
            <w:pPr>
              <w:spacing w:after="100"/>
              <w:jc w:val="right"/>
              <w:rPr>
                <w:rFonts w:eastAsia="Times New Roman"/>
              </w:rPr>
            </w:pPr>
            <w:r>
              <w:rPr>
                <w:rFonts w:eastAsia="Times New Roman"/>
                <w:color w:val="000000"/>
                <w:sz w:val="18"/>
                <w:szCs w:val="18"/>
              </w:rPr>
              <w:t>74,900 </w:t>
            </w:r>
          </w:p>
        </w:tc>
        <w:tc>
          <w:tcPr>
            <w:tcW w:w="0" w:type="auto"/>
            <w:tcBorders>
              <w:top w:val="single" w:sz="8" w:space="0" w:color="000000"/>
            </w:tcBorders>
            <w:tcMar>
              <w:top w:w="30" w:type="dxa"/>
              <w:left w:w="0" w:type="dxa"/>
              <w:bottom w:w="30" w:type="dxa"/>
              <w:right w:w="20" w:type="dxa"/>
            </w:tcMar>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44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Net cash flows from operating activities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7C49E1">
            <w:pPr>
              <w:spacing w:after="100"/>
              <w:jc w:val="right"/>
              <w:rPr>
                <w:rFonts w:eastAsia="Times New Roman"/>
              </w:rPr>
            </w:pPr>
            <w:r>
              <w:rPr>
                <w:rFonts w:eastAsia="Times New Roman"/>
                <w:color w:val="000000"/>
                <w:sz w:val="18"/>
                <w:szCs w:val="18"/>
              </w:rPr>
              <w:t>656,241 </w:t>
            </w:r>
          </w:p>
        </w:tc>
        <w:tc>
          <w:tcPr>
            <w:tcW w:w="0" w:type="auto"/>
            <w:tcBorders>
              <w:top w:val="single" w:sz="8" w:space="0" w:color="000000"/>
            </w:tcBorders>
            <w:tcMar>
              <w:top w:w="30" w:type="dxa"/>
              <w:left w:w="0" w:type="dxa"/>
              <w:bottom w:w="3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7C49E1">
            <w:pPr>
              <w:spacing w:after="100"/>
              <w:jc w:val="right"/>
              <w:rPr>
                <w:rFonts w:eastAsia="Times New Roman"/>
              </w:rPr>
            </w:pPr>
            <w:r>
              <w:rPr>
                <w:rFonts w:eastAsia="Times New Roman"/>
                <w:color w:val="000000"/>
                <w:sz w:val="18"/>
                <w:szCs w:val="18"/>
              </w:rPr>
              <w:t>509,162 </w:t>
            </w:r>
          </w:p>
        </w:tc>
        <w:tc>
          <w:tcPr>
            <w:tcW w:w="0" w:type="auto"/>
            <w:tcBorders>
              <w:top w:val="single" w:sz="8" w:space="0" w:color="000000"/>
            </w:tcBorders>
            <w:tcMar>
              <w:top w:w="30" w:type="dxa"/>
              <w:left w:w="0" w:type="dxa"/>
              <w:bottom w:w="30" w:type="dxa"/>
              <w:right w:w="20" w:type="dxa"/>
            </w:tcMar>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Cash flows from investing activities: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Capital expenditures to maintain real estate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(99,549)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(36,551)</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Development and expansion of real estate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(76,705)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(61,213)</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Acquisition of real estate facilities and intangible assets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(112,277)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(203,108)</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Real estate deposits and costs for pending acquisitions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(114,415)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Proceeds from sale of real estate investments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11,562 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44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Net cash flows used in investing activities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7C49E1">
            <w:pPr>
              <w:spacing w:after="100"/>
              <w:jc w:val="right"/>
              <w:rPr>
                <w:rFonts w:eastAsia="Times New Roman"/>
              </w:rPr>
            </w:pPr>
            <w:r>
              <w:rPr>
                <w:rFonts w:eastAsia="Times New Roman"/>
                <w:color w:val="000000"/>
                <w:sz w:val="18"/>
                <w:szCs w:val="18"/>
              </w:rPr>
              <w:t>(288,531)</w:t>
            </w:r>
          </w:p>
        </w:tc>
        <w:tc>
          <w:tcPr>
            <w:tcW w:w="0" w:type="auto"/>
            <w:tcBorders>
              <w:top w:val="single" w:sz="8" w:space="0" w:color="000000"/>
            </w:tcBorders>
            <w:tcMar>
              <w:top w:w="30" w:type="dxa"/>
              <w:left w:w="0" w:type="dxa"/>
              <w:bottom w:w="3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7C49E1">
            <w:pPr>
              <w:spacing w:after="100"/>
              <w:jc w:val="right"/>
              <w:rPr>
                <w:rFonts w:eastAsia="Times New Roman"/>
              </w:rPr>
            </w:pPr>
            <w:r>
              <w:rPr>
                <w:rFonts w:eastAsia="Times New Roman"/>
                <w:color w:val="000000"/>
                <w:sz w:val="18"/>
                <w:szCs w:val="18"/>
              </w:rPr>
              <w:t>(403,725)</w:t>
            </w:r>
          </w:p>
        </w:tc>
        <w:tc>
          <w:tcPr>
            <w:tcW w:w="0" w:type="auto"/>
            <w:tcBorders>
              <w:top w:val="single" w:sz="8" w:space="0" w:color="000000"/>
            </w:tcBorders>
            <w:tcMar>
              <w:top w:w="30" w:type="dxa"/>
              <w:left w:w="0" w:type="dxa"/>
              <w:bottom w:w="30" w:type="dxa"/>
              <w:right w:w="20" w:type="dxa"/>
            </w:tcMar>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Cash flows from financing activities: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Repayments on notes payable</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(527)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Issuance of notes payable, net of issuance costs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496,235 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Issuance of preferred shares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242,832 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Issuance of common shares in connection with share-based compensation</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8,073 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4,703 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Redemption of preferred shares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(300,000)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Taxes paid upon net share settlement of restricted share units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(10,574)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(7,284)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Acquisition of noncontrolling interests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Contributions by noncontrolling interests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791 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1,380 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Distributions paid to preferred shareholders, common shareholders and restricted share unitholders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(399,584)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(396,176)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Distributions paid to noncontrolling interests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(2,555)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(1,269)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44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Net cash flows used in financing activities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(161,253)</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(202,971)</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Net cash flows from (used in) operating, investing, and financing activities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206,457 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(97,534)</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Net effect of foreign exchange impact on cash and equivalents, including restricted cash</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Increase (decrease) in cash and equivalents, including restricted cash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206,630 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(97,356)</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jc w:val="center"/>
        <w:divId w:val="960495835"/>
        <w:rPr>
          <w:rFonts w:eastAsia="Times New Roman"/>
        </w:rPr>
      </w:pPr>
      <w:r>
        <w:rPr>
          <w:rFonts w:eastAsia="Times New Roman"/>
          <w:color w:val="000000"/>
          <w:sz w:val="20"/>
          <w:szCs w:val="20"/>
        </w:rPr>
        <w:t>See accompanying notes.</w:t>
      </w:r>
    </w:p>
    <w:p w:rsidR="00000000" w:rsidRDefault="007C49E1">
      <w:pPr>
        <w:jc w:val="center"/>
        <w:divId w:val="960495835"/>
        <w:rPr>
          <w:rFonts w:eastAsia="Times New Roman"/>
        </w:rPr>
      </w:pPr>
      <w:r>
        <w:rPr>
          <w:rFonts w:eastAsia="Times New Roman"/>
          <w:color w:val="000000"/>
          <w:sz w:val="20"/>
          <w:szCs w:val="20"/>
        </w:rPr>
        <w:t>6</w:t>
      </w:r>
    </w:p>
    <w:p w:rsidR="00000000" w:rsidRDefault="007C49E1">
      <w:pPr>
        <w:rPr>
          <w:rFonts w:eastAsia="Times New Roman"/>
        </w:rPr>
      </w:pPr>
      <w:r>
        <w:rPr>
          <w:rFonts w:eastAsia="Times New Roman"/>
        </w:rPr>
        <w:pict>
          <v:rect id="_x0000_i1032" style="width:0;height:1.5pt" o:hralign="center" o:hrstd="t" o:hr="t" fillcolor="#a0a0a0" stroked="f"/>
        </w:pict>
      </w:r>
    </w:p>
    <w:p w:rsidR="00000000" w:rsidRDefault="007C49E1">
      <w:pPr>
        <w:divId w:val="632180971"/>
        <w:rPr>
          <w:rFonts w:eastAsia="Times New Roman"/>
        </w:rPr>
      </w:pPr>
    </w:p>
    <w:p w:rsidR="00000000" w:rsidRDefault="007C49E1">
      <w:pPr>
        <w:jc w:val="center"/>
        <w:rPr>
          <w:rFonts w:eastAsia="Times New Roman"/>
        </w:rPr>
      </w:pPr>
      <w:r>
        <w:rPr>
          <w:rFonts w:eastAsia="Times New Roman"/>
          <w:b/>
          <w:bCs/>
          <w:color w:val="000000"/>
          <w:sz w:val="20"/>
          <w:szCs w:val="20"/>
        </w:rPr>
        <w:t>PUBLIC STORAGE</w:t>
      </w:r>
    </w:p>
    <w:p w:rsidR="00000000" w:rsidRDefault="007C49E1">
      <w:pPr>
        <w:jc w:val="center"/>
        <w:rPr>
          <w:rFonts w:eastAsia="Times New Roman"/>
        </w:rPr>
      </w:pPr>
      <w:r>
        <w:rPr>
          <w:rFonts w:eastAsia="Times New Roman"/>
          <w:b/>
          <w:bCs/>
          <w:color w:val="000000"/>
          <w:sz w:val="20"/>
          <w:szCs w:val="20"/>
        </w:rPr>
        <w:t>CONSOLIDATED STATEMENTS OF CASH FLOWS</w:t>
      </w:r>
    </w:p>
    <w:p w:rsidR="00000000" w:rsidRDefault="007C49E1">
      <w:pPr>
        <w:jc w:val="center"/>
        <w:rPr>
          <w:rFonts w:eastAsia="Times New Roman"/>
        </w:rPr>
      </w:pPr>
      <w:r>
        <w:rPr>
          <w:rFonts w:eastAsia="Times New Roman"/>
          <w:b/>
          <w:bCs/>
          <w:color w:val="000000"/>
          <w:sz w:val="20"/>
          <w:szCs w:val="20"/>
        </w:rPr>
        <w:t>(Amounts in thousands)</w:t>
      </w:r>
    </w:p>
    <w:p w:rsidR="00000000" w:rsidRDefault="007C49E1">
      <w:pPr>
        <w:jc w:val="center"/>
        <w:rPr>
          <w:rFonts w:eastAsia="Times New Roman"/>
        </w:rPr>
      </w:pPr>
      <w:r>
        <w:rPr>
          <w:rFonts w:eastAsia="Times New Roman"/>
          <w:b/>
          <w:bCs/>
          <w:color w:val="000000"/>
          <w:sz w:val="20"/>
          <w:szCs w:val="20"/>
        </w:rPr>
        <w:t>(Unaudited)</w:t>
      </w:r>
    </w:p>
    <w:p w:rsidR="00000000" w:rsidRDefault="007C49E1">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959"/>
        <w:gridCol w:w="38"/>
        <w:gridCol w:w="110"/>
        <w:gridCol w:w="1342"/>
        <w:gridCol w:w="36"/>
        <w:gridCol w:w="36"/>
        <w:gridCol w:w="36"/>
        <w:gridCol w:w="36"/>
        <w:gridCol w:w="110"/>
        <w:gridCol w:w="1310"/>
        <w:gridCol w:w="36"/>
        <w:gridCol w:w="36"/>
        <w:gridCol w:w="36"/>
        <w:gridCol w:w="36"/>
        <w:gridCol w:w="36"/>
        <w:gridCol w:w="36"/>
        <w:gridCol w:w="36"/>
      </w:tblGrid>
      <w:tr w:rsidR="00000000">
        <w:trPr>
          <w:jc w:val="center"/>
        </w:trPr>
        <w:tc>
          <w:tcPr>
            <w:tcW w:w="50" w:type="pct"/>
            <w:vAlign w:val="center"/>
            <w:hideMark/>
          </w:tcPr>
          <w:p w:rsidR="00000000" w:rsidRDefault="007C49E1">
            <w:pPr>
              <w:jc w:val="center"/>
              <w:rPr>
                <w:rFonts w:eastAsia="Times New Roman"/>
              </w:rPr>
            </w:pPr>
          </w:p>
        </w:tc>
        <w:tc>
          <w:tcPr>
            <w:tcW w:w="308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54"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54"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For the Three Months Ended March 31,</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Cash and equivalents, including restricted cash at beginning of the period: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Cash and equivalents </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734,599 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257,560 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Restricted cash included in other assets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26,691 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25,040 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761,290 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282,600 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Cash and equivalents, including restricted cash at end of the period: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Cash and equivalents </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940,524 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159,622 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Restricted cash included in other assets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27,396 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25,622 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967,920 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185,244 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Supplemental schedule of non-cash investing and financing activities:</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Costs incurred during the period remaining unpaid at period end for:</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Capital expenditures to maintain real estate facilities </w:t>
            </w:r>
          </w:p>
        </w:tc>
        <w:tc>
          <w:tcPr>
            <w:tcW w:w="0" w:type="auto"/>
            <w:tcMar>
              <w:top w:w="30" w:type="dxa"/>
              <w:left w:w="20" w:type="dxa"/>
              <w:bottom w:w="30" w:type="dxa"/>
              <w:right w:w="0" w:type="dxa"/>
            </w:tcMar>
            <w:vAlign w:val="center"/>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center"/>
            <w:hideMark/>
          </w:tcPr>
          <w:p w:rsidR="00000000" w:rsidRDefault="007C49E1">
            <w:pPr>
              <w:spacing w:after="100"/>
              <w:jc w:val="right"/>
              <w:rPr>
                <w:rFonts w:eastAsia="Times New Roman"/>
              </w:rPr>
            </w:pPr>
            <w:r>
              <w:rPr>
                <w:rFonts w:eastAsia="Times New Roman"/>
                <w:color w:val="000000"/>
                <w:sz w:val="18"/>
                <w:szCs w:val="18"/>
              </w:rPr>
              <w:t>(14,119)</w:t>
            </w:r>
          </w:p>
        </w:tc>
        <w:tc>
          <w:tcPr>
            <w:tcW w:w="0" w:type="auto"/>
            <w:tcMar>
              <w:top w:w="30" w:type="dxa"/>
              <w:left w:w="0" w:type="dxa"/>
              <w:bottom w:w="3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center"/>
            <w:hideMark/>
          </w:tcPr>
          <w:p w:rsidR="00000000" w:rsidRDefault="007C49E1">
            <w:pPr>
              <w:spacing w:after="100"/>
              <w:jc w:val="right"/>
              <w:rPr>
                <w:rFonts w:eastAsia="Times New Roman"/>
              </w:rPr>
            </w:pPr>
            <w:r>
              <w:rPr>
                <w:rFonts w:eastAsia="Times New Roman"/>
                <w:color w:val="000000"/>
                <w:sz w:val="18"/>
                <w:szCs w:val="18"/>
              </w:rPr>
              <w:t>(9,018)</w:t>
            </w:r>
          </w:p>
        </w:tc>
        <w:tc>
          <w:tcPr>
            <w:tcW w:w="0" w:type="auto"/>
            <w:tcMar>
              <w:top w:w="30" w:type="dxa"/>
              <w:left w:w="0" w:type="dxa"/>
              <w:bottom w:w="30" w:type="dxa"/>
              <w:right w:w="20" w:type="dxa"/>
            </w:tcMar>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Construction or expansion of real estate facilities</w:t>
            </w:r>
          </w:p>
        </w:tc>
        <w:tc>
          <w:tcPr>
            <w:tcW w:w="0" w:type="auto"/>
            <w:gridSpan w:val="2"/>
            <w:tcMar>
              <w:top w:w="30" w:type="dxa"/>
              <w:left w:w="20" w:type="dxa"/>
              <w:bottom w:w="30" w:type="dxa"/>
              <w:right w:w="0" w:type="dxa"/>
            </w:tcMar>
            <w:vAlign w:val="center"/>
            <w:hideMark/>
          </w:tcPr>
          <w:p w:rsidR="00000000" w:rsidRDefault="007C49E1">
            <w:pPr>
              <w:spacing w:after="100"/>
              <w:jc w:val="right"/>
              <w:rPr>
                <w:rFonts w:eastAsia="Times New Roman"/>
              </w:rPr>
            </w:pPr>
            <w:r>
              <w:rPr>
                <w:rFonts w:eastAsia="Times New Roman"/>
                <w:color w:val="000000"/>
                <w:sz w:val="18"/>
                <w:szCs w:val="18"/>
              </w:rPr>
              <w:t>(42,245)</w:t>
            </w:r>
          </w:p>
        </w:tc>
        <w:tc>
          <w:tcPr>
            <w:tcW w:w="0" w:type="auto"/>
            <w:tcMar>
              <w:top w:w="30" w:type="dxa"/>
              <w:left w:w="0" w:type="dxa"/>
              <w:bottom w:w="3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(21,886)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Real estate acquired in exchange for noncontrolling interests</w:t>
            </w:r>
          </w:p>
        </w:tc>
        <w:tc>
          <w:tcPr>
            <w:tcW w:w="0" w:type="auto"/>
            <w:gridSpan w:val="2"/>
            <w:tcMar>
              <w:top w:w="30" w:type="dxa"/>
              <w:left w:w="20" w:type="dxa"/>
              <w:bottom w:w="30" w:type="dxa"/>
              <w:right w:w="0" w:type="dxa"/>
            </w:tcMar>
            <w:vAlign w:val="center"/>
            <w:hideMark/>
          </w:tcPr>
          <w:p w:rsidR="00000000" w:rsidRDefault="007C49E1">
            <w:pPr>
              <w:spacing w:after="100"/>
              <w:jc w:val="right"/>
              <w:rPr>
                <w:rFonts w:eastAsia="Times New Roman"/>
              </w:rPr>
            </w:pPr>
            <w:r>
              <w:rPr>
                <w:rFonts w:eastAsia="Times New Roman"/>
                <w:color w:val="000000"/>
                <w:sz w:val="18"/>
                <w:szCs w:val="18"/>
              </w:rPr>
              <w:t>(15,426)</w:t>
            </w:r>
          </w:p>
        </w:tc>
        <w:tc>
          <w:tcPr>
            <w:tcW w:w="0" w:type="auto"/>
            <w:tcMar>
              <w:top w:w="30" w:type="dxa"/>
              <w:left w:w="0" w:type="dxa"/>
              <w:bottom w:w="30" w:type="dxa"/>
              <w:right w:w="20" w:type="dxa"/>
            </w:tcMar>
            <w:vAlign w:val="center"/>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divId w:val="1288396498"/>
        <w:rPr>
          <w:rFonts w:eastAsia="Times New Roman"/>
        </w:rPr>
      </w:pPr>
    </w:p>
    <w:p w:rsidR="00000000" w:rsidRDefault="007C49E1">
      <w:pPr>
        <w:jc w:val="center"/>
        <w:divId w:val="1004091727"/>
        <w:rPr>
          <w:rFonts w:eastAsia="Times New Roman"/>
        </w:rPr>
      </w:pPr>
      <w:r>
        <w:rPr>
          <w:rFonts w:eastAsia="Times New Roman"/>
          <w:color w:val="000000"/>
          <w:sz w:val="20"/>
          <w:szCs w:val="20"/>
        </w:rPr>
        <w:t>See accompanying notes.</w:t>
      </w:r>
    </w:p>
    <w:p w:rsidR="00000000" w:rsidRDefault="007C49E1">
      <w:pPr>
        <w:jc w:val="center"/>
        <w:divId w:val="1004091727"/>
        <w:rPr>
          <w:rFonts w:eastAsia="Times New Roman"/>
        </w:rPr>
      </w:pPr>
      <w:r>
        <w:rPr>
          <w:rFonts w:eastAsia="Times New Roman"/>
          <w:color w:val="000000"/>
          <w:sz w:val="20"/>
          <w:szCs w:val="20"/>
        </w:rPr>
        <w:t>7</w:t>
      </w:r>
    </w:p>
    <w:p w:rsidR="00000000" w:rsidRDefault="007C49E1">
      <w:pPr>
        <w:rPr>
          <w:rFonts w:eastAsia="Times New Roman"/>
        </w:rPr>
      </w:pPr>
      <w:r>
        <w:rPr>
          <w:rFonts w:eastAsia="Times New Roman"/>
        </w:rPr>
        <w:pict>
          <v:rect id="_x0000_i1033" style="width:0;height:1.5pt" o:hralign="center" o:hrstd="t" o:hr="t" fillcolor="#a0a0a0" stroked="f"/>
        </w:pict>
      </w:r>
    </w:p>
    <w:p w:rsidR="00000000" w:rsidRDefault="007C49E1">
      <w:pPr>
        <w:jc w:val="center"/>
        <w:divId w:val="591625625"/>
        <w:rPr>
          <w:rFonts w:eastAsia="Times New Roman"/>
        </w:rPr>
      </w:pPr>
    </w:p>
    <w:p w:rsidR="00000000" w:rsidRDefault="007C49E1">
      <w:pPr>
        <w:jc w:val="center"/>
        <w:divId w:val="591625625"/>
        <w:rPr>
          <w:rFonts w:eastAsia="Times New Roman"/>
        </w:rPr>
      </w:pPr>
      <w:r>
        <w:rPr>
          <w:rFonts w:eastAsia="Times New Roman"/>
          <w:b/>
          <w:bCs/>
          <w:color w:val="000000"/>
          <w:sz w:val="20"/>
          <w:szCs w:val="20"/>
        </w:rPr>
        <w:t>PUBLIC STORAGE</w:t>
      </w:r>
    </w:p>
    <w:p w:rsidR="00000000" w:rsidRDefault="007C49E1">
      <w:pPr>
        <w:jc w:val="center"/>
        <w:divId w:val="591625625"/>
        <w:rPr>
          <w:rFonts w:eastAsia="Times New Roman"/>
        </w:rPr>
      </w:pPr>
      <w:r>
        <w:rPr>
          <w:rFonts w:eastAsia="Times New Roman"/>
          <w:b/>
          <w:bCs/>
          <w:color w:val="000000"/>
          <w:sz w:val="20"/>
          <w:szCs w:val="20"/>
        </w:rPr>
        <w:t>NOTES TO CONSOLIDATED FINANCIAL STATEMENTS</w:t>
      </w:r>
    </w:p>
    <w:p w:rsidR="00000000" w:rsidRDefault="007C49E1">
      <w:pPr>
        <w:jc w:val="center"/>
        <w:divId w:val="591625625"/>
        <w:rPr>
          <w:rFonts w:eastAsia="Times New Roman"/>
        </w:rPr>
      </w:pPr>
      <w:r>
        <w:rPr>
          <w:rFonts w:eastAsia="Times New Roman"/>
          <w:b/>
          <w:bCs/>
          <w:color w:val="000000"/>
          <w:sz w:val="20"/>
          <w:szCs w:val="20"/>
        </w:rPr>
        <w:t>March 31, 2022</w:t>
      </w:r>
    </w:p>
    <w:p w:rsidR="00000000" w:rsidRDefault="007C49E1">
      <w:pPr>
        <w:jc w:val="center"/>
        <w:divId w:val="591625625"/>
        <w:rPr>
          <w:rFonts w:eastAsia="Times New Roman"/>
        </w:rPr>
      </w:pPr>
      <w:r>
        <w:rPr>
          <w:rFonts w:eastAsia="Times New Roman"/>
          <w:b/>
          <w:bCs/>
          <w:color w:val="000000"/>
          <w:sz w:val="20"/>
          <w:szCs w:val="20"/>
        </w:rPr>
        <w:t>(Unaudited)</w:t>
      </w:r>
    </w:p>
    <w:p w:rsidR="00000000" w:rsidRDefault="007C49E1">
      <w:pPr>
        <w:jc w:val="center"/>
        <w:divId w:val="591625625"/>
        <w:rPr>
          <w:rFonts w:eastAsia="Times New Roman"/>
        </w:rPr>
      </w:pPr>
    </w:p>
    <w:p w:rsidR="00000000" w:rsidRDefault="007C49E1">
      <w:pPr>
        <w:divId w:val="11959775"/>
        <w:rPr>
          <w:rFonts w:eastAsia="Times New Roman"/>
        </w:rPr>
      </w:pPr>
    </w:p>
    <w:p w:rsidR="00000000" w:rsidRDefault="007C49E1">
      <w:pPr>
        <w:ind w:hanging="360"/>
        <w:divId w:val="1930893861"/>
        <w:rPr>
          <w:rFonts w:eastAsia="Times New Roman"/>
        </w:rPr>
      </w:pPr>
      <w:r>
        <w:rPr>
          <w:rFonts w:eastAsia="Times New Roman"/>
          <w:color w:val="000000"/>
          <w:sz w:val="20"/>
          <w:szCs w:val="20"/>
        </w:rPr>
        <w:t>1.</w:t>
      </w:r>
      <w:r>
        <w:rPr>
          <w:rFonts w:eastAsia="Times New Roman"/>
          <w:color w:val="000000"/>
          <w:sz w:val="20"/>
          <w:szCs w:val="20"/>
          <w:u w:val="single"/>
        </w:rPr>
        <w:t>Description of the Business</w:t>
      </w:r>
    </w:p>
    <w:p w:rsidR="00000000" w:rsidRDefault="007C49E1">
      <w:pPr>
        <w:ind w:firstLine="720"/>
        <w:jc w:val="both"/>
        <w:divId w:val="181940213"/>
        <w:rPr>
          <w:rFonts w:eastAsia="Times New Roman"/>
        </w:rPr>
      </w:pPr>
      <w:r>
        <w:rPr>
          <w:rFonts w:eastAsia="Times New Roman"/>
          <w:color w:val="000000"/>
          <w:sz w:val="20"/>
          <w:szCs w:val="20"/>
        </w:rPr>
        <w:t>Public Storage (referred to herein as “the Company,” “we,” “us,” or “our”</w:t>
      </w:r>
      <w:r>
        <w:rPr>
          <w:rFonts w:eastAsia="Times New Roman"/>
          <w:color w:val="000000"/>
          <w:sz w:val="20"/>
          <w:szCs w:val="20"/>
        </w:rPr>
        <w:t>), a Maryland real estate investment trust (“REIT”), was organized in 1980. Our principal business activities include the ownership and operation of self-storage facilities that offer storage spaces for lease, generally on a month-to-month basis, for perso</w:t>
      </w:r>
      <w:r>
        <w:rPr>
          <w:rFonts w:eastAsia="Times New Roman"/>
          <w:color w:val="000000"/>
          <w:sz w:val="20"/>
          <w:szCs w:val="20"/>
        </w:rPr>
        <w:t xml:space="preserve">nal and business use, ancillary activities such as tenant reinsurance, merchandise sales, and third party management, as well as the acquisition and development of additional self-storage space. </w:t>
      </w:r>
    </w:p>
    <w:p w:rsidR="00000000" w:rsidRDefault="007C49E1">
      <w:pPr>
        <w:ind w:firstLine="720"/>
        <w:jc w:val="both"/>
        <w:divId w:val="1901938893"/>
        <w:rPr>
          <w:rFonts w:eastAsia="Times New Roman"/>
        </w:rPr>
      </w:pPr>
      <w:r>
        <w:rPr>
          <w:rFonts w:eastAsia="Times New Roman"/>
          <w:color w:val="000000"/>
          <w:sz w:val="20"/>
          <w:szCs w:val="20"/>
        </w:rPr>
        <w:t>At March 31, 2022, we have direct and indirect equity intere</w:t>
      </w:r>
      <w:r>
        <w:rPr>
          <w:rFonts w:eastAsia="Times New Roman"/>
          <w:color w:val="000000"/>
          <w:sz w:val="20"/>
          <w:szCs w:val="20"/>
        </w:rPr>
        <w:t xml:space="preserve">sts in 2,797 self-storage facilities (with approximately 199.1 million net rentable square feet) located in 39 states in the United States (“U.S.”) operating under the Public Storage® name, and 0.9 million net rentable square feet of commercial and retail </w:t>
      </w:r>
      <w:r>
        <w:rPr>
          <w:rFonts w:eastAsia="Times New Roman"/>
          <w:color w:val="000000"/>
          <w:sz w:val="20"/>
          <w:szCs w:val="20"/>
        </w:rPr>
        <w:t xml:space="preserve">space. </w:t>
      </w:r>
    </w:p>
    <w:p w:rsidR="00000000" w:rsidRDefault="007C49E1">
      <w:pPr>
        <w:ind w:firstLine="720"/>
        <w:jc w:val="both"/>
        <w:divId w:val="277954608"/>
        <w:rPr>
          <w:rFonts w:eastAsia="Times New Roman"/>
        </w:rPr>
      </w:pPr>
      <w:r>
        <w:rPr>
          <w:rFonts w:eastAsia="Times New Roman"/>
          <w:color w:val="000000"/>
          <w:sz w:val="20"/>
          <w:szCs w:val="20"/>
        </w:rPr>
        <w:t>We own an approximate 35% common equity interest in Shurgard Self Storage SA (“Shurgard”), a public company traded on Euronext Brussels under the “SHUR” symbol, which owns 254 self-storage facilities (with approximately 14 million net rentable squa</w:t>
      </w:r>
      <w:r>
        <w:rPr>
          <w:rFonts w:eastAsia="Times New Roman"/>
          <w:color w:val="000000"/>
          <w:sz w:val="20"/>
          <w:szCs w:val="20"/>
        </w:rPr>
        <w:t>re feet) located in seven Western European countries, all operating under the Shurgard® name. We also own an approximate 41% common equity interest in PS Business Parks, Inc. (“PSB”), a REIT traded on the New York Stock Exchange under the “PSB” symbol, whi</w:t>
      </w:r>
      <w:r>
        <w:rPr>
          <w:rFonts w:eastAsia="Times New Roman"/>
          <w:color w:val="000000"/>
          <w:sz w:val="20"/>
          <w:szCs w:val="20"/>
        </w:rPr>
        <w:t>ch owns 27 million net rentable square feet of commercial properties, primarily multi-tenant industrial, flex, and office space, located in six states.</w:t>
      </w:r>
    </w:p>
    <w:p w:rsidR="00000000" w:rsidRDefault="007C49E1">
      <w:pPr>
        <w:ind w:firstLine="720"/>
        <w:jc w:val="both"/>
        <w:divId w:val="200215621"/>
        <w:rPr>
          <w:rFonts w:eastAsia="Times New Roman"/>
        </w:rPr>
      </w:pPr>
      <w:r>
        <w:rPr>
          <w:rFonts w:eastAsia="Times New Roman"/>
          <w:color w:val="000000"/>
          <w:sz w:val="20"/>
          <w:szCs w:val="20"/>
        </w:rPr>
        <w:t>Disclosures of the number and square footage of facilities, as well as the number and coverage of tenant</w:t>
      </w:r>
      <w:r>
        <w:rPr>
          <w:rFonts w:eastAsia="Times New Roman"/>
          <w:color w:val="000000"/>
          <w:sz w:val="20"/>
          <w:szCs w:val="20"/>
        </w:rPr>
        <w:t xml:space="preserve"> reinsurance policies (Note 14) are unaudited and outside the scope of our independent registered public accounting firm’s review of our financial statements in accordance with the standards of the Public Company Accounting Oversight Board (U.S.). </w:t>
      </w:r>
    </w:p>
    <w:p w:rsidR="00000000" w:rsidRDefault="007C49E1">
      <w:pPr>
        <w:ind w:hanging="360"/>
        <w:divId w:val="957759122"/>
        <w:rPr>
          <w:rFonts w:eastAsia="Times New Roman"/>
        </w:rPr>
      </w:pPr>
      <w:r>
        <w:rPr>
          <w:rFonts w:eastAsia="Times New Roman"/>
          <w:color w:val="000000"/>
          <w:sz w:val="20"/>
          <w:szCs w:val="20"/>
        </w:rPr>
        <w:t>2.</w:t>
      </w:r>
      <w:r>
        <w:rPr>
          <w:rFonts w:eastAsia="Times New Roman"/>
          <w:color w:val="000000"/>
          <w:sz w:val="20"/>
          <w:szCs w:val="20"/>
          <w:u w:val="single"/>
        </w:rPr>
        <w:t>Basis</w:t>
      </w:r>
      <w:r>
        <w:rPr>
          <w:rFonts w:eastAsia="Times New Roman"/>
          <w:color w:val="000000"/>
          <w:sz w:val="20"/>
          <w:szCs w:val="20"/>
          <w:u w:val="single"/>
        </w:rPr>
        <w:t xml:space="preserve"> of Presentation and Summary of Significant Accounting Policies</w:t>
      </w:r>
    </w:p>
    <w:p w:rsidR="00000000" w:rsidRDefault="007C49E1">
      <w:pPr>
        <w:jc w:val="both"/>
        <w:divId w:val="2065521490"/>
        <w:rPr>
          <w:rFonts w:eastAsia="Times New Roman"/>
        </w:rPr>
      </w:pPr>
      <w:r>
        <w:rPr>
          <w:rFonts w:eastAsia="Times New Roman"/>
          <w:color w:val="000000"/>
          <w:sz w:val="20"/>
          <w:szCs w:val="20"/>
          <w:u w:val="single"/>
        </w:rPr>
        <w:t>Basis of Presentation</w:t>
      </w:r>
    </w:p>
    <w:p w:rsidR="00000000" w:rsidRDefault="007C49E1">
      <w:pPr>
        <w:ind w:firstLine="720"/>
        <w:jc w:val="both"/>
        <w:divId w:val="77798880"/>
        <w:rPr>
          <w:rFonts w:eastAsia="Times New Roman"/>
        </w:rPr>
      </w:pPr>
      <w:r>
        <w:rPr>
          <w:rFonts w:eastAsia="Times New Roman"/>
          <w:color w:val="000000"/>
          <w:sz w:val="20"/>
          <w:szCs w:val="20"/>
        </w:rPr>
        <w:t>We have prepared the accompanying interim consolidated financial statements in accordance with U.S. generally accepted accounting principles (“GAAP”) as set forth in the Accounting Standards Codification of the Financial Accounting Standards Board (“FASB”)</w:t>
      </w:r>
      <w:r>
        <w:rPr>
          <w:rFonts w:eastAsia="Times New Roman"/>
          <w:color w:val="000000"/>
          <w:sz w:val="20"/>
          <w:szCs w:val="20"/>
        </w:rPr>
        <w:t>, and in conformity with the rules and regulations of the Securities and Exchange Commission (“SEC”). In our opinion, the interim consolidated financial statements presented herein reflect all adjustments, primarily of a normal recurring nature, that are n</w:t>
      </w:r>
      <w:r>
        <w:rPr>
          <w:rFonts w:eastAsia="Times New Roman"/>
          <w:color w:val="000000"/>
          <w:sz w:val="20"/>
          <w:szCs w:val="20"/>
        </w:rPr>
        <w:t xml:space="preserve">ecessary to present fairly the interim consolidated financial statements. Because they do not include all of the disclosures required by GAAP for complete annual financial statements, these interim consolidated financial statements should be read together </w:t>
      </w:r>
      <w:r>
        <w:rPr>
          <w:rFonts w:eastAsia="Times New Roman"/>
          <w:color w:val="000000"/>
          <w:sz w:val="20"/>
          <w:szCs w:val="20"/>
        </w:rPr>
        <w:t>with the audited Consolidated Financial Statements and related Notes included in the Company’s Annual Report on Form 10-K for the year ended December 31, 2021.</w:t>
      </w:r>
    </w:p>
    <w:p w:rsidR="00000000" w:rsidRDefault="007C49E1">
      <w:pPr>
        <w:ind w:firstLine="720"/>
        <w:jc w:val="both"/>
        <w:divId w:val="781070083"/>
        <w:rPr>
          <w:rFonts w:eastAsia="Times New Roman"/>
        </w:rPr>
      </w:pPr>
      <w:r>
        <w:rPr>
          <w:rFonts w:eastAsia="Times New Roman"/>
          <w:color w:val="000000"/>
          <w:sz w:val="20"/>
          <w:szCs w:val="20"/>
        </w:rPr>
        <w:t>Operating results for the quarter ended March 31, 2022 are not necessarily indicative of the res</w:t>
      </w:r>
      <w:r>
        <w:rPr>
          <w:rFonts w:eastAsia="Times New Roman"/>
          <w:color w:val="000000"/>
          <w:sz w:val="20"/>
          <w:szCs w:val="20"/>
        </w:rPr>
        <w:t>ults that may be expected for the year ending December 31, 2022.</w:t>
      </w:r>
    </w:p>
    <w:p w:rsidR="00000000" w:rsidRDefault="007C49E1">
      <w:pPr>
        <w:jc w:val="both"/>
        <w:divId w:val="480007524"/>
        <w:rPr>
          <w:rFonts w:eastAsia="Times New Roman"/>
        </w:rPr>
      </w:pPr>
      <w:r>
        <w:rPr>
          <w:rFonts w:eastAsia="Times New Roman"/>
          <w:color w:val="000000"/>
          <w:sz w:val="20"/>
          <w:szCs w:val="20"/>
          <w:u w:val="single"/>
        </w:rPr>
        <w:t>Summary of Significant Accounting Policies</w:t>
      </w:r>
    </w:p>
    <w:p w:rsidR="00000000" w:rsidRDefault="007C49E1">
      <w:pPr>
        <w:ind w:firstLine="720"/>
        <w:jc w:val="both"/>
        <w:divId w:val="1834756231"/>
        <w:rPr>
          <w:rFonts w:eastAsia="Times New Roman"/>
        </w:rPr>
      </w:pPr>
      <w:r>
        <w:rPr>
          <w:rFonts w:eastAsia="Times New Roman"/>
          <w:color w:val="000000"/>
          <w:sz w:val="20"/>
          <w:szCs w:val="20"/>
        </w:rPr>
        <w:t xml:space="preserve">There have been no significant changes to the Company's significant accounting policies described in Note 2, </w:t>
      </w:r>
      <w:r>
        <w:rPr>
          <w:rFonts w:eastAsia="Times New Roman"/>
          <w:i/>
          <w:iCs/>
          <w:color w:val="000000"/>
          <w:sz w:val="20"/>
          <w:szCs w:val="20"/>
        </w:rPr>
        <w:t>Basis of Presentation and Summary of Si</w:t>
      </w:r>
      <w:r>
        <w:rPr>
          <w:rFonts w:eastAsia="Times New Roman"/>
          <w:i/>
          <w:iCs/>
          <w:color w:val="000000"/>
          <w:sz w:val="20"/>
          <w:szCs w:val="20"/>
        </w:rPr>
        <w:t>gnificant Accounting Policies</w:t>
      </w:r>
      <w:r>
        <w:rPr>
          <w:rFonts w:eastAsia="Times New Roman"/>
          <w:color w:val="000000"/>
          <w:sz w:val="20"/>
          <w:szCs w:val="20"/>
        </w:rPr>
        <w:t>, in Notes to Consolidated Financial Statements included in Item 8 of Part II of the Company's Annual Report on Form 10-K for the year ended December 31, 2021.</w:t>
      </w:r>
    </w:p>
    <w:p w:rsidR="00000000" w:rsidRDefault="007C49E1">
      <w:pPr>
        <w:jc w:val="center"/>
        <w:divId w:val="1230190243"/>
        <w:rPr>
          <w:rFonts w:eastAsia="Times New Roman"/>
        </w:rPr>
      </w:pPr>
      <w:r>
        <w:rPr>
          <w:rFonts w:eastAsia="Times New Roman"/>
          <w:color w:val="000000"/>
          <w:sz w:val="20"/>
          <w:szCs w:val="20"/>
        </w:rPr>
        <w:t>8</w:t>
      </w:r>
    </w:p>
    <w:p w:rsidR="00000000" w:rsidRDefault="007C49E1">
      <w:pPr>
        <w:rPr>
          <w:rFonts w:eastAsia="Times New Roman"/>
        </w:rPr>
      </w:pPr>
      <w:r>
        <w:rPr>
          <w:rFonts w:eastAsia="Times New Roman"/>
        </w:rPr>
        <w:pict>
          <v:rect id="_x0000_i1034" style="width:0;height:1.5pt" o:hralign="center" o:hrstd="t" o:hr="t" fillcolor="#a0a0a0" stroked="f"/>
        </w:pict>
      </w:r>
    </w:p>
    <w:p w:rsidR="00000000" w:rsidRDefault="007C49E1">
      <w:pPr>
        <w:jc w:val="center"/>
        <w:divId w:val="379984936"/>
        <w:rPr>
          <w:rFonts w:eastAsia="Times New Roman"/>
        </w:rPr>
      </w:pPr>
    </w:p>
    <w:p w:rsidR="00000000" w:rsidRDefault="007C49E1">
      <w:pPr>
        <w:jc w:val="center"/>
        <w:divId w:val="379984936"/>
        <w:rPr>
          <w:rFonts w:eastAsia="Times New Roman"/>
        </w:rPr>
      </w:pPr>
      <w:r>
        <w:rPr>
          <w:rFonts w:eastAsia="Times New Roman"/>
          <w:b/>
          <w:bCs/>
          <w:color w:val="000000"/>
          <w:sz w:val="20"/>
          <w:szCs w:val="20"/>
        </w:rPr>
        <w:t>PUBLIC STORAGE</w:t>
      </w:r>
    </w:p>
    <w:p w:rsidR="00000000" w:rsidRDefault="007C49E1">
      <w:pPr>
        <w:jc w:val="center"/>
        <w:divId w:val="379984936"/>
        <w:rPr>
          <w:rFonts w:eastAsia="Times New Roman"/>
        </w:rPr>
      </w:pPr>
      <w:r>
        <w:rPr>
          <w:rFonts w:eastAsia="Times New Roman"/>
          <w:b/>
          <w:bCs/>
          <w:color w:val="000000"/>
          <w:sz w:val="20"/>
          <w:szCs w:val="20"/>
        </w:rPr>
        <w:t>NOTES TO CO</w:t>
      </w:r>
      <w:r>
        <w:rPr>
          <w:rFonts w:eastAsia="Times New Roman"/>
          <w:b/>
          <w:bCs/>
          <w:color w:val="000000"/>
          <w:sz w:val="20"/>
          <w:szCs w:val="20"/>
        </w:rPr>
        <w:t>NSOLIDATED FINANCIAL STATEMENTS</w:t>
      </w:r>
    </w:p>
    <w:p w:rsidR="00000000" w:rsidRDefault="007C49E1">
      <w:pPr>
        <w:jc w:val="center"/>
        <w:divId w:val="379984936"/>
        <w:rPr>
          <w:rFonts w:eastAsia="Times New Roman"/>
        </w:rPr>
      </w:pPr>
      <w:r>
        <w:rPr>
          <w:rFonts w:eastAsia="Times New Roman"/>
          <w:b/>
          <w:bCs/>
          <w:color w:val="000000"/>
          <w:sz w:val="20"/>
          <w:szCs w:val="20"/>
        </w:rPr>
        <w:t>March 31, 2022</w:t>
      </w:r>
    </w:p>
    <w:p w:rsidR="00000000" w:rsidRDefault="007C49E1">
      <w:pPr>
        <w:jc w:val="center"/>
        <w:divId w:val="379984936"/>
        <w:rPr>
          <w:rFonts w:eastAsia="Times New Roman"/>
        </w:rPr>
      </w:pPr>
      <w:r>
        <w:rPr>
          <w:rFonts w:eastAsia="Times New Roman"/>
          <w:b/>
          <w:bCs/>
          <w:color w:val="000000"/>
          <w:sz w:val="20"/>
          <w:szCs w:val="20"/>
        </w:rPr>
        <w:t>(Unaudited)</w:t>
      </w:r>
    </w:p>
    <w:p w:rsidR="00000000" w:rsidRDefault="007C49E1">
      <w:pPr>
        <w:jc w:val="center"/>
        <w:divId w:val="379984936"/>
        <w:rPr>
          <w:rFonts w:eastAsia="Times New Roman"/>
        </w:rPr>
      </w:pPr>
    </w:p>
    <w:p w:rsidR="00000000" w:rsidRDefault="007C49E1">
      <w:pPr>
        <w:ind w:hanging="360"/>
        <w:divId w:val="958103205"/>
        <w:rPr>
          <w:rFonts w:eastAsia="Times New Roman"/>
        </w:rPr>
      </w:pPr>
      <w:r>
        <w:rPr>
          <w:rFonts w:eastAsia="Times New Roman"/>
          <w:color w:val="000000"/>
          <w:sz w:val="20"/>
          <w:szCs w:val="20"/>
        </w:rPr>
        <w:t>3.</w:t>
      </w:r>
      <w:r>
        <w:rPr>
          <w:rFonts w:eastAsia="Times New Roman"/>
          <w:color w:val="000000"/>
          <w:sz w:val="20"/>
          <w:szCs w:val="20"/>
          <w:u w:val="single"/>
        </w:rPr>
        <w:t>Real Estate Facilities</w:t>
      </w:r>
    </w:p>
    <w:p w:rsidR="00000000" w:rsidRDefault="007C49E1">
      <w:pPr>
        <w:divId w:val="856235655"/>
        <w:rPr>
          <w:rFonts w:eastAsia="Times New Roman"/>
        </w:rPr>
      </w:pPr>
    </w:p>
    <w:p w:rsidR="00000000" w:rsidRDefault="007C49E1">
      <w:pPr>
        <w:ind w:firstLine="720"/>
        <w:divId w:val="1026178085"/>
        <w:rPr>
          <w:rFonts w:eastAsia="Times New Roman"/>
        </w:rPr>
      </w:pPr>
      <w:r>
        <w:rPr>
          <w:rFonts w:eastAsia="Times New Roman"/>
          <w:color w:val="000000"/>
          <w:sz w:val="20"/>
          <w:szCs w:val="20"/>
        </w:rPr>
        <w:t>Activity in real estate facilities during the three months ended March 31, 2022 is as follows:</w:t>
      </w:r>
    </w:p>
    <w:tbl>
      <w:tblPr>
        <w:tblW w:w="4727" w:type="pct"/>
        <w:jc w:val="center"/>
        <w:tblCellMar>
          <w:top w:w="15" w:type="dxa"/>
          <w:left w:w="15" w:type="dxa"/>
          <w:bottom w:w="15" w:type="dxa"/>
          <w:right w:w="15" w:type="dxa"/>
        </w:tblCellMar>
        <w:tblLook w:val="04A0" w:firstRow="1" w:lastRow="0" w:firstColumn="1" w:lastColumn="0" w:noHBand="0" w:noVBand="1"/>
      </w:tblPr>
      <w:tblGrid>
        <w:gridCol w:w="39"/>
        <w:gridCol w:w="5509"/>
        <w:gridCol w:w="38"/>
        <w:gridCol w:w="120"/>
        <w:gridCol w:w="1678"/>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7C49E1">
            <w:pPr>
              <w:ind w:firstLine="720"/>
              <w:rPr>
                <w:rFonts w:eastAsia="Times New Roman"/>
              </w:rPr>
            </w:pPr>
          </w:p>
        </w:tc>
        <w:tc>
          <w:tcPr>
            <w:tcW w:w="373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154"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Three Months Ended March 31, 2022</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(Amounts in thousands)</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Operating facilities, at cost:</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Beginning balance </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22,807,833 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Capital expenditures to maintain real estate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91,344 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Acquisitions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125,534 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Dispositions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(383)</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or expanded facilities opened for operation</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19,379 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23,043,707 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Accumulated depreciation: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Beginning balance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(7,773,308)</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Depreciation expense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(185,409)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Dispositions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181 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(7,958,536)</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Construction in process: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Beginning balance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272,471 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Costs incurred to develop and expand real estate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84,460 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or expanded facilities opened for operation</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(19,379)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337,552 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2112511224"/>
              <w:rPr>
                <w:rFonts w:eastAsia="Times New Roman"/>
              </w:rPr>
            </w:pPr>
            <w:r>
              <w:rPr>
                <w:rFonts w:eastAsia="Times New Roman"/>
                <w:color w:val="000000"/>
                <w:sz w:val="20"/>
                <w:szCs w:val="20"/>
              </w:rPr>
              <w:t>Total real estate facilities at March 31, 2022</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15,422,723 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ind w:firstLine="720"/>
        <w:jc w:val="both"/>
        <w:divId w:val="396822392"/>
        <w:rPr>
          <w:rFonts w:eastAsia="Times New Roman"/>
        </w:rPr>
      </w:pPr>
      <w:r>
        <w:rPr>
          <w:rFonts w:eastAsia="Times New Roman"/>
          <w:color w:val="000000"/>
          <w:sz w:val="20"/>
          <w:szCs w:val="20"/>
        </w:rPr>
        <w:t xml:space="preserve">During the three months ended March 31, 2022, we acquired ten self-storage facilities (781,000 </w:t>
      </w:r>
      <w:r>
        <w:rPr>
          <w:rFonts w:eastAsia="Times New Roman"/>
          <w:color w:val="000000"/>
          <w:sz w:val="20"/>
          <w:szCs w:val="20"/>
        </w:rPr>
        <w:t xml:space="preserve">net rentable square feet of storage space), for a total cost of $127.7 million, consisting $112.3 million in cash and $15.4 million in partnership units in our subsidiary. Approximately $2.2 million of the total cost was allocated to intangible assets. We </w:t>
      </w:r>
      <w:r>
        <w:rPr>
          <w:rFonts w:eastAsia="Times New Roman"/>
          <w:color w:val="000000"/>
          <w:sz w:val="20"/>
          <w:szCs w:val="20"/>
        </w:rPr>
        <w:t>completed development and redevelopment activities costing $19.4 million during the three months ended March 31, 2022, adding 0.1 million net rentable square feet of self-storage space. Construction in process at March 31, 2022 consists of projects to deve</w:t>
      </w:r>
      <w:r>
        <w:rPr>
          <w:rFonts w:eastAsia="Times New Roman"/>
          <w:color w:val="000000"/>
          <w:sz w:val="20"/>
          <w:szCs w:val="20"/>
        </w:rPr>
        <w:t xml:space="preserve">lop new self-storage facilities and expand existing self-storage facilities. </w:t>
      </w:r>
    </w:p>
    <w:p w:rsidR="00000000" w:rsidRDefault="007C49E1">
      <w:pPr>
        <w:divId w:val="352194719"/>
        <w:rPr>
          <w:rFonts w:eastAsia="Times New Roman"/>
        </w:rPr>
      </w:pPr>
    </w:p>
    <w:p w:rsidR="00000000" w:rsidRDefault="007C49E1">
      <w:pPr>
        <w:jc w:val="center"/>
        <w:divId w:val="644313957"/>
        <w:rPr>
          <w:rFonts w:eastAsia="Times New Roman"/>
        </w:rPr>
      </w:pPr>
      <w:r>
        <w:rPr>
          <w:rFonts w:eastAsia="Times New Roman"/>
          <w:color w:val="000000"/>
          <w:sz w:val="20"/>
          <w:szCs w:val="20"/>
        </w:rPr>
        <w:t>9</w:t>
      </w:r>
    </w:p>
    <w:p w:rsidR="00000000" w:rsidRDefault="007C49E1">
      <w:pPr>
        <w:rPr>
          <w:rFonts w:eastAsia="Times New Roman"/>
        </w:rPr>
      </w:pPr>
      <w:r>
        <w:rPr>
          <w:rFonts w:eastAsia="Times New Roman"/>
        </w:rPr>
        <w:pict>
          <v:rect id="_x0000_i1035" style="width:0;height:1.5pt" o:hralign="center" o:hrstd="t" o:hr="t" fillcolor="#a0a0a0" stroked="f"/>
        </w:pict>
      </w:r>
    </w:p>
    <w:p w:rsidR="00000000" w:rsidRDefault="007C49E1">
      <w:pPr>
        <w:jc w:val="center"/>
        <w:divId w:val="925068158"/>
        <w:rPr>
          <w:rFonts w:eastAsia="Times New Roman"/>
        </w:rPr>
      </w:pPr>
    </w:p>
    <w:p w:rsidR="00000000" w:rsidRDefault="007C49E1">
      <w:pPr>
        <w:jc w:val="center"/>
        <w:divId w:val="925068158"/>
        <w:rPr>
          <w:rFonts w:eastAsia="Times New Roman"/>
        </w:rPr>
      </w:pPr>
      <w:r>
        <w:rPr>
          <w:rFonts w:eastAsia="Times New Roman"/>
          <w:b/>
          <w:bCs/>
          <w:color w:val="000000"/>
          <w:sz w:val="20"/>
          <w:szCs w:val="20"/>
        </w:rPr>
        <w:t>PUBLIC STORAGE</w:t>
      </w:r>
    </w:p>
    <w:p w:rsidR="00000000" w:rsidRDefault="007C49E1">
      <w:pPr>
        <w:jc w:val="center"/>
        <w:divId w:val="925068158"/>
        <w:rPr>
          <w:rFonts w:eastAsia="Times New Roman"/>
        </w:rPr>
      </w:pPr>
      <w:r>
        <w:rPr>
          <w:rFonts w:eastAsia="Times New Roman"/>
          <w:b/>
          <w:bCs/>
          <w:color w:val="000000"/>
          <w:sz w:val="20"/>
          <w:szCs w:val="20"/>
        </w:rPr>
        <w:t>NOTES TO CONSOLIDATED FINANCIAL STATEMENTS</w:t>
      </w:r>
    </w:p>
    <w:p w:rsidR="00000000" w:rsidRDefault="007C49E1">
      <w:pPr>
        <w:jc w:val="center"/>
        <w:divId w:val="925068158"/>
        <w:rPr>
          <w:rFonts w:eastAsia="Times New Roman"/>
        </w:rPr>
      </w:pPr>
      <w:r>
        <w:rPr>
          <w:rFonts w:eastAsia="Times New Roman"/>
          <w:b/>
          <w:bCs/>
          <w:color w:val="000000"/>
          <w:sz w:val="20"/>
          <w:szCs w:val="20"/>
        </w:rPr>
        <w:t>March 31, 2022</w:t>
      </w:r>
    </w:p>
    <w:p w:rsidR="00000000" w:rsidRDefault="007C49E1">
      <w:pPr>
        <w:jc w:val="center"/>
        <w:divId w:val="925068158"/>
        <w:rPr>
          <w:rFonts w:eastAsia="Times New Roman"/>
        </w:rPr>
      </w:pPr>
      <w:r>
        <w:rPr>
          <w:rFonts w:eastAsia="Times New Roman"/>
          <w:b/>
          <w:bCs/>
          <w:color w:val="000000"/>
          <w:sz w:val="20"/>
          <w:szCs w:val="20"/>
        </w:rPr>
        <w:t>(Unaudited)</w:t>
      </w:r>
    </w:p>
    <w:p w:rsidR="00000000" w:rsidRDefault="007C49E1">
      <w:pPr>
        <w:jc w:val="center"/>
        <w:divId w:val="925068158"/>
        <w:rPr>
          <w:rFonts w:eastAsia="Times New Roman"/>
        </w:rPr>
      </w:pPr>
    </w:p>
    <w:p w:rsidR="00000000" w:rsidRDefault="007C49E1">
      <w:pPr>
        <w:ind w:hanging="360"/>
        <w:divId w:val="1873881400"/>
        <w:rPr>
          <w:rFonts w:eastAsia="Times New Roman"/>
        </w:rPr>
      </w:pPr>
      <w:r>
        <w:rPr>
          <w:rFonts w:eastAsia="Times New Roman"/>
          <w:color w:val="000000"/>
          <w:sz w:val="20"/>
          <w:szCs w:val="20"/>
        </w:rPr>
        <w:t>4.</w:t>
      </w:r>
      <w:r>
        <w:rPr>
          <w:rFonts w:eastAsia="Times New Roman"/>
          <w:color w:val="000000"/>
          <w:sz w:val="20"/>
          <w:szCs w:val="20"/>
          <w:u w:val="single"/>
        </w:rPr>
        <w:t>Investments in Unconsolidated Real Estate Entities</w:t>
      </w:r>
    </w:p>
    <w:p w:rsidR="00000000" w:rsidRDefault="007C49E1">
      <w:pPr>
        <w:ind w:firstLine="720"/>
        <w:jc w:val="both"/>
        <w:divId w:val="1650668685"/>
        <w:rPr>
          <w:rFonts w:eastAsia="Times New Roman"/>
        </w:rPr>
      </w:pPr>
      <w:r>
        <w:rPr>
          <w:rFonts w:eastAsia="Times New Roman"/>
          <w:color w:val="000000"/>
          <w:sz w:val="20"/>
          <w:szCs w:val="20"/>
        </w:rPr>
        <w:t xml:space="preserve">The following tables set forth our investments in, and equity in earnings of, </w:t>
      </w:r>
      <w:r>
        <w:rPr>
          <w:rFonts w:eastAsia="Times New Roman"/>
          <w:color w:val="000000"/>
          <w:sz w:val="20"/>
          <w:szCs w:val="20"/>
        </w:rPr>
        <w:t>the Unconsolidated Real Estate Entities (amounts in thousands):</w:t>
      </w:r>
    </w:p>
    <w:tbl>
      <w:tblPr>
        <w:tblW w:w="4575" w:type="pct"/>
        <w:jc w:val="center"/>
        <w:tblCellMar>
          <w:top w:w="15" w:type="dxa"/>
          <w:left w:w="15" w:type="dxa"/>
          <w:bottom w:w="15" w:type="dxa"/>
          <w:right w:w="15" w:type="dxa"/>
        </w:tblCellMar>
        <w:tblLook w:val="04A0" w:firstRow="1" w:lastRow="0" w:firstColumn="1" w:lastColumn="0" w:noHBand="0" w:noVBand="1"/>
      </w:tblPr>
      <w:tblGrid>
        <w:gridCol w:w="38"/>
        <w:gridCol w:w="2178"/>
        <w:gridCol w:w="36"/>
        <w:gridCol w:w="121"/>
        <w:gridCol w:w="2208"/>
        <w:gridCol w:w="38"/>
        <w:gridCol w:w="37"/>
        <w:gridCol w:w="37"/>
        <w:gridCol w:w="37"/>
        <w:gridCol w:w="121"/>
        <w:gridCol w:w="2208"/>
        <w:gridCol w:w="37"/>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7C49E1">
            <w:pPr>
              <w:ind w:firstLine="720"/>
              <w:jc w:val="both"/>
              <w:rPr>
                <w:rFonts w:eastAsia="Times New Roman"/>
              </w:rPr>
            </w:pPr>
          </w:p>
        </w:tc>
        <w:tc>
          <w:tcPr>
            <w:tcW w:w="16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6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3"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6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Investments in Unconsolidated Real Estate Entities at</w:t>
            </w:r>
          </w:p>
        </w:tc>
        <w:tc>
          <w:tcPr>
            <w:tcW w:w="0" w:type="auto"/>
            <w:vAlign w:val="center"/>
            <w:hideMark/>
          </w:tcPr>
          <w:p w:rsidR="00000000" w:rsidRDefault="007C49E1">
            <w:pPr>
              <w:spacing w:after="100"/>
              <w:jc w:val="center"/>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March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December 31, 2021</w:t>
            </w:r>
          </w:p>
        </w:tc>
        <w:tc>
          <w:tcPr>
            <w:tcW w:w="0" w:type="auto"/>
            <w:vAlign w:val="center"/>
            <w:hideMark/>
          </w:tcPr>
          <w:p w:rsidR="00000000" w:rsidRDefault="007C49E1">
            <w:pPr>
              <w:spacing w:after="100"/>
              <w:jc w:val="center"/>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12"/>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537,331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515,312</w:t>
            </w:r>
          </w:p>
        </w:tc>
        <w:tc>
          <w:tcPr>
            <w:tcW w:w="0" w:type="auto"/>
            <w:vAlign w:val="center"/>
            <w:hideMark/>
          </w:tcPr>
          <w:p w:rsidR="00000000" w:rsidRDefault="007C49E1">
            <w:pPr>
              <w:spacing w:after="100"/>
              <w:jc w:val="right"/>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313,318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313,451</w:t>
            </w:r>
          </w:p>
        </w:tc>
        <w:tc>
          <w:tcPr>
            <w:tcW w:w="0" w:type="auto"/>
            <w:vAlign w:val="center"/>
            <w:hideMark/>
          </w:tcPr>
          <w:p w:rsidR="00000000" w:rsidRDefault="007C49E1">
            <w:pPr>
              <w:spacing w:after="100"/>
              <w:jc w:val="right"/>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850,649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828,763</w:t>
            </w:r>
          </w:p>
        </w:tc>
        <w:tc>
          <w:tcPr>
            <w:tcW w:w="0" w:type="auto"/>
            <w:vAlign w:val="center"/>
            <w:hideMark/>
          </w:tcPr>
          <w:p w:rsidR="00000000" w:rsidRDefault="007C49E1">
            <w:pPr>
              <w:spacing w:after="100"/>
              <w:jc w:val="right"/>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jc w:val="center"/>
        <w:rPr>
          <w:rFonts w:eastAsia="Times New Roman"/>
        </w:rPr>
      </w:pPr>
    </w:p>
    <w:tbl>
      <w:tblPr>
        <w:tblW w:w="4583" w:type="pct"/>
        <w:jc w:val="center"/>
        <w:tblCellMar>
          <w:top w:w="15" w:type="dxa"/>
          <w:left w:w="15" w:type="dxa"/>
          <w:bottom w:w="15" w:type="dxa"/>
          <w:right w:w="15" w:type="dxa"/>
        </w:tblCellMar>
        <w:tblLook w:val="04A0" w:firstRow="1" w:lastRow="0" w:firstColumn="1" w:lastColumn="0" w:noHBand="0" w:noVBand="1"/>
      </w:tblPr>
      <w:tblGrid>
        <w:gridCol w:w="38"/>
        <w:gridCol w:w="2231"/>
        <w:gridCol w:w="36"/>
        <w:gridCol w:w="121"/>
        <w:gridCol w:w="2246"/>
        <w:gridCol w:w="37"/>
        <w:gridCol w:w="37"/>
        <w:gridCol w:w="37"/>
        <w:gridCol w:w="37"/>
        <w:gridCol w:w="120"/>
        <w:gridCol w:w="2205"/>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7C49E1">
            <w:pPr>
              <w:jc w:val="center"/>
              <w:rPr>
                <w:rFonts w:eastAsia="Times New Roman"/>
              </w:rPr>
            </w:pPr>
          </w:p>
        </w:tc>
        <w:tc>
          <w:tcPr>
            <w:tcW w:w="159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59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3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59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Equity in Earnings of Unconsolidated Real Estate Entities for the</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Three Months Ended March 31,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12"/>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36,886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14,476</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6,538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4,980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43,424</w:t>
            </w:r>
          </w:p>
        </w:tc>
        <w:tc>
          <w:tcPr>
            <w:tcW w:w="0" w:type="auto"/>
            <w:gridSpan w:val="3"/>
            <w:tcMar>
              <w:top w:w="0" w:type="dxa"/>
              <w:left w:w="20" w:type="dxa"/>
              <w:bottom w:w="0" w:type="dxa"/>
              <w:right w:w="39" w:type="dxa"/>
            </w:tcMar>
            <w:vAlign w:val="center"/>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19,456</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ind w:firstLine="720"/>
        <w:jc w:val="both"/>
        <w:rPr>
          <w:rFonts w:eastAsia="Times New Roman"/>
        </w:rPr>
      </w:pPr>
    </w:p>
    <w:p w:rsidR="00000000" w:rsidRDefault="007C49E1">
      <w:pPr>
        <w:jc w:val="both"/>
        <w:divId w:val="1865751319"/>
        <w:rPr>
          <w:rFonts w:eastAsia="Times New Roman"/>
        </w:rPr>
      </w:pPr>
      <w:r>
        <w:rPr>
          <w:rFonts w:eastAsia="Times New Roman"/>
          <w:color w:val="000000"/>
          <w:sz w:val="20"/>
          <w:szCs w:val="20"/>
          <w:u w:val="single"/>
        </w:rPr>
        <w:t>Investment in PSB</w:t>
      </w:r>
    </w:p>
    <w:p w:rsidR="00000000" w:rsidRDefault="007C49E1">
      <w:pPr>
        <w:ind w:firstLine="720"/>
        <w:jc w:val="both"/>
        <w:divId w:val="1619483215"/>
        <w:rPr>
          <w:rFonts w:eastAsia="Times New Roman"/>
        </w:rPr>
      </w:pPr>
      <w:r>
        <w:rPr>
          <w:rFonts w:eastAsia="Times New Roman"/>
          <w:color w:val="000000"/>
          <w:sz w:val="20"/>
          <w:szCs w:val="20"/>
        </w:rPr>
        <w:t xml:space="preserve">Throughout all periods presented, we owned 7,158,354 shares of PSB’s common stock and 7,305,355 </w:t>
      </w:r>
      <w:r>
        <w:rPr>
          <w:rFonts w:eastAsia="Times New Roman"/>
          <w:color w:val="000000"/>
          <w:sz w:val="20"/>
          <w:szCs w:val="20"/>
        </w:rPr>
        <w:t>limited partnership units in an operating partnership controlled by PSB, representing an approximate 41% common equity interest as of March 31, 2022 (41% as of December 31, 2021). The limited partnership units are convertible at our option, subject to cert</w:t>
      </w:r>
      <w:r>
        <w:rPr>
          <w:rFonts w:eastAsia="Times New Roman"/>
          <w:color w:val="000000"/>
          <w:sz w:val="20"/>
          <w:szCs w:val="20"/>
        </w:rPr>
        <w:t xml:space="preserve">ain conditions, on a one-for-one basis into PSB common stock. </w:t>
      </w:r>
    </w:p>
    <w:p w:rsidR="00000000" w:rsidRDefault="007C49E1">
      <w:pPr>
        <w:ind w:firstLine="720"/>
        <w:jc w:val="both"/>
        <w:divId w:val="637414653"/>
        <w:rPr>
          <w:rFonts w:eastAsia="Times New Roman"/>
        </w:rPr>
      </w:pPr>
      <w:r>
        <w:rPr>
          <w:rFonts w:eastAsia="Times New Roman"/>
          <w:color w:val="000000"/>
          <w:sz w:val="20"/>
          <w:szCs w:val="20"/>
        </w:rPr>
        <w:t xml:space="preserve">Based upon the closing price at March 31, 2022 ($168.08 per share of PSB common stock), the shares and units we owned had a market value of approximately $2.4 billion. During each of the three </w:t>
      </w:r>
      <w:r>
        <w:rPr>
          <w:rFonts w:eastAsia="Times New Roman"/>
          <w:color w:val="000000"/>
          <w:sz w:val="20"/>
          <w:szCs w:val="20"/>
        </w:rPr>
        <w:t>months ended March 31, 2022 and 2021, we received cash distributions from PSB totaling $15.2 million.</w:t>
      </w:r>
    </w:p>
    <w:p w:rsidR="00000000" w:rsidRDefault="007C49E1">
      <w:pPr>
        <w:ind w:firstLine="720"/>
        <w:jc w:val="both"/>
        <w:divId w:val="2093962656"/>
        <w:rPr>
          <w:rFonts w:eastAsia="Times New Roman"/>
        </w:rPr>
      </w:pPr>
      <w:r>
        <w:rPr>
          <w:rFonts w:eastAsia="Times New Roman"/>
          <w:color w:val="000000"/>
          <w:sz w:val="20"/>
          <w:szCs w:val="20"/>
        </w:rPr>
        <w:t xml:space="preserve">PSB is a publicly held entity traded on the New York Stock Exchange under the symbol “PSB”. </w:t>
      </w:r>
    </w:p>
    <w:p w:rsidR="00000000" w:rsidRDefault="007C49E1">
      <w:pPr>
        <w:ind w:firstLine="720"/>
        <w:jc w:val="both"/>
        <w:rPr>
          <w:rFonts w:eastAsia="Times New Roman"/>
        </w:rPr>
      </w:pPr>
      <w:r>
        <w:rPr>
          <w:rFonts w:eastAsia="Times New Roman"/>
          <w:color w:val="000000"/>
          <w:sz w:val="20"/>
          <w:szCs w:val="20"/>
        </w:rPr>
        <w:t>Refer to Note “15. Subsequent Events” for additional informat</w:t>
      </w:r>
      <w:r>
        <w:rPr>
          <w:rFonts w:eastAsia="Times New Roman"/>
          <w:color w:val="000000"/>
          <w:sz w:val="20"/>
          <w:szCs w:val="20"/>
        </w:rPr>
        <w:t>ion about our investment in PSB.</w:t>
      </w:r>
    </w:p>
    <w:p w:rsidR="00000000" w:rsidRDefault="007C49E1">
      <w:pPr>
        <w:ind w:firstLine="720"/>
        <w:jc w:val="both"/>
        <w:rPr>
          <w:rFonts w:eastAsia="Times New Roman"/>
        </w:rPr>
      </w:pPr>
    </w:p>
    <w:p w:rsidR="00000000" w:rsidRDefault="007C49E1">
      <w:pPr>
        <w:jc w:val="both"/>
        <w:divId w:val="1972587187"/>
        <w:rPr>
          <w:rFonts w:eastAsia="Times New Roman"/>
        </w:rPr>
      </w:pPr>
      <w:r>
        <w:rPr>
          <w:rFonts w:eastAsia="Times New Roman"/>
          <w:color w:val="000000"/>
          <w:sz w:val="20"/>
          <w:szCs w:val="20"/>
          <w:u w:val="single"/>
        </w:rPr>
        <w:t>Investment in Shurgard</w:t>
      </w:r>
    </w:p>
    <w:p w:rsidR="00000000" w:rsidRDefault="007C49E1">
      <w:pPr>
        <w:ind w:firstLine="720"/>
        <w:jc w:val="both"/>
        <w:divId w:val="1118524054"/>
        <w:rPr>
          <w:rFonts w:eastAsia="Times New Roman"/>
        </w:rPr>
      </w:pPr>
      <w:r>
        <w:rPr>
          <w:rFonts w:eastAsia="Times New Roman"/>
          <w:color w:val="000000"/>
          <w:sz w:val="20"/>
          <w:szCs w:val="20"/>
        </w:rPr>
        <w:t>Throughout all periods presented, we effectively owned, directly and indirectly 31,268,459 Shurgard common shares, representing an approximate 35</w:t>
      </w:r>
      <w:r>
        <w:rPr>
          <w:rFonts w:eastAsia="Times New Roman"/>
          <w:color w:val="000000"/>
          <w:sz w:val="20"/>
          <w:szCs w:val="20"/>
        </w:rPr>
        <w:t xml:space="preserve">% equity interest in Shurgard. </w:t>
      </w:r>
    </w:p>
    <w:p w:rsidR="00000000" w:rsidRDefault="007C49E1">
      <w:pPr>
        <w:ind w:firstLine="720"/>
        <w:jc w:val="both"/>
        <w:divId w:val="1687445652"/>
        <w:rPr>
          <w:rFonts w:eastAsia="Times New Roman"/>
        </w:rPr>
      </w:pPr>
      <w:r>
        <w:rPr>
          <w:rFonts w:eastAsia="Times New Roman"/>
          <w:color w:val="000000"/>
          <w:sz w:val="20"/>
          <w:szCs w:val="20"/>
        </w:rPr>
        <w:t xml:space="preserve">Based upon the closing price at March 31, 2022 (€56.30 per share of Shurgard common stock, at 1.111 exchange rate of US Dollars to the Euro), the shares we owned had a market value of approximately $2.0 billion. </w:t>
      </w:r>
    </w:p>
    <w:p w:rsidR="00000000" w:rsidRDefault="007C49E1">
      <w:pPr>
        <w:ind w:firstLine="720"/>
        <w:jc w:val="both"/>
        <w:divId w:val="688796044"/>
        <w:rPr>
          <w:rFonts w:eastAsia="Times New Roman"/>
        </w:rPr>
      </w:pPr>
      <w:r>
        <w:rPr>
          <w:rFonts w:eastAsia="Times New Roman"/>
          <w:color w:val="000000"/>
          <w:sz w:val="20"/>
          <w:szCs w:val="20"/>
        </w:rPr>
        <w:t xml:space="preserve">Our equity </w:t>
      </w:r>
      <w:r>
        <w:rPr>
          <w:rFonts w:eastAsia="Times New Roman"/>
          <w:color w:val="000000"/>
          <w:sz w:val="20"/>
          <w:szCs w:val="20"/>
        </w:rPr>
        <w:t xml:space="preserve">in earnings of Shurgard comprised our equity share of Shurgard’s net income, less amortization of the Shurgard Basis Differential (defined below). We eliminated $0.3 million intra-entity profits and losses for each of the three months ended March 31, 2022 </w:t>
      </w:r>
      <w:r>
        <w:rPr>
          <w:rFonts w:eastAsia="Times New Roman"/>
          <w:color w:val="000000"/>
          <w:sz w:val="20"/>
          <w:szCs w:val="20"/>
        </w:rPr>
        <w:t>and 2021, representing our equity share of the trademark license fees that Shurgard pays to us for the use of the Shurgard® trademark. We classify the remaining license fees we receive from Shurgard as interest and other income on our income statement.</w:t>
      </w:r>
    </w:p>
    <w:p w:rsidR="00000000" w:rsidRDefault="007C49E1">
      <w:pPr>
        <w:ind w:firstLine="720"/>
        <w:jc w:val="both"/>
        <w:divId w:val="1806697502"/>
        <w:rPr>
          <w:rFonts w:eastAsia="Times New Roman"/>
        </w:rPr>
      </w:pPr>
      <w:r>
        <w:rPr>
          <w:rFonts w:eastAsia="Times New Roman"/>
          <w:color w:val="000000"/>
          <w:sz w:val="20"/>
          <w:szCs w:val="20"/>
        </w:rPr>
        <w:t xml:space="preserve">At </w:t>
      </w:r>
      <w:r>
        <w:rPr>
          <w:rFonts w:eastAsia="Times New Roman"/>
          <w:color w:val="000000"/>
          <w:sz w:val="20"/>
          <w:szCs w:val="20"/>
        </w:rPr>
        <w:t xml:space="preserve">March 31, 2022, our investment in Shurgard’s real estate assets included in investment in unconsolidated real estate entities exceeds our pro-rata share of the underlying amounts on Shurgard’s balance sheet by approximately $73.4 million ($74.7 million at </w:t>
      </w:r>
      <w:r>
        <w:rPr>
          <w:rFonts w:eastAsia="Times New Roman"/>
          <w:color w:val="000000"/>
          <w:sz w:val="20"/>
          <w:szCs w:val="20"/>
        </w:rPr>
        <w:t xml:space="preserve">December 31, 2021). This differential (the “Shurgard Basis Differential”) includes our cost basis adjustment in Shurgard’s real estate assets net of related deferred income taxes. The real estate assets basis differential is being amortized as a reduction </w:t>
      </w:r>
      <w:r>
        <w:rPr>
          <w:rFonts w:eastAsia="Times New Roman"/>
          <w:color w:val="000000"/>
          <w:sz w:val="20"/>
          <w:szCs w:val="20"/>
        </w:rPr>
        <w:t xml:space="preserve">to equity in earnings of the Unconsolidated Real Estate Entities. Such </w:t>
      </w:r>
    </w:p>
    <w:p w:rsidR="00000000" w:rsidRDefault="007C49E1">
      <w:pPr>
        <w:jc w:val="center"/>
        <w:divId w:val="1838305764"/>
        <w:rPr>
          <w:rFonts w:eastAsia="Times New Roman"/>
        </w:rPr>
      </w:pPr>
      <w:r>
        <w:rPr>
          <w:rFonts w:eastAsia="Times New Roman"/>
          <w:color w:val="000000"/>
          <w:sz w:val="20"/>
          <w:szCs w:val="20"/>
        </w:rPr>
        <w:t>10</w:t>
      </w:r>
    </w:p>
    <w:p w:rsidR="00000000" w:rsidRDefault="007C49E1">
      <w:pPr>
        <w:rPr>
          <w:rFonts w:eastAsia="Times New Roman"/>
        </w:rPr>
      </w:pPr>
      <w:r>
        <w:rPr>
          <w:rFonts w:eastAsia="Times New Roman"/>
        </w:rPr>
        <w:pict>
          <v:rect id="_x0000_i1036" style="width:0;height:1.5pt" o:hralign="center" o:hrstd="t" o:hr="t" fillcolor="#a0a0a0" stroked="f"/>
        </w:pict>
      </w:r>
    </w:p>
    <w:p w:rsidR="00000000" w:rsidRDefault="007C49E1">
      <w:pPr>
        <w:jc w:val="center"/>
        <w:divId w:val="1833829680"/>
        <w:rPr>
          <w:rFonts w:eastAsia="Times New Roman"/>
        </w:rPr>
      </w:pPr>
    </w:p>
    <w:p w:rsidR="00000000" w:rsidRDefault="007C49E1">
      <w:pPr>
        <w:jc w:val="center"/>
        <w:divId w:val="1833829680"/>
        <w:rPr>
          <w:rFonts w:eastAsia="Times New Roman"/>
        </w:rPr>
      </w:pPr>
      <w:r>
        <w:rPr>
          <w:rFonts w:eastAsia="Times New Roman"/>
          <w:b/>
          <w:bCs/>
          <w:color w:val="000000"/>
          <w:sz w:val="20"/>
          <w:szCs w:val="20"/>
        </w:rPr>
        <w:t>PUBLIC STORAGE</w:t>
      </w:r>
    </w:p>
    <w:p w:rsidR="00000000" w:rsidRDefault="007C49E1">
      <w:pPr>
        <w:jc w:val="center"/>
        <w:divId w:val="1833829680"/>
        <w:rPr>
          <w:rFonts w:eastAsia="Times New Roman"/>
        </w:rPr>
      </w:pPr>
      <w:r>
        <w:rPr>
          <w:rFonts w:eastAsia="Times New Roman"/>
          <w:b/>
          <w:bCs/>
          <w:color w:val="000000"/>
          <w:sz w:val="20"/>
          <w:szCs w:val="20"/>
        </w:rPr>
        <w:t>NOTES TO CONSOLIDATED FINANCIAL STATEMENTS</w:t>
      </w:r>
    </w:p>
    <w:p w:rsidR="00000000" w:rsidRDefault="007C49E1">
      <w:pPr>
        <w:jc w:val="center"/>
        <w:divId w:val="1833829680"/>
        <w:rPr>
          <w:rFonts w:eastAsia="Times New Roman"/>
        </w:rPr>
      </w:pPr>
      <w:r>
        <w:rPr>
          <w:rFonts w:eastAsia="Times New Roman"/>
          <w:b/>
          <w:bCs/>
          <w:color w:val="000000"/>
          <w:sz w:val="20"/>
          <w:szCs w:val="20"/>
        </w:rPr>
        <w:t>March 31, 2022</w:t>
      </w:r>
    </w:p>
    <w:p w:rsidR="00000000" w:rsidRDefault="007C49E1">
      <w:pPr>
        <w:jc w:val="center"/>
        <w:divId w:val="1833829680"/>
        <w:rPr>
          <w:rFonts w:eastAsia="Times New Roman"/>
        </w:rPr>
      </w:pPr>
      <w:r>
        <w:rPr>
          <w:rFonts w:eastAsia="Times New Roman"/>
          <w:b/>
          <w:bCs/>
          <w:color w:val="000000"/>
          <w:sz w:val="20"/>
          <w:szCs w:val="20"/>
        </w:rPr>
        <w:t>(Unaudited)</w:t>
      </w:r>
    </w:p>
    <w:p w:rsidR="00000000" w:rsidRDefault="007C49E1">
      <w:pPr>
        <w:jc w:val="center"/>
        <w:divId w:val="1833829680"/>
        <w:rPr>
          <w:rFonts w:eastAsia="Times New Roman"/>
        </w:rPr>
      </w:pPr>
    </w:p>
    <w:p w:rsidR="00000000" w:rsidRDefault="007C49E1">
      <w:pPr>
        <w:jc w:val="both"/>
        <w:divId w:val="2079742414"/>
        <w:rPr>
          <w:rFonts w:eastAsia="Times New Roman"/>
        </w:rPr>
      </w:pPr>
      <w:r>
        <w:rPr>
          <w:rFonts w:eastAsia="Times New Roman"/>
          <w:color w:val="000000"/>
          <w:sz w:val="20"/>
          <w:szCs w:val="20"/>
        </w:rPr>
        <w:t xml:space="preserve">amortization totaled approximately $1.3 </w:t>
      </w:r>
      <w:r>
        <w:rPr>
          <w:rFonts w:eastAsia="Times New Roman"/>
          <w:color w:val="000000"/>
          <w:sz w:val="20"/>
          <w:szCs w:val="20"/>
        </w:rPr>
        <w:t xml:space="preserve">million and $2.5 million during the three months ended March 31, 2022 and 2021, respectively. </w:t>
      </w:r>
    </w:p>
    <w:p w:rsidR="00000000" w:rsidRDefault="007C49E1">
      <w:pPr>
        <w:ind w:firstLine="720"/>
        <w:jc w:val="both"/>
        <w:divId w:val="1364477312"/>
        <w:rPr>
          <w:rFonts w:eastAsia="Times New Roman"/>
        </w:rPr>
      </w:pPr>
      <w:r>
        <w:rPr>
          <w:rFonts w:eastAsia="Times New Roman"/>
          <w:color w:val="000000"/>
          <w:sz w:val="20"/>
          <w:szCs w:val="20"/>
        </w:rPr>
        <w:t>Shurgard is a publicly held entity trading on Euronext Brussels under the symbol “SHUR”.</w:t>
      </w:r>
    </w:p>
    <w:p w:rsidR="00000000" w:rsidRDefault="007C49E1">
      <w:pPr>
        <w:ind w:hanging="360"/>
        <w:jc w:val="both"/>
        <w:divId w:val="1592618306"/>
        <w:rPr>
          <w:rFonts w:eastAsia="Times New Roman"/>
        </w:rPr>
      </w:pPr>
      <w:r>
        <w:rPr>
          <w:rFonts w:eastAsia="Times New Roman"/>
          <w:color w:val="000000"/>
          <w:sz w:val="20"/>
          <w:szCs w:val="20"/>
        </w:rPr>
        <w:t>5.</w:t>
      </w:r>
      <w:r>
        <w:rPr>
          <w:rFonts w:eastAsia="Times New Roman"/>
          <w:color w:val="000000"/>
          <w:sz w:val="20"/>
          <w:szCs w:val="20"/>
          <w:u w:val="single"/>
        </w:rPr>
        <w:t>Goodwill and Other Intangible Assets</w:t>
      </w:r>
    </w:p>
    <w:p w:rsidR="00000000" w:rsidRDefault="007C49E1">
      <w:pPr>
        <w:jc w:val="both"/>
        <w:rPr>
          <w:rFonts w:eastAsia="Times New Roman"/>
        </w:rPr>
      </w:pPr>
    </w:p>
    <w:p w:rsidR="00000000" w:rsidRDefault="007C49E1">
      <w:pPr>
        <w:ind w:firstLine="720"/>
        <w:jc w:val="both"/>
        <w:divId w:val="688528034"/>
        <w:rPr>
          <w:rFonts w:eastAsia="Times New Roman"/>
        </w:rPr>
      </w:pPr>
      <w:r>
        <w:rPr>
          <w:rFonts w:eastAsia="Times New Roman"/>
          <w:color w:val="000000"/>
          <w:sz w:val="20"/>
          <w:szCs w:val="20"/>
        </w:rPr>
        <w:t>Goodwill and other intangible a</w:t>
      </w:r>
      <w:r>
        <w:rPr>
          <w:rFonts w:eastAsia="Times New Roman"/>
          <w:color w:val="000000"/>
          <w:sz w:val="20"/>
          <w:szCs w:val="20"/>
        </w:rPr>
        <w:t>ssets consisted of the following (amounts in thousands):</w:t>
      </w:r>
    </w:p>
    <w:tbl>
      <w:tblPr>
        <w:tblW w:w="4893" w:type="pct"/>
        <w:jc w:val="center"/>
        <w:tblCellMar>
          <w:top w:w="15" w:type="dxa"/>
          <w:left w:w="15" w:type="dxa"/>
          <w:bottom w:w="15" w:type="dxa"/>
          <w:right w:w="15" w:type="dxa"/>
        </w:tblCellMar>
        <w:tblLook w:val="04A0" w:firstRow="1" w:lastRow="0" w:firstColumn="1" w:lastColumn="0" w:noHBand="0" w:noVBand="1"/>
      </w:tblPr>
      <w:tblGrid>
        <w:gridCol w:w="53"/>
        <w:gridCol w:w="1588"/>
        <w:gridCol w:w="38"/>
        <w:gridCol w:w="120"/>
        <w:gridCol w:w="735"/>
        <w:gridCol w:w="36"/>
        <w:gridCol w:w="36"/>
        <w:gridCol w:w="36"/>
        <w:gridCol w:w="36"/>
        <w:gridCol w:w="121"/>
        <w:gridCol w:w="1014"/>
        <w:gridCol w:w="36"/>
        <w:gridCol w:w="36"/>
        <w:gridCol w:w="36"/>
        <w:gridCol w:w="36"/>
        <w:gridCol w:w="120"/>
        <w:gridCol w:w="736"/>
        <w:gridCol w:w="36"/>
        <w:gridCol w:w="36"/>
        <w:gridCol w:w="36"/>
        <w:gridCol w:w="36"/>
        <w:gridCol w:w="120"/>
        <w:gridCol w:w="736"/>
        <w:gridCol w:w="36"/>
        <w:gridCol w:w="36"/>
        <w:gridCol w:w="36"/>
        <w:gridCol w:w="36"/>
        <w:gridCol w:w="121"/>
        <w:gridCol w:w="1014"/>
        <w:gridCol w:w="36"/>
        <w:gridCol w:w="36"/>
        <w:gridCol w:w="36"/>
        <w:gridCol w:w="36"/>
        <w:gridCol w:w="120"/>
        <w:gridCol w:w="736"/>
        <w:gridCol w:w="36"/>
      </w:tblGrid>
      <w:tr w:rsidR="00000000">
        <w:trPr>
          <w:jc w:val="center"/>
        </w:trPr>
        <w:tc>
          <w:tcPr>
            <w:tcW w:w="50" w:type="pct"/>
            <w:vAlign w:val="center"/>
            <w:hideMark/>
          </w:tcPr>
          <w:p w:rsidR="00000000" w:rsidRDefault="007C49E1">
            <w:pPr>
              <w:ind w:firstLine="720"/>
              <w:jc w:val="both"/>
              <w:rPr>
                <w:rFonts w:eastAsia="Times New Roman"/>
              </w:rPr>
            </w:pPr>
          </w:p>
        </w:tc>
        <w:tc>
          <w:tcPr>
            <w:tcW w:w="112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533"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602"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533"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533"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602"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533"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At March 31, 2022</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At December 31, 2021</w:t>
            </w: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Gross Book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Net Book Value</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Gross Book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Net Book Value</w:t>
            </w:r>
          </w:p>
        </w:tc>
      </w:tr>
      <w:tr w:rsidR="00000000">
        <w:trPr>
          <w:jc w:val="center"/>
        </w:trPr>
        <w:tc>
          <w:tcPr>
            <w:tcW w:w="0" w:type="auto"/>
            <w:gridSpan w:val="3"/>
            <w:tcMar>
              <w:top w:w="30" w:type="dxa"/>
              <w:left w:w="20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Goodwill</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Shurgard® Trade Name</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Finite-lived intangible assets, subject to amortization</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196,178 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(109,718)</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86,460 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198,180 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(79,953)</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118,227 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Total goodwill and other intangible assets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380,845 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(109,718)</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271,127 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382,847 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w:t>
            </w:r>
            <w:r>
              <w:rPr>
                <w:rFonts w:eastAsia="Times New Roman"/>
                <w:color w:val="000000"/>
                <w:sz w:val="20"/>
                <w:szCs w:val="20"/>
              </w:rPr>
              <w:t>79,953)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302,894 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bl>
    <w:p w:rsidR="00000000" w:rsidRDefault="007C49E1">
      <w:pPr>
        <w:ind w:firstLine="720"/>
        <w:divId w:val="1796874125"/>
        <w:rPr>
          <w:rFonts w:eastAsia="Times New Roman"/>
        </w:rPr>
      </w:pPr>
    </w:p>
    <w:p w:rsidR="00000000" w:rsidRDefault="007C49E1">
      <w:pPr>
        <w:ind w:firstLine="720"/>
        <w:jc w:val="both"/>
        <w:divId w:val="121386848"/>
        <w:rPr>
          <w:rFonts w:eastAsia="Times New Roman"/>
        </w:rPr>
      </w:pPr>
      <w:r>
        <w:rPr>
          <w:rFonts w:eastAsia="Times New Roman"/>
          <w:color w:val="000000"/>
          <w:sz w:val="20"/>
          <w:szCs w:val="20"/>
        </w:rPr>
        <w:t>Finite-lived intangible assets consist primarily of acquired customers in place</w:t>
      </w:r>
      <w:r>
        <w:rPr>
          <w:rFonts w:eastAsia="Times New Roman"/>
          <w:color w:val="000000"/>
          <w:sz w:val="20"/>
          <w:szCs w:val="20"/>
        </w:rPr>
        <w:t>. Amortization expense related to intangible assets subject to amortization was $33.9 million and $6.1 million for the three months ended March 31, 2022 and 2021, respectively. During the three months ended March 31, 2022, intangibles increased $2.2 millio</w:t>
      </w:r>
      <w:r>
        <w:rPr>
          <w:rFonts w:eastAsia="Times New Roman"/>
          <w:color w:val="000000"/>
          <w:sz w:val="20"/>
          <w:szCs w:val="20"/>
        </w:rPr>
        <w:t xml:space="preserve">n, in connection with the acquisition of self-storage facilities (Note 3). </w:t>
      </w:r>
    </w:p>
    <w:p w:rsidR="00000000" w:rsidRDefault="007C49E1">
      <w:pPr>
        <w:ind w:firstLine="720"/>
        <w:jc w:val="both"/>
        <w:divId w:val="2129009287"/>
        <w:rPr>
          <w:rFonts w:eastAsia="Times New Roman"/>
        </w:rPr>
      </w:pPr>
      <w:r>
        <w:rPr>
          <w:rFonts w:eastAsia="Times New Roman"/>
          <w:color w:val="000000"/>
          <w:sz w:val="20"/>
          <w:szCs w:val="20"/>
        </w:rPr>
        <w:t>The estimated future amortization expense for our finite-lived intangible assets at March 31, 2022 is as follows (amounts in thousands):</w:t>
      </w:r>
    </w:p>
    <w:tbl>
      <w:tblPr>
        <w:tblW w:w="1954" w:type="pct"/>
        <w:jc w:val="center"/>
        <w:tblCellMar>
          <w:top w:w="15" w:type="dxa"/>
          <w:left w:w="15" w:type="dxa"/>
          <w:bottom w:w="15" w:type="dxa"/>
          <w:right w:w="15" w:type="dxa"/>
        </w:tblCellMar>
        <w:tblLook w:val="04A0" w:firstRow="1" w:lastRow="0" w:firstColumn="1" w:lastColumn="0" w:noHBand="0" w:noVBand="1"/>
      </w:tblPr>
      <w:tblGrid>
        <w:gridCol w:w="38"/>
        <w:gridCol w:w="1487"/>
        <w:gridCol w:w="36"/>
        <w:gridCol w:w="36"/>
        <w:gridCol w:w="36"/>
        <w:gridCol w:w="36"/>
        <w:gridCol w:w="120"/>
        <w:gridCol w:w="1421"/>
        <w:gridCol w:w="36"/>
      </w:tblGrid>
      <w:tr w:rsidR="00000000">
        <w:trPr>
          <w:divId w:val="1030644479"/>
          <w:jc w:val="center"/>
        </w:trPr>
        <w:tc>
          <w:tcPr>
            <w:tcW w:w="50" w:type="pct"/>
            <w:vAlign w:val="center"/>
            <w:hideMark/>
          </w:tcPr>
          <w:p w:rsidR="00000000" w:rsidRDefault="007C49E1">
            <w:pPr>
              <w:ind w:firstLine="720"/>
              <w:jc w:val="both"/>
              <w:rPr>
                <w:rFonts w:eastAsia="Times New Roman"/>
              </w:rPr>
            </w:pPr>
          </w:p>
        </w:tc>
        <w:tc>
          <w:tcPr>
            <w:tcW w:w="240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6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240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1030644479"/>
          <w:jc w:val="center"/>
        </w:trPr>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Year</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Amount</w:t>
            </w:r>
          </w:p>
        </w:tc>
      </w:tr>
      <w:tr w:rsidR="00000000">
        <w:trPr>
          <w:divId w:val="1030644479"/>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Remainder of 2022</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54,379 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030644479"/>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24,876 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030644479"/>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7,205 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030644479"/>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86,460 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bl>
    <w:p w:rsidR="00000000" w:rsidRDefault="007C49E1">
      <w:pPr>
        <w:ind w:hanging="360"/>
        <w:divId w:val="85468323"/>
        <w:rPr>
          <w:rFonts w:eastAsia="Times New Roman"/>
        </w:rPr>
      </w:pPr>
      <w:r>
        <w:rPr>
          <w:rFonts w:eastAsia="Times New Roman"/>
          <w:color w:val="000000"/>
          <w:sz w:val="20"/>
          <w:szCs w:val="20"/>
        </w:rPr>
        <w:t>6.</w:t>
      </w:r>
      <w:r>
        <w:rPr>
          <w:rFonts w:eastAsia="Times New Roman"/>
          <w:color w:val="000000"/>
          <w:sz w:val="20"/>
          <w:szCs w:val="20"/>
          <w:u w:val="single"/>
        </w:rPr>
        <w:t>Credit Facility</w:t>
      </w:r>
    </w:p>
    <w:p w:rsidR="00000000" w:rsidRDefault="007C49E1">
      <w:pPr>
        <w:ind w:firstLine="720"/>
        <w:jc w:val="both"/>
        <w:divId w:val="349139899"/>
        <w:rPr>
          <w:rFonts w:eastAsia="Times New Roman"/>
        </w:rPr>
      </w:pPr>
      <w:r>
        <w:rPr>
          <w:rFonts w:eastAsia="Times New Roman"/>
          <w:color w:val="000000"/>
          <w:sz w:val="20"/>
          <w:szCs w:val="20"/>
        </w:rPr>
        <w:t xml:space="preserve">We have a revolving credit agreement (the “Credit Facility”) with a $500 </w:t>
      </w:r>
      <w:r>
        <w:rPr>
          <w:rFonts w:eastAsia="Times New Roman"/>
          <w:color w:val="000000"/>
          <w:sz w:val="20"/>
          <w:szCs w:val="20"/>
        </w:rPr>
        <w:t>million borrowing limit that matures on April 19, 2024. Amounts drawn on the Credit Facility bear annual interest at rates ranging from LIBOR plus 0.7% to LIBOR plus 1.350% depending upon the ratio of our Total Indebtedness to Gross Asset Value (as defined</w:t>
      </w:r>
      <w:r>
        <w:rPr>
          <w:rFonts w:eastAsia="Times New Roman"/>
          <w:color w:val="000000"/>
          <w:sz w:val="20"/>
          <w:szCs w:val="20"/>
        </w:rPr>
        <w:t xml:space="preserve"> in the Credit Facility) (LIBOR plus 0.75% at March 31, 2022). We are also required to pay a quarterly facility fee ranging from 0.07% per annum to 0.25% per annum depending upon the ratio of our Total Indebtedness to our Gross Asset Value (0.10% per annum</w:t>
      </w:r>
      <w:r>
        <w:rPr>
          <w:rFonts w:eastAsia="Times New Roman"/>
          <w:color w:val="000000"/>
          <w:sz w:val="20"/>
          <w:szCs w:val="20"/>
        </w:rPr>
        <w:t xml:space="preserve"> at March 31, 2022). At March 31, 2022 and May 3, 2022, we had no outstanding borrowings under this Credit Facility. We had undrawn standby letters of credit, which reduces our borrowing capacity, totaling $21.2 million at March 31, 2022 ($21.2 million at </w:t>
      </w:r>
      <w:r>
        <w:rPr>
          <w:rFonts w:eastAsia="Times New Roman"/>
          <w:color w:val="000000"/>
          <w:sz w:val="20"/>
          <w:szCs w:val="20"/>
        </w:rPr>
        <w:t xml:space="preserve">December 31, 2021). The Credit Facility has various customary restrictive covenants, with which we were in compliance at March 31, 2022. </w:t>
      </w:r>
    </w:p>
    <w:p w:rsidR="00000000" w:rsidRDefault="007C49E1">
      <w:pPr>
        <w:divId w:val="1803379687"/>
        <w:rPr>
          <w:rFonts w:eastAsia="Times New Roman"/>
        </w:rPr>
      </w:pPr>
    </w:p>
    <w:p w:rsidR="00000000" w:rsidRDefault="007C49E1">
      <w:pPr>
        <w:jc w:val="center"/>
        <w:divId w:val="1001589798"/>
        <w:rPr>
          <w:rFonts w:eastAsia="Times New Roman"/>
        </w:rPr>
      </w:pPr>
      <w:r>
        <w:rPr>
          <w:rFonts w:eastAsia="Times New Roman"/>
          <w:color w:val="000000"/>
          <w:sz w:val="20"/>
          <w:szCs w:val="20"/>
        </w:rPr>
        <w:t>11</w:t>
      </w:r>
    </w:p>
    <w:p w:rsidR="00000000" w:rsidRDefault="007C49E1">
      <w:pPr>
        <w:rPr>
          <w:rFonts w:eastAsia="Times New Roman"/>
        </w:rPr>
      </w:pPr>
      <w:r>
        <w:rPr>
          <w:rFonts w:eastAsia="Times New Roman"/>
        </w:rPr>
        <w:pict>
          <v:rect id="_x0000_i1037" style="width:0;height:1.5pt" o:hralign="center" o:hrstd="t" o:hr="t" fillcolor="#a0a0a0" stroked="f"/>
        </w:pict>
      </w:r>
    </w:p>
    <w:p w:rsidR="00000000" w:rsidRDefault="007C49E1">
      <w:pPr>
        <w:jc w:val="center"/>
        <w:divId w:val="594634355"/>
        <w:rPr>
          <w:rFonts w:eastAsia="Times New Roman"/>
        </w:rPr>
      </w:pPr>
    </w:p>
    <w:p w:rsidR="00000000" w:rsidRDefault="007C49E1">
      <w:pPr>
        <w:jc w:val="center"/>
        <w:divId w:val="594634355"/>
        <w:rPr>
          <w:rFonts w:eastAsia="Times New Roman"/>
        </w:rPr>
      </w:pPr>
      <w:r>
        <w:rPr>
          <w:rFonts w:eastAsia="Times New Roman"/>
          <w:b/>
          <w:bCs/>
          <w:color w:val="000000"/>
          <w:sz w:val="20"/>
          <w:szCs w:val="20"/>
        </w:rPr>
        <w:t>PUBLIC STORAGE</w:t>
      </w:r>
    </w:p>
    <w:p w:rsidR="00000000" w:rsidRDefault="007C49E1">
      <w:pPr>
        <w:jc w:val="center"/>
        <w:divId w:val="594634355"/>
        <w:rPr>
          <w:rFonts w:eastAsia="Times New Roman"/>
        </w:rPr>
      </w:pPr>
      <w:r>
        <w:rPr>
          <w:rFonts w:eastAsia="Times New Roman"/>
          <w:b/>
          <w:bCs/>
          <w:color w:val="000000"/>
          <w:sz w:val="20"/>
          <w:szCs w:val="20"/>
        </w:rPr>
        <w:t>NOTES TO CONSOLIDATED FINANCIAL STATEMENTS</w:t>
      </w:r>
    </w:p>
    <w:p w:rsidR="00000000" w:rsidRDefault="007C49E1">
      <w:pPr>
        <w:jc w:val="center"/>
        <w:divId w:val="594634355"/>
        <w:rPr>
          <w:rFonts w:eastAsia="Times New Roman"/>
        </w:rPr>
      </w:pPr>
      <w:r>
        <w:rPr>
          <w:rFonts w:eastAsia="Times New Roman"/>
          <w:b/>
          <w:bCs/>
          <w:color w:val="000000"/>
          <w:sz w:val="20"/>
          <w:szCs w:val="20"/>
        </w:rPr>
        <w:t>March 31, 2022</w:t>
      </w:r>
    </w:p>
    <w:p w:rsidR="00000000" w:rsidRDefault="007C49E1">
      <w:pPr>
        <w:jc w:val="center"/>
        <w:divId w:val="594634355"/>
        <w:rPr>
          <w:rFonts w:eastAsia="Times New Roman"/>
        </w:rPr>
      </w:pPr>
      <w:r>
        <w:rPr>
          <w:rFonts w:eastAsia="Times New Roman"/>
          <w:b/>
          <w:bCs/>
          <w:color w:val="000000"/>
          <w:sz w:val="20"/>
          <w:szCs w:val="20"/>
        </w:rPr>
        <w:t>(</w:t>
      </w:r>
      <w:r>
        <w:rPr>
          <w:rFonts w:eastAsia="Times New Roman"/>
          <w:b/>
          <w:bCs/>
          <w:color w:val="000000"/>
          <w:sz w:val="20"/>
          <w:szCs w:val="20"/>
        </w:rPr>
        <w:t>Unaudited)</w:t>
      </w:r>
    </w:p>
    <w:p w:rsidR="00000000" w:rsidRDefault="007C49E1">
      <w:pPr>
        <w:jc w:val="center"/>
        <w:divId w:val="594634355"/>
        <w:rPr>
          <w:rFonts w:eastAsia="Times New Roman"/>
        </w:rPr>
      </w:pPr>
    </w:p>
    <w:p w:rsidR="00000000" w:rsidRDefault="007C49E1">
      <w:pPr>
        <w:ind w:hanging="360"/>
        <w:divId w:val="1798137562"/>
        <w:rPr>
          <w:rFonts w:eastAsia="Times New Roman"/>
        </w:rPr>
      </w:pPr>
      <w:r>
        <w:rPr>
          <w:rFonts w:eastAsia="Times New Roman"/>
          <w:color w:val="000000"/>
          <w:sz w:val="20"/>
          <w:szCs w:val="20"/>
        </w:rPr>
        <w:t>7.</w:t>
      </w:r>
      <w:r>
        <w:rPr>
          <w:rFonts w:eastAsia="Times New Roman"/>
          <w:color w:val="000000"/>
          <w:sz w:val="20"/>
          <w:szCs w:val="20"/>
          <w:u w:val="single"/>
        </w:rPr>
        <w:t>Notes Payable</w:t>
      </w:r>
    </w:p>
    <w:p w:rsidR="00000000" w:rsidRDefault="007C49E1">
      <w:pPr>
        <w:ind w:firstLine="547"/>
        <w:jc w:val="both"/>
        <w:divId w:val="1433010443"/>
        <w:rPr>
          <w:rFonts w:eastAsia="Times New Roman"/>
        </w:rPr>
      </w:pPr>
      <w:r>
        <w:rPr>
          <w:rFonts w:eastAsia="Times New Roman"/>
          <w:color w:val="000000"/>
          <w:sz w:val="20"/>
          <w:szCs w:val="20"/>
        </w:rPr>
        <w:t>Our notes payable are reflected net of issuance costs (including original issue discounts), which are amortized as interest expense on the effective interest method over the term of each respective note. Our notes payable at March 31, 2022 and December 31,</w:t>
      </w:r>
      <w:r>
        <w:rPr>
          <w:rFonts w:eastAsia="Times New Roman"/>
          <w:color w:val="000000"/>
          <w:sz w:val="20"/>
          <w:szCs w:val="20"/>
        </w:rPr>
        <w:t xml:space="preserve"> 2021 are set forth in the tables below:</w:t>
      </w:r>
    </w:p>
    <w:tbl>
      <w:tblPr>
        <w:tblW w:w="4840" w:type="pct"/>
        <w:tblCellMar>
          <w:top w:w="15" w:type="dxa"/>
          <w:left w:w="15" w:type="dxa"/>
          <w:bottom w:w="15" w:type="dxa"/>
          <w:right w:w="15" w:type="dxa"/>
        </w:tblCellMar>
        <w:tblLook w:val="04A0" w:firstRow="1" w:lastRow="0" w:firstColumn="1" w:lastColumn="0" w:noHBand="0" w:noVBand="1"/>
      </w:tblPr>
      <w:tblGrid>
        <w:gridCol w:w="37"/>
        <w:gridCol w:w="1899"/>
        <w:gridCol w:w="36"/>
        <w:gridCol w:w="83"/>
        <w:gridCol w:w="967"/>
        <w:gridCol w:w="37"/>
        <w:gridCol w:w="36"/>
        <w:gridCol w:w="36"/>
        <w:gridCol w:w="36"/>
        <w:gridCol w:w="67"/>
        <w:gridCol w:w="627"/>
        <w:gridCol w:w="36"/>
        <w:gridCol w:w="36"/>
        <w:gridCol w:w="36"/>
        <w:gridCol w:w="36"/>
        <w:gridCol w:w="110"/>
        <w:gridCol w:w="765"/>
        <w:gridCol w:w="36"/>
        <w:gridCol w:w="36"/>
        <w:gridCol w:w="36"/>
        <w:gridCol w:w="36"/>
        <w:gridCol w:w="111"/>
        <w:gridCol w:w="829"/>
        <w:gridCol w:w="37"/>
        <w:gridCol w:w="36"/>
        <w:gridCol w:w="37"/>
        <w:gridCol w:w="36"/>
        <w:gridCol w:w="110"/>
        <w:gridCol w:w="765"/>
        <w:gridCol w:w="36"/>
        <w:gridCol w:w="36"/>
        <w:gridCol w:w="36"/>
        <w:gridCol w:w="36"/>
        <w:gridCol w:w="110"/>
        <w:gridCol w:w="765"/>
        <w:gridCol w:w="36"/>
      </w:tblGrid>
      <w:tr w:rsidR="00000000">
        <w:trPr>
          <w:divId w:val="548300467"/>
        </w:trPr>
        <w:tc>
          <w:tcPr>
            <w:tcW w:w="50" w:type="pct"/>
            <w:vAlign w:val="center"/>
            <w:hideMark/>
          </w:tcPr>
          <w:p w:rsidR="00000000" w:rsidRDefault="007C49E1">
            <w:pPr>
              <w:ind w:firstLine="547"/>
              <w:jc w:val="both"/>
              <w:rPr>
                <w:rFonts w:eastAsia="Times New Roman"/>
              </w:rPr>
            </w:pPr>
          </w:p>
        </w:tc>
        <w:tc>
          <w:tcPr>
            <w:tcW w:w="150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58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46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46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46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46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46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21"/>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Amounts at March 31, 2022</w:t>
            </w: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Coupon Rate</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Effective Rate</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 Principal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Unamortized Costs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Book</w:t>
            </w:r>
            <w:r>
              <w:rPr>
                <w:rFonts w:eastAsia="Times New Roman"/>
                <w:color w:val="000000"/>
                <w:sz w:val="18"/>
                <w:szCs w:val="18"/>
              </w:rPr>
              <w:br/>
              <w:t>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Fair</w:t>
            </w:r>
            <w:r>
              <w:rPr>
                <w:rFonts w:eastAsia="Times New Roman"/>
                <w:color w:val="000000"/>
                <w:sz w:val="18"/>
                <w:szCs w:val="18"/>
              </w:rPr>
              <w:br/>
              <w:t> Value</w:t>
            </w:r>
          </w:p>
        </w:tc>
      </w:tr>
      <w:tr w:rsidR="00000000">
        <w:trPr>
          <w:divId w:val="548300467"/>
          <w:trHeight w:val="60"/>
        </w:trPr>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 amounts in thousands)</w:t>
            </w:r>
          </w:p>
        </w:tc>
      </w:tr>
      <w:tr w:rsidR="00000000">
        <w:trPr>
          <w:divId w:val="548300467"/>
        </w:trPr>
        <w:tc>
          <w:tcPr>
            <w:tcW w:w="0" w:type="auto"/>
            <w:gridSpan w:val="12"/>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i/>
                <w:iCs/>
                <w:color w:val="000000"/>
                <w:sz w:val="18"/>
                <w:szCs w:val="18"/>
              </w:rPr>
              <w:t>U.S. Dollar Denominated Unsecured Debt</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divId w:val="496850942"/>
              <w:rPr>
                <w:rFonts w:eastAsia="Times New Roman"/>
              </w:rPr>
            </w:pPr>
            <w:r>
              <w:rPr>
                <w:rFonts w:eastAsia="Times New Roman"/>
                <w:color w:val="000000"/>
                <w:sz w:val="18"/>
                <w:szCs w:val="18"/>
              </w:rPr>
              <w:t xml:space="preserve">Notes due September 15, 2022 </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2.370%</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2.483%</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(231)</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499,769 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501,283 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divId w:val="1133447878"/>
              <w:rPr>
                <w:rFonts w:eastAsia="Times New Roman"/>
              </w:rPr>
            </w:pPr>
            <w:r>
              <w:rPr>
                <w:rFonts w:eastAsia="Times New Roman"/>
                <w:color w:val="000000"/>
                <w:sz w:val="18"/>
                <w:szCs w:val="18"/>
              </w:rPr>
              <w:t>Notes due April 23, 2024</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SOFR+0.47%</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0.619%</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700,000 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(1,452)</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698,548 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696,594 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divId w:val="1443188784"/>
              <w:rPr>
                <w:rFonts w:eastAsia="Times New Roman"/>
              </w:rPr>
            </w:pPr>
            <w:r>
              <w:rPr>
                <w:rFonts w:eastAsia="Times New Roman"/>
                <w:color w:val="000000"/>
                <w:sz w:val="18"/>
                <w:szCs w:val="18"/>
              </w:rPr>
              <w:t>Notes due February 15, 2026</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0.875%</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1.030%</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(2,877)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497,123 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461,600 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November 9, 2026</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1.500%</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1.640%</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(4,010)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645,990 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608,077 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divId w:val="1458521196"/>
              <w:rPr>
                <w:rFonts w:eastAsia="Times New Roman"/>
              </w:rPr>
            </w:pPr>
            <w:r>
              <w:rPr>
                <w:rFonts w:eastAsia="Times New Roman"/>
                <w:color w:val="000000"/>
                <w:sz w:val="18"/>
                <w:szCs w:val="18"/>
              </w:rPr>
              <w:t>Notes due September 15, 2027</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3.094%</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3.218%</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(2,888)</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497,112 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493,907 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divId w:val="153880259"/>
              <w:rPr>
                <w:rFonts w:eastAsia="Times New Roman"/>
              </w:rPr>
            </w:pPr>
            <w:r>
              <w:rPr>
                <w:rFonts w:eastAsia="Times New Roman"/>
                <w:color w:val="000000"/>
                <w:sz w:val="18"/>
                <w:szCs w:val="18"/>
              </w:rPr>
              <w:t>Notes due May 1, 2028</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1.850%</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1.962%</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(4,107)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645,893 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599,449 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November 9, 2028</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1.950%</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2.044%</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550,000 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(3,179)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546,821 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505,937 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divId w:val="2083484916"/>
              <w:rPr>
                <w:rFonts w:eastAsia="Times New Roman"/>
              </w:rPr>
            </w:pPr>
            <w:r>
              <w:rPr>
                <w:rFonts w:eastAsia="Times New Roman"/>
                <w:color w:val="000000"/>
                <w:sz w:val="18"/>
                <w:szCs w:val="18"/>
              </w:rPr>
              <w:t>Notes due May 1, 2029</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3.385%</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3.459%</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(2,179)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497,821 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504,863 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divId w:val="1520585294"/>
              <w:rPr>
                <w:rFonts w:eastAsia="Times New Roman"/>
              </w:rPr>
            </w:pPr>
            <w:r>
              <w:rPr>
                <w:rFonts w:eastAsia="Times New Roman"/>
                <w:color w:val="000000"/>
                <w:sz w:val="18"/>
                <w:szCs w:val="18"/>
              </w:rPr>
              <w:t>Notes due May 1, 2031</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2.300%</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2.419%</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(6,211)</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643,789 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600,303 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November 9, 2031</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2.250%</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2.322%</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550,000 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(3,399)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546,601 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502,782 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5,750,000 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(30,533)</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5,719,467 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5,474,795 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Height w:val="120"/>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548300467"/>
        </w:trPr>
        <w:tc>
          <w:tcPr>
            <w:tcW w:w="0" w:type="auto"/>
            <w:gridSpan w:val="6"/>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i/>
                <w:iCs/>
                <w:color w:val="000000"/>
                <w:sz w:val="18"/>
                <w:szCs w:val="18"/>
              </w:rPr>
              <w:t>Euro Denominated Unsecured Debt</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divId w:val="859733095"/>
              <w:rPr>
                <w:rFonts w:eastAsia="Times New Roman"/>
              </w:rPr>
            </w:pPr>
            <w:r>
              <w:rPr>
                <w:rFonts w:eastAsia="Times New Roman"/>
                <w:color w:val="000000"/>
                <w:sz w:val="18"/>
                <w:szCs w:val="18"/>
              </w:rPr>
              <w:t>Notes due April 12, 2024</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1.540%</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1.540%</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111,148 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111,148 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112,427 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divId w:val="543450310"/>
              <w:rPr>
                <w:rFonts w:eastAsia="Times New Roman"/>
              </w:rPr>
            </w:pPr>
            <w:r>
              <w:rPr>
                <w:rFonts w:eastAsia="Times New Roman"/>
                <w:color w:val="000000"/>
                <w:sz w:val="18"/>
                <w:szCs w:val="18"/>
              </w:rPr>
              <w:t>Notes due November 3, 2025</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2.175%</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2.175%</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268,993 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268,993 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277,704 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September 9, 2030</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0.500%</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0.640%</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778,036 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(9,449)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768,587 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679,225 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divId w:val="399520616"/>
              <w:rPr>
                <w:rFonts w:eastAsia="Times New Roman"/>
              </w:rPr>
            </w:pPr>
            <w:r>
              <w:rPr>
                <w:rFonts w:eastAsia="Times New Roman"/>
                <w:color w:val="000000"/>
                <w:sz w:val="18"/>
                <w:szCs w:val="18"/>
              </w:rPr>
              <w:t>Notes due January 24, 2032</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0.875%</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0.978%</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555,740 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(5,260)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550,480 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491,274 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1,713,917 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(14,709)</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1,699,208 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1,560,630 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Height w:val="60"/>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ind w:hanging="180"/>
              <w:divId w:val="756243907"/>
              <w:rPr>
                <w:rFonts w:eastAsia="Times New Roman"/>
              </w:rPr>
            </w:pPr>
            <w:r>
              <w:rPr>
                <w:rFonts w:eastAsia="Times New Roman"/>
                <w:color w:val="000000"/>
                <w:sz w:val="18"/>
                <w:szCs w:val="18"/>
              </w:rPr>
              <w:t> </w:t>
            </w:r>
            <w:r>
              <w:rPr>
                <w:rFonts w:eastAsia="Times New Roman"/>
                <w:b/>
                <w:bCs/>
                <w:i/>
                <w:iCs/>
                <w:color w:val="000000"/>
                <w:sz w:val="18"/>
                <w:szCs w:val="18"/>
              </w:rPr>
              <w:t>Mortgage Debt</w:t>
            </w:r>
            <w:r>
              <w:rPr>
                <w:rFonts w:eastAsia="Times New Roman"/>
                <w:color w:val="000000"/>
                <w:sz w:val="18"/>
                <w:szCs w:val="18"/>
              </w:rPr>
              <w:t xml:space="preserve">, secured by 11 </w:t>
            </w:r>
            <w:r>
              <w:rPr>
                <w:rFonts w:eastAsia="Times New Roman"/>
                <w:color w:val="000000"/>
                <w:sz w:val="18"/>
                <w:szCs w:val="18"/>
              </w:rPr>
              <w:t>real estate facilities with a net book value of $65.7 million</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3.877%</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3.896%</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23,048 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23,048 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23,782 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548300467"/>
          <w:trHeight w:val="60"/>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548300467"/>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7,486,965 </w:t>
            </w:r>
          </w:p>
        </w:tc>
        <w:tc>
          <w:tcPr>
            <w:tcW w:w="0" w:type="auto"/>
            <w:tcBorders>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(45,242)</w:t>
            </w:r>
          </w:p>
        </w:tc>
        <w:tc>
          <w:tcPr>
            <w:tcW w:w="0" w:type="auto"/>
            <w:tcBorders>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7,441,723 </w:t>
            </w:r>
          </w:p>
        </w:tc>
        <w:tc>
          <w:tcPr>
            <w:tcW w:w="0" w:type="auto"/>
            <w:tcBorders>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7,059,207 </w:t>
            </w:r>
          </w:p>
        </w:tc>
        <w:tc>
          <w:tcPr>
            <w:tcW w:w="0" w:type="auto"/>
            <w:tcBorders>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bl>
    <w:p w:rsidR="00000000" w:rsidRDefault="007C49E1">
      <w:pPr>
        <w:jc w:val="center"/>
        <w:divId w:val="361177822"/>
        <w:rPr>
          <w:rFonts w:eastAsia="Times New Roman"/>
        </w:rPr>
      </w:pPr>
      <w:r>
        <w:rPr>
          <w:rFonts w:eastAsia="Times New Roman"/>
          <w:color w:val="000000"/>
          <w:sz w:val="20"/>
          <w:szCs w:val="20"/>
        </w:rPr>
        <w:t>12</w:t>
      </w:r>
    </w:p>
    <w:p w:rsidR="00000000" w:rsidRDefault="007C49E1">
      <w:pPr>
        <w:rPr>
          <w:rFonts w:eastAsia="Times New Roman"/>
        </w:rPr>
      </w:pPr>
      <w:r>
        <w:rPr>
          <w:rFonts w:eastAsia="Times New Roman"/>
        </w:rPr>
        <w:pict>
          <v:rect id="_x0000_i1038" style="width:0;height:1.5pt" o:hralign="center" o:hrstd="t" o:hr="t" fillcolor="#a0a0a0" stroked="f"/>
        </w:pict>
      </w:r>
    </w:p>
    <w:p w:rsidR="00000000" w:rsidRDefault="007C49E1">
      <w:pPr>
        <w:jc w:val="center"/>
        <w:divId w:val="301933761"/>
        <w:rPr>
          <w:rFonts w:eastAsia="Times New Roman"/>
        </w:rPr>
      </w:pPr>
    </w:p>
    <w:p w:rsidR="00000000" w:rsidRDefault="007C49E1">
      <w:pPr>
        <w:jc w:val="center"/>
        <w:divId w:val="301933761"/>
        <w:rPr>
          <w:rFonts w:eastAsia="Times New Roman"/>
        </w:rPr>
      </w:pPr>
      <w:r>
        <w:rPr>
          <w:rFonts w:eastAsia="Times New Roman"/>
          <w:b/>
          <w:bCs/>
          <w:color w:val="000000"/>
          <w:sz w:val="20"/>
          <w:szCs w:val="20"/>
        </w:rPr>
        <w:t>PUBLIC STORAGE</w:t>
      </w:r>
    </w:p>
    <w:p w:rsidR="00000000" w:rsidRDefault="007C49E1">
      <w:pPr>
        <w:jc w:val="center"/>
        <w:divId w:val="301933761"/>
        <w:rPr>
          <w:rFonts w:eastAsia="Times New Roman"/>
        </w:rPr>
      </w:pPr>
      <w:r>
        <w:rPr>
          <w:rFonts w:eastAsia="Times New Roman"/>
          <w:b/>
          <w:bCs/>
          <w:color w:val="000000"/>
          <w:sz w:val="20"/>
          <w:szCs w:val="20"/>
        </w:rPr>
        <w:t>NOTES TO CONSOLIDATED FINANCIAL STATEMENTS</w:t>
      </w:r>
    </w:p>
    <w:p w:rsidR="00000000" w:rsidRDefault="007C49E1">
      <w:pPr>
        <w:jc w:val="center"/>
        <w:divId w:val="301933761"/>
        <w:rPr>
          <w:rFonts w:eastAsia="Times New Roman"/>
        </w:rPr>
      </w:pPr>
      <w:r>
        <w:rPr>
          <w:rFonts w:eastAsia="Times New Roman"/>
          <w:b/>
          <w:bCs/>
          <w:color w:val="000000"/>
          <w:sz w:val="20"/>
          <w:szCs w:val="20"/>
        </w:rPr>
        <w:t>March 31, 2022</w:t>
      </w:r>
    </w:p>
    <w:p w:rsidR="00000000" w:rsidRDefault="007C49E1">
      <w:pPr>
        <w:jc w:val="center"/>
        <w:divId w:val="301933761"/>
        <w:rPr>
          <w:rFonts w:eastAsia="Times New Roman"/>
        </w:rPr>
      </w:pPr>
      <w:r>
        <w:rPr>
          <w:rFonts w:eastAsia="Times New Roman"/>
          <w:b/>
          <w:bCs/>
          <w:color w:val="000000"/>
          <w:sz w:val="20"/>
          <w:szCs w:val="20"/>
        </w:rPr>
        <w:t>(Unaudited)</w:t>
      </w:r>
    </w:p>
    <w:p w:rsidR="00000000" w:rsidRDefault="007C49E1">
      <w:pPr>
        <w:jc w:val="center"/>
        <w:divId w:val="301933761"/>
        <w:rPr>
          <w:rFonts w:eastAsia="Times New Roman"/>
        </w:rPr>
      </w:pPr>
    </w:p>
    <w:tbl>
      <w:tblPr>
        <w:tblW w:w="4840" w:type="pct"/>
        <w:tblCellMar>
          <w:top w:w="15" w:type="dxa"/>
          <w:left w:w="15" w:type="dxa"/>
          <w:bottom w:w="15" w:type="dxa"/>
          <w:right w:w="15" w:type="dxa"/>
        </w:tblCellMar>
        <w:tblLook w:val="04A0" w:firstRow="1" w:lastRow="0" w:firstColumn="1" w:lastColumn="0" w:noHBand="0" w:noVBand="1"/>
      </w:tblPr>
      <w:tblGrid>
        <w:gridCol w:w="37"/>
        <w:gridCol w:w="6037"/>
        <w:gridCol w:w="36"/>
        <w:gridCol w:w="110"/>
        <w:gridCol w:w="765"/>
        <w:gridCol w:w="36"/>
        <w:gridCol w:w="36"/>
        <w:gridCol w:w="36"/>
        <w:gridCol w:w="36"/>
        <w:gridCol w:w="110"/>
        <w:gridCol w:w="765"/>
        <w:gridCol w:w="36"/>
      </w:tblGrid>
      <w:tr w:rsidR="00000000">
        <w:trPr>
          <w:divId w:val="1355422743"/>
        </w:trPr>
        <w:tc>
          <w:tcPr>
            <w:tcW w:w="50" w:type="pct"/>
            <w:vAlign w:val="center"/>
            <w:hideMark/>
          </w:tcPr>
          <w:p w:rsidR="00000000" w:rsidRDefault="007C49E1">
            <w:pPr>
              <w:jc w:val="center"/>
              <w:rPr>
                <w:rFonts w:eastAsia="Times New Roman"/>
              </w:rPr>
            </w:pPr>
          </w:p>
        </w:tc>
        <w:tc>
          <w:tcPr>
            <w:tcW w:w="385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46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46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1355422743"/>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 xml:space="preserve">Amounts at </w:t>
            </w: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December 31, 2021</w:t>
            </w: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Book Value</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Fair Value</w:t>
            </w: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 amounts in thousands)</w:t>
            </w: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i/>
                <w:iCs/>
                <w:color w:val="000000"/>
                <w:sz w:val="18"/>
                <w:szCs w:val="18"/>
              </w:rPr>
              <w:t>U.S. Dollar Denominated Unsecured Debt</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Notes due September 15, 2022 </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499,637 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506,362 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April 23, 2024</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698,372 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700,314 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February 15, 2026</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496,939 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488,141 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November 9, 2026</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645,773 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649,996 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September 15, 2027</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496,980 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535,206 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May 1, 2028</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645,724 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649,221 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November 9, 2028</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546,701 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548,241 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May 1, 2029</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497,743 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545,580 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May 1, 2031</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643,617 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656,546 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November 9, 2031</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546,512 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551,932 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5,717,998 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5,831,539 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Height w:val="60"/>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i/>
                <w:iCs/>
                <w:color w:val="000000"/>
                <w:sz w:val="18"/>
                <w:szCs w:val="18"/>
              </w:rPr>
              <w:t>Euro Denominated Unsecured Debt</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April 12, 2024</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113,431 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117,526 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November 3, 2025</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274,518 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295,256 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September 9, 2030</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784,287 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769,561 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Notes due January 24, 2032</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561,761 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551,842 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1,733,997 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1,734,185 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Height w:val="60"/>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i/>
                <w:iCs/>
                <w:color w:val="000000"/>
                <w:sz w:val="18"/>
                <w:szCs w:val="18"/>
              </w:rPr>
              <w:t>Mortgage Debt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23,284 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24,208 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355422743"/>
          <w:trHeight w:val="60"/>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1355422743"/>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tcBorders>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7,475,279 </w:t>
            </w:r>
          </w:p>
        </w:tc>
        <w:tc>
          <w:tcPr>
            <w:tcW w:w="0" w:type="auto"/>
            <w:tcBorders>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7,589,932 </w:t>
            </w:r>
          </w:p>
        </w:tc>
        <w:tc>
          <w:tcPr>
            <w:tcW w:w="0" w:type="auto"/>
            <w:tcBorders>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bl>
    <w:p w:rsidR="00000000" w:rsidRDefault="007C49E1">
      <w:pPr>
        <w:ind w:firstLine="360"/>
        <w:jc w:val="both"/>
        <w:divId w:val="883442485"/>
        <w:rPr>
          <w:rFonts w:eastAsia="Times New Roman"/>
        </w:rPr>
      </w:pPr>
      <w:r>
        <w:rPr>
          <w:rFonts w:eastAsia="Times New Roman"/>
          <w:color w:val="000000"/>
          <w:sz w:val="20"/>
          <w:szCs w:val="20"/>
          <w:u w:val="single"/>
        </w:rPr>
        <w:t>U.S. Dollar Denominated Unsecured Notes</w:t>
      </w:r>
    </w:p>
    <w:p w:rsidR="00000000" w:rsidRDefault="007C49E1">
      <w:pPr>
        <w:ind w:firstLine="720"/>
        <w:jc w:val="both"/>
        <w:divId w:val="1992783187"/>
        <w:rPr>
          <w:rFonts w:eastAsia="Times New Roman"/>
        </w:rPr>
      </w:pPr>
      <w:r>
        <w:rPr>
          <w:rFonts w:eastAsia="Times New Roman"/>
          <w:color w:val="000000"/>
          <w:sz w:val="20"/>
          <w:szCs w:val="20"/>
        </w:rPr>
        <w:t>The U.S. Dollar Denominated Unsecured Notes have various financial covenants, with which we were in compliance at March 31, 2022. Included in these covenants are (a) a maximum Debt to Total Assets of 65% (approximately 15% at March 31, 2022) and (b) a mini</w:t>
      </w:r>
      <w:r>
        <w:rPr>
          <w:rFonts w:eastAsia="Times New Roman"/>
          <w:color w:val="000000"/>
          <w:sz w:val="20"/>
          <w:szCs w:val="20"/>
        </w:rPr>
        <w:t xml:space="preserve">mum ratio of Adjusted EBITDA to Interest Expense of 1.5x (approximately 27x for the twelve months ended March 31, 2022) as well as covenants limiting the amount we can encumber our properties with mortgage debt. </w:t>
      </w:r>
    </w:p>
    <w:p w:rsidR="00000000" w:rsidRDefault="007C49E1">
      <w:pPr>
        <w:ind w:firstLine="360"/>
        <w:jc w:val="both"/>
        <w:divId w:val="534538114"/>
        <w:rPr>
          <w:rFonts w:eastAsia="Times New Roman"/>
        </w:rPr>
      </w:pPr>
      <w:r>
        <w:rPr>
          <w:rFonts w:eastAsia="Times New Roman"/>
          <w:color w:val="000000"/>
          <w:sz w:val="20"/>
          <w:szCs w:val="20"/>
          <w:u w:val="single"/>
        </w:rPr>
        <w:t>Euro Denominated Unsecured Notes</w:t>
      </w:r>
    </w:p>
    <w:p w:rsidR="00000000" w:rsidRDefault="007C49E1">
      <w:pPr>
        <w:ind w:firstLine="720"/>
        <w:jc w:val="both"/>
        <w:divId w:val="95948546"/>
        <w:rPr>
          <w:rFonts w:eastAsia="Times New Roman"/>
        </w:rPr>
      </w:pPr>
      <w:r>
        <w:rPr>
          <w:rFonts w:eastAsia="Times New Roman"/>
          <w:color w:val="000000"/>
          <w:sz w:val="20"/>
          <w:szCs w:val="20"/>
        </w:rPr>
        <w:t>Our Euro d</w:t>
      </w:r>
      <w:r>
        <w:rPr>
          <w:rFonts w:eastAsia="Times New Roman"/>
          <w:color w:val="000000"/>
          <w:sz w:val="20"/>
          <w:szCs w:val="20"/>
        </w:rPr>
        <w:t>enominated unsecured notes (the “Euro Notes”) consist of four tranches: (i) €242.0 million issued to institutional investors on November 3, 2015, (ii) €100.0 million issued to institutional investors on April 12, 2016, (iii) €500.0 million issued in a publ</w:t>
      </w:r>
      <w:r>
        <w:rPr>
          <w:rFonts w:eastAsia="Times New Roman"/>
          <w:color w:val="000000"/>
          <w:sz w:val="20"/>
          <w:szCs w:val="20"/>
        </w:rPr>
        <w:t xml:space="preserve">ic offering on January 24, 2020, and (iv) €700.0 million issued in a public offering on September 9, 2021. The Euro Notes have financial covenants similar to those of the U.S. Dollar Denominated Unsecured Notes. </w:t>
      </w:r>
    </w:p>
    <w:p w:rsidR="00000000" w:rsidRDefault="007C49E1">
      <w:pPr>
        <w:ind w:firstLine="720"/>
        <w:jc w:val="both"/>
        <w:divId w:val="1559129191"/>
        <w:rPr>
          <w:rFonts w:eastAsia="Times New Roman"/>
        </w:rPr>
      </w:pPr>
      <w:r>
        <w:rPr>
          <w:rFonts w:eastAsia="Times New Roman"/>
          <w:color w:val="000000"/>
          <w:sz w:val="20"/>
          <w:szCs w:val="20"/>
        </w:rPr>
        <w:t>We reflect changes in the U.S. Dollar equiv</w:t>
      </w:r>
      <w:r>
        <w:rPr>
          <w:rFonts w:eastAsia="Times New Roman"/>
          <w:color w:val="000000"/>
          <w:sz w:val="20"/>
          <w:szCs w:val="20"/>
        </w:rPr>
        <w:t xml:space="preserve">alent of the amount payable, as a result of changes in foreign exchange rates as “Foreign currency exchange gain” on our income statement (gains of $35.4 million and $45.4 million for the three months ended March 31, 2022 and 2021, respectively). </w:t>
      </w:r>
    </w:p>
    <w:p w:rsidR="00000000" w:rsidRDefault="007C49E1">
      <w:pPr>
        <w:jc w:val="both"/>
        <w:rPr>
          <w:rFonts w:eastAsia="Times New Roman"/>
        </w:rPr>
      </w:pPr>
      <w:r>
        <w:rPr>
          <w:rFonts w:eastAsia="Times New Roman"/>
          <w:color w:val="000000"/>
          <w:sz w:val="20"/>
          <w:szCs w:val="20"/>
          <w:u w:val="single"/>
        </w:rPr>
        <w:t>Mortgage</w:t>
      </w:r>
      <w:r>
        <w:rPr>
          <w:rFonts w:eastAsia="Times New Roman"/>
          <w:color w:val="000000"/>
          <w:sz w:val="20"/>
          <w:szCs w:val="20"/>
          <w:u w:val="single"/>
        </w:rPr>
        <w:t xml:space="preserve"> Notes</w:t>
      </w:r>
    </w:p>
    <w:p w:rsidR="00000000" w:rsidRDefault="007C49E1">
      <w:pPr>
        <w:ind w:firstLine="720"/>
        <w:jc w:val="both"/>
        <w:divId w:val="1384870326"/>
        <w:rPr>
          <w:rFonts w:eastAsia="Times New Roman"/>
        </w:rPr>
      </w:pPr>
      <w:r>
        <w:rPr>
          <w:rFonts w:eastAsia="Times New Roman"/>
          <w:color w:val="000000"/>
          <w:sz w:val="20"/>
          <w:szCs w:val="20"/>
        </w:rPr>
        <w:t xml:space="preserve">We assumed our non-recourse mortgage debt in connection with property acquisitions, and we recorded such debt at fair value with any premium or discount to the stated note balance amortized using the effective interest method. </w:t>
      </w:r>
    </w:p>
    <w:p w:rsidR="00000000" w:rsidRDefault="007C49E1">
      <w:pPr>
        <w:jc w:val="center"/>
        <w:divId w:val="1951274196"/>
        <w:rPr>
          <w:rFonts w:eastAsia="Times New Roman"/>
        </w:rPr>
      </w:pPr>
      <w:r>
        <w:rPr>
          <w:rFonts w:eastAsia="Times New Roman"/>
          <w:color w:val="000000"/>
          <w:sz w:val="20"/>
          <w:szCs w:val="20"/>
        </w:rPr>
        <w:t>13</w:t>
      </w:r>
    </w:p>
    <w:p w:rsidR="00000000" w:rsidRDefault="007C49E1">
      <w:pPr>
        <w:rPr>
          <w:rFonts w:eastAsia="Times New Roman"/>
        </w:rPr>
      </w:pPr>
      <w:r>
        <w:rPr>
          <w:rFonts w:eastAsia="Times New Roman"/>
        </w:rPr>
        <w:pict>
          <v:rect id="_x0000_i1039" style="width:0;height:1.5pt" o:hralign="center" o:hrstd="t" o:hr="t" fillcolor="#a0a0a0" stroked="f"/>
        </w:pict>
      </w:r>
    </w:p>
    <w:p w:rsidR="00000000" w:rsidRDefault="007C49E1">
      <w:pPr>
        <w:jc w:val="center"/>
        <w:divId w:val="2092005080"/>
        <w:rPr>
          <w:rFonts w:eastAsia="Times New Roman"/>
        </w:rPr>
      </w:pPr>
    </w:p>
    <w:p w:rsidR="00000000" w:rsidRDefault="007C49E1">
      <w:pPr>
        <w:jc w:val="center"/>
        <w:divId w:val="2092005080"/>
        <w:rPr>
          <w:rFonts w:eastAsia="Times New Roman"/>
        </w:rPr>
      </w:pPr>
      <w:r>
        <w:rPr>
          <w:rFonts w:eastAsia="Times New Roman"/>
          <w:b/>
          <w:bCs/>
          <w:color w:val="000000"/>
          <w:sz w:val="20"/>
          <w:szCs w:val="20"/>
        </w:rPr>
        <w:t>PUBLIC STORAGE</w:t>
      </w:r>
    </w:p>
    <w:p w:rsidR="00000000" w:rsidRDefault="007C49E1">
      <w:pPr>
        <w:jc w:val="center"/>
        <w:divId w:val="2092005080"/>
        <w:rPr>
          <w:rFonts w:eastAsia="Times New Roman"/>
        </w:rPr>
      </w:pPr>
      <w:r>
        <w:rPr>
          <w:rFonts w:eastAsia="Times New Roman"/>
          <w:b/>
          <w:bCs/>
          <w:color w:val="000000"/>
          <w:sz w:val="20"/>
          <w:szCs w:val="20"/>
        </w:rPr>
        <w:t>NOTES TO CONSOLIDATED FINANCIAL STATEMENTS</w:t>
      </w:r>
    </w:p>
    <w:p w:rsidR="00000000" w:rsidRDefault="007C49E1">
      <w:pPr>
        <w:jc w:val="center"/>
        <w:divId w:val="2092005080"/>
        <w:rPr>
          <w:rFonts w:eastAsia="Times New Roman"/>
        </w:rPr>
      </w:pPr>
      <w:r>
        <w:rPr>
          <w:rFonts w:eastAsia="Times New Roman"/>
          <w:b/>
          <w:bCs/>
          <w:color w:val="000000"/>
          <w:sz w:val="20"/>
          <w:szCs w:val="20"/>
        </w:rPr>
        <w:t>March 31, 2022</w:t>
      </w:r>
    </w:p>
    <w:p w:rsidR="00000000" w:rsidRDefault="007C49E1">
      <w:pPr>
        <w:jc w:val="center"/>
        <w:divId w:val="2092005080"/>
        <w:rPr>
          <w:rFonts w:eastAsia="Times New Roman"/>
        </w:rPr>
      </w:pPr>
      <w:r>
        <w:rPr>
          <w:rFonts w:eastAsia="Times New Roman"/>
          <w:b/>
          <w:bCs/>
          <w:color w:val="000000"/>
          <w:sz w:val="20"/>
          <w:szCs w:val="20"/>
        </w:rPr>
        <w:t>(Unaudited)</w:t>
      </w:r>
    </w:p>
    <w:p w:rsidR="00000000" w:rsidRDefault="007C49E1">
      <w:pPr>
        <w:jc w:val="center"/>
        <w:divId w:val="2092005080"/>
        <w:rPr>
          <w:rFonts w:eastAsia="Times New Roman"/>
        </w:rPr>
      </w:pPr>
    </w:p>
    <w:p w:rsidR="00000000" w:rsidRDefault="007C49E1">
      <w:pPr>
        <w:ind w:firstLine="720"/>
        <w:jc w:val="both"/>
        <w:divId w:val="1739669876"/>
        <w:rPr>
          <w:rFonts w:eastAsia="Times New Roman"/>
        </w:rPr>
      </w:pPr>
      <w:r>
        <w:rPr>
          <w:rFonts w:eastAsia="Times New Roman"/>
          <w:color w:val="000000"/>
          <w:sz w:val="20"/>
          <w:szCs w:val="20"/>
        </w:rPr>
        <w:t>At March 31, 2022, the related contractual interest rates of our mortgage notes are fixed, ranging between 3.2% and 7.1%, and matur</w:t>
      </w:r>
      <w:r>
        <w:rPr>
          <w:rFonts w:eastAsia="Times New Roman"/>
          <w:color w:val="000000"/>
          <w:sz w:val="20"/>
          <w:szCs w:val="20"/>
        </w:rPr>
        <w:t>e between November 1, 2022 and July 1, 2030.</w:t>
      </w:r>
    </w:p>
    <w:p w:rsidR="00000000" w:rsidRDefault="007C49E1">
      <w:pPr>
        <w:ind w:firstLine="720"/>
        <w:jc w:val="both"/>
        <w:divId w:val="506015664"/>
        <w:rPr>
          <w:rFonts w:eastAsia="Times New Roman"/>
        </w:rPr>
      </w:pPr>
      <w:r>
        <w:rPr>
          <w:rFonts w:eastAsia="Times New Roman"/>
          <w:color w:val="000000"/>
          <w:sz w:val="20"/>
          <w:szCs w:val="20"/>
        </w:rPr>
        <w:t>At March 31, 2022, approximate principal maturities of our Notes Payable are as follows (amounts in thousands):</w:t>
      </w:r>
    </w:p>
    <w:tbl>
      <w:tblPr>
        <w:tblW w:w="4765" w:type="pct"/>
        <w:tblCellMar>
          <w:top w:w="15" w:type="dxa"/>
          <w:left w:w="15" w:type="dxa"/>
          <w:bottom w:w="15" w:type="dxa"/>
          <w:right w:w="15" w:type="dxa"/>
        </w:tblCellMar>
        <w:tblLook w:val="04A0" w:firstRow="1" w:lastRow="0" w:firstColumn="1" w:lastColumn="0" w:noHBand="0" w:noVBand="1"/>
      </w:tblPr>
      <w:tblGrid>
        <w:gridCol w:w="37"/>
        <w:gridCol w:w="2622"/>
        <w:gridCol w:w="36"/>
        <w:gridCol w:w="121"/>
        <w:gridCol w:w="1575"/>
        <w:gridCol w:w="36"/>
        <w:gridCol w:w="36"/>
        <w:gridCol w:w="36"/>
        <w:gridCol w:w="36"/>
        <w:gridCol w:w="121"/>
        <w:gridCol w:w="1422"/>
        <w:gridCol w:w="36"/>
        <w:gridCol w:w="36"/>
        <w:gridCol w:w="36"/>
        <w:gridCol w:w="36"/>
        <w:gridCol w:w="122"/>
        <w:gridCol w:w="1536"/>
        <w:gridCol w:w="36"/>
      </w:tblGrid>
      <w:tr w:rsidR="00000000">
        <w:trPr>
          <w:divId w:val="1006857440"/>
        </w:trPr>
        <w:tc>
          <w:tcPr>
            <w:tcW w:w="50" w:type="pct"/>
            <w:vAlign w:val="center"/>
            <w:hideMark/>
          </w:tcPr>
          <w:p w:rsidR="00000000" w:rsidRDefault="007C49E1">
            <w:pPr>
              <w:ind w:firstLine="720"/>
              <w:jc w:val="both"/>
              <w:rPr>
                <w:rFonts w:eastAsia="Times New Roman"/>
              </w:rPr>
            </w:pPr>
          </w:p>
        </w:tc>
        <w:tc>
          <w:tcPr>
            <w:tcW w:w="1693"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02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954"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02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1006857440"/>
        </w:trPr>
        <w:tc>
          <w:tcPr>
            <w:tcW w:w="0" w:type="auto"/>
            <w:gridSpan w:val="3"/>
            <w:tcMar>
              <w:top w:w="30" w:type="dxa"/>
              <w:left w:w="20" w:type="dxa"/>
              <w:bottom w:w="30" w:type="dxa"/>
              <w:right w:w="20" w:type="dxa"/>
            </w:tcMar>
            <w:vAlign w:val="center"/>
            <w:hideMark/>
          </w:tcPr>
          <w:p w:rsidR="00000000" w:rsidRDefault="007C49E1">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Unsecured Debt</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Mortgage Debt</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Total</w:t>
            </w:r>
          </w:p>
        </w:tc>
      </w:tr>
      <w:tr w:rsidR="00000000">
        <w:trPr>
          <w:divId w:val="1006857440"/>
          <w:trHeight w:val="120"/>
        </w:trPr>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1006857440"/>
        </w:trPr>
        <w:tc>
          <w:tcPr>
            <w:tcW w:w="0" w:type="auto"/>
            <w:gridSpan w:val="3"/>
            <w:tcMar>
              <w:top w:w="30" w:type="dxa"/>
              <w:left w:w="20" w:type="dxa"/>
              <w:bottom w:w="30" w:type="dxa"/>
              <w:right w:w="20" w:type="dxa"/>
            </w:tcMar>
            <w:vAlign w:val="bottom"/>
            <w:hideMark/>
          </w:tcPr>
          <w:p w:rsidR="00000000" w:rsidRDefault="007C49E1">
            <w:pPr>
              <w:spacing w:after="100"/>
              <w:divId w:val="355885882"/>
              <w:rPr>
                <w:rFonts w:eastAsia="Times New Roman"/>
              </w:rPr>
            </w:pPr>
            <w:r>
              <w:rPr>
                <w:rFonts w:eastAsia="Times New Roman"/>
                <w:color w:val="000000"/>
                <w:sz w:val="20"/>
                <w:szCs w:val="20"/>
              </w:rPr>
              <w:t>Remainder of 2022</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500,000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2,246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502,246</w:t>
            </w:r>
          </w:p>
        </w:tc>
      </w:tr>
      <w:tr w:rsidR="00000000">
        <w:trPr>
          <w:divId w:val="100685744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2023</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19,219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19,219</w:t>
            </w:r>
          </w:p>
        </w:tc>
      </w:tr>
      <w:tr w:rsidR="00000000">
        <w:trPr>
          <w:divId w:val="100685744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2024</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811,148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124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811,272</w:t>
            </w:r>
          </w:p>
        </w:tc>
      </w:tr>
      <w:tr w:rsidR="00000000">
        <w:trPr>
          <w:divId w:val="100685744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268,993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131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269,124</w:t>
            </w:r>
          </w:p>
        </w:tc>
      </w:tr>
      <w:tr w:rsidR="00000000">
        <w:trPr>
          <w:divId w:val="100685744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2026</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1,150,000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138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1,150,138</w:t>
            </w:r>
          </w:p>
        </w:tc>
      </w:tr>
      <w:tr w:rsidR="00000000">
        <w:trPr>
          <w:divId w:val="100685744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Thereafter </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4,733,776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1,190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4,734,966</w:t>
            </w:r>
          </w:p>
        </w:tc>
      </w:tr>
      <w:tr w:rsidR="00000000">
        <w:trPr>
          <w:divId w:val="1006857440"/>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7C49E1">
            <w:pPr>
              <w:spacing w:after="100"/>
              <w:jc w:val="right"/>
              <w:rPr>
                <w:rFonts w:eastAsia="Times New Roman"/>
              </w:rPr>
            </w:pPr>
            <w:r>
              <w:rPr>
                <w:rFonts w:eastAsia="Times New Roman"/>
                <w:color w:val="000000"/>
                <w:sz w:val="20"/>
                <w:szCs w:val="20"/>
              </w:rPr>
              <w:t>7,463,917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7C49E1">
            <w:pPr>
              <w:spacing w:after="100"/>
              <w:jc w:val="right"/>
              <w:rPr>
                <w:rFonts w:eastAsia="Times New Roman"/>
              </w:rPr>
            </w:pPr>
            <w:r>
              <w:rPr>
                <w:rFonts w:eastAsia="Times New Roman"/>
                <w:color w:val="000000"/>
                <w:sz w:val="20"/>
                <w:szCs w:val="20"/>
              </w:rPr>
              <w:t>23,048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7C49E1">
            <w:pPr>
              <w:spacing w:after="100"/>
              <w:jc w:val="right"/>
              <w:rPr>
                <w:rFonts w:eastAsia="Times New Roman"/>
              </w:rPr>
            </w:pPr>
            <w:r>
              <w:rPr>
                <w:rFonts w:eastAsia="Times New Roman"/>
                <w:color w:val="000000"/>
                <w:sz w:val="20"/>
                <w:szCs w:val="20"/>
              </w:rPr>
              <w:t>7,486,965</w:t>
            </w:r>
          </w:p>
        </w:tc>
      </w:tr>
      <w:tr w:rsidR="00000000">
        <w:trPr>
          <w:divId w:val="100685744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Weighted average effective rate </w:t>
            </w: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7C49E1">
            <w:pPr>
              <w:spacing w:after="100"/>
              <w:jc w:val="right"/>
              <w:rPr>
                <w:rFonts w:eastAsia="Times New Roman"/>
              </w:rPr>
            </w:pPr>
            <w:r>
              <w:rPr>
                <w:rFonts w:eastAsia="Times New Roman"/>
                <w:color w:val="000000"/>
                <w:sz w:val="20"/>
                <w:szCs w:val="20"/>
              </w:rPr>
              <w:t>1.8%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7C49E1">
            <w:pPr>
              <w:spacing w:after="100"/>
              <w:jc w:val="right"/>
              <w:rPr>
                <w:rFonts w:eastAsia="Times New Roman"/>
              </w:rPr>
            </w:pPr>
            <w:r>
              <w:rPr>
                <w:rFonts w:eastAsia="Times New Roman"/>
                <w:color w:val="000000"/>
                <w:sz w:val="20"/>
                <w:szCs w:val="20"/>
              </w:rPr>
              <w:t>3.9%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7C49E1">
            <w:pPr>
              <w:spacing w:after="100"/>
              <w:jc w:val="right"/>
              <w:rPr>
                <w:rFonts w:eastAsia="Times New Roman"/>
              </w:rPr>
            </w:pPr>
            <w:r>
              <w:rPr>
                <w:rFonts w:eastAsia="Times New Roman"/>
                <w:color w:val="000000"/>
                <w:sz w:val="20"/>
                <w:szCs w:val="20"/>
              </w:rPr>
              <w:t>1.8%</w:t>
            </w:r>
          </w:p>
        </w:tc>
      </w:tr>
    </w:tbl>
    <w:p w:rsidR="00000000" w:rsidRDefault="007C49E1">
      <w:pPr>
        <w:ind w:firstLine="720"/>
        <w:jc w:val="both"/>
        <w:divId w:val="1834103633"/>
        <w:rPr>
          <w:rFonts w:eastAsia="Times New Roman"/>
        </w:rPr>
      </w:pPr>
      <w:r>
        <w:rPr>
          <w:rFonts w:eastAsia="Times New Roman"/>
          <w:color w:val="000000"/>
          <w:sz w:val="20"/>
          <w:szCs w:val="20"/>
        </w:rPr>
        <w:t>Cash paid for interest totaled $22.2 million and $19.4 </w:t>
      </w:r>
      <w:r>
        <w:rPr>
          <w:rFonts w:eastAsia="Times New Roman"/>
          <w:color w:val="000000"/>
          <w:sz w:val="20"/>
          <w:szCs w:val="20"/>
        </w:rPr>
        <w:t>million for the three months ended March 31, 2022 and 2021, respectively. Interest capitalized as real estate totaled $1.2 million and $0.9 million for the three months ended March 31, 2022 and 2021, respectively.</w:t>
      </w:r>
    </w:p>
    <w:p w:rsidR="00000000" w:rsidRDefault="007C49E1">
      <w:pPr>
        <w:ind w:hanging="360"/>
        <w:jc w:val="both"/>
        <w:divId w:val="866409858"/>
        <w:rPr>
          <w:rFonts w:eastAsia="Times New Roman"/>
        </w:rPr>
      </w:pPr>
      <w:r>
        <w:rPr>
          <w:rFonts w:eastAsia="Times New Roman"/>
          <w:color w:val="000000"/>
          <w:sz w:val="20"/>
          <w:szCs w:val="20"/>
        </w:rPr>
        <w:t>8.</w:t>
      </w:r>
      <w:r>
        <w:rPr>
          <w:rFonts w:eastAsia="Times New Roman"/>
          <w:color w:val="000000"/>
          <w:sz w:val="20"/>
          <w:szCs w:val="20"/>
          <w:u w:val="single"/>
        </w:rPr>
        <w:t>Noncontrolling Interests</w:t>
      </w:r>
    </w:p>
    <w:p w:rsidR="00000000" w:rsidRDefault="007C49E1">
      <w:pPr>
        <w:ind w:firstLine="720"/>
        <w:jc w:val="both"/>
        <w:divId w:val="2057463442"/>
        <w:rPr>
          <w:rFonts w:eastAsia="Times New Roman"/>
        </w:rPr>
      </w:pPr>
      <w:r>
        <w:rPr>
          <w:rFonts w:eastAsia="Times New Roman"/>
          <w:color w:val="000000"/>
          <w:sz w:val="20"/>
          <w:szCs w:val="20"/>
        </w:rPr>
        <w:t>We have noncont</w:t>
      </w:r>
      <w:r>
        <w:rPr>
          <w:rFonts w:eastAsia="Times New Roman"/>
          <w:color w:val="000000"/>
          <w:sz w:val="20"/>
          <w:szCs w:val="20"/>
        </w:rPr>
        <w:t>rolling interests related to several subsidiaries we consolidate of which we do not own 100% of the equity. At March 31, 2022, certain of these subsidiaries issued 486,811 partnership units to third-parties that are convertible on a one-for-one basis (subj</w:t>
      </w:r>
      <w:r>
        <w:rPr>
          <w:rFonts w:eastAsia="Times New Roman"/>
          <w:color w:val="000000"/>
          <w:sz w:val="20"/>
          <w:szCs w:val="20"/>
        </w:rPr>
        <w:t>ect to certain limitations) into common shares of the Company at the option of the unitholder. These include a total of 254,833 partnership units of $83.6 million issued to third-parties in connection with our acquisition of a portfolio of self-storage pro</w:t>
      </w:r>
      <w:r>
        <w:rPr>
          <w:rFonts w:eastAsia="Times New Roman"/>
          <w:color w:val="000000"/>
          <w:sz w:val="20"/>
          <w:szCs w:val="20"/>
        </w:rPr>
        <w:t>perties (42,841 partnership units of $15.4 million issued in the three months ended March 31, 2022). The unitholders of these 254,833 partnership units have the right to require us to redeem their partnership units in cash if common shares of the Company a</w:t>
      </w:r>
      <w:r>
        <w:rPr>
          <w:rFonts w:eastAsia="Times New Roman"/>
          <w:color w:val="000000"/>
          <w:sz w:val="20"/>
          <w:szCs w:val="20"/>
        </w:rPr>
        <w:t>re not publicly listed. We classify these noncontrolling interests as redeemable noncontrolling interest outside of total equity in our consolidated balance sheets.</w:t>
      </w:r>
    </w:p>
    <w:p w:rsidR="00000000" w:rsidRDefault="007C49E1">
      <w:pPr>
        <w:jc w:val="center"/>
        <w:divId w:val="129440401"/>
        <w:rPr>
          <w:rFonts w:eastAsia="Times New Roman"/>
        </w:rPr>
      </w:pPr>
      <w:r>
        <w:rPr>
          <w:rFonts w:eastAsia="Times New Roman"/>
          <w:color w:val="000000"/>
          <w:sz w:val="20"/>
          <w:szCs w:val="20"/>
        </w:rPr>
        <w:t>14</w:t>
      </w:r>
    </w:p>
    <w:p w:rsidR="00000000" w:rsidRDefault="007C49E1">
      <w:pPr>
        <w:rPr>
          <w:rFonts w:eastAsia="Times New Roman"/>
        </w:rPr>
      </w:pPr>
      <w:r>
        <w:rPr>
          <w:rFonts w:eastAsia="Times New Roman"/>
        </w:rPr>
        <w:pict>
          <v:rect id="_x0000_i1040" style="width:0;height:1.5pt" o:hralign="center" o:hrstd="t" o:hr="t" fillcolor="#a0a0a0" stroked="f"/>
        </w:pict>
      </w:r>
    </w:p>
    <w:p w:rsidR="00000000" w:rsidRDefault="007C49E1">
      <w:pPr>
        <w:jc w:val="center"/>
        <w:divId w:val="1476070605"/>
        <w:rPr>
          <w:rFonts w:eastAsia="Times New Roman"/>
        </w:rPr>
      </w:pPr>
    </w:p>
    <w:p w:rsidR="00000000" w:rsidRDefault="007C49E1">
      <w:pPr>
        <w:jc w:val="center"/>
        <w:divId w:val="1476070605"/>
        <w:rPr>
          <w:rFonts w:eastAsia="Times New Roman"/>
        </w:rPr>
      </w:pPr>
      <w:r>
        <w:rPr>
          <w:rFonts w:eastAsia="Times New Roman"/>
          <w:b/>
          <w:bCs/>
          <w:color w:val="000000"/>
          <w:sz w:val="20"/>
          <w:szCs w:val="20"/>
        </w:rPr>
        <w:t>PUBLIC STORAGE</w:t>
      </w:r>
    </w:p>
    <w:p w:rsidR="00000000" w:rsidRDefault="007C49E1">
      <w:pPr>
        <w:jc w:val="center"/>
        <w:divId w:val="1476070605"/>
        <w:rPr>
          <w:rFonts w:eastAsia="Times New Roman"/>
        </w:rPr>
      </w:pPr>
      <w:r>
        <w:rPr>
          <w:rFonts w:eastAsia="Times New Roman"/>
          <w:b/>
          <w:bCs/>
          <w:color w:val="000000"/>
          <w:sz w:val="20"/>
          <w:szCs w:val="20"/>
        </w:rPr>
        <w:t>NOTES TO CONSOLIDATED FINANCIAL STATEMENTS</w:t>
      </w:r>
    </w:p>
    <w:p w:rsidR="00000000" w:rsidRDefault="007C49E1">
      <w:pPr>
        <w:jc w:val="center"/>
        <w:divId w:val="1476070605"/>
        <w:rPr>
          <w:rFonts w:eastAsia="Times New Roman"/>
        </w:rPr>
      </w:pPr>
      <w:r>
        <w:rPr>
          <w:rFonts w:eastAsia="Times New Roman"/>
          <w:b/>
          <w:bCs/>
          <w:color w:val="000000"/>
          <w:sz w:val="20"/>
          <w:szCs w:val="20"/>
        </w:rPr>
        <w:t>March 31, 2022</w:t>
      </w:r>
    </w:p>
    <w:p w:rsidR="00000000" w:rsidRDefault="007C49E1">
      <w:pPr>
        <w:jc w:val="center"/>
        <w:divId w:val="1476070605"/>
        <w:rPr>
          <w:rFonts w:eastAsia="Times New Roman"/>
        </w:rPr>
      </w:pPr>
      <w:r>
        <w:rPr>
          <w:rFonts w:eastAsia="Times New Roman"/>
          <w:b/>
          <w:bCs/>
          <w:color w:val="000000"/>
          <w:sz w:val="20"/>
          <w:szCs w:val="20"/>
        </w:rPr>
        <w:t>(Unaudited)</w:t>
      </w:r>
    </w:p>
    <w:p w:rsidR="00000000" w:rsidRDefault="007C49E1">
      <w:pPr>
        <w:jc w:val="center"/>
        <w:divId w:val="1476070605"/>
        <w:rPr>
          <w:rFonts w:eastAsia="Times New Roman"/>
        </w:rPr>
      </w:pPr>
    </w:p>
    <w:p w:rsidR="00000000" w:rsidRDefault="007C49E1">
      <w:pPr>
        <w:ind w:hanging="360"/>
        <w:jc w:val="both"/>
        <w:divId w:val="365983493"/>
        <w:rPr>
          <w:rFonts w:eastAsia="Times New Roman"/>
        </w:rPr>
      </w:pPr>
      <w:r>
        <w:rPr>
          <w:rFonts w:eastAsia="Times New Roman"/>
          <w:color w:val="000000"/>
          <w:sz w:val="20"/>
          <w:szCs w:val="20"/>
        </w:rPr>
        <w:t>9.</w:t>
      </w:r>
      <w:r>
        <w:rPr>
          <w:rFonts w:eastAsia="Times New Roman"/>
          <w:color w:val="000000"/>
          <w:sz w:val="20"/>
          <w:szCs w:val="20"/>
          <w:u w:val="single"/>
        </w:rPr>
        <w:t>Shareholders’ Equity</w:t>
      </w:r>
    </w:p>
    <w:p w:rsidR="00000000" w:rsidRDefault="007C49E1">
      <w:pPr>
        <w:jc w:val="both"/>
        <w:rPr>
          <w:rFonts w:eastAsia="Times New Roman"/>
        </w:rPr>
      </w:pPr>
    </w:p>
    <w:p w:rsidR="00000000" w:rsidRDefault="007C49E1">
      <w:pPr>
        <w:jc w:val="both"/>
        <w:divId w:val="476841058"/>
        <w:rPr>
          <w:rFonts w:eastAsia="Times New Roman"/>
        </w:rPr>
      </w:pPr>
      <w:r>
        <w:rPr>
          <w:rFonts w:eastAsia="Times New Roman"/>
          <w:color w:val="000000"/>
          <w:sz w:val="20"/>
          <w:szCs w:val="20"/>
          <w:u w:val="single"/>
        </w:rPr>
        <w:t>Preferred Shares</w:t>
      </w:r>
    </w:p>
    <w:p w:rsidR="00000000" w:rsidRDefault="007C49E1">
      <w:pPr>
        <w:ind w:firstLine="720"/>
        <w:jc w:val="both"/>
        <w:rPr>
          <w:rFonts w:eastAsia="Times New Roman"/>
        </w:rPr>
      </w:pPr>
      <w:r>
        <w:rPr>
          <w:rFonts w:eastAsia="Times New Roman"/>
          <w:color w:val="000000"/>
          <w:sz w:val="20"/>
          <w:szCs w:val="20"/>
        </w:rPr>
        <w:t>At March </w:t>
      </w:r>
      <w:r>
        <w:rPr>
          <w:rFonts w:eastAsia="Times New Roman"/>
          <w:color w:val="000000"/>
          <w:sz w:val="20"/>
          <w:szCs w:val="20"/>
        </w:rPr>
        <w:t>31, 2022 and December 31, 2021, we had the following series of Cumulative Preferred Shares (“Preferred Shares”) outstanding:</w:t>
      </w:r>
    </w:p>
    <w:p w:rsidR="00000000" w:rsidRDefault="007C49E1">
      <w:pPr>
        <w:ind w:firstLine="720"/>
        <w:jc w:val="both"/>
        <w:rPr>
          <w:rFonts w:eastAsia="Times New Roman"/>
        </w:rPr>
      </w:pPr>
    </w:p>
    <w:tbl>
      <w:tblPr>
        <w:tblW w:w="4818" w:type="pct"/>
        <w:tblCellMar>
          <w:top w:w="15" w:type="dxa"/>
          <w:left w:w="15" w:type="dxa"/>
          <w:bottom w:w="15" w:type="dxa"/>
          <w:right w:w="15" w:type="dxa"/>
        </w:tblCellMar>
        <w:tblLook w:val="04A0" w:firstRow="1" w:lastRow="0" w:firstColumn="1" w:lastColumn="0" w:noHBand="0" w:noVBand="1"/>
      </w:tblPr>
      <w:tblGrid>
        <w:gridCol w:w="37"/>
        <w:gridCol w:w="1069"/>
        <w:gridCol w:w="36"/>
        <w:gridCol w:w="36"/>
        <w:gridCol w:w="36"/>
        <w:gridCol w:w="36"/>
        <w:gridCol w:w="77"/>
        <w:gridCol w:w="934"/>
        <w:gridCol w:w="36"/>
        <w:gridCol w:w="36"/>
        <w:gridCol w:w="36"/>
        <w:gridCol w:w="36"/>
        <w:gridCol w:w="59"/>
        <w:gridCol w:w="815"/>
        <w:gridCol w:w="187"/>
        <w:gridCol w:w="36"/>
        <w:gridCol w:w="36"/>
        <w:gridCol w:w="36"/>
        <w:gridCol w:w="77"/>
        <w:gridCol w:w="934"/>
        <w:gridCol w:w="36"/>
        <w:gridCol w:w="36"/>
        <w:gridCol w:w="36"/>
        <w:gridCol w:w="36"/>
        <w:gridCol w:w="120"/>
        <w:gridCol w:w="850"/>
        <w:gridCol w:w="36"/>
        <w:gridCol w:w="36"/>
        <w:gridCol w:w="36"/>
        <w:gridCol w:w="36"/>
        <w:gridCol w:w="77"/>
        <w:gridCol w:w="934"/>
        <w:gridCol w:w="36"/>
        <w:gridCol w:w="36"/>
        <w:gridCol w:w="36"/>
        <w:gridCol w:w="36"/>
        <w:gridCol w:w="120"/>
        <w:gridCol w:w="850"/>
        <w:gridCol w:w="36"/>
      </w:tblGrid>
      <w:tr w:rsidR="00000000">
        <w:trPr>
          <w:divId w:val="111871598"/>
        </w:trPr>
        <w:tc>
          <w:tcPr>
            <w:tcW w:w="50" w:type="pct"/>
            <w:vAlign w:val="center"/>
            <w:hideMark/>
          </w:tcPr>
          <w:p w:rsidR="00000000" w:rsidRDefault="007C49E1">
            <w:pPr>
              <w:ind w:firstLine="720"/>
              <w:jc w:val="both"/>
              <w:rPr>
                <w:rFonts w:eastAsia="Times New Roman"/>
              </w:rPr>
            </w:pPr>
          </w:p>
        </w:tc>
        <w:tc>
          <w:tcPr>
            <w:tcW w:w="69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613"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613"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613"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613"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613"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613"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At March 31, 2022</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At December 31, 2021</w:t>
            </w: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Series</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Earliest Redemption Date</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Dividend Rate</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Shares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Liquidation Preference</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Shares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Liquidation Preference</w:t>
            </w:r>
          </w:p>
        </w:tc>
      </w:tr>
      <w:tr w:rsidR="00000000">
        <w:trPr>
          <w:divId w:val="111871598"/>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111871598"/>
        </w:trPr>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1"/>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(Dollar amounts in thousands)</w:t>
            </w: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Series F</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6/2/2022</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5.150 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11,200 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280,000 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11,200 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280,000 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Series G</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8/9/2022</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5.050 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12,000 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300,000 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12,000 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300,000 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Series H</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3/11/2024</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5.600 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11,400 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285,000 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11,400 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285,000 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Series I</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9/12/2024</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4.875 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12,650 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316,250 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12,650 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316,250 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Series J</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11/15/2024</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4.700 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10,350 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258,750 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10,350 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258,750 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Series K</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12/20/2024</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4.750 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Series L</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6/17/2025</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4.625 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22,600 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565,000 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22,600 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565,000 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Series M</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8/14/2025</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4.125 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Series N</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10/6/2025</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3.875 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11,300 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282,500 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11,300 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282,500 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Series O</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11/17/2025</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3.900 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6,800 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170,000 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6,800 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170,000 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Series P</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6/16/2026</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24,150 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603,750 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24,150 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603,750 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Series Q</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8/17/2026</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3.950 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5,750 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143,750 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5,750 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143,750 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Series R</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11/19/2026</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17,400 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435,000 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17,400 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435,000 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1187159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Series S</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1/13/2027</w:t>
            </w:r>
          </w:p>
        </w:tc>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4.100 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250,000 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r>
      <w:tr w:rsidR="00000000">
        <w:trPr>
          <w:divId w:val="111871598"/>
        </w:trPr>
        <w:tc>
          <w:tcPr>
            <w:tcW w:w="0" w:type="auto"/>
            <w:gridSpan w:val="9"/>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Total Preferred Shares</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174,000 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4,350,000 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164,000 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4,100,000 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r>
    </w:tbl>
    <w:p w:rsidR="00000000" w:rsidRDefault="007C49E1">
      <w:pPr>
        <w:ind w:firstLine="720"/>
        <w:jc w:val="both"/>
        <w:divId w:val="864097893"/>
        <w:rPr>
          <w:rFonts w:eastAsia="Times New Roman"/>
        </w:rPr>
      </w:pPr>
      <w:r>
        <w:rPr>
          <w:rFonts w:eastAsia="Times New Roman"/>
          <w:color w:val="000000"/>
          <w:sz w:val="20"/>
          <w:szCs w:val="20"/>
        </w:rPr>
        <w:t>The holders of o</w:t>
      </w:r>
      <w:r>
        <w:rPr>
          <w:rFonts w:eastAsia="Times New Roman"/>
          <w:color w:val="000000"/>
          <w:sz w:val="20"/>
          <w:szCs w:val="20"/>
        </w:rPr>
        <w:t>ur Preferred Shares have general preference rights with respect to liquidation, quarterly distributions, and any accumulated unpaid distributions. Except as noted below, holders of the Preferred Shares do not have voting rights. In the event of a cumulativ</w:t>
      </w:r>
      <w:r>
        <w:rPr>
          <w:rFonts w:eastAsia="Times New Roman"/>
          <w:color w:val="000000"/>
          <w:sz w:val="20"/>
          <w:szCs w:val="20"/>
        </w:rPr>
        <w:t>e arrearage equal to six quarterly dividends, holders of all outstanding series of preferred shares (voting as a single class without regard to series) will have the right to elect two additional members to serve on our Board of Trustees (our “Board”) unti</w:t>
      </w:r>
      <w:r>
        <w:rPr>
          <w:rFonts w:eastAsia="Times New Roman"/>
          <w:color w:val="000000"/>
          <w:sz w:val="20"/>
          <w:szCs w:val="20"/>
        </w:rPr>
        <w:t>l the arrearage has been cured. At March 31, 2022, there were no dividends in arrears. The affirmative vote of at least 66.67% of the outstanding shares of a series of Preferred Shares is required for any material and adverse amendment to the terms of such</w:t>
      </w:r>
      <w:r>
        <w:rPr>
          <w:rFonts w:eastAsia="Times New Roman"/>
          <w:color w:val="000000"/>
          <w:sz w:val="20"/>
          <w:szCs w:val="20"/>
        </w:rPr>
        <w:t xml:space="preserve"> series. The affirmative vote of at least 66.67% of the outstanding shares of all of our Preferred Shares, voting as a single class, is required to issue shares ranking senior to our Preferred Shares.</w:t>
      </w:r>
    </w:p>
    <w:p w:rsidR="00000000" w:rsidRDefault="007C49E1">
      <w:pPr>
        <w:ind w:firstLine="720"/>
        <w:jc w:val="both"/>
        <w:divId w:val="588853206"/>
        <w:rPr>
          <w:rFonts w:eastAsia="Times New Roman"/>
        </w:rPr>
      </w:pPr>
      <w:r>
        <w:rPr>
          <w:rFonts w:eastAsia="Times New Roman"/>
          <w:color w:val="000000"/>
          <w:sz w:val="20"/>
          <w:szCs w:val="20"/>
        </w:rPr>
        <w:t>Except under certain conditions relating to the Company</w:t>
      </w:r>
      <w:r>
        <w:rPr>
          <w:rFonts w:eastAsia="Times New Roman"/>
          <w:color w:val="000000"/>
          <w:sz w:val="20"/>
          <w:szCs w:val="20"/>
        </w:rPr>
        <w:t>’s qualification as a REIT, the Preferred Shares are not redeemable prior to the dates indicated on the table above. On or after the respective dates, each of the series of Preferred Shares is redeemable at our option, in whole or in part, at $25.00 per de</w:t>
      </w:r>
      <w:r>
        <w:rPr>
          <w:rFonts w:eastAsia="Times New Roman"/>
          <w:color w:val="000000"/>
          <w:sz w:val="20"/>
          <w:szCs w:val="20"/>
        </w:rPr>
        <w:t>positary share, plus accrued and unpaid dividends. Holders of the Preferred Shares cannot require us to redeem such shares.</w:t>
      </w:r>
    </w:p>
    <w:p w:rsidR="00000000" w:rsidRDefault="007C49E1">
      <w:pPr>
        <w:ind w:firstLine="720"/>
        <w:jc w:val="both"/>
        <w:divId w:val="771628998"/>
        <w:rPr>
          <w:rFonts w:eastAsia="Times New Roman"/>
        </w:rPr>
      </w:pPr>
      <w:r>
        <w:rPr>
          <w:rFonts w:eastAsia="Times New Roman"/>
          <w:color w:val="000000"/>
          <w:sz w:val="20"/>
          <w:szCs w:val="20"/>
        </w:rPr>
        <w:t xml:space="preserve">Upon issuance of our Preferred Shares, we classify the liquidation value as preferred equity on our consolidated balance sheet with </w:t>
      </w:r>
      <w:r>
        <w:rPr>
          <w:rFonts w:eastAsia="Times New Roman"/>
          <w:color w:val="000000"/>
          <w:sz w:val="20"/>
          <w:szCs w:val="20"/>
        </w:rPr>
        <w:t>any issuance costs recorded as a reduction to Paid-in capital.</w:t>
      </w:r>
    </w:p>
    <w:p w:rsidR="00000000" w:rsidRDefault="007C49E1">
      <w:pPr>
        <w:ind w:firstLine="720"/>
        <w:jc w:val="both"/>
        <w:divId w:val="1985770597"/>
        <w:rPr>
          <w:rFonts w:eastAsia="Times New Roman"/>
        </w:rPr>
      </w:pPr>
      <w:r>
        <w:rPr>
          <w:rFonts w:eastAsia="Times New Roman"/>
          <w:color w:val="000000"/>
          <w:sz w:val="20"/>
          <w:szCs w:val="20"/>
        </w:rPr>
        <w:t>On January 13, 2022, we issued 10.0 million depositary shares, each representing 0.001 of a share of our 4.100% Series S Preferred Shares, at an issuance price of $25.00 per depositary share, f</w:t>
      </w:r>
      <w:r>
        <w:rPr>
          <w:rFonts w:eastAsia="Times New Roman"/>
          <w:color w:val="000000"/>
          <w:sz w:val="20"/>
          <w:szCs w:val="20"/>
        </w:rPr>
        <w:t>or a total of $250.0 million in gross proceeds, and we incurred $7.2 million in issuance costs.</w:t>
      </w:r>
    </w:p>
    <w:p w:rsidR="00000000" w:rsidRDefault="007C49E1">
      <w:pPr>
        <w:ind w:firstLine="720"/>
        <w:jc w:val="both"/>
        <w:rPr>
          <w:rFonts w:eastAsia="Times New Roman"/>
        </w:rPr>
      </w:pPr>
    </w:p>
    <w:p w:rsidR="00000000" w:rsidRDefault="007C49E1">
      <w:pPr>
        <w:jc w:val="center"/>
        <w:divId w:val="1988125779"/>
        <w:rPr>
          <w:rFonts w:eastAsia="Times New Roman"/>
        </w:rPr>
      </w:pPr>
      <w:r>
        <w:rPr>
          <w:rFonts w:eastAsia="Times New Roman"/>
          <w:color w:val="000000"/>
          <w:sz w:val="20"/>
          <w:szCs w:val="20"/>
        </w:rPr>
        <w:t>15</w:t>
      </w:r>
    </w:p>
    <w:p w:rsidR="00000000" w:rsidRDefault="007C49E1">
      <w:pPr>
        <w:rPr>
          <w:rFonts w:eastAsia="Times New Roman"/>
        </w:rPr>
      </w:pPr>
      <w:r>
        <w:rPr>
          <w:rFonts w:eastAsia="Times New Roman"/>
        </w:rPr>
        <w:pict>
          <v:rect id="_x0000_i1041" style="width:0;height:1.5pt" o:hralign="center" o:hrstd="t" o:hr="t" fillcolor="#a0a0a0" stroked="f"/>
        </w:pict>
      </w:r>
    </w:p>
    <w:p w:rsidR="00000000" w:rsidRDefault="007C49E1">
      <w:pPr>
        <w:jc w:val="center"/>
        <w:divId w:val="273219934"/>
        <w:rPr>
          <w:rFonts w:eastAsia="Times New Roman"/>
        </w:rPr>
      </w:pPr>
    </w:p>
    <w:p w:rsidR="00000000" w:rsidRDefault="007C49E1">
      <w:pPr>
        <w:jc w:val="center"/>
        <w:divId w:val="273219934"/>
        <w:rPr>
          <w:rFonts w:eastAsia="Times New Roman"/>
        </w:rPr>
      </w:pPr>
      <w:r>
        <w:rPr>
          <w:rFonts w:eastAsia="Times New Roman"/>
          <w:b/>
          <w:bCs/>
          <w:color w:val="000000"/>
          <w:sz w:val="20"/>
          <w:szCs w:val="20"/>
        </w:rPr>
        <w:t>PUBLIC STORAGE</w:t>
      </w:r>
    </w:p>
    <w:p w:rsidR="00000000" w:rsidRDefault="007C49E1">
      <w:pPr>
        <w:jc w:val="center"/>
        <w:divId w:val="273219934"/>
        <w:rPr>
          <w:rFonts w:eastAsia="Times New Roman"/>
        </w:rPr>
      </w:pPr>
      <w:r>
        <w:rPr>
          <w:rFonts w:eastAsia="Times New Roman"/>
          <w:b/>
          <w:bCs/>
          <w:color w:val="000000"/>
          <w:sz w:val="20"/>
          <w:szCs w:val="20"/>
        </w:rPr>
        <w:t>NOTES TO CONSOLIDATED FINANCIAL STATEMENTS</w:t>
      </w:r>
    </w:p>
    <w:p w:rsidR="00000000" w:rsidRDefault="007C49E1">
      <w:pPr>
        <w:jc w:val="center"/>
        <w:divId w:val="273219934"/>
        <w:rPr>
          <w:rFonts w:eastAsia="Times New Roman"/>
        </w:rPr>
      </w:pPr>
      <w:r>
        <w:rPr>
          <w:rFonts w:eastAsia="Times New Roman"/>
          <w:b/>
          <w:bCs/>
          <w:color w:val="000000"/>
          <w:sz w:val="20"/>
          <w:szCs w:val="20"/>
        </w:rPr>
        <w:t>March 31, 2022</w:t>
      </w:r>
    </w:p>
    <w:p w:rsidR="00000000" w:rsidRDefault="007C49E1">
      <w:pPr>
        <w:jc w:val="center"/>
        <w:divId w:val="273219934"/>
        <w:rPr>
          <w:rFonts w:eastAsia="Times New Roman"/>
        </w:rPr>
      </w:pPr>
      <w:r>
        <w:rPr>
          <w:rFonts w:eastAsia="Times New Roman"/>
          <w:b/>
          <w:bCs/>
          <w:color w:val="000000"/>
          <w:sz w:val="20"/>
          <w:szCs w:val="20"/>
        </w:rPr>
        <w:t>(Unaudited)</w:t>
      </w:r>
    </w:p>
    <w:p w:rsidR="00000000" w:rsidRDefault="007C49E1">
      <w:pPr>
        <w:jc w:val="center"/>
        <w:divId w:val="273219934"/>
        <w:rPr>
          <w:rFonts w:eastAsia="Times New Roman"/>
        </w:rPr>
      </w:pPr>
    </w:p>
    <w:p w:rsidR="00000000" w:rsidRDefault="007C49E1">
      <w:pPr>
        <w:jc w:val="both"/>
        <w:divId w:val="1756971121"/>
        <w:rPr>
          <w:rFonts w:eastAsia="Times New Roman"/>
        </w:rPr>
      </w:pPr>
      <w:r>
        <w:rPr>
          <w:rFonts w:eastAsia="Times New Roman"/>
          <w:color w:val="000000"/>
          <w:sz w:val="20"/>
          <w:szCs w:val="20"/>
          <w:u w:val="single"/>
        </w:rPr>
        <w:t>Dividends</w:t>
      </w:r>
    </w:p>
    <w:p w:rsidR="00000000" w:rsidRDefault="007C49E1">
      <w:pPr>
        <w:ind w:firstLine="720"/>
        <w:jc w:val="both"/>
        <w:divId w:val="1039823323"/>
        <w:rPr>
          <w:rFonts w:eastAsia="Times New Roman"/>
        </w:rPr>
      </w:pPr>
      <w:r>
        <w:rPr>
          <w:rFonts w:eastAsia="Times New Roman"/>
          <w:color w:val="000000"/>
          <w:sz w:val="20"/>
          <w:szCs w:val="20"/>
        </w:rPr>
        <w:t>Common share dividends paid, including amounts paid to our restricted share unitholders, totaled $351.2 million ($2.00 per share) and $350.1 million ($2.00 per share) for the three months ended March 31, 2022 and 2021, respectively. Preferred share dividen</w:t>
      </w:r>
      <w:r>
        <w:rPr>
          <w:rFonts w:eastAsia="Times New Roman"/>
          <w:color w:val="000000"/>
          <w:sz w:val="20"/>
          <w:szCs w:val="20"/>
        </w:rPr>
        <w:t>ds paid totaled $48.4 million and $46.1 million for the three months ended March 31, 2022 and 2021, respectively.</w:t>
      </w:r>
    </w:p>
    <w:p w:rsidR="00000000" w:rsidRDefault="007C49E1">
      <w:pPr>
        <w:ind w:hanging="360"/>
        <w:jc w:val="both"/>
        <w:divId w:val="377703423"/>
        <w:rPr>
          <w:rFonts w:eastAsia="Times New Roman"/>
        </w:rPr>
      </w:pPr>
      <w:r>
        <w:rPr>
          <w:rFonts w:eastAsia="Times New Roman"/>
          <w:color w:val="000000"/>
          <w:sz w:val="20"/>
          <w:szCs w:val="20"/>
        </w:rPr>
        <w:t>10.</w:t>
      </w:r>
      <w:r>
        <w:rPr>
          <w:rFonts w:eastAsia="Times New Roman"/>
          <w:color w:val="000000"/>
          <w:sz w:val="20"/>
          <w:szCs w:val="20"/>
          <w:u w:val="single"/>
        </w:rPr>
        <w:t>Related Party Transactions</w:t>
      </w:r>
    </w:p>
    <w:p w:rsidR="00000000" w:rsidRDefault="007C49E1">
      <w:pPr>
        <w:ind w:firstLine="720"/>
        <w:jc w:val="both"/>
        <w:divId w:val="323514032"/>
        <w:rPr>
          <w:rFonts w:eastAsia="Times New Roman"/>
        </w:rPr>
      </w:pPr>
      <w:r>
        <w:rPr>
          <w:rFonts w:eastAsia="Times New Roman"/>
          <w:color w:val="000000"/>
          <w:sz w:val="20"/>
          <w:szCs w:val="20"/>
        </w:rPr>
        <w:t>At March </w:t>
      </w:r>
      <w:r>
        <w:rPr>
          <w:rFonts w:eastAsia="Times New Roman"/>
          <w:color w:val="000000"/>
          <w:sz w:val="20"/>
          <w:szCs w:val="20"/>
        </w:rPr>
        <w:t>31, 2022, Tamara Hughes Gustavson, a current member of our Board and her adult children owned and controlled 65 self-storage facilities in Canada. These facilities operate under the Public Storage® tradename, which we license to the owners of these facilit</w:t>
      </w:r>
      <w:r>
        <w:rPr>
          <w:rFonts w:eastAsia="Times New Roman"/>
          <w:color w:val="000000"/>
          <w:sz w:val="20"/>
          <w:szCs w:val="20"/>
        </w:rPr>
        <w:t>ies for use in Canada on a royalty-free, non-exclusive basis. We have no ownership interest in these facilities and we do not own or operate any facilities in Canada. If we chose to acquire or develop our own facilities in Canada, we would have to share th</w:t>
      </w:r>
      <w:r>
        <w:rPr>
          <w:rFonts w:eastAsia="Times New Roman"/>
          <w:color w:val="000000"/>
          <w:sz w:val="20"/>
          <w:szCs w:val="20"/>
        </w:rPr>
        <w:t>e use of the Public Storage® name in Canada. We have a right of first refusal, subject to limitations, to acquire the stock or assets of the corporation engaged in the operation of these facilities if their owners agree to sell them. Our subsidiaries reins</w:t>
      </w:r>
      <w:r>
        <w:rPr>
          <w:rFonts w:eastAsia="Times New Roman"/>
          <w:color w:val="000000"/>
          <w:sz w:val="20"/>
          <w:szCs w:val="20"/>
        </w:rPr>
        <w:t>ure risks relating to loss of goods stored by customers in these facilities, and have received premium payments of approximately $535,000 and $469,000 for the three months ended March 31, 2022 and 2021, respectively.</w:t>
      </w:r>
    </w:p>
    <w:p w:rsidR="00000000" w:rsidRDefault="007C49E1">
      <w:pPr>
        <w:ind w:hanging="360"/>
        <w:jc w:val="both"/>
        <w:divId w:val="150759932"/>
        <w:rPr>
          <w:rFonts w:eastAsia="Times New Roman"/>
        </w:rPr>
      </w:pPr>
      <w:r>
        <w:rPr>
          <w:rFonts w:eastAsia="Times New Roman"/>
          <w:color w:val="000000"/>
          <w:sz w:val="20"/>
          <w:szCs w:val="20"/>
        </w:rPr>
        <w:t>11.</w:t>
      </w:r>
      <w:r>
        <w:rPr>
          <w:rFonts w:eastAsia="Times New Roman"/>
          <w:color w:val="000000"/>
          <w:sz w:val="20"/>
          <w:szCs w:val="20"/>
          <w:u w:val="single"/>
        </w:rPr>
        <w:t>Share-Based Compensation</w:t>
      </w:r>
    </w:p>
    <w:p w:rsidR="00000000" w:rsidRDefault="007C49E1">
      <w:pPr>
        <w:ind w:firstLine="720"/>
        <w:jc w:val="both"/>
        <w:divId w:val="450704862"/>
        <w:rPr>
          <w:rFonts w:eastAsia="Times New Roman"/>
        </w:rPr>
      </w:pPr>
      <w:r>
        <w:rPr>
          <w:rFonts w:eastAsia="Times New Roman"/>
          <w:color w:val="000000"/>
          <w:sz w:val="20"/>
          <w:szCs w:val="20"/>
        </w:rPr>
        <w:t>Under vario</w:t>
      </w:r>
      <w:r>
        <w:rPr>
          <w:rFonts w:eastAsia="Times New Roman"/>
          <w:color w:val="000000"/>
          <w:sz w:val="20"/>
          <w:szCs w:val="20"/>
        </w:rPr>
        <w:t>us share-based compensation plans and under terms established or modified by our Board or a committee thereof, we grant equity awards to trustees, officers, and key employees, including non-qualified options to purchase the Company’s common shares, restric</w:t>
      </w:r>
      <w:r>
        <w:rPr>
          <w:rFonts w:eastAsia="Times New Roman"/>
          <w:color w:val="000000"/>
          <w:sz w:val="20"/>
          <w:szCs w:val="20"/>
        </w:rPr>
        <w:t>ted stock units (“RSUs”), deferred stock units (“DSUs”), and unrestricted common stock issued in lieu of trustee compensation.</w:t>
      </w:r>
    </w:p>
    <w:p w:rsidR="00000000" w:rsidRDefault="007C49E1">
      <w:pPr>
        <w:ind w:firstLine="720"/>
        <w:jc w:val="both"/>
        <w:divId w:val="700402793"/>
        <w:rPr>
          <w:rFonts w:eastAsia="Times New Roman"/>
        </w:rPr>
      </w:pPr>
      <w:r>
        <w:rPr>
          <w:rFonts w:eastAsia="Times New Roman"/>
          <w:color w:val="000000"/>
          <w:sz w:val="20"/>
          <w:szCs w:val="20"/>
        </w:rPr>
        <w:t>We recorded share-based compensation expense associated with our equity awards in the various expense categories in the Consolida</w:t>
      </w:r>
      <w:r>
        <w:rPr>
          <w:rFonts w:eastAsia="Times New Roman"/>
          <w:color w:val="000000"/>
          <w:sz w:val="20"/>
          <w:szCs w:val="20"/>
        </w:rPr>
        <w:t>ted Statements of Income as set forth in the following table. In addition, $1.0 million and $1.2 million share-based compensation cost was capitalized as real estate facilities for the three months ended March 31, 2022 and 2021, respectively.</w:t>
      </w:r>
    </w:p>
    <w:tbl>
      <w:tblPr>
        <w:tblW w:w="4636" w:type="pct"/>
        <w:jc w:val="center"/>
        <w:tblCellMar>
          <w:top w:w="15" w:type="dxa"/>
          <w:left w:w="15" w:type="dxa"/>
          <w:bottom w:w="15" w:type="dxa"/>
          <w:right w:w="15" w:type="dxa"/>
        </w:tblCellMar>
        <w:tblLook w:val="04A0" w:firstRow="1" w:lastRow="0" w:firstColumn="1" w:lastColumn="0" w:noHBand="0" w:noVBand="1"/>
      </w:tblPr>
      <w:tblGrid>
        <w:gridCol w:w="38"/>
        <w:gridCol w:w="3886"/>
        <w:gridCol w:w="37"/>
        <w:gridCol w:w="120"/>
        <w:gridCol w:w="1570"/>
        <w:gridCol w:w="36"/>
        <w:gridCol w:w="36"/>
        <w:gridCol w:w="36"/>
        <w:gridCol w:w="36"/>
        <w:gridCol w:w="120"/>
        <w:gridCol w:w="1534"/>
        <w:gridCol w:w="36"/>
        <w:gridCol w:w="36"/>
        <w:gridCol w:w="36"/>
        <w:gridCol w:w="36"/>
        <w:gridCol w:w="36"/>
        <w:gridCol w:w="36"/>
        <w:gridCol w:w="36"/>
      </w:tblGrid>
      <w:tr w:rsidR="00000000">
        <w:trPr>
          <w:jc w:val="center"/>
        </w:trPr>
        <w:tc>
          <w:tcPr>
            <w:tcW w:w="50" w:type="pct"/>
            <w:vAlign w:val="center"/>
            <w:hideMark/>
          </w:tcPr>
          <w:p w:rsidR="00000000" w:rsidRDefault="007C49E1">
            <w:pPr>
              <w:ind w:firstLine="720"/>
              <w:jc w:val="both"/>
              <w:rPr>
                <w:rFonts w:eastAsia="Times New Roman"/>
              </w:rPr>
            </w:pPr>
          </w:p>
        </w:tc>
        <w:tc>
          <w:tcPr>
            <w:tcW w:w="2632"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08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3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08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Three Months Ended March 31,</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(Amounts in thousands)</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Self-storage cost of operations</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4,864 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6,365 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Ancillary cost of operations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266 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386 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8,798 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7,680 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13,928 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14,431 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jc w:val="center"/>
        <w:rPr>
          <w:rFonts w:eastAsia="Times New Roman"/>
        </w:rPr>
      </w:pPr>
    </w:p>
    <w:p w:rsidR="00000000" w:rsidRDefault="007C49E1">
      <w:pPr>
        <w:ind w:firstLine="720"/>
        <w:jc w:val="both"/>
        <w:divId w:val="1502309372"/>
        <w:rPr>
          <w:rFonts w:eastAsia="Times New Roman"/>
        </w:rPr>
      </w:pPr>
      <w:r>
        <w:rPr>
          <w:rFonts w:eastAsia="Times New Roman"/>
          <w:color w:val="000000"/>
          <w:sz w:val="20"/>
          <w:szCs w:val="20"/>
        </w:rPr>
        <w:t xml:space="preserve">Included in share-based compensation is $4.2 million and $3.8 </w:t>
      </w:r>
      <w:r>
        <w:rPr>
          <w:rFonts w:eastAsia="Times New Roman"/>
          <w:color w:val="000000"/>
          <w:sz w:val="20"/>
          <w:szCs w:val="20"/>
        </w:rPr>
        <w:t>million during the three months ended March 31, 2022 and 2021, respectively, in connection with retirement acceleration as discussed in Note 2 to our Consolidated Financial Statements included in our Annual Report on Form 10-K for the year ended December 3</w:t>
      </w:r>
      <w:r>
        <w:rPr>
          <w:rFonts w:eastAsia="Times New Roman"/>
          <w:color w:val="000000"/>
          <w:sz w:val="20"/>
          <w:szCs w:val="20"/>
        </w:rPr>
        <w:t xml:space="preserve">1, 2021. </w:t>
      </w:r>
    </w:p>
    <w:p w:rsidR="00000000" w:rsidRDefault="007C49E1">
      <w:pPr>
        <w:ind w:firstLine="720"/>
        <w:jc w:val="both"/>
        <w:divId w:val="1429497024"/>
        <w:rPr>
          <w:rFonts w:eastAsia="Times New Roman"/>
        </w:rPr>
      </w:pPr>
      <w:r>
        <w:rPr>
          <w:rFonts w:eastAsia="Times New Roman"/>
          <w:color w:val="000000"/>
          <w:sz w:val="20"/>
          <w:szCs w:val="20"/>
        </w:rPr>
        <w:t>As of March 31, 2022, there was $119.1 million of total unrecognized compensation cost related to share-based compensation arrangements. This cost is expected to be recognized over a weighted-average period of three years.</w:t>
      </w:r>
    </w:p>
    <w:p w:rsidR="00000000" w:rsidRDefault="007C49E1">
      <w:pPr>
        <w:divId w:val="938831769"/>
        <w:rPr>
          <w:rFonts w:eastAsia="Times New Roman"/>
        </w:rPr>
      </w:pPr>
      <w:r>
        <w:rPr>
          <w:rFonts w:eastAsia="Times New Roman"/>
          <w:color w:val="000000"/>
          <w:sz w:val="20"/>
          <w:szCs w:val="20"/>
          <w:u w:val="single"/>
        </w:rPr>
        <w:t>Stock Options</w:t>
      </w:r>
    </w:p>
    <w:p w:rsidR="00000000" w:rsidRDefault="007C49E1">
      <w:pPr>
        <w:ind w:firstLine="720"/>
        <w:jc w:val="both"/>
        <w:divId w:val="1910194680"/>
        <w:rPr>
          <w:rFonts w:eastAsia="Times New Roman"/>
        </w:rPr>
      </w:pPr>
      <w:r>
        <w:rPr>
          <w:rFonts w:eastAsia="Times New Roman"/>
          <w:color w:val="000000"/>
          <w:sz w:val="20"/>
          <w:szCs w:val="20"/>
        </w:rPr>
        <w:t xml:space="preserve">We have service-based, performance-based and market-based stock options outstanding, which generally vest over 3 to 5 years, expire 10 years after the grant date, and have an exercise price equal to the closing trading price of </w:t>
      </w:r>
    </w:p>
    <w:p w:rsidR="00000000" w:rsidRDefault="007C49E1">
      <w:pPr>
        <w:jc w:val="center"/>
        <w:divId w:val="1675494571"/>
        <w:rPr>
          <w:rFonts w:eastAsia="Times New Roman"/>
        </w:rPr>
      </w:pPr>
      <w:r>
        <w:rPr>
          <w:rFonts w:eastAsia="Times New Roman"/>
          <w:color w:val="000000"/>
          <w:sz w:val="20"/>
          <w:szCs w:val="20"/>
        </w:rPr>
        <w:t>16</w:t>
      </w:r>
    </w:p>
    <w:p w:rsidR="00000000" w:rsidRDefault="007C49E1">
      <w:pPr>
        <w:rPr>
          <w:rFonts w:eastAsia="Times New Roman"/>
        </w:rPr>
      </w:pPr>
      <w:r>
        <w:rPr>
          <w:rFonts w:eastAsia="Times New Roman"/>
        </w:rPr>
        <w:pict>
          <v:rect id="_x0000_i1042" style="width:0;height:1.5pt" o:hralign="center" o:hrstd="t" o:hr="t" fillcolor="#a0a0a0" stroked="f"/>
        </w:pict>
      </w:r>
    </w:p>
    <w:p w:rsidR="00000000" w:rsidRDefault="007C49E1">
      <w:pPr>
        <w:jc w:val="center"/>
        <w:divId w:val="848105387"/>
        <w:rPr>
          <w:rFonts w:eastAsia="Times New Roman"/>
        </w:rPr>
      </w:pPr>
    </w:p>
    <w:p w:rsidR="00000000" w:rsidRDefault="007C49E1">
      <w:pPr>
        <w:jc w:val="center"/>
        <w:divId w:val="848105387"/>
        <w:rPr>
          <w:rFonts w:eastAsia="Times New Roman"/>
        </w:rPr>
      </w:pPr>
      <w:r>
        <w:rPr>
          <w:rFonts w:eastAsia="Times New Roman"/>
          <w:b/>
          <w:bCs/>
          <w:color w:val="000000"/>
          <w:sz w:val="20"/>
          <w:szCs w:val="20"/>
        </w:rPr>
        <w:t>PUBLIC STORAGE</w:t>
      </w:r>
    </w:p>
    <w:p w:rsidR="00000000" w:rsidRDefault="007C49E1">
      <w:pPr>
        <w:jc w:val="center"/>
        <w:divId w:val="848105387"/>
        <w:rPr>
          <w:rFonts w:eastAsia="Times New Roman"/>
        </w:rPr>
      </w:pPr>
      <w:r>
        <w:rPr>
          <w:rFonts w:eastAsia="Times New Roman"/>
          <w:b/>
          <w:bCs/>
          <w:color w:val="000000"/>
          <w:sz w:val="20"/>
          <w:szCs w:val="20"/>
        </w:rPr>
        <w:t>NOTES TO CONSOLIDATED FINANCIAL STATEMENTS</w:t>
      </w:r>
    </w:p>
    <w:p w:rsidR="00000000" w:rsidRDefault="007C49E1">
      <w:pPr>
        <w:jc w:val="center"/>
        <w:divId w:val="848105387"/>
        <w:rPr>
          <w:rFonts w:eastAsia="Times New Roman"/>
        </w:rPr>
      </w:pPr>
      <w:r>
        <w:rPr>
          <w:rFonts w:eastAsia="Times New Roman"/>
          <w:b/>
          <w:bCs/>
          <w:color w:val="000000"/>
          <w:sz w:val="20"/>
          <w:szCs w:val="20"/>
        </w:rPr>
        <w:t>March 31, 2022</w:t>
      </w:r>
    </w:p>
    <w:p w:rsidR="00000000" w:rsidRDefault="007C49E1">
      <w:pPr>
        <w:jc w:val="center"/>
        <w:divId w:val="848105387"/>
        <w:rPr>
          <w:rFonts w:eastAsia="Times New Roman"/>
        </w:rPr>
      </w:pPr>
      <w:r>
        <w:rPr>
          <w:rFonts w:eastAsia="Times New Roman"/>
          <w:b/>
          <w:bCs/>
          <w:color w:val="000000"/>
          <w:sz w:val="20"/>
          <w:szCs w:val="20"/>
        </w:rPr>
        <w:t>(Unaudited)</w:t>
      </w:r>
    </w:p>
    <w:p w:rsidR="00000000" w:rsidRDefault="007C49E1">
      <w:pPr>
        <w:jc w:val="center"/>
        <w:divId w:val="848105387"/>
        <w:rPr>
          <w:rFonts w:eastAsia="Times New Roman"/>
        </w:rPr>
      </w:pPr>
    </w:p>
    <w:p w:rsidR="00000000" w:rsidRDefault="007C49E1">
      <w:pPr>
        <w:jc w:val="both"/>
        <w:divId w:val="781341338"/>
        <w:rPr>
          <w:rFonts w:eastAsia="Times New Roman"/>
        </w:rPr>
      </w:pPr>
      <w:r>
        <w:rPr>
          <w:rFonts w:eastAsia="Times New Roman"/>
          <w:color w:val="000000"/>
          <w:sz w:val="20"/>
          <w:szCs w:val="20"/>
        </w:rPr>
        <w:t xml:space="preserve">our common shares on the grant date. New shares are issued for options exercised. Employees cannot require the Company to settle their award in cash. </w:t>
      </w:r>
    </w:p>
    <w:p w:rsidR="00000000" w:rsidRDefault="007C49E1">
      <w:pPr>
        <w:ind w:firstLine="720"/>
        <w:jc w:val="both"/>
        <w:divId w:val="1932472780"/>
        <w:rPr>
          <w:rFonts w:eastAsia="Times New Roman"/>
        </w:rPr>
      </w:pPr>
      <w:r>
        <w:rPr>
          <w:rFonts w:eastAsia="Times New Roman"/>
          <w:color w:val="000000"/>
          <w:sz w:val="20"/>
          <w:szCs w:val="20"/>
        </w:rPr>
        <w:t>Duri</w:t>
      </w:r>
      <w:r>
        <w:rPr>
          <w:rFonts w:eastAsia="Times New Roman"/>
          <w:color w:val="000000"/>
          <w:sz w:val="20"/>
          <w:szCs w:val="20"/>
        </w:rPr>
        <w:t>ng the three months ended March 31, 2022, 77,683 stock options were granted, 36,050 options were exercised, and no options were forfeited. A total of 3,081,584 stock options were outstanding at March 31, 2022 (3,039,951 at December 31, 2021). For the stock</w:t>
      </w:r>
      <w:r>
        <w:rPr>
          <w:rFonts w:eastAsia="Times New Roman"/>
          <w:color w:val="000000"/>
          <w:sz w:val="20"/>
          <w:szCs w:val="20"/>
        </w:rPr>
        <w:t xml:space="preserve"> options granted during the three months ended March 31, 2022, vesting is dependent upon meeting certain market conditions over the three-year period from January 1, 2022 through December 31, 2024, with continued service-based vesting through the first qua</w:t>
      </w:r>
      <w:r>
        <w:rPr>
          <w:rFonts w:eastAsia="Times New Roman"/>
          <w:color w:val="000000"/>
          <w:sz w:val="20"/>
          <w:szCs w:val="20"/>
        </w:rPr>
        <w:t>rter of 2027. These stock options require relative achievement of the Company’s total shareholder return as compared to the weighted average total shareholder return of specified peer groups and can result in grantees earning up to 200% of the target optio</w:t>
      </w:r>
      <w:r>
        <w:rPr>
          <w:rFonts w:eastAsia="Times New Roman"/>
          <w:color w:val="000000"/>
          <w:sz w:val="20"/>
          <w:szCs w:val="20"/>
        </w:rPr>
        <w:t xml:space="preserve">ns originally granted. </w:t>
      </w:r>
    </w:p>
    <w:p w:rsidR="00000000" w:rsidRDefault="007C49E1">
      <w:pPr>
        <w:ind w:firstLine="720"/>
        <w:jc w:val="both"/>
        <w:divId w:val="97869748"/>
        <w:rPr>
          <w:rFonts w:eastAsia="Times New Roman"/>
        </w:rPr>
      </w:pPr>
      <w:r>
        <w:rPr>
          <w:rFonts w:eastAsia="Times New Roman"/>
          <w:color w:val="000000"/>
          <w:sz w:val="20"/>
          <w:szCs w:val="20"/>
        </w:rPr>
        <w:t xml:space="preserve">For the three months ended March 31, 2022 and 2021, we incurred share-based compensation cost for outstanding stock options of $3.9 million and $4.4 million, respectively. </w:t>
      </w:r>
    </w:p>
    <w:p w:rsidR="00000000" w:rsidRDefault="007C49E1">
      <w:pPr>
        <w:ind w:firstLine="720"/>
        <w:divId w:val="371807845"/>
        <w:rPr>
          <w:rFonts w:eastAsia="Times New Roman"/>
        </w:rPr>
      </w:pPr>
      <w:r>
        <w:rPr>
          <w:rFonts w:eastAsia="Times New Roman"/>
          <w:color w:val="000000"/>
          <w:sz w:val="20"/>
          <w:szCs w:val="20"/>
          <w:u w:val="single"/>
        </w:rPr>
        <w:t>Restricted Share Units</w:t>
      </w:r>
    </w:p>
    <w:p w:rsidR="00000000" w:rsidRDefault="007C49E1">
      <w:pPr>
        <w:ind w:firstLine="720"/>
        <w:jc w:val="both"/>
        <w:divId w:val="179123671"/>
        <w:rPr>
          <w:rFonts w:eastAsia="Times New Roman"/>
        </w:rPr>
      </w:pPr>
      <w:r>
        <w:rPr>
          <w:rFonts w:eastAsia="Times New Roman"/>
          <w:color w:val="000000"/>
          <w:sz w:val="20"/>
          <w:szCs w:val="20"/>
        </w:rPr>
        <w:t>We have service-based, performance-b</w:t>
      </w:r>
      <w:r>
        <w:rPr>
          <w:rFonts w:eastAsia="Times New Roman"/>
          <w:color w:val="000000"/>
          <w:sz w:val="20"/>
          <w:szCs w:val="20"/>
        </w:rPr>
        <w:t xml:space="preserve">ased and market-based RSUs outstanding, which generally vest over 5 to 8 years from the grant date. Upon vesting, the grantee receives new common shares equal to the number of vested RSUs, less common shares withheld to satisfy the grantee’s statutory tax </w:t>
      </w:r>
      <w:r>
        <w:rPr>
          <w:rFonts w:eastAsia="Times New Roman"/>
          <w:color w:val="000000"/>
          <w:sz w:val="20"/>
          <w:szCs w:val="20"/>
        </w:rPr>
        <w:t>liabilities arising from the vesting. During the three months ended March 31, 2022, 24,725 RSUs were granted, 8,821 RSUs were forfeited and 57,349 RSUs vested. The vesting resulted in the issuance of 41,847 common shares. A total of 529,377 RSUs were outst</w:t>
      </w:r>
      <w:r>
        <w:rPr>
          <w:rFonts w:eastAsia="Times New Roman"/>
          <w:color w:val="000000"/>
          <w:sz w:val="20"/>
          <w:szCs w:val="20"/>
        </w:rPr>
        <w:t>anding at March 31, 2022 (570,822 at December 31, 2021).</w:t>
      </w:r>
    </w:p>
    <w:p w:rsidR="00000000" w:rsidRDefault="007C49E1">
      <w:pPr>
        <w:ind w:firstLine="720"/>
        <w:jc w:val="both"/>
        <w:divId w:val="399668791"/>
        <w:rPr>
          <w:rFonts w:eastAsia="Times New Roman"/>
        </w:rPr>
      </w:pPr>
      <w:r>
        <w:rPr>
          <w:rFonts w:eastAsia="Times New Roman"/>
          <w:color w:val="000000"/>
          <w:sz w:val="20"/>
          <w:szCs w:val="20"/>
        </w:rPr>
        <w:t>Included in the RSUs granted during the three months ended March 31, 2022 are 21,985 RSUs where vesting is dependent upon meeting certain market conditions over a three-year period from January 1, 20</w:t>
      </w:r>
      <w:r>
        <w:rPr>
          <w:rFonts w:eastAsia="Times New Roman"/>
          <w:color w:val="000000"/>
          <w:sz w:val="20"/>
          <w:szCs w:val="20"/>
        </w:rPr>
        <w:t>22 through December 31, 2024, with continued service-based vesting through the first quarter of 2027. These RSUs require relative achievement of the Company’s total shareholder return as compared to the weighted average total shareholder return of the spec</w:t>
      </w:r>
      <w:r>
        <w:rPr>
          <w:rFonts w:eastAsia="Times New Roman"/>
          <w:color w:val="000000"/>
          <w:sz w:val="20"/>
          <w:szCs w:val="20"/>
        </w:rPr>
        <w:t xml:space="preserve">ified peer groups and can result in grantees earning up to 200% of the target RSUs originally granted. </w:t>
      </w:r>
    </w:p>
    <w:p w:rsidR="00000000" w:rsidRDefault="007C49E1">
      <w:pPr>
        <w:ind w:firstLine="720"/>
        <w:jc w:val="both"/>
        <w:divId w:val="1261062842"/>
        <w:rPr>
          <w:rFonts w:eastAsia="Times New Roman"/>
        </w:rPr>
      </w:pPr>
      <w:r>
        <w:rPr>
          <w:rFonts w:eastAsia="Times New Roman"/>
          <w:color w:val="000000"/>
          <w:sz w:val="20"/>
          <w:szCs w:val="20"/>
        </w:rPr>
        <w:t xml:space="preserve">Also included in the RSUs granted during the three months ended March 31, 2022 are 2,740 service-based RSUs. </w:t>
      </w:r>
    </w:p>
    <w:p w:rsidR="00000000" w:rsidRDefault="007C49E1">
      <w:pPr>
        <w:ind w:firstLine="720"/>
        <w:jc w:val="both"/>
        <w:divId w:val="1650286621"/>
        <w:rPr>
          <w:rFonts w:eastAsia="Times New Roman"/>
        </w:rPr>
      </w:pPr>
      <w:r>
        <w:rPr>
          <w:rFonts w:eastAsia="Times New Roman"/>
          <w:color w:val="000000"/>
          <w:sz w:val="20"/>
          <w:szCs w:val="20"/>
        </w:rPr>
        <w:t xml:space="preserve">For the three months ended March 31, 2022 </w:t>
      </w:r>
      <w:r>
        <w:rPr>
          <w:rFonts w:eastAsia="Times New Roman"/>
          <w:color w:val="000000"/>
          <w:sz w:val="20"/>
          <w:szCs w:val="20"/>
        </w:rPr>
        <w:t xml:space="preserve">and 2021, we incurred share-based compensation cost for RSUs of $10.8 million and $11.0 million, respectively. </w:t>
      </w:r>
    </w:p>
    <w:p w:rsidR="00000000" w:rsidRDefault="007C49E1">
      <w:pPr>
        <w:ind w:firstLine="720"/>
        <w:divId w:val="1310789213"/>
        <w:rPr>
          <w:rFonts w:eastAsia="Times New Roman"/>
        </w:rPr>
      </w:pPr>
      <w:r>
        <w:rPr>
          <w:rFonts w:eastAsia="Times New Roman"/>
          <w:color w:val="000000"/>
          <w:sz w:val="20"/>
          <w:szCs w:val="20"/>
          <w:u w:val="single"/>
        </w:rPr>
        <w:t>Trustee Deferral Program</w:t>
      </w:r>
    </w:p>
    <w:p w:rsidR="00000000" w:rsidRDefault="007C49E1">
      <w:pPr>
        <w:ind w:firstLine="720"/>
        <w:jc w:val="both"/>
        <w:divId w:val="392629432"/>
        <w:rPr>
          <w:rFonts w:eastAsia="Times New Roman"/>
        </w:rPr>
      </w:pPr>
      <w:r>
        <w:rPr>
          <w:rFonts w:eastAsia="Times New Roman"/>
          <w:color w:val="000000"/>
          <w:sz w:val="20"/>
          <w:szCs w:val="20"/>
        </w:rPr>
        <w:t>Non-management trustees may elect to receive all or a portion of their cash retainers in cash, shares of unrestricted c</w:t>
      </w:r>
      <w:r>
        <w:rPr>
          <w:rFonts w:eastAsia="Times New Roman"/>
          <w:color w:val="000000"/>
          <w:sz w:val="20"/>
          <w:szCs w:val="20"/>
        </w:rPr>
        <w:t>ommon stock, or fully-vested DSUs to be settled at a specified future date. Shares of unrestricted stock and/or deferred stock units will be granted to the non-management trustee on the last day of each calendar quarter based on the cash retainer earned fo</w:t>
      </w:r>
      <w:r>
        <w:rPr>
          <w:rFonts w:eastAsia="Times New Roman"/>
          <w:color w:val="000000"/>
          <w:sz w:val="20"/>
          <w:szCs w:val="20"/>
        </w:rPr>
        <w:t xml:space="preserve">r that quarter and converted into a number of shares or units based on the applicable closing price of our common shares on such date. During the three months ended March 31, 2022, we granted 488 DSUs and 87 shares of unrestricted common stock. </w:t>
      </w:r>
    </w:p>
    <w:p w:rsidR="00000000" w:rsidRDefault="007C49E1">
      <w:pPr>
        <w:ind w:hanging="360"/>
        <w:jc w:val="both"/>
        <w:divId w:val="5527457"/>
        <w:rPr>
          <w:rFonts w:eastAsia="Times New Roman"/>
        </w:rPr>
      </w:pPr>
    </w:p>
    <w:p w:rsidR="00000000" w:rsidRDefault="007C49E1">
      <w:pPr>
        <w:jc w:val="center"/>
        <w:divId w:val="1604923130"/>
        <w:rPr>
          <w:rFonts w:eastAsia="Times New Roman"/>
        </w:rPr>
      </w:pPr>
      <w:r>
        <w:rPr>
          <w:rFonts w:eastAsia="Times New Roman"/>
          <w:color w:val="000000"/>
          <w:sz w:val="20"/>
          <w:szCs w:val="20"/>
        </w:rPr>
        <w:t>17</w:t>
      </w:r>
    </w:p>
    <w:p w:rsidR="00000000" w:rsidRDefault="007C49E1">
      <w:pPr>
        <w:rPr>
          <w:rFonts w:eastAsia="Times New Roman"/>
        </w:rPr>
      </w:pPr>
      <w:r>
        <w:rPr>
          <w:rFonts w:eastAsia="Times New Roman"/>
        </w:rPr>
        <w:pict>
          <v:rect id="_x0000_i1043" style="width:0;height:1.5pt" o:hralign="center" o:hrstd="t" o:hr="t" fillcolor="#a0a0a0" stroked="f"/>
        </w:pict>
      </w:r>
    </w:p>
    <w:p w:rsidR="00000000" w:rsidRDefault="007C49E1">
      <w:pPr>
        <w:jc w:val="center"/>
        <w:divId w:val="1078134582"/>
        <w:rPr>
          <w:rFonts w:eastAsia="Times New Roman"/>
        </w:rPr>
      </w:pPr>
    </w:p>
    <w:p w:rsidR="00000000" w:rsidRDefault="007C49E1">
      <w:pPr>
        <w:jc w:val="center"/>
        <w:divId w:val="1078134582"/>
        <w:rPr>
          <w:rFonts w:eastAsia="Times New Roman"/>
        </w:rPr>
      </w:pPr>
      <w:r>
        <w:rPr>
          <w:rFonts w:eastAsia="Times New Roman"/>
          <w:b/>
          <w:bCs/>
          <w:color w:val="000000"/>
          <w:sz w:val="20"/>
          <w:szCs w:val="20"/>
        </w:rPr>
        <w:t>PUBLIC STORAGE</w:t>
      </w:r>
    </w:p>
    <w:p w:rsidR="00000000" w:rsidRDefault="007C49E1">
      <w:pPr>
        <w:jc w:val="center"/>
        <w:divId w:val="1078134582"/>
        <w:rPr>
          <w:rFonts w:eastAsia="Times New Roman"/>
        </w:rPr>
      </w:pPr>
      <w:r>
        <w:rPr>
          <w:rFonts w:eastAsia="Times New Roman"/>
          <w:b/>
          <w:bCs/>
          <w:color w:val="000000"/>
          <w:sz w:val="20"/>
          <w:szCs w:val="20"/>
        </w:rPr>
        <w:t>NOTES TO CONSOLIDATED FINANCIAL STATEMENTS</w:t>
      </w:r>
    </w:p>
    <w:p w:rsidR="00000000" w:rsidRDefault="007C49E1">
      <w:pPr>
        <w:jc w:val="center"/>
        <w:divId w:val="1078134582"/>
        <w:rPr>
          <w:rFonts w:eastAsia="Times New Roman"/>
        </w:rPr>
      </w:pPr>
      <w:r>
        <w:rPr>
          <w:rFonts w:eastAsia="Times New Roman"/>
          <w:b/>
          <w:bCs/>
          <w:color w:val="000000"/>
          <w:sz w:val="20"/>
          <w:szCs w:val="20"/>
        </w:rPr>
        <w:t>March 31, 2022</w:t>
      </w:r>
    </w:p>
    <w:p w:rsidR="00000000" w:rsidRDefault="007C49E1">
      <w:pPr>
        <w:jc w:val="center"/>
        <w:divId w:val="1078134582"/>
        <w:rPr>
          <w:rFonts w:eastAsia="Times New Roman"/>
        </w:rPr>
      </w:pPr>
      <w:r>
        <w:rPr>
          <w:rFonts w:eastAsia="Times New Roman"/>
          <w:b/>
          <w:bCs/>
          <w:color w:val="000000"/>
          <w:sz w:val="20"/>
          <w:szCs w:val="20"/>
        </w:rPr>
        <w:t>(Unaudited)</w:t>
      </w:r>
    </w:p>
    <w:p w:rsidR="00000000" w:rsidRDefault="007C49E1">
      <w:pPr>
        <w:jc w:val="center"/>
        <w:divId w:val="1078134582"/>
        <w:rPr>
          <w:rFonts w:eastAsia="Times New Roman"/>
        </w:rPr>
      </w:pPr>
    </w:p>
    <w:p w:rsidR="00000000" w:rsidRDefault="007C49E1">
      <w:pPr>
        <w:ind w:hanging="360"/>
        <w:jc w:val="both"/>
        <w:divId w:val="770659416"/>
        <w:rPr>
          <w:rFonts w:eastAsia="Times New Roman"/>
        </w:rPr>
      </w:pPr>
      <w:r>
        <w:rPr>
          <w:rFonts w:eastAsia="Times New Roman"/>
          <w:color w:val="000000"/>
          <w:sz w:val="20"/>
          <w:szCs w:val="20"/>
        </w:rPr>
        <w:t xml:space="preserve">12. </w:t>
      </w:r>
      <w:r>
        <w:rPr>
          <w:rFonts w:eastAsia="Times New Roman"/>
          <w:color w:val="000000"/>
          <w:sz w:val="20"/>
          <w:szCs w:val="20"/>
          <w:u w:val="single"/>
        </w:rPr>
        <w:t>Net Income per Common Share</w:t>
      </w:r>
    </w:p>
    <w:p w:rsidR="00000000" w:rsidRDefault="007C49E1">
      <w:pPr>
        <w:ind w:firstLine="720"/>
        <w:jc w:val="both"/>
        <w:divId w:val="1712457498"/>
        <w:rPr>
          <w:rFonts w:eastAsia="Times New Roman"/>
        </w:rPr>
      </w:pPr>
      <w:r>
        <w:rPr>
          <w:rFonts w:eastAsia="Times New Roman"/>
          <w:color w:val="000000"/>
          <w:sz w:val="20"/>
          <w:szCs w:val="20"/>
        </w:rPr>
        <w:t>We allocate net income to (i) noncontrolling interests based upon their contractual rights in the respective subsidiaries or for participating noncontrolling interests based upon their participation in both distributed and undistributed earnings of the Com</w:t>
      </w:r>
      <w:r>
        <w:rPr>
          <w:rFonts w:eastAsia="Times New Roman"/>
          <w:color w:val="000000"/>
          <w:sz w:val="20"/>
          <w:szCs w:val="20"/>
        </w:rPr>
        <w:t xml:space="preserve">pany, (ii) preferred shareholders, for distributions paid or payable, (iii) preferred shareholders, to the extent redemption cost exceeds the related original net issuance proceeds (an “preferred share redemption charge”), and (iv) restricted share units, </w:t>
      </w:r>
      <w:r>
        <w:rPr>
          <w:rFonts w:eastAsia="Times New Roman"/>
          <w:color w:val="000000"/>
          <w:sz w:val="20"/>
          <w:szCs w:val="20"/>
        </w:rPr>
        <w:t xml:space="preserve">for non-forfeitable dividends paid and adjusted for participation rights in undistributed earnings of the Company. </w:t>
      </w:r>
    </w:p>
    <w:p w:rsidR="00000000" w:rsidRDefault="007C49E1">
      <w:pPr>
        <w:ind w:firstLine="720"/>
        <w:jc w:val="both"/>
        <w:divId w:val="2135560294"/>
        <w:rPr>
          <w:rFonts w:eastAsia="Times New Roman"/>
        </w:rPr>
      </w:pPr>
      <w:r>
        <w:rPr>
          <w:rFonts w:eastAsia="Times New Roman"/>
          <w:color w:val="000000"/>
          <w:sz w:val="20"/>
          <w:szCs w:val="20"/>
        </w:rPr>
        <w:t>We calculate basic and diluted net income per common share based upon net income allocable to common shareholders, divided by (i) weighted a</w:t>
      </w:r>
      <w:r>
        <w:rPr>
          <w:rFonts w:eastAsia="Times New Roman"/>
          <w:color w:val="000000"/>
          <w:sz w:val="20"/>
          <w:szCs w:val="20"/>
        </w:rPr>
        <w:t xml:space="preserve">verage common shares for basic net income per common share, and (ii) weighted average common shares adjusted for the impact of dilutive stock options outstanding for diluted net income per common share. </w:t>
      </w:r>
    </w:p>
    <w:p w:rsidR="00000000" w:rsidRDefault="007C49E1">
      <w:pPr>
        <w:ind w:firstLine="720"/>
        <w:jc w:val="both"/>
        <w:divId w:val="583222178"/>
        <w:rPr>
          <w:rFonts w:eastAsia="Times New Roman"/>
        </w:rPr>
      </w:pPr>
      <w:r>
        <w:rPr>
          <w:rFonts w:eastAsia="Times New Roman"/>
          <w:color w:val="000000"/>
          <w:sz w:val="20"/>
          <w:szCs w:val="20"/>
        </w:rPr>
        <w:t>The following table reconciles the numerators and de</w:t>
      </w:r>
      <w:r>
        <w:rPr>
          <w:rFonts w:eastAsia="Times New Roman"/>
          <w:color w:val="000000"/>
          <w:sz w:val="20"/>
          <w:szCs w:val="20"/>
        </w:rPr>
        <w:t>nominators of the basic and diluted net income per common shares computation for the three months ended March 31, 2022 and 2021, respectively (in thousands, except per share amounts):</w:t>
      </w:r>
    </w:p>
    <w:tbl>
      <w:tblPr>
        <w:tblW w:w="4666" w:type="pct"/>
        <w:jc w:val="center"/>
        <w:tblCellMar>
          <w:top w:w="15" w:type="dxa"/>
          <w:left w:w="15" w:type="dxa"/>
          <w:bottom w:w="15" w:type="dxa"/>
          <w:right w:w="15" w:type="dxa"/>
        </w:tblCellMar>
        <w:tblLook w:val="04A0" w:firstRow="1" w:lastRow="0" w:firstColumn="1" w:lastColumn="0" w:noHBand="0" w:noVBand="1"/>
      </w:tblPr>
      <w:tblGrid>
        <w:gridCol w:w="37"/>
        <w:gridCol w:w="3983"/>
        <w:gridCol w:w="36"/>
        <w:gridCol w:w="121"/>
        <w:gridCol w:w="1546"/>
        <w:gridCol w:w="38"/>
        <w:gridCol w:w="37"/>
        <w:gridCol w:w="36"/>
        <w:gridCol w:w="36"/>
        <w:gridCol w:w="120"/>
        <w:gridCol w:w="1508"/>
        <w:gridCol w:w="37"/>
        <w:gridCol w:w="36"/>
        <w:gridCol w:w="36"/>
        <w:gridCol w:w="36"/>
        <w:gridCol w:w="36"/>
        <w:gridCol w:w="36"/>
        <w:gridCol w:w="36"/>
      </w:tblGrid>
      <w:tr w:rsidR="00000000">
        <w:trPr>
          <w:divId w:val="2029482519"/>
          <w:jc w:val="center"/>
        </w:trPr>
        <w:tc>
          <w:tcPr>
            <w:tcW w:w="50" w:type="pct"/>
            <w:vAlign w:val="center"/>
            <w:hideMark/>
          </w:tcPr>
          <w:p w:rsidR="00000000" w:rsidRDefault="007C49E1">
            <w:pPr>
              <w:ind w:firstLine="720"/>
              <w:jc w:val="both"/>
              <w:rPr>
                <w:rFonts w:eastAsia="Times New Roman"/>
              </w:rPr>
            </w:pPr>
          </w:p>
        </w:tc>
        <w:tc>
          <w:tcPr>
            <w:tcW w:w="268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05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3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05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2029482519"/>
          <w:jc w:val="center"/>
        </w:trPr>
        <w:tc>
          <w:tcPr>
            <w:tcW w:w="0" w:type="auto"/>
            <w:gridSpan w:val="3"/>
            <w:tcMar>
              <w:top w:w="30" w:type="dxa"/>
              <w:left w:w="20" w:type="dxa"/>
              <w:bottom w:w="30" w:type="dxa"/>
              <w:right w:w="20" w:type="dxa"/>
            </w:tcMar>
            <w:vAlign w:val="center"/>
            <w:hideMark/>
          </w:tcPr>
          <w:p w:rsidR="00000000" w:rsidRDefault="007C49E1">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Three Months Ended March 31,</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divId w:val="2029482519"/>
          <w:jc w:val="center"/>
        </w:trPr>
        <w:tc>
          <w:tcPr>
            <w:tcW w:w="0" w:type="auto"/>
            <w:gridSpan w:val="3"/>
            <w:tcMar>
              <w:top w:w="30" w:type="dxa"/>
              <w:left w:w="20" w:type="dxa"/>
              <w:bottom w:w="30" w:type="dxa"/>
              <w:right w:w="20" w:type="dxa"/>
            </w:tcMar>
            <w:vAlign w:val="center"/>
            <w:hideMark/>
          </w:tcPr>
          <w:p w:rsidR="00000000" w:rsidRDefault="007C49E1">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20"/>
                <w:szCs w:val="20"/>
              </w:rPr>
              <w:t>2021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2029482519"/>
          <w:jc w:val="center"/>
        </w:trPr>
        <w:tc>
          <w:tcPr>
            <w:tcW w:w="0" w:type="auto"/>
            <w:gridSpan w:val="3"/>
            <w:tcMar>
              <w:top w:w="30" w:type="dxa"/>
              <w:left w:w="20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Numerator for basic and dilutive net income per common share – net income allocable to common shareholders</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464,124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385,810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2029482519"/>
          <w:trHeight w:val="30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2029482519"/>
          <w:jc w:val="center"/>
        </w:trPr>
        <w:tc>
          <w:tcPr>
            <w:tcW w:w="0" w:type="auto"/>
            <w:gridSpan w:val="3"/>
            <w:tcMar>
              <w:top w:w="30" w:type="dxa"/>
              <w:left w:w="20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Denominator for basic net income per share - weighted average common shares outstanding</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175,170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174,611</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2029482519"/>
          <w:jc w:val="center"/>
        </w:trPr>
        <w:tc>
          <w:tcPr>
            <w:tcW w:w="0" w:type="auto"/>
            <w:gridSpan w:val="3"/>
            <w:tcMar>
              <w:top w:w="30" w:type="dxa"/>
              <w:left w:w="44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Net effect of dilutive stock options - based on treasury stock method</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1,166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229</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2029482519"/>
          <w:jc w:val="center"/>
        </w:trPr>
        <w:tc>
          <w:tcPr>
            <w:tcW w:w="0" w:type="auto"/>
            <w:gridSpan w:val="3"/>
            <w:tcMar>
              <w:top w:w="30" w:type="dxa"/>
              <w:left w:w="20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Denominator for dilutive net income per share - weighted average common shares outstanding</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176,336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174,840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2029482519"/>
          <w:trHeight w:val="30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2029482519"/>
          <w:jc w:val="center"/>
        </w:trPr>
        <w:tc>
          <w:tcPr>
            <w:tcW w:w="0" w:type="auto"/>
            <w:gridSpan w:val="3"/>
            <w:tcMar>
              <w:top w:w="30" w:type="dxa"/>
              <w:left w:w="20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Net income per common share:</w:t>
            </w:r>
          </w:p>
        </w:tc>
        <w:tc>
          <w:tcPr>
            <w:tcW w:w="0" w:type="auto"/>
            <w:gridSpan w:val="3"/>
            <w:tcMar>
              <w:top w:w="0" w:type="dxa"/>
              <w:left w:w="20" w:type="dxa"/>
              <w:bottom w:w="0" w:type="dxa"/>
              <w:right w:w="20" w:type="dxa"/>
            </w:tcMar>
            <w:vAlign w:val="center"/>
            <w:hideMark/>
          </w:tcPr>
          <w:p w:rsidR="00000000" w:rsidRDefault="007C49E1">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2029482519"/>
          <w:jc w:val="center"/>
        </w:trPr>
        <w:tc>
          <w:tcPr>
            <w:tcW w:w="0" w:type="auto"/>
            <w:gridSpan w:val="3"/>
            <w:tcMar>
              <w:top w:w="30" w:type="dxa"/>
              <w:left w:w="44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2.65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2.21</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2029482519"/>
          <w:jc w:val="center"/>
        </w:trPr>
        <w:tc>
          <w:tcPr>
            <w:tcW w:w="0" w:type="auto"/>
            <w:gridSpan w:val="3"/>
            <w:tcMar>
              <w:top w:w="30" w:type="dxa"/>
              <w:left w:w="44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Dilutive</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2.63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2.21</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jc w:val="both"/>
        <w:divId w:val="220410705"/>
        <w:rPr>
          <w:rFonts w:eastAsia="Times New Roman"/>
        </w:rPr>
      </w:pPr>
    </w:p>
    <w:p w:rsidR="00000000" w:rsidRDefault="007C49E1">
      <w:pPr>
        <w:jc w:val="center"/>
        <w:divId w:val="1124885732"/>
        <w:rPr>
          <w:rFonts w:eastAsia="Times New Roman"/>
        </w:rPr>
      </w:pPr>
      <w:r>
        <w:rPr>
          <w:rFonts w:eastAsia="Times New Roman"/>
          <w:color w:val="000000"/>
          <w:sz w:val="20"/>
          <w:szCs w:val="20"/>
        </w:rPr>
        <w:t>18</w:t>
      </w:r>
    </w:p>
    <w:p w:rsidR="00000000" w:rsidRDefault="007C49E1">
      <w:pPr>
        <w:rPr>
          <w:rFonts w:eastAsia="Times New Roman"/>
        </w:rPr>
      </w:pPr>
      <w:r>
        <w:rPr>
          <w:rFonts w:eastAsia="Times New Roman"/>
        </w:rPr>
        <w:pict>
          <v:rect id="_x0000_i1044" style="width:0;height:1.5pt" o:hralign="center" o:hrstd="t" o:hr="t" fillcolor="#a0a0a0" stroked="f"/>
        </w:pict>
      </w:r>
    </w:p>
    <w:p w:rsidR="00000000" w:rsidRDefault="007C49E1">
      <w:pPr>
        <w:jc w:val="center"/>
        <w:divId w:val="1709640573"/>
        <w:rPr>
          <w:rFonts w:eastAsia="Times New Roman"/>
        </w:rPr>
      </w:pPr>
    </w:p>
    <w:p w:rsidR="00000000" w:rsidRDefault="007C49E1">
      <w:pPr>
        <w:jc w:val="center"/>
        <w:divId w:val="1709640573"/>
        <w:rPr>
          <w:rFonts w:eastAsia="Times New Roman"/>
        </w:rPr>
      </w:pPr>
      <w:r>
        <w:rPr>
          <w:rFonts w:eastAsia="Times New Roman"/>
          <w:b/>
          <w:bCs/>
          <w:color w:val="000000"/>
          <w:sz w:val="20"/>
          <w:szCs w:val="20"/>
        </w:rPr>
        <w:t>PUBLIC STORAGE</w:t>
      </w:r>
    </w:p>
    <w:p w:rsidR="00000000" w:rsidRDefault="007C49E1">
      <w:pPr>
        <w:jc w:val="center"/>
        <w:divId w:val="1709640573"/>
        <w:rPr>
          <w:rFonts w:eastAsia="Times New Roman"/>
        </w:rPr>
      </w:pPr>
      <w:r>
        <w:rPr>
          <w:rFonts w:eastAsia="Times New Roman"/>
          <w:b/>
          <w:bCs/>
          <w:color w:val="000000"/>
          <w:sz w:val="20"/>
          <w:szCs w:val="20"/>
        </w:rPr>
        <w:t>NOTES TO CONSOLIDATED FINANCIAL STATEMENTS</w:t>
      </w:r>
    </w:p>
    <w:p w:rsidR="00000000" w:rsidRDefault="007C49E1">
      <w:pPr>
        <w:jc w:val="center"/>
        <w:divId w:val="1709640573"/>
        <w:rPr>
          <w:rFonts w:eastAsia="Times New Roman"/>
        </w:rPr>
      </w:pPr>
      <w:r>
        <w:rPr>
          <w:rFonts w:eastAsia="Times New Roman"/>
          <w:b/>
          <w:bCs/>
          <w:color w:val="000000"/>
          <w:sz w:val="20"/>
          <w:szCs w:val="20"/>
        </w:rPr>
        <w:t>March 31, 2022</w:t>
      </w:r>
    </w:p>
    <w:p w:rsidR="00000000" w:rsidRDefault="007C49E1">
      <w:pPr>
        <w:jc w:val="center"/>
        <w:divId w:val="1709640573"/>
        <w:rPr>
          <w:rFonts w:eastAsia="Times New Roman"/>
        </w:rPr>
      </w:pPr>
      <w:r>
        <w:rPr>
          <w:rFonts w:eastAsia="Times New Roman"/>
          <w:b/>
          <w:bCs/>
          <w:color w:val="000000"/>
          <w:sz w:val="20"/>
          <w:szCs w:val="20"/>
        </w:rPr>
        <w:t>(Unaudited)</w:t>
      </w:r>
    </w:p>
    <w:p w:rsidR="00000000" w:rsidRDefault="007C49E1">
      <w:pPr>
        <w:jc w:val="center"/>
        <w:divId w:val="1709640573"/>
        <w:rPr>
          <w:rFonts w:eastAsia="Times New Roman"/>
        </w:rPr>
      </w:pPr>
    </w:p>
    <w:p w:rsidR="00000000" w:rsidRDefault="007C49E1">
      <w:pPr>
        <w:ind w:hanging="360"/>
        <w:jc w:val="both"/>
        <w:divId w:val="1310330183"/>
        <w:rPr>
          <w:rFonts w:eastAsia="Times New Roman"/>
        </w:rPr>
      </w:pPr>
      <w:r>
        <w:rPr>
          <w:rFonts w:eastAsia="Times New Roman"/>
          <w:color w:val="000000"/>
          <w:sz w:val="20"/>
          <w:szCs w:val="20"/>
        </w:rPr>
        <w:t>13.</w:t>
      </w:r>
      <w:r>
        <w:rPr>
          <w:rFonts w:eastAsia="Times New Roman"/>
          <w:color w:val="000000"/>
          <w:sz w:val="20"/>
          <w:szCs w:val="20"/>
          <w:u w:val="single"/>
        </w:rPr>
        <w:t>Segment Information</w:t>
      </w:r>
    </w:p>
    <w:p w:rsidR="00000000" w:rsidRDefault="007C49E1">
      <w:pPr>
        <w:ind w:firstLine="720"/>
        <w:jc w:val="both"/>
        <w:divId w:val="1880822870"/>
        <w:rPr>
          <w:rFonts w:eastAsia="Times New Roman"/>
        </w:rPr>
      </w:pPr>
      <w:r>
        <w:rPr>
          <w:rFonts w:eastAsia="Times New Roman"/>
          <w:color w:val="000000"/>
          <w:sz w:val="20"/>
          <w:szCs w:val="20"/>
        </w:rPr>
        <w:t xml:space="preserve">Our operating segments reflect the significant components of our operations where discrete financial information is evaluated separately by our chief operating decision maker. </w:t>
      </w:r>
    </w:p>
    <w:p w:rsidR="00000000" w:rsidRDefault="007C49E1">
      <w:pPr>
        <w:ind w:firstLine="1080"/>
        <w:divId w:val="898981633"/>
        <w:rPr>
          <w:rFonts w:eastAsia="Times New Roman"/>
        </w:rPr>
      </w:pPr>
      <w:r>
        <w:rPr>
          <w:rFonts w:eastAsia="Times New Roman"/>
          <w:color w:val="000000"/>
          <w:sz w:val="20"/>
          <w:szCs w:val="20"/>
          <w:u w:val="single"/>
        </w:rPr>
        <w:t>Self-Storage Operations</w:t>
      </w:r>
    </w:p>
    <w:p w:rsidR="00000000" w:rsidRDefault="007C49E1">
      <w:pPr>
        <w:ind w:firstLine="720"/>
        <w:jc w:val="both"/>
        <w:divId w:val="1241058454"/>
        <w:rPr>
          <w:rFonts w:eastAsia="Times New Roman"/>
        </w:rPr>
      </w:pPr>
      <w:r>
        <w:rPr>
          <w:rFonts w:eastAsia="Times New Roman"/>
          <w:color w:val="000000"/>
          <w:sz w:val="20"/>
          <w:szCs w:val="20"/>
        </w:rPr>
        <w:t>The Self-Storage Operations reportable segment reflects</w:t>
      </w:r>
      <w:r>
        <w:rPr>
          <w:rFonts w:eastAsia="Times New Roman"/>
          <w:color w:val="000000"/>
          <w:sz w:val="20"/>
          <w:szCs w:val="20"/>
        </w:rPr>
        <w:t xml:space="preserve"> the aggregated rental operations from the self-storage facilities we own from (i) Same Store Facilities, (ii) Acquired Facilities, (iii) Developed and Expanded Facilities, and (iv) Other Non-Same Store Facilities. The presentation in the table below sets </w:t>
      </w:r>
      <w:r>
        <w:rPr>
          <w:rFonts w:eastAsia="Times New Roman"/>
          <w:color w:val="000000"/>
          <w:sz w:val="20"/>
          <w:szCs w:val="20"/>
        </w:rPr>
        <w:t xml:space="preserve">forth the Net Operating Income ("NOI") of this reportable segment, as well as the related depreciation expense. For all periods presented, substantially all of our real estate facilities, goodwill and other intangible assets, other assets, and accrued and </w:t>
      </w:r>
      <w:r>
        <w:rPr>
          <w:rFonts w:eastAsia="Times New Roman"/>
          <w:color w:val="000000"/>
          <w:sz w:val="20"/>
          <w:szCs w:val="20"/>
        </w:rPr>
        <w:t xml:space="preserve">other liabilities are associated with the Self-Storage Operations reportable segment. </w:t>
      </w:r>
    </w:p>
    <w:p w:rsidR="00000000" w:rsidRDefault="007C49E1">
      <w:pPr>
        <w:ind w:firstLine="720"/>
        <w:jc w:val="both"/>
        <w:divId w:val="1427576629"/>
        <w:rPr>
          <w:rFonts w:eastAsia="Times New Roman"/>
        </w:rPr>
      </w:pPr>
      <w:r>
        <w:rPr>
          <w:rFonts w:eastAsia="Times New Roman"/>
          <w:color w:val="000000"/>
          <w:sz w:val="20"/>
          <w:szCs w:val="20"/>
          <w:u w:val="single"/>
        </w:rPr>
        <w:t>Ancillary Operations</w:t>
      </w:r>
    </w:p>
    <w:p w:rsidR="00000000" w:rsidRDefault="007C49E1">
      <w:pPr>
        <w:ind w:firstLine="720"/>
        <w:jc w:val="both"/>
        <w:divId w:val="1525291143"/>
        <w:rPr>
          <w:rFonts w:eastAsia="Times New Roman"/>
        </w:rPr>
      </w:pPr>
      <w:r>
        <w:rPr>
          <w:rFonts w:eastAsia="Times New Roman"/>
          <w:color w:val="000000"/>
          <w:sz w:val="20"/>
          <w:szCs w:val="20"/>
        </w:rPr>
        <w:t>The Ancillary Operations reflects the combined operations of our tenant reinsurance, merchandise sales, and third party property management operatin</w:t>
      </w:r>
      <w:r>
        <w:rPr>
          <w:rFonts w:eastAsia="Times New Roman"/>
          <w:color w:val="000000"/>
          <w:sz w:val="20"/>
          <w:szCs w:val="20"/>
        </w:rPr>
        <w:t xml:space="preserve">g segments. </w:t>
      </w:r>
    </w:p>
    <w:p w:rsidR="00000000" w:rsidRDefault="007C49E1">
      <w:pPr>
        <w:ind w:firstLine="720"/>
        <w:jc w:val="both"/>
        <w:divId w:val="1958828141"/>
        <w:rPr>
          <w:rFonts w:eastAsia="Times New Roman"/>
        </w:rPr>
      </w:pPr>
      <w:r>
        <w:rPr>
          <w:rFonts w:eastAsia="Times New Roman"/>
          <w:color w:val="000000"/>
          <w:sz w:val="20"/>
          <w:szCs w:val="20"/>
          <w:u w:val="single"/>
        </w:rPr>
        <w:t>Presentation of Segment Information</w:t>
      </w:r>
    </w:p>
    <w:p w:rsidR="00000000" w:rsidRDefault="007C49E1">
      <w:pPr>
        <w:ind w:firstLine="720"/>
        <w:jc w:val="both"/>
        <w:divId w:val="1986086372"/>
        <w:rPr>
          <w:rFonts w:eastAsia="Times New Roman"/>
        </w:rPr>
      </w:pPr>
      <w:r>
        <w:rPr>
          <w:rFonts w:eastAsia="Times New Roman"/>
          <w:color w:val="000000"/>
          <w:sz w:val="20"/>
          <w:szCs w:val="20"/>
        </w:rPr>
        <w:t>The following table reconciles NOI and net income attributable to our reportable segment to our consolidated net income:</w:t>
      </w:r>
    </w:p>
    <w:tbl>
      <w:tblPr>
        <w:tblW w:w="4750" w:type="pct"/>
        <w:jc w:val="center"/>
        <w:tblCellMar>
          <w:top w:w="15" w:type="dxa"/>
          <w:left w:w="15" w:type="dxa"/>
          <w:bottom w:w="15" w:type="dxa"/>
          <w:right w:w="15" w:type="dxa"/>
        </w:tblCellMar>
        <w:tblLook w:val="04A0" w:firstRow="1" w:lastRow="0" w:firstColumn="1" w:lastColumn="0" w:noHBand="0" w:noVBand="1"/>
      </w:tblPr>
      <w:tblGrid>
        <w:gridCol w:w="40"/>
        <w:gridCol w:w="4288"/>
        <w:gridCol w:w="39"/>
        <w:gridCol w:w="36"/>
        <w:gridCol w:w="36"/>
        <w:gridCol w:w="36"/>
        <w:gridCol w:w="36"/>
        <w:gridCol w:w="110"/>
        <w:gridCol w:w="1399"/>
        <w:gridCol w:w="36"/>
        <w:gridCol w:w="36"/>
        <w:gridCol w:w="36"/>
        <w:gridCol w:w="36"/>
        <w:gridCol w:w="110"/>
        <w:gridCol w:w="1365"/>
        <w:gridCol w:w="36"/>
        <w:gridCol w:w="36"/>
        <w:gridCol w:w="36"/>
        <w:gridCol w:w="36"/>
        <w:gridCol w:w="36"/>
        <w:gridCol w:w="36"/>
        <w:gridCol w:w="36"/>
      </w:tblGrid>
      <w:tr w:rsidR="00000000">
        <w:trPr>
          <w:divId w:val="1541934370"/>
          <w:jc w:val="center"/>
        </w:trPr>
        <w:tc>
          <w:tcPr>
            <w:tcW w:w="50" w:type="pct"/>
            <w:vAlign w:val="center"/>
            <w:hideMark/>
          </w:tcPr>
          <w:p w:rsidR="00000000" w:rsidRDefault="007C49E1">
            <w:pPr>
              <w:ind w:firstLine="720"/>
              <w:jc w:val="both"/>
              <w:rPr>
                <w:rFonts w:eastAsia="Times New Roman"/>
              </w:rPr>
            </w:pPr>
          </w:p>
        </w:tc>
        <w:tc>
          <w:tcPr>
            <w:tcW w:w="287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95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95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Three Months Ended March 31,</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trHeight w:val="6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(amounts in thousands)</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i/>
                <w:iCs/>
                <w:color w:val="000000"/>
                <w:sz w:val="18"/>
                <w:szCs w:val="18"/>
              </w:rPr>
              <w:t>Self-Storage Operations Reportable Segment</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Revenue</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917,015 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716,347 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Cost of operations</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(245,494)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(212,105)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Net operating income</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671,521 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504,242 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Depreciation and amortization</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(222,128)</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(146,859)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Net income</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449,393 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357,383 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i/>
                <w:iCs/>
                <w:color w:val="000000"/>
                <w:sz w:val="18"/>
                <w:szCs w:val="18"/>
              </w:rPr>
              <w:t>Ancillary Operations</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Revenue</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56,430 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50,915 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Cost of operations</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(15,515)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(16,318)</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Net operating income</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40,915 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34,597 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r>
              <w:rPr>
                <w:rFonts w:eastAsia="Times New Roman"/>
                <w:color w:val="000000"/>
                <w:sz w:val="18"/>
                <w:szCs w:val="18"/>
              </w:rPr>
              <w:t>Total net income allocated to segments</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490,308 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391,980 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i/>
                <w:iCs/>
                <w:color w:val="000000"/>
                <w:sz w:val="18"/>
                <w:szCs w:val="18"/>
              </w:rPr>
              <w:t xml:space="preserve">Other items not allocated to segments: </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General and administrative</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(23,069)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(19,574)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Interest and other income</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3,379 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2,852 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Interest expense</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(33,124)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(15,250)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Equity in earnings of unconsolidated real estate entities</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43,424 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19,456 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Foreign currency exchange gain</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35,377 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45,385 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Gain on sale of real estate</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9,413 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divId w:val="1541934370"/>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Net income</w:t>
            </w:r>
          </w:p>
        </w:tc>
        <w:tc>
          <w:tcPr>
            <w:tcW w:w="0" w:type="auto"/>
            <w:vAlign w:val="center"/>
            <w:hideMark/>
          </w:tcPr>
          <w:p w:rsidR="00000000" w:rsidRDefault="007C49E1">
            <w:pPr>
              <w:spacing w:after="100"/>
              <w:rPr>
                <w:rFonts w:eastAsia="Times New Roman"/>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516,295 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434,262 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jc w:val="center"/>
        <w:divId w:val="1614559633"/>
        <w:rPr>
          <w:rFonts w:eastAsia="Times New Roman"/>
        </w:rPr>
      </w:pPr>
      <w:r>
        <w:rPr>
          <w:rFonts w:eastAsia="Times New Roman"/>
          <w:color w:val="000000"/>
          <w:sz w:val="20"/>
          <w:szCs w:val="20"/>
        </w:rPr>
        <w:t>19</w:t>
      </w:r>
    </w:p>
    <w:p w:rsidR="00000000" w:rsidRDefault="007C49E1">
      <w:pPr>
        <w:rPr>
          <w:rFonts w:eastAsia="Times New Roman"/>
        </w:rPr>
      </w:pPr>
      <w:r>
        <w:rPr>
          <w:rFonts w:eastAsia="Times New Roman"/>
        </w:rPr>
        <w:pict>
          <v:rect id="_x0000_i1045" style="width:0;height:1.5pt" o:hralign="center" o:hrstd="t" o:hr="t" fillcolor="#a0a0a0" stroked="f"/>
        </w:pict>
      </w:r>
    </w:p>
    <w:p w:rsidR="00000000" w:rsidRDefault="007C49E1">
      <w:pPr>
        <w:jc w:val="center"/>
        <w:divId w:val="1794904438"/>
        <w:rPr>
          <w:rFonts w:eastAsia="Times New Roman"/>
        </w:rPr>
      </w:pPr>
    </w:p>
    <w:p w:rsidR="00000000" w:rsidRDefault="007C49E1">
      <w:pPr>
        <w:jc w:val="center"/>
        <w:divId w:val="1794904438"/>
        <w:rPr>
          <w:rFonts w:eastAsia="Times New Roman"/>
        </w:rPr>
      </w:pPr>
      <w:r>
        <w:rPr>
          <w:rFonts w:eastAsia="Times New Roman"/>
          <w:b/>
          <w:bCs/>
          <w:color w:val="000000"/>
          <w:sz w:val="20"/>
          <w:szCs w:val="20"/>
        </w:rPr>
        <w:t>PUBLIC STORAGE</w:t>
      </w:r>
    </w:p>
    <w:p w:rsidR="00000000" w:rsidRDefault="007C49E1">
      <w:pPr>
        <w:jc w:val="center"/>
        <w:divId w:val="1794904438"/>
        <w:rPr>
          <w:rFonts w:eastAsia="Times New Roman"/>
        </w:rPr>
      </w:pPr>
      <w:r>
        <w:rPr>
          <w:rFonts w:eastAsia="Times New Roman"/>
          <w:b/>
          <w:bCs/>
          <w:color w:val="000000"/>
          <w:sz w:val="20"/>
          <w:szCs w:val="20"/>
        </w:rPr>
        <w:t>NOTES TO CONSOLIDATED FINANCIAL STATEMENTS</w:t>
      </w:r>
    </w:p>
    <w:p w:rsidR="00000000" w:rsidRDefault="007C49E1">
      <w:pPr>
        <w:jc w:val="center"/>
        <w:divId w:val="1794904438"/>
        <w:rPr>
          <w:rFonts w:eastAsia="Times New Roman"/>
        </w:rPr>
      </w:pPr>
      <w:r>
        <w:rPr>
          <w:rFonts w:eastAsia="Times New Roman"/>
          <w:b/>
          <w:bCs/>
          <w:color w:val="000000"/>
          <w:sz w:val="20"/>
          <w:szCs w:val="20"/>
        </w:rPr>
        <w:t>March 31, 2022</w:t>
      </w:r>
    </w:p>
    <w:p w:rsidR="00000000" w:rsidRDefault="007C49E1">
      <w:pPr>
        <w:jc w:val="center"/>
        <w:divId w:val="1794904438"/>
        <w:rPr>
          <w:rFonts w:eastAsia="Times New Roman"/>
        </w:rPr>
      </w:pPr>
      <w:r>
        <w:rPr>
          <w:rFonts w:eastAsia="Times New Roman"/>
          <w:b/>
          <w:bCs/>
          <w:color w:val="000000"/>
          <w:sz w:val="20"/>
          <w:szCs w:val="20"/>
        </w:rPr>
        <w:t>(Unaudited)</w:t>
      </w:r>
    </w:p>
    <w:p w:rsidR="00000000" w:rsidRDefault="007C49E1">
      <w:pPr>
        <w:jc w:val="center"/>
        <w:divId w:val="1794904438"/>
        <w:rPr>
          <w:rFonts w:eastAsia="Times New Roman"/>
        </w:rPr>
      </w:pPr>
    </w:p>
    <w:p w:rsidR="00000000" w:rsidRDefault="007C49E1">
      <w:pPr>
        <w:divId w:val="1910263690"/>
        <w:rPr>
          <w:rFonts w:eastAsia="Times New Roman"/>
        </w:rPr>
      </w:pPr>
      <w:r>
        <w:rPr>
          <w:rFonts w:eastAsia="Times New Roman"/>
          <w:color w:val="000000"/>
          <w:sz w:val="20"/>
          <w:szCs w:val="20"/>
        </w:rPr>
        <w:t xml:space="preserve">14. </w:t>
      </w:r>
      <w:r>
        <w:rPr>
          <w:rFonts w:eastAsia="Times New Roman"/>
          <w:color w:val="000000"/>
          <w:sz w:val="20"/>
          <w:szCs w:val="20"/>
          <w:u w:val="single"/>
        </w:rPr>
        <w:t>Commitments and Contingencies</w:t>
      </w:r>
    </w:p>
    <w:p w:rsidR="00000000" w:rsidRDefault="007C49E1">
      <w:pPr>
        <w:ind w:firstLine="720"/>
        <w:jc w:val="both"/>
        <w:divId w:val="1849636973"/>
        <w:rPr>
          <w:rFonts w:eastAsia="Times New Roman"/>
        </w:rPr>
      </w:pPr>
      <w:r>
        <w:rPr>
          <w:rFonts w:eastAsia="Times New Roman"/>
          <w:color w:val="000000"/>
          <w:sz w:val="20"/>
          <w:szCs w:val="20"/>
          <w:u w:val="single"/>
        </w:rPr>
        <w:t>Contingent Losses</w:t>
      </w:r>
    </w:p>
    <w:p w:rsidR="00000000" w:rsidRDefault="007C49E1">
      <w:pPr>
        <w:ind w:firstLine="720"/>
        <w:jc w:val="both"/>
        <w:divId w:val="1226987365"/>
        <w:rPr>
          <w:rFonts w:eastAsia="Times New Roman"/>
        </w:rPr>
      </w:pPr>
      <w:r>
        <w:rPr>
          <w:rFonts w:eastAsia="Times New Roman"/>
          <w:color w:val="000000"/>
          <w:sz w:val="20"/>
          <w:szCs w:val="20"/>
        </w:rPr>
        <w:t>We are a party to various legal proceedings and subject to various claims and complaints; however, we believe that the likelihood of these contingencies resulting in a material loss to the Company, either individually or in the aggregate, is remote.</w:t>
      </w:r>
    </w:p>
    <w:p w:rsidR="00000000" w:rsidRDefault="007C49E1">
      <w:pPr>
        <w:ind w:firstLine="720"/>
        <w:jc w:val="both"/>
        <w:divId w:val="1614358153"/>
        <w:rPr>
          <w:rFonts w:eastAsia="Times New Roman"/>
        </w:rPr>
      </w:pPr>
      <w:r>
        <w:rPr>
          <w:rFonts w:eastAsia="Times New Roman"/>
          <w:color w:val="000000"/>
          <w:sz w:val="20"/>
          <w:szCs w:val="20"/>
          <w:u w:val="single"/>
        </w:rPr>
        <w:t>Insura</w:t>
      </w:r>
      <w:r>
        <w:rPr>
          <w:rFonts w:eastAsia="Times New Roman"/>
          <w:color w:val="000000"/>
          <w:sz w:val="20"/>
          <w:szCs w:val="20"/>
          <w:u w:val="single"/>
        </w:rPr>
        <w:t>nce and Loss Exposure</w:t>
      </w:r>
    </w:p>
    <w:p w:rsidR="00000000" w:rsidRDefault="007C49E1">
      <w:pPr>
        <w:ind w:firstLine="720"/>
        <w:jc w:val="both"/>
        <w:divId w:val="1639988734"/>
        <w:rPr>
          <w:rFonts w:eastAsia="Times New Roman"/>
        </w:rPr>
      </w:pPr>
      <w:r>
        <w:rPr>
          <w:rFonts w:eastAsia="Times New Roman"/>
          <w:color w:val="000000"/>
          <w:sz w:val="20"/>
          <w:szCs w:val="20"/>
        </w:rPr>
        <w:t>We carry property, earthquake, general liability, employee medical insurance, and workers compensation coverage through internationally recognized insurance carriers, subject to deductibles. Our deductible for general liability is $2.</w:t>
      </w:r>
      <w:r>
        <w:rPr>
          <w:rFonts w:eastAsia="Times New Roman"/>
          <w:color w:val="000000"/>
          <w:sz w:val="20"/>
          <w:szCs w:val="20"/>
        </w:rPr>
        <w:t>0 million per occurrence. Our annual deductible for property loss is $25.0 million per occurrence. This deductible decreases to $5.0 million once we reach $35.0 million in aggregate losses for occurrences that exceed $5.0 million. Insurance carriers’ aggre</w:t>
      </w:r>
      <w:r>
        <w:rPr>
          <w:rFonts w:eastAsia="Times New Roman"/>
          <w:color w:val="000000"/>
          <w:sz w:val="20"/>
          <w:szCs w:val="20"/>
        </w:rPr>
        <w:t>gate limits on these policies of $75.0 million for property losses and $102.0 million for general liability losses are higher than estimates of maximum probable losses that could occur from individual catastrophic events determined in recent engineering an</w:t>
      </w:r>
      <w:r>
        <w:rPr>
          <w:rFonts w:eastAsia="Times New Roman"/>
          <w:color w:val="000000"/>
          <w:sz w:val="20"/>
          <w:szCs w:val="20"/>
        </w:rPr>
        <w:t>d actuarial studies; however, in case of multiple catastrophic events, these limits could be exceeded.</w:t>
      </w:r>
    </w:p>
    <w:p w:rsidR="00000000" w:rsidRDefault="007C49E1">
      <w:pPr>
        <w:ind w:firstLine="720"/>
        <w:jc w:val="both"/>
        <w:divId w:val="1128007187"/>
        <w:rPr>
          <w:rFonts w:eastAsia="Times New Roman"/>
        </w:rPr>
      </w:pPr>
      <w:r>
        <w:rPr>
          <w:rFonts w:eastAsia="Times New Roman"/>
          <w:color w:val="000000"/>
          <w:sz w:val="20"/>
          <w:szCs w:val="20"/>
        </w:rPr>
        <w:t>We reinsure a program that provides insurance to our customers from an independent third-party insurer. This program covers customer claims for losses to</w:t>
      </w:r>
      <w:r>
        <w:rPr>
          <w:rFonts w:eastAsia="Times New Roman"/>
          <w:color w:val="000000"/>
          <w:sz w:val="20"/>
          <w:szCs w:val="20"/>
        </w:rPr>
        <w:t xml:space="preserve"> goods stored at our facilities as a result of specific named perils (earthquakes are not covered by this program), up to a maximum limit of $5,000 per storage unit. We reinsure all risks in this program, but purchase insurance to cover this exposure for a</w:t>
      </w:r>
      <w:r>
        <w:rPr>
          <w:rFonts w:eastAsia="Times New Roman"/>
          <w:color w:val="000000"/>
          <w:sz w:val="20"/>
          <w:szCs w:val="20"/>
        </w:rPr>
        <w:t xml:space="preserve"> limit of $15.0 million for losses in excess of $5.0 million per occurrence. We are subject to licensing requirements and regulations in several states. Customers participate in the program at their option. At March 31, 2022, there were approximately 1.2 m</w:t>
      </w:r>
      <w:r>
        <w:rPr>
          <w:rFonts w:eastAsia="Times New Roman"/>
          <w:color w:val="000000"/>
          <w:sz w:val="20"/>
          <w:szCs w:val="20"/>
        </w:rPr>
        <w:t>illion certificates held by our self-storage customers, representing aggregate coverage of approximately $5.2 billion.</w:t>
      </w:r>
    </w:p>
    <w:p w:rsidR="00000000" w:rsidRDefault="007C49E1">
      <w:pPr>
        <w:ind w:firstLine="720"/>
        <w:jc w:val="both"/>
        <w:divId w:val="2133010568"/>
        <w:rPr>
          <w:rFonts w:eastAsia="Times New Roman"/>
        </w:rPr>
      </w:pPr>
      <w:r>
        <w:rPr>
          <w:rFonts w:eastAsia="Times New Roman"/>
          <w:color w:val="000000"/>
          <w:sz w:val="20"/>
          <w:szCs w:val="20"/>
          <w:u w:val="single"/>
        </w:rPr>
        <w:t>Commitments</w:t>
      </w:r>
    </w:p>
    <w:p w:rsidR="00000000" w:rsidRDefault="007C49E1">
      <w:pPr>
        <w:ind w:firstLine="720"/>
        <w:jc w:val="both"/>
        <w:divId w:val="1861891100"/>
        <w:rPr>
          <w:rFonts w:eastAsia="Times New Roman"/>
        </w:rPr>
      </w:pPr>
      <w:r>
        <w:rPr>
          <w:rFonts w:eastAsia="Times New Roman"/>
          <w:color w:val="000000"/>
          <w:sz w:val="20"/>
          <w:szCs w:val="20"/>
        </w:rPr>
        <w:t>We have construction commitments representing future expected payments for construction under contract totaling $204.9 millio</w:t>
      </w:r>
      <w:r>
        <w:rPr>
          <w:rFonts w:eastAsia="Times New Roman"/>
          <w:color w:val="000000"/>
          <w:sz w:val="20"/>
          <w:szCs w:val="20"/>
        </w:rPr>
        <w:t>n at March 31, 2022. We expect to pay approximately $142.3 million in the remainder of 2022, $60.0 million in 2023 and $2.6 million in 2024 for these construction commitments.</w:t>
      </w:r>
    </w:p>
    <w:p w:rsidR="00000000" w:rsidRDefault="007C49E1">
      <w:pPr>
        <w:ind w:firstLine="720"/>
        <w:jc w:val="both"/>
        <w:divId w:val="1064377139"/>
        <w:rPr>
          <w:rFonts w:eastAsia="Times New Roman"/>
        </w:rPr>
      </w:pPr>
      <w:r>
        <w:rPr>
          <w:rFonts w:eastAsia="Times New Roman"/>
          <w:color w:val="000000"/>
          <w:sz w:val="20"/>
          <w:szCs w:val="20"/>
        </w:rPr>
        <w:t>We have future contractual payments on land, equipment and office space under various lease commitments totaling $65.4 million at March 31, 2022. We expect to pay approximately $2.2 million in the remainder of 2022, $3.1 million in 2023, $3.0 million in ea</w:t>
      </w:r>
      <w:r>
        <w:rPr>
          <w:rFonts w:eastAsia="Times New Roman"/>
          <w:color w:val="000000"/>
          <w:sz w:val="20"/>
          <w:szCs w:val="20"/>
        </w:rPr>
        <w:t>ch of 2024, 2025 and 2026 and $51.1 million thereafter for these commitments.</w:t>
      </w:r>
    </w:p>
    <w:p w:rsidR="00000000" w:rsidRDefault="007C49E1">
      <w:pPr>
        <w:ind w:hanging="360"/>
        <w:divId w:val="190462398"/>
        <w:rPr>
          <w:rFonts w:eastAsia="Times New Roman"/>
        </w:rPr>
      </w:pPr>
      <w:r>
        <w:rPr>
          <w:rFonts w:eastAsia="Times New Roman"/>
          <w:color w:val="000000"/>
          <w:sz w:val="20"/>
          <w:szCs w:val="20"/>
        </w:rPr>
        <w:t>15.    </w:t>
      </w:r>
      <w:r>
        <w:rPr>
          <w:rFonts w:eastAsia="Times New Roman"/>
          <w:color w:val="000000"/>
          <w:sz w:val="20"/>
          <w:szCs w:val="20"/>
          <w:u w:val="single"/>
        </w:rPr>
        <w:t>Subsequent Events</w:t>
      </w:r>
    </w:p>
    <w:p w:rsidR="00000000" w:rsidRDefault="007C49E1">
      <w:pPr>
        <w:ind w:firstLine="720"/>
        <w:jc w:val="both"/>
        <w:rPr>
          <w:rFonts w:eastAsia="Times New Roman"/>
        </w:rPr>
      </w:pPr>
      <w:r>
        <w:rPr>
          <w:rFonts w:eastAsia="Times New Roman"/>
          <w:color w:val="000000"/>
          <w:sz w:val="20"/>
          <w:szCs w:val="20"/>
        </w:rPr>
        <w:t>Subsequent to March 31, 2022, we acquired or were under contract to acquire eleven self-storage facilities across nine states with 0.9 million net rentab</w:t>
      </w:r>
      <w:r>
        <w:rPr>
          <w:rFonts w:eastAsia="Times New Roman"/>
          <w:color w:val="000000"/>
          <w:sz w:val="20"/>
          <w:szCs w:val="20"/>
        </w:rPr>
        <w:t>le square feet, for $147.2 million.</w:t>
      </w:r>
    </w:p>
    <w:p w:rsidR="00000000" w:rsidRDefault="007C49E1">
      <w:pPr>
        <w:ind w:firstLine="720"/>
        <w:jc w:val="both"/>
        <w:rPr>
          <w:rFonts w:eastAsia="Times New Roman"/>
        </w:rPr>
      </w:pPr>
    </w:p>
    <w:p w:rsidR="00000000" w:rsidRDefault="007C49E1">
      <w:pPr>
        <w:ind w:firstLine="720"/>
        <w:jc w:val="both"/>
        <w:divId w:val="878781484"/>
        <w:rPr>
          <w:rFonts w:eastAsia="Times New Roman"/>
        </w:rPr>
      </w:pPr>
      <w:r>
        <w:rPr>
          <w:rFonts w:eastAsia="Times New Roman"/>
          <w:color w:val="000000"/>
          <w:sz w:val="20"/>
          <w:szCs w:val="20"/>
        </w:rPr>
        <w:t>On April 24, 2022, PSB entered into an Agreement and Plan of Merger (the "Merger Agreement") whereby affiliates of Blackstone Real Estate ("Blackstone") will acquire all outstanding shares of PSB's common stock for $18</w:t>
      </w:r>
      <w:r>
        <w:rPr>
          <w:rFonts w:eastAsia="Times New Roman"/>
          <w:color w:val="000000"/>
          <w:sz w:val="20"/>
          <w:szCs w:val="20"/>
        </w:rPr>
        <w:t>7.50 per share in cash. Subject to the terms and conditions set forth in the Merger Agreement, each share of PSB common stock and each common unit of partnership interest will be converted into the right to receive an amount in cash equal to $187.50, witho</w:t>
      </w:r>
      <w:r>
        <w:rPr>
          <w:rFonts w:eastAsia="Times New Roman"/>
          <w:color w:val="000000"/>
          <w:sz w:val="20"/>
          <w:szCs w:val="20"/>
        </w:rPr>
        <w:t>ut interest. If the transaction is consummated, we expect to (i) receive approximately $2.7 billion of cash proceeds in exchange for the approximate 41% common equity interest we hold in PSB, (ii) recognize an approximate $2.2 billion gain on the sale of o</w:t>
      </w:r>
      <w:r>
        <w:rPr>
          <w:rFonts w:eastAsia="Times New Roman"/>
          <w:color w:val="000000"/>
          <w:sz w:val="20"/>
          <w:szCs w:val="20"/>
        </w:rPr>
        <w:t>ur equity investment in PSB in the Consolidated Statement of Income, and (iii) distribute a $2.3 billion estimated tax gain on the sale to our common shareholders. The merger transaction is expected to close in the third quarter of 2022, however, the merge</w:t>
      </w:r>
      <w:r>
        <w:rPr>
          <w:rFonts w:eastAsia="Times New Roman"/>
          <w:color w:val="000000"/>
          <w:sz w:val="20"/>
          <w:szCs w:val="20"/>
        </w:rPr>
        <w:t>r transaction is subject to customary closing conditions, including approval by PSB’s common stockholders. Pursuant to a support agreement entered into with PSB and Blackstone, we have committed to vote our equity interests in favor of the transaction, sub</w:t>
      </w:r>
      <w:r>
        <w:rPr>
          <w:rFonts w:eastAsia="Times New Roman"/>
          <w:color w:val="000000"/>
          <w:sz w:val="20"/>
          <w:szCs w:val="20"/>
        </w:rPr>
        <w:t>ject to certain conditions.</w:t>
      </w:r>
    </w:p>
    <w:p w:rsidR="00000000" w:rsidRDefault="007C49E1">
      <w:pPr>
        <w:jc w:val="center"/>
        <w:divId w:val="1308588903"/>
        <w:rPr>
          <w:rFonts w:eastAsia="Times New Roman"/>
        </w:rPr>
      </w:pPr>
      <w:r>
        <w:rPr>
          <w:rFonts w:eastAsia="Times New Roman"/>
          <w:color w:val="000000"/>
          <w:sz w:val="20"/>
          <w:szCs w:val="20"/>
        </w:rPr>
        <w:t>20</w:t>
      </w:r>
    </w:p>
    <w:p w:rsidR="00000000" w:rsidRDefault="007C49E1">
      <w:pPr>
        <w:rPr>
          <w:rFonts w:eastAsia="Times New Roman"/>
        </w:rPr>
      </w:pPr>
      <w:r>
        <w:rPr>
          <w:rFonts w:eastAsia="Times New Roman"/>
        </w:rPr>
        <w:pict>
          <v:rect id="_x0000_i1046" style="width:0;height:1.5pt" o:hralign="center" o:hrstd="t" o:hr="t" fillcolor="#a0a0a0" stroked="f"/>
        </w:pict>
      </w:r>
    </w:p>
    <w:p w:rsidR="00000000" w:rsidRDefault="007C49E1">
      <w:pPr>
        <w:divId w:val="1431662057"/>
        <w:rPr>
          <w:rFonts w:eastAsia="Times New Roman"/>
        </w:rPr>
      </w:pPr>
    </w:p>
    <w:p w:rsidR="00000000" w:rsidRDefault="007C49E1">
      <w:pPr>
        <w:jc w:val="both"/>
        <w:divId w:val="530340702"/>
        <w:rPr>
          <w:rFonts w:eastAsia="Times New Roman"/>
        </w:rPr>
      </w:pPr>
      <w:r>
        <w:rPr>
          <w:rFonts w:eastAsia="Times New Roman"/>
          <w:b/>
          <w:bCs/>
          <w:color w:val="000000"/>
          <w:sz w:val="20"/>
          <w:szCs w:val="20"/>
        </w:rPr>
        <w:t>ITEM 2.    </w:t>
      </w:r>
      <w:r>
        <w:rPr>
          <w:rFonts w:eastAsia="Times New Roman"/>
          <w:b/>
          <w:bCs/>
          <w:color w:val="000000"/>
          <w:sz w:val="20"/>
          <w:szCs w:val="20"/>
          <w:u w:val="single"/>
        </w:rPr>
        <w:t>Management’s Discussion and Analysis of Financial Condition and Results of Operations</w:t>
      </w:r>
    </w:p>
    <w:p w:rsidR="00000000" w:rsidRDefault="007C49E1">
      <w:pPr>
        <w:jc w:val="both"/>
        <w:divId w:val="1288467019"/>
        <w:rPr>
          <w:rFonts w:eastAsia="Times New Roman"/>
        </w:rPr>
      </w:pPr>
      <w:r>
        <w:rPr>
          <w:rFonts w:eastAsia="Times New Roman"/>
          <w:b/>
          <w:bCs/>
          <w:color w:val="000000"/>
          <w:sz w:val="20"/>
          <w:szCs w:val="20"/>
          <w:u w:val="single"/>
        </w:rPr>
        <w:t>Cautionary Statement Regarding Forward Looking Statements</w:t>
      </w:r>
    </w:p>
    <w:p w:rsidR="00000000" w:rsidRDefault="007C49E1">
      <w:pPr>
        <w:ind w:firstLine="720"/>
        <w:jc w:val="both"/>
        <w:divId w:val="1628582108"/>
        <w:rPr>
          <w:rFonts w:eastAsia="Times New Roman"/>
        </w:rPr>
      </w:pPr>
      <w:r>
        <w:rPr>
          <w:rFonts w:eastAsia="Times New Roman"/>
          <w:color w:val="000000"/>
          <w:sz w:val="20"/>
          <w:szCs w:val="20"/>
        </w:rPr>
        <w:t>This Quarterly Report on Form 1</w:t>
      </w:r>
      <w:r>
        <w:rPr>
          <w:rFonts w:eastAsia="Times New Roman"/>
          <w:color w:val="000000"/>
          <w:sz w:val="20"/>
          <w:szCs w:val="20"/>
        </w:rPr>
        <w:t>0-Q contains forward-looking statements within the meaning of the Private Securities Litigation Reform Act of 1995. Such forward-looking statements include statements relating to our 2022 outlook and all underlying assumptions, our expected acquisition, di</w:t>
      </w:r>
      <w:r>
        <w:rPr>
          <w:rFonts w:eastAsia="Times New Roman"/>
          <w:color w:val="000000"/>
          <w:sz w:val="20"/>
          <w:szCs w:val="20"/>
        </w:rPr>
        <w:t>sposition, development and redevelopment activity, supply and demand for our self-storage facilities, the consummation of PSB’s recently announced merger transaction and the related consequences to the Company, information relating to operating trends in o</w:t>
      </w:r>
      <w:r>
        <w:rPr>
          <w:rFonts w:eastAsia="Times New Roman"/>
          <w:color w:val="000000"/>
          <w:sz w:val="20"/>
          <w:szCs w:val="20"/>
        </w:rPr>
        <w:t xml:space="preserve">ur markets, expectations regarding operating expenses, including property tax changes, our strategic priorities, expectations with respect to financing activities, rental rates, cap rates and yields, leasing expectations, our credit ratings, and all other </w:t>
      </w:r>
      <w:r>
        <w:rPr>
          <w:rFonts w:eastAsia="Times New Roman"/>
          <w:color w:val="000000"/>
          <w:sz w:val="20"/>
          <w:szCs w:val="20"/>
        </w:rPr>
        <w:t>statements other than statements of historical fact. Such statements are based on management’s beliefs and assumptions made based on information currently available to management. All statements in this document, other than statements of historical fact, a</w:t>
      </w:r>
      <w:r>
        <w:rPr>
          <w:rFonts w:eastAsia="Times New Roman"/>
          <w:color w:val="000000"/>
          <w:sz w:val="20"/>
          <w:szCs w:val="20"/>
        </w:rPr>
        <w:t>re forward-looking statements which may be identified by the use of the words “outlook,” “guidance,” “expects,” “believes,” “anticipates,” “should,” “estimates,” and similar expressions.</w:t>
      </w:r>
    </w:p>
    <w:p w:rsidR="00000000" w:rsidRDefault="007C49E1">
      <w:pPr>
        <w:ind w:firstLine="720"/>
        <w:jc w:val="both"/>
        <w:divId w:val="1956329964"/>
        <w:rPr>
          <w:rFonts w:eastAsia="Times New Roman"/>
        </w:rPr>
      </w:pPr>
      <w:r>
        <w:rPr>
          <w:rFonts w:eastAsia="Times New Roman"/>
          <w:color w:val="000000"/>
          <w:sz w:val="20"/>
          <w:szCs w:val="20"/>
        </w:rPr>
        <w:t xml:space="preserve">These forward-looking statements involve known and unknown risks and </w:t>
      </w:r>
      <w:r>
        <w:rPr>
          <w:rFonts w:eastAsia="Times New Roman"/>
          <w:color w:val="000000"/>
          <w:sz w:val="20"/>
          <w:szCs w:val="20"/>
        </w:rPr>
        <w:t>uncertainties, which may cause our actual results and performance to be materially different from those expressed or implied in the forward-looking statements. Factors and risks that may impact future results and performance include, but are not limited to</w:t>
      </w:r>
      <w:r>
        <w:rPr>
          <w:rFonts w:eastAsia="Times New Roman"/>
          <w:color w:val="000000"/>
          <w:sz w:val="20"/>
          <w:szCs w:val="20"/>
        </w:rPr>
        <w:t>, the risk that the PSB merger will not be consummated on the existing terms or at all, and those factors and risks described in Part 1, Item 1A, “Risk Factors” in our most recent Annual Report on Form 10-K for the year ended December 31, 2021 filed with t</w:t>
      </w:r>
      <w:r>
        <w:rPr>
          <w:rFonts w:eastAsia="Times New Roman"/>
          <w:color w:val="000000"/>
          <w:sz w:val="20"/>
          <w:szCs w:val="20"/>
        </w:rPr>
        <w:t>he Securities and Exchange Commission (the “SEC”) on February 22, 2022 and in our other filings with the SEC including. These include changes in demand for our facilities, impacts of natural disasters, adverse changes in laws and regulations including gove</w:t>
      </w:r>
      <w:r>
        <w:rPr>
          <w:rFonts w:eastAsia="Times New Roman"/>
          <w:color w:val="000000"/>
          <w:sz w:val="20"/>
          <w:szCs w:val="20"/>
        </w:rPr>
        <w:t>rning property tax, evictions, rental rates, minimum wage levels and insurance, adverse economic effects from the COVID-19 pandemic, international military conflicts, or similar events impacting public health and/or economic activity, increases in the cost</w:t>
      </w:r>
      <w:r>
        <w:rPr>
          <w:rFonts w:eastAsia="Times New Roman"/>
          <w:color w:val="000000"/>
          <w:sz w:val="20"/>
          <w:szCs w:val="20"/>
        </w:rPr>
        <w:t>s of our primary customer acquisition channels, unfavorable foreign currency rate fluctuations, changes in federal or state tax laws related to the taxation of REITs, and security breaches, including ransomware, or a failure of our networks, systems or tec</w:t>
      </w:r>
      <w:r>
        <w:rPr>
          <w:rFonts w:eastAsia="Times New Roman"/>
          <w:color w:val="000000"/>
          <w:sz w:val="20"/>
          <w:szCs w:val="20"/>
        </w:rPr>
        <w:t>hnology.</w:t>
      </w:r>
    </w:p>
    <w:p w:rsidR="00000000" w:rsidRDefault="007C49E1">
      <w:pPr>
        <w:ind w:firstLine="720"/>
        <w:jc w:val="both"/>
        <w:divId w:val="474611827"/>
        <w:rPr>
          <w:rFonts w:eastAsia="Times New Roman"/>
        </w:rPr>
      </w:pPr>
      <w:r>
        <w:rPr>
          <w:rFonts w:eastAsia="Times New Roman"/>
          <w:color w:val="000000"/>
          <w:sz w:val="20"/>
          <w:szCs w:val="20"/>
        </w:rPr>
        <w:t>These forward-looking statements speak only as of the date of this report or as of the dates indicated in the statements. All of our forward-looking statements, including those in this report, are qualified in their entirety by this cautionary sta</w:t>
      </w:r>
      <w:r>
        <w:rPr>
          <w:rFonts w:eastAsia="Times New Roman"/>
          <w:color w:val="000000"/>
          <w:sz w:val="20"/>
          <w:szCs w:val="20"/>
        </w:rPr>
        <w:t>tement. We expressly disclaim any obligation to update publicly or otherwise revise any forward-looking statements, whether because of new information, new estimates, or other factors, events or circumstances after the date of these forward-looking stateme</w:t>
      </w:r>
      <w:r>
        <w:rPr>
          <w:rFonts w:eastAsia="Times New Roman"/>
          <w:color w:val="000000"/>
          <w:sz w:val="20"/>
          <w:szCs w:val="20"/>
        </w:rPr>
        <w:t>nts, except when expressly required by law. Given these risks and uncertainties, you should not rely on any forward-looking statements in this report, or which management may make orally or in writing from time to time, neither as predictions of future eve</w:t>
      </w:r>
      <w:r>
        <w:rPr>
          <w:rFonts w:eastAsia="Times New Roman"/>
          <w:color w:val="000000"/>
          <w:sz w:val="20"/>
          <w:szCs w:val="20"/>
        </w:rPr>
        <w:t>nts nor guarantees of future performance.</w:t>
      </w:r>
    </w:p>
    <w:p w:rsidR="00000000" w:rsidRDefault="007C49E1">
      <w:pPr>
        <w:jc w:val="both"/>
        <w:divId w:val="840856499"/>
        <w:rPr>
          <w:rFonts w:eastAsia="Times New Roman"/>
        </w:rPr>
      </w:pPr>
      <w:r>
        <w:rPr>
          <w:rFonts w:eastAsia="Times New Roman"/>
          <w:b/>
          <w:bCs/>
          <w:color w:val="000000"/>
          <w:sz w:val="20"/>
          <w:szCs w:val="20"/>
        </w:rPr>
        <w:t>Critical Accounting Estimates</w:t>
      </w:r>
    </w:p>
    <w:p w:rsidR="00000000" w:rsidRDefault="007C49E1">
      <w:pPr>
        <w:ind w:firstLine="720"/>
        <w:jc w:val="both"/>
        <w:divId w:val="1127625498"/>
        <w:rPr>
          <w:rFonts w:eastAsia="Times New Roman"/>
        </w:rPr>
      </w:pPr>
      <w:r>
        <w:rPr>
          <w:rFonts w:eastAsia="Times New Roman"/>
          <w:color w:val="000000"/>
          <w:sz w:val="20"/>
          <w:szCs w:val="20"/>
        </w:rPr>
        <w:t>The preparation of consolidated financial statements and related disclosures in conformity with U.S. generally accepted accounting principles (“GAAP”) requires us to make judgments, assumptions, and estimates that affect the amounts reported. On an ongoing</w:t>
      </w:r>
      <w:r>
        <w:rPr>
          <w:rFonts w:eastAsia="Times New Roman"/>
          <w:color w:val="000000"/>
          <w:sz w:val="20"/>
          <w:szCs w:val="20"/>
        </w:rPr>
        <w:t xml:space="preserve"> basis, we evaluate our estimates and assumptions. These estimates and assumptions are based on current facts, historical experience, and various other factors that we believe are reasonable under the circumstances to determine reported amounts of assets, </w:t>
      </w:r>
      <w:r>
        <w:rPr>
          <w:rFonts w:eastAsia="Times New Roman"/>
          <w:color w:val="000000"/>
          <w:sz w:val="20"/>
          <w:szCs w:val="20"/>
        </w:rPr>
        <w:t xml:space="preserve">liabilities, revenues, and expenses that are not readily apparent from other sources. </w:t>
      </w:r>
    </w:p>
    <w:p w:rsidR="00000000" w:rsidRDefault="007C49E1">
      <w:pPr>
        <w:ind w:firstLine="720"/>
        <w:jc w:val="both"/>
        <w:divId w:val="229118586"/>
        <w:rPr>
          <w:rFonts w:eastAsia="Times New Roman"/>
        </w:rPr>
      </w:pPr>
      <w:r>
        <w:rPr>
          <w:rFonts w:eastAsia="Times New Roman"/>
          <w:color w:val="000000"/>
          <w:sz w:val="20"/>
          <w:szCs w:val="20"/>
        </w:rPr>
        <w:t>During the three months ended March 31, 2022, there were no material changes to our critical accounting estimates as compared to the critical accounting estimates disclo</w:t>
      </w:r>
      <w:r>
        <w:rPr>
          <w:rFonts w:eastAsia="Times New Roman"/>
          <w:color w:val="000000"/>
          <w:sz w:val="20"/>
          <w:szCs w:val="20"/>
        </w:rPr>
        <w:t>sed in Management’s Discussion and Analysis of Financial Condition and Results of Operations contained in Part II, Item 7 of our Annual Report on Form 10-K for the year ended December 31, 2021.</w:t>
      </w:r>
    </w:p>
    <w:p w:rsidR="00000000" w:rsidRDefault="007C49E1">
      <w:pPr>
        <w:jc w:val="center"/>
        <w:divId w:val="1391272088"/>
        <w:rPr>
          <w:rFonts w:eastAsia="Times New Roman"/>
        </w:rPr>
      </w:pPr>
      <w:r>
        <w:rPr>
          <w:rFonts w:eastAsia="Times New Roman"/>
          <w:color w:val="000000"/>
          <w:sz w:val="20"/>
          <w:szCs w:val="20"/>
        </w:rPr>
        <w:t>21</w:t>
      </w:r>
    </w:p>
    <w:p w:rsidR="00000000" w:rsidRDefault="007C49E1">
      <w:pPr>
        <w:rPr>
          <w:rFonts w:eastAsia="Times New Roman"/>
        </w:rPr>
      </w:pPr>
      <w:r>
        <w:rPr>
          <w:rFonts w:eastAsia="Times New Roman"/>
        </w:rPr>
        <w:pict>
          <v:rect id="_x0000_i1047" style="width:0;height:1.5pt" o:hralign="center" o:hrstd="t" o:hr="t" fillcolor="#a0a0a0" stroked="f"/>
        </w:pict>
      </w:r>
    </w:p>
    <w:p w:rsidR="00000000" w:rsidRDefault="007C49E1">
      <w:pPr>
        <w:divId w:val="1952324272"/>
        <w:rPr>
          <w:rFonts w:eastAsia="Times New Roman"/>
        </w:rPr>
      </w:pPr>
    </w:p>
    <w:p w:rsidR="00000000" w:rsidRDefault="007C49E1">
      <w:pPr>
        <w:jc w:val="both"/>
        <w:divId w:val="1596403640"/>
        <w:rPr>
          <w:rFonts w:eastAsia="Times New Roman"/>
        </w:rPr>
      </w:pPr>
      <w:r>
        <w:rPr>
          <w:rFonts w:eastAsia="Times New Roman"/>
          <w:b/>
          <w:bCs/>
          <w:color w:val="000000"/>
          <w:sz w:val="20"/>
          <w:szCs w:val="20"/>
        </w:rPr>
        <w:t xml:space="preserve">Overview </w:t>
      </w:r>
    </w:p>
    <w:p w:rsidR="00000000" w:rsidRDefault="007C49E1">
      <w:pPr>
        <w:ind w:firstLine="720"/>
        <w:jc w:val="both"/>
        <w:rPr>
          <w:rFonts w:eastAsia="Times New Roman"/>
        </w:rPr>
      </w:pPr>
      <w:r>
        <w:rPr>
          <w:rFonts w:eastAsia="Times New Roman"/>
          <w:color w:val="000000"/>
          <w:sz w:val="20"/>
          <w:szCs w:val="20"/>
        </w:rPr>
        <w:t>Our self-s</w:t>
      </w:r>
      <w:r>
        <w:rPr>
          <w:rFonts w:eastAsia="Times New Roman"/>
          <w:color w:val="000000"/>
          <w:sz w:val="20"/>
          <w:szCs w:val="20"/>
        </w:rPr>
        <w:t>torage operations generate most of our net income and our earnings growth is impacted by the levels of growth within our Same Store Facilities (as defined below) as well as within our Acquired Facilities and Newly Developed and Expanded Facilities (both as</w:t>
      </w:r>
      <w:r>
        <w:rPr>
          <w:rFonts w:eastAsia="Times New Roman"/>
          <w:color w:val="000000"/>
          <w:sz w:val="20"/>
          <w:szCs w:val="20"/>
        </w:rPr>
        <w:t xml:space="preserve"> defined below). Accordingly, a significant portion of management’s time is devoted to maximizing cash flows from our existing self-storage facility portfolio. </w:t>
      </w:r>
    </w:p>
    <w:p w:rsidR="00000000" w:rsidRDefault="007C49E1">
      <w:pPr>
        <w:ind w:firstLine="720"/>
        <w:jc w:val="both"/>
        <w:rPr>
          <w:rFonts w:eastAsia="Times New Roman"/>
        </w:rPr>
      </w:pPr>
    </w:p>
    <w:p w:rsidR="00000000" w:rsidRDefault="007C49E1">
      <w:pPr>
        <w:ind w:firstLine="720"/>
        <w:jc w:val="both"/>
        <w:rPr>
          <w:rFonts w:eastAsia="Times New Roman"/>
        </w:rPr>
      </w:pPr>
      <w:r>
        <w:rPr>
          <w:rFonts w:eastAsia="Times New Roman"/>
          <w:color w:val="000000"/>
          <w:sz w:val="20"/>
          <w:szCs w:val="20"/>
        </w:rPr>
        <w:t>During the three months ended March 31, 2022, revenues generated by our Same Store Facilities</w:t>
      </w:r>
      <w:r>
        <w:rPr>
          <w:rFonts w:eastAsia="Times New Roman"/>
          <w:color w:val="000000"/>
          <w:sz w:val="20"/>
          <w:szCs w:val="20"/>
        </w:rPr>
        <w:t xml:space="preserve"> increased by 15.8% ($102.1 million), as compared to the same period in 2021, while Same Store cost of operations increased by 3.6% ($6.5 million). Demand and operating trends have continued to improve, leading to increases in our self-storage rental rates</w:t>
      </w:r>
      <w:r>
        <w:rPr>
          <w:rFonts w:eastAsia="Times New Roman"/>
          <w:color w:val="000000"/>
          <w:sz w:val="20"/>
          <w:szCs w:val="20"/>
        </w:rPr>
        <w:t xml:space="preserve"> and reduction in marketing expense while maintaining high levels of occupancy. </w:t>
      </w:r>
    </w:p>
    <w:p w:rsidR="00000000" w:rsidRDefault="007C49E1">
      <w:pPr>
        <w:ind w:firstLine="720"/>
        <w:jc w:val="both"/>
        <w:rPr>
          <w:rFonts w:eastAsia="Times New Roman"/>
        </w:rPr>
      </w:pPr>
    </w:p>
    <w:p w:rsidR="00000000" w:rsidRDefault="007C49E1">
      <w:pPr>
        <w:ind w:firstLine="720"/>
        <w:jc w:val="both"/>
        <w:rPr>
          <w:rFonts w:eastAsia="Times New Roman"/>
        </w:rPr>
      </w:pPr>
      <w:r>
        <w:rPr>
          <w:rFonts w:eastAsia="Times New Roman"/>
          <w:color w:val="000000"/>
          <w:sz w:val="20"/>
          <w:szCs w:val="20"/>
        </w:rPr>
        <w:t xml:space="preserve">In addition to managing our existing facilities for organic growth, we have grown and plan to continue to grow through the acquisition and development of new facilities and </w:t>
      </w:r>
      <w:r>
        <w:rPr>
          <w:rFonts w:eastAsia="Times New Roman"/>
          <w:color w:val="000000"/>
          <w:sz w:val="20"/>
          <w:szCs w:val="20"/>
        </w:rPr>
        <w:t>expansion of our existing self-storage facilities. Since the beginning of 2020, we acquired a total of 304 facilities with 27.7 million net rentable square feet for $6.0 billion, and within our non-same store portfolio have developed and expanded self-stor</w:t>
      </w:r>
      <w:r>
        <w:rPr>
          <w:rFonts w:eastAsia="Times New Roman"/>
          <w:color w:val="000000"/>
          <w:sz w:val="20"/>
          <w:szCs w:val="20"/>
        </w:rPr>
        <w:t>age space for a total cost of $1.4 billion, adding 16.6 million net rentable square feet. During the three months ended March 31, 2022, net operating income generated by our Acquired Facilities and Newly Developed and Expanded Facilities increased 241.8% (</w:t>
      </w:r>
      <w:r>
        <w:rPr>
          <w:rFonts w:eastAsia="Times New Roman"/>
          <w:color w:val="000000"/>
          <w:sz w:val="20"/>
          <w:szCs w:val="20"/>
        </w:rPr>
        <w:t>$67.9 million), as compared to the same period in 2021.</w:t>
      </w:r>
    </w:p>
    <w:p w:rsidR="00000000" w:rsidRDefault="007C49E1">
      <w:pPr>
        <w:ind w:firstLine="720"/>
        <w:jc w:val="both"/>
        <w:rPr>
          <w:rFonts w:eastAsia="Times New Roman"/>
        </w:rPr>
      </w:pPr>
    </w:p>
    <w:p w:rsidR="00000000" w:rsidRDefault="007C49E1">
      <w:pPr>
        <w:ind w:firstLine="720"/>
        <w:jc w:val="both"/>
        <w:rPr>
          <w:rFonts w:eastAsia="Times New Roman"/>
        </w:rPr>
      </w:pPr>
      <w:r>
        <w:rPr>
          <w:rFonts w:eastAsia="Times New Roman"/>
          <w:color w:val="000000"/>
          <w:sz w:val="20"/>
          <w:szCs w:val="20"/>
        </w:rPr>
        <w:t xml:space="preserve">Our strong financial profile continues to enable effective access to capital markets in order to support our growth. During the three months ended March 31, 2022, we raised $250 million in a public </w:t>
      </w:r>
      <w:r>
        <w:rPr>
          <w:rFonts w:eastAsia="Times New Roman"/>
          <w:color w:val="000000"/>
          <w:sz w:val="20"/>
          <w:szCs w:val="20"/>
        </w:rPr>
        <w:t>offering of our preferred shares.</w:t>
      </w:r>
    </w:p>
    <w:p w:rsidR="00000000" w:rsidRDefault="007C49E1">
      <w:pPr>
        <w:ind w:firstLine="720"/>
        <w:jc w:val="both"/>
        <w:rPr>
          <w:rFonts w:eastAsia="Times New Roman"/>
        </w:rPr>
      </w:pPr>
    </w:p>
    <w:p w:rsidR="00000000" w:rsidRDefault="007C49E1">
      <w:pPr>
        <w:ind w:firstLine="720"/>
        <w:jc w:val="both"/>
        <w:rPr>
          <w:rFonts w:eastAsia="Times New Roman"/>
        </w:rPr>
      </w:pPr>
      <w:r>
        <w:rPr>
          <w:rFonts w:eastAsia="Times New Roman"/>
          <w:color w:val="000000"/>
          <w:sz w:val="20"/>
          <w:szCs w:val="20"/>
        </w:rPr>
        <w:t>In order to enhance the competitive position of certain of our facilities relative to local competitors (including newly developed facilities), we have embarked on our multi-year Property of Tomorrow program to (i) rebra</w:t>
      </w:r>
      <w:r>
        <w:rPr>
          <w:rFonts w:eastAsia="Times New Roman"/>
          <w:color w:val="000000"/>
          <w:sz w:val="20"/>
          <w:szCs w:val="20"/>
        </w:rPr>
        <w:t xml:space="preserve">nd our properties with more pronounced, attractive, and clearly identifiable color schemes and signage, (ii) enhance the energy efficiency of our properties, and (iii) upgrade the configuration and layout of the offices and other customer zones to improve </w:t>
      </w:r>
      <w:r>
        <w:rPr>
          <w:rFonts w:eastAsia="Times New Roman"/>
          <w:color w:val="000000"/>
          <w:sz w:val="20"/>
          <w:szCs w:val="20"/>
        </w:rPr>
        <w:t>the customer experience. We expect to complete the program by the end of 2025. We expect to spend approximately $180 million over 2022 on this effort.</w:t>
      </w:r>
    </w:p>
    <w:p w:rsidR="00000000" w:rsidRDefault="007C49E1">
      <w:pPr>
        <w:ind w:firstLine="720"/>
        <w:jc w:val="both"/>
        <w:rPr>
          <w:rFonts w:eastAsia="Times New Roman"/>
        </w:rPr>
      </w:pPr>
    </w:p>
    <w:p w:rsidR="00000000" w:rsidRDefault="007C49E1">
      <w:pPr>
        <w:ind w:firstLine="720"/>
        <w:jc w:val="both"/>
        <w:rPr>
          <w:rFonts w:eastAsia="Times New Roman"/>
        </w:rPr>
      </w:pPr>
      <w:r>
        <w:rPr>
          <w:rFonts w:eastAsia="Times New Roman"/>
          <w:color w:val="000000"/>
          <w:sz w:val="20"/>
          <w:szCs w:val="20"/>
        </w:rPr>
        <w:t>Refer to Note 15. Subsequent Events for information regarding PSB’s recently announced merger transacti</w:t>
      </w:r>
      <w:r>
        <w:rPr>
          <w:rFonts w:eastAsia="Times New Roman"/>
          <w:color w:val="000000"/>
          <w:sz w:val="20"/>
          <w:szCs w:val="20"/>
        </w:rPr>
        <w:t>on, including with respect to anticipated cash proceeds, tax treatment and a related distribution to our common shareholders. The transaction is expected to close in the third quarter of 2022, subject to approval by PSB’s stockholders and other customary c</w:t>
      </w:r>
      <w:r>
        <w:rPr>
          <w:rFonts w:eastAsia="Times New Roman"/>
          <w:color w:val="000000"/>
          <w:sz w:val="20"/>
          <w:szCs w:val="20"/>
        </w:rPr>
        <w:t>losing conditions. Following consummation of the transaction, our future operating results will no longer reflect contributions from our investment in PSB.</w:t>
      </w:r>
    </w:p>
    <w:p w:rsidR="00000000" w:rsidRDefault="007C49E1">
      <w:pPr>
        <w:ind w:firstLine="720"/>
        <w:jc w:val="both"/>
        <w:rPr>
          <w:rFonts w:eastAsia="Times New Roman"/>
        </w:rPr>
      </w:pPr>
    </w:p>
    <w:p w:rsidR="00000000" w:rsidRDefault="007C49E1">
      <w:pPr>
        <w:jc w:val="center"/>
        <w:divId w:val="972754861"/>
        <w:rPr>
          <w:rFonts w:eastAsia="Times New Roman"/>
        </w:rPr>
      </w:pPr>
      <w:r>
        <w:rPr>
          <w:rFonts w:eastAsia="Times New Roman"/>
          <w:color w:val="000000"/>
          <w:sz w:val="20"/>
          <w:szCs w:val="20"/>
        </w:rPr>
        <w:t>22</w:t>
      </w:r>
    </w:p>
    <w:p w:rsidR="00000000" w:rsidRDefault="007C49E1">
      <w:pPr>
        <w:rPr>
          <w:rFonts w:eastAsia="Times New Roman"/>
        </w:rPr>
      </w:pPr>
      <w:r>
        <w:rPr>
          <w:rFonts w:eastAsia="Times New Roman"/>
        </w:rPr>
        <w:pict>
          <v:rect id="_x0000_i1048" style="width:0;height:1.5pt" o:hralign="center" o:hrstd="t" o:hr="t" fillcolor="#a0a0a0" stroked="f"/>
        </w:pict>
      </w:r>
    </w:p>
    <w:p w:rsidR="00000000" w:rsidRDefault="007C49E1">
      <w:pPr>
        <w:divId w:val="1356468023"/>
        <w:rPr>
          <w:rFonts w:eastAsia="Times New Roman"/>
        </w:rPr>
      </w:pPr>
    </w:p>
    <w:p w:rsidR="00000000" w:rsidRDefault="007C49E1">
      <w:pPr>
        <w:divId w:val="974143743"/>
        <w:rPr>
          <w:rFonts w:eastAsia="Times New Roman"/>
        </w:rPr>
      </w:pPr>
      <w:r>
        <w:rPr>
          <w:rFonts w:eastAsia="Times New Roman"/>
          <w:b/>
          <w:bCs/>
          <w:color w:val="000000"/>
          <w:sz w:val="20"/>
          <w:szCs w:val="20"/>
        </w:rPr>
        <w:t xml:space="preserve">Results of Operations </w:t>
      </w:r>
    </w:p>
    <w:p w:rsidR="00000000" w:rsidRDefault="007C49E1">
      <w:pPr>
        <w:jc w:val="both"/>
        <w:rPr>
          <w:rFonts w:eastAsia="Times New Roman"/>
        </w:rPr>
      </w:pPr>
    </w:p>
    <w:p w:rsidR="00000000" w:rsidRDefault="007C49E1">
      <w:pPr>
        <w:jc w:val="both"/>
        <w:rPr>
          <w:rFonts w:eastAsia="Times New Roman"/>
        </w:rPr>
      </w:pPr>
      <w:r>
        <w:rPr>
          <w:rFonts w:eastAsia="Times New Roman"/>
          <w:b/>
          <w:bCs/>
          <w:color w:val="000000"/>
          <w:sz w:val="20"/>
          <w:szCs w:val="20"/>
          <w:u w:val="single"/>
        </w:rPr>
        <w:t>Operating Results for the Three</w:t>
      </w:r>
      <w:r>
        <w:rPr>
          <w:rFonts w:eastAsia="Times New Roman"/>
          <w:b/>
          <w:bCs/>
          <w:color w:val="000000"/>
          <w:sz w:val="20"/>
          <w:szCs w:val="20"/>
          <w:u w:val="single"/>
        </w:rPr>
        <w:t xml:space="preserve"> Months Ended March 31, 2022 and 2021</w:t>
      </w:r>
    </w:p>
    <w:p w:rsidR="00000000" w:rsidRDefault="007C49E1">
      <w:pPr>
        <w:jc w:val="both"/>
        <w:rPr>
          <w:rFonts w:eastAsia="Times New Roman"/>
        </w:rPr>
      </w:pPr>
    </w:p>
    <w:p w:rsidR="00000000" w:rsidRDefault="007C49E1">
      <w:pPr>
        <w:ind w:firstLine="720"/>
        <w:jc w:val="both"/>
        <w:rPr>
          <w:rFonts w:eastAsia="Times New Roman"/>
        </w:rPr>
      </w:pPr>
      <w:r>
        <w:rPr>
          <w:rFonts w:eastAsia="Times New Roman"/>
          <w:color w:val="000000"/>
          <w:sz w:val="20"/>
          <w:szCs w:val="20"/>
        </w:rPr>
        <w:t>For the three months ended March 31, 2022, net income allocable to our common shareholders was $464.1 million or $2.63 per diluted common share, compared to $385.8 million or $2.21 per diluted common share in 2021, r</w:t>
      </w:r>
      <w:r>
        <w:rPr>
          <w:rFonts w:eastAsia="Times New Roman"/>
          <w:color w:val="000000"/>
          <w:sz w:val="20"/>
          <w:szCs w:val="20"/>
        </w:rPr>
        <w:t>epresenting an increase of $78.3 million or $0.42 per diluted common share. The increase is due primarily to (i) a $167.3 million increase in self-storage net operating income and (ii) our $23.6 million equity share of gains on sale of real estate recorded</w:t>
      </w:r>
      <w:r>
        <w:rPr>
          <w:rFonts w:eastAsia="Times New Roman"/>
          <w:color w:val="000000"/>
          <w:sz w:val="20"/>
          <w:szCs w:val="20"/>
        </w:rPr>
        <w:t xml:space="preserve"> by PS Business Parks, Inc. in 2022, partially offset by (iii) a $75.3 million increase in depreciation and amortization expense, (iv) a $17.9 million increase in interest expense, (v) a $10.0 million decrease in foreign currency exchange gains associated </w:t>
      </w:r>
      <w:r>
        <w:rPr>
          <w:rFonts w:eastAsia="Times New Roman"/>
          <w:color w:val="000000"/>
          <w:sz w:val="20"/>
          <w:szCs w:val="20"/>
        </w:rPr>
        <w:t>with our Euro denominated notes payable, and (vi) a $9.4 million gain on sale of real estate recognized in the three months ended March 31, 2021.</w:t>
      </w:r>
    </w:p>
    <w:p w:rsidR="00000000" w:rsidRDefault="007C49E1">
      <w:pPr>
        <w:ind w:firstLine="720"/>
        <w:jc w:val="both"/>
        <w:rPr>
          <w:rFonts w:eastAsia="Times New Roman"/>
        </w:rPr>
      </w:pPr>
    </w:p>
    <w:p w:rsidR="00000000" w:rsidRDefault="007C49E1">
      <w:pPr>
        <w:ind w:firstLine="720"/>
        <w:jc w:val="both"/>
        <w:rPr>
          <w:rFonts w:eastAsia="Times New Roman"/>
        </w:rPr>
      </w:pPr>
      <w:r>
        <w:rPr>
          <w:rFonts w:eastAsia="Times New Roman"/>
          <w:color w:val="000000"/>
          <w:sz w:val="20"/>
          <w:szCs w:val="20"/>
        </w:rPr>
        <w:t>The $167.3 </w:t>
      </w:r>
      <w:r>
        <w:rPr>
          <w:rFonts w:eastAsia="Times New Roman"/>
          <w:color w:val="000000"/>
          <w:sz w:val="20"/>
          <w:szCs w:val="20"/>
        </w:rPr>
        <w:t>million increase in self-storage net operating income in the three months ended March 31, 2022 as compared to the same period in 2021 is a result of a $95.6 million increase in our Same Store Facilities and a $71.7 million increase in our non-same store fa</w:t>
      </w:r>
      <w:r>
        <w:rPr>
          <w:rFonts w:eastAsia="Times New Roman"/>
          <w:color w:val="000000"/>
          <w:sz w:val="20"/>
          <w:szCs w:val="20"/>
        </w:rPr>
        <w:t>cilities. Revenues for the Same Store Facilities increased 15.8% or $102.1 million in the three months ended March 31, 2022 as compared to 2021, due primarily to higher realized annual rent per available square foot. Cost of operations for the Same Store F</w:t>
      </w:r>
      <w:r>
        <w:rPr>
          <w:rFonts w:eastAsia="Times New Roman"/>
          <w:color w:val="000000"/>
          <w:sz w:val="20"/>
          <w:szCs w:val="20"/>
        </w:rPr>
        <w:t xml:space="preserve">acilities increased by 3.6% or $6.5 million in the three months ended March 31, 2022 as compared to 2021, due primarily to (i) a 4.8% ($3.2 million) increase in property tax expense, (ii) a 19.0% ($2.5 million) increase in repairs and maintenance expense, </w:t>
      </w:r>
      <w:r>
        <w:rPr>
          <w:rFonts w:eastAsia="Times New Roman"/>
          <w:color w:val="000000"/>
          <w:sz w:val="20"/>
          <w:szCs w:val="20"/>
        </w:rPr>
        <w:t>and (iii) a 17.5% ($2.3 million) increase in centralized management costs, partially offset by (iv) a 23.1% ($3.4 million) decrease in marketing expense. The increase in net operating income of $71.7 million for the non-same store facilities is due primari</w:t>
      </w:r>
      <w:r>
        <w:rPr>
          <w:rFonts w:eastAsia="Times New Roman"/>
          <w:color w:val="000000"/>
          <w:sz w:val="20"/>
          <w:szCs w:val="20"/>
        </w:rPr>
        <w:t>ly to the impact of facilities acquired in 2021 and the fill-up of recently developed and expanded facilities.</w:t>
      </w:r>
    </w:p>
    <w:p w:rsidR="00000000" w:rsidRDefault="007C49E1">
      <w:pPr>
        <w:ind w:firstLine="720"/>
        <w:jc w:val="both"/>
        <w:rPr>
          <w:rFonts w:eastAsia="Times New Roman"/>
        </w:rPr>
      </w:pPr>
    </w:p>
    <w:p w:rsidR="00000000" w:rsidRDefault="007C49E1">
      <w:pPr>
        <w:jc w:val="both"/>
        <w:rPr>
          <w:rFonts w:eastAsia="Times New Roman"/>
        </w:rPr>
      </w:pPr>
      <w:r>
        <w:rPr>
          <w:rFonts w:eastAsia="Times New Roman"/>
          <w:b/>
          <w:bCs/>
          <w:color w:val="000000"/>
          <w:sz w:val="20"/>
          <w:szCs w:val="20"/>
          <w:u w:val="single"/>
        </w:rPr>
        <w:t>Funds from Operations and Core Funds from Operations</w:t>
      </w:r>
    </w:p>
    <w:p w:rsidR="00000000" w:rsidRDefault="007C49E1">
      <w:pPr>
        <w:jc w:val="both"/>
        <w:rPr>
          <w:rFonts w:eastAsia="Times New Roman"/>
        </w:rPr>
      </w:pPr>
    </w:p>
    <w:p w:rsidR="00000000" w:rsidRDefault="007C49E1">
      <w:pPr>
        <w:ind w:firstLine="720"/>
        <w:jc w:val="both"/>
        <w:divId w:val="314916884"/>
        <w:rPr>
          <w:rFonts w:eastAsia="Times New Roman"/>
        </w:rPr>
      </w:pPr>
      <w:r>
        <w:rPr>
          <w:rFonts w:eastAsia="Times New Roman"/>
          <w:color w:val="000000"/>
          <w:sz w:val="20"/>
          <w:szCs w:val="20"/>
        </w:rPr>
        <w:t>Funds from Operations (“FFO”) and FFO per share are non-GAAP measures defined by the Nat</w:t>
      </w:r>
      <w:r>
        <w:rPr>
          <w:rFonts w:eastAsia="Times New Roman"/>
          <w:color w:val="000000"/>
          <w:sz w:val="20"/>
          <w:szCs w:val="20"/>
        </w:rPr>
        <w:t>ional Association of Real Estate Investment Trusts and are considered helpful measures of REIT performance by REITs and many REIT analysts. FFO represents net income before depreciation and amortization, which is excluded because it is based upon historica</w:t>
      </w:r>
      <w:r>
        <w:rPr>
          <w:rFonts w:eastAsia="Times New Roman"/>
          <w:color w:val="000000"/>
          <w:sz w:val="20"/>
          <w:szCs w:val="20"/>
        </w:rPr>
        <w:t xml:space="preserve">l costs and assumes that building values diminish ratably over time, while we believe that real estate values fluctuate due to market conditions. FFO also excludes gains or losses on sale of real estate assets and real estate impairment charges, which are </w:t>
      </w:r>
      <w:r>
        <w:rPr>
          <w:rFonts w:eastAsia="Times New Roman"/>
          <w:color w:val="000000"/>
          <w:sz w:val="20"/>
          <w:szCs w:val="20"/>
        </w:rPr>
        <w:t>also based upon historical costs and are impacted by historical depreciation. FFO and FFO per share are not a substitute for net income or earnings per share. FFO is not a substitute for net cash flow in evaluating our liquidity or ability to pay dividends</w:t>
      </w:r>
      <w:r>
        <w:rPr>
          <w:rFonts w:eastAsia="Times New Roman"/>
          <w:color w:val="000000"/>
          <w:sz w:val="20"/>
          <w:szCs w:val="20"/>
        </w:rPr>
        <w:t xml:space="preserve">, because it excludes investing and financing activities presented on our consolidated statements of cash flows. In addition, other REITs may compute these measures differently, so comparisons among REITs may not be helpful. </w:t>
      </w:r>
    </w:p>
    <w:p w:rsidR="00000000" w:rsidRDefault="007C49E1">
      <w:pPr>
        <w:ind w:firstLine="720"/>
        <w:jc w:val="both"/>
        <w:divId w:val="1625621455"/>
        <w:rPr>
          <w:rFonts w:eastAsia="Times New Roman"/>
        </w:rPr>
      </w:pPr>
      <w:r>
        <w:rPr>
          <w:rFonts w:eastAsia="Times New Roman"/>
          <w:color w:val="000000"/>
          <w:sz w:val="20"/>
          <w:szCs w:val="20"/>
        </w:rPr>
        <w:t>For the three months ended Mar</w:t>
      </w:r>
      <w:r>
        <w:rPr>
          <w:rFonts w:eastAsia="Times New Roman"/>
          <w:color w:val="000000"/>
          <w:sz w:val="20"/>
          <w:szCs w:val="20"/>
        </w:rPr>
        <w:t>ch 31, 2022, FFO was $3.83 per diluted common share as compared to $3.08 per diluted common share for the same period in 2021, representing an increase of 24.4%, or $0.75 per diluted common share.</w:t>
      </w:r>
    </w:p>
    <w:p w:rsidR="00000000" w:rsidRDefault="007C49E1">
      <w:pPr>
        <w:ind w:firstLine="720"/>
        <w:jc w:val="both"/>
        <w:divId w:val="870147583"/>
        <w:rPr>
          <w:rFonts w:eastAsia="Times New Roman"/>
        </w:rPr>
      </w:pPr>
      <w:r>
        <w:rPr>
          <w:rFonts w:eastAsia="Times New Roman"/>
          <w:color w:val="000000"/>
          <w:sz w:val="20"/>
          <w:szCs w:val="20"/>
        </w:rPr>
        <w:t>We also present “Core FFO” and “Core FFO per share,” non-GA</w:t>
      </w:r>
      <w:r>
        <w:rPr>
          <w:rFonts w:eastAsia="Times New Roman"/>
          <w:color w:val="000000"/>
          <w:sz w:val="20"/>
          <w:szCs w:val="20"/>
        </w:rPr>
        <w:t xml:space="preserve">AP measures that represent FFO and FFO per share excluding the impact of (i) foreign currency exchange gains and losses, (ii) charges related to the redemption of preferred securities, and (iii) certain other non-cash and/or nonrecurring income or expense </w:t>
      </w:r>
      <w:r>
        <w:rPr>
          <w:rFonts w:eastAsia="Times New Roman"/>
          <w:color w:val="000000"/>
          <w:sz w:val="20"/>
          <w:szCs w:val="20"/>
        </w:rPr>
        <w:t>items primarily representing, with respect to the periods presented below, our equity share of the impact of severance of senior executive and casualties from our equity investees</w:t>
      </w:r>
      <w:r>
        <w:rPr>
          <w:rFonts w:eastAsia="Times New Roman"/>
          <w:color w:val="000000"/>
          <w:sz w:val="18"/>
          <w:szCs w:val="18"/>
        </w:rPr>
        <w:t xml:space="preserve">. </w:t>
      </w:r>
      <w:r>
        <w:rPr>
          <w:rFonts w:eastAsia="Times New Roman"/>
          <w:color w:val="000000"/>
          <w:sz w:val="20"/>
          <w:szCs w:val="20"/>
        </w:rPr>
        <w:t>We review Core FFO and Core FFO per share to evaluate our ongoing operating performance and we believe they are used by investors and REIT analysts in a similar manner. However, Core FFO and Core FFO per share are not substitutes for net income and net inc</w:t>
      </w:r>
      <w:r>
        <w:rPr>
          <w:rFonts w:eastAsia="Times New Roman"/>
          <w:color w:val="000000"/>
          <w:sz w:val="20"/>
          <w:szCs w:val="20"/>
        </w:rPr>
        <w:t>ome per share. Because other REITs may not compute Core FFO or Core FFO per share in the same manner as we do, may not use the same terminology or may not present such measures, Core FFO and Core FFO per share may not be comparable among REITs.</w:t>
      </w:r>
    </w:p>
    <w:p w:rsidR="00000000" w:rsidRDefault="007C49E1">
      <w:pPr>
        <w:jc w:val="center"/>
        <w:divId w:val="354889601"/>
        <w:rPr>
          <w:rFonts w:eastAsia="Times New Roman"/>
        </w:rPr>
      </w:pPr>
      <w:r>
        <w:rPr>
          <w:rFonts w:eastAsia="Times New Roman"/>
          <w:color w:val="000000"/>
          <w:sz w:val="20"/>
          <w:szCs w:val="20"/>
        </w:rPr>
        <w:t>23</w:t>
      </w:r>
    </w:p>
    <w:p w:rsidR="00000000" w:rsidRDefault="007C49E1">
      <w:pPr>
        <w:rPr>
          <w:rFonts w:eastAsia="Times New Roman"/>
        </w:rPr>
      </w:pPr>
      <w:r>
        <w:rPr>
          <w:rFonts w:eastAsia="Times New Roman"/>
        </w:rPr>
        <w:pict>
          <v:rect id="_x0000_i1049" style="width:0;height:1.5pt" o:hralign="center" o:hrstd="t" o:hr="t" fillcolor="#a0a0a0" stroked="f"/>
        </w:pict>
      </w:r>
    </w:p>
    <w:p w:rsidR="00000000" w:rsidRDefault="007C49E1">
      <w:pPr>
        <w:divId w:val="509174907"/>
        <w:rPr>
          <w:rFonts w:eastAsia="Times New Roman"/>
        </w:rPr>
      </w:pPr>
    </w:p>
    <w:p w:rsidR="00000000" w:rsidRDefault="007C49E1">
      <w:pPr>
        <w:ind w:firstLine="720"/>
        <w:jc w:val="both"/>
        <w:divId w:val="1702853509"/>
        <w:rPr>
          <w:rFonts w:eastAsia="Times New Roman"/>
        </w:rPr>
      </w:pPr>
      <w:r>
        <w:rPr>
          <w:rFonts w:eastAsia="Times New Roman"/>
          <w:color w:val="000000"/>
          <w:sz w:val="20"/>
          <w:szCs w:val="20"/>
        </w:rPr>
        <w:t>The following table reconciles net income to FFO and Core FFO and reconciles diluted earnings per share to FFO per share and Core FFO per share:</w:t>
      </w:r>
      <w:r>
        <w:rPr>
          <w:rFonts w:eastAsia="Times New Roman"/>
          <w:color w:val="000000"/>
          <w:sz w:val="2"/>
          <w:szCs w:val="2"/>
          <w:shd w:val="clear" w:color="auto" w:fill="FFFF0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915"/>
        <w:gridCol w:w="38"/>
        <w:gridCol w:w="120"/>
        <w:gridCol w:w="1019"/>
        <w:gridCol w:w="36"/>
        <w:gridCol w:w="36"/>
        <w:gridCol w:w="36"/>
        <w:gridCol w:w="36"/>
        <w:gridCol w:w="120"/>
        <w:gridCol w:w="1019"/>
        <w:gridCol w:w="36"/>
        <w:gridCol w:w="36"/>
        <w:gridCol w:w="36"/>
        <w:gridCol w:w="36"/>
        <w:gridCol w:w="66"/>
        <w:gridCol w:w="847"/>
        <w:gridCol w:w="187"/>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7C49E1">
            <w:pPr>
              <w:ind w:firstLine="720"/>
              <w:jc w:val="both"/>
              <w:rPr>
                <w:rFonts w:eastAsia="Times New Roman"/>
              </w:rPr>
            </w:pPr>
          </w:p>
        </w:tc>
        <w:tc>
          <w:tcPr>
            <w:tcW w:w="2634"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71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71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64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Three Months Ended March 31,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Percentage Change</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(Amounts in thousands, except per share data)</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rPr>
                <w:rFonts w:eastAsia="Times New Roman"/>
              </w:rPr>
            </w:pPr>
            <w:r>
              <w:rPr>
                <w:rFonts w:eastAsia="Times New Roman"/>
                <w:b/>
                <w:bCs/>
                <w:color w:val="000000"/>
                <w:sz w:val="20"/>
                <w:szCs w:val="20"/>
                <w:u w:val="single"/>
              </w:rPr>
              <w:t>Reconciliation of Net Income to FFO and Core FFO:</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Net income allocable to common shareholders</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464,124 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385,810 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20.3 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20"/>
                <w:szCs w:val="20"/>
              </w:rPr>
              <w:t>Eliminate items excluded from FFO:</w:t>
            </w:r>
          </w:p>
        </w:tc>
        <w:tc>
          <w:tcPr>
            <w:tcW w:w="0" w:type="auto"/>
            <w:gridSpan w:val="3"/>
            <w:tcMar>
              <w:top w:w="0" w:type="dxa"/>
              <w:left w:w="20" w:type="dxa"/>
              <w:bottom w:w="0" w:type="dxa"/>
              <w:right w:w="20" w:type="dxa"/>
            </w:tcMar>
            <w:vAlign w:val="center"/>
            <w:hideMark/>
          </w:tcPr>
          <w:p w:rsidR="00000000" w:rsidRDefault="007C49E1">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Depreciation and amortization</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220,795 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145,869 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Depreciation from unconsolidated real estate investments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18,037 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17,933 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Depreciation allocated to noncontrolling interests and restricted share unitholders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(1,657)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(971)</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Gains on sale of real estate investments, including our equity share from investments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(25,095)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(9,387)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FFO allocable to common shares</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676,204 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539,254 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25.4 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20"/>
                <w:szCs w:val="20"/>
              </w:rPr>
              <w:t>Eliminate the impact of items excluded from Core FFO, including our equity share from investments:</w:t>
            </w:r>
          </w:p>
        </w:tc>
        <w:tc>
          <w:tcPr>
            <w:tcW w:w="0" w:type="auto"/>
            <w:gridSpan w:val="3"/>
            <w:tcMar>
              <w:top w:w="0" w:type="dxa"/>
              <w:left w:w="20" w:type="dxa"/>
              <w:bottom w:w="0" w:type="dxa"/>
              <w:right w:w="20" w:type="dxa"/>
            </w:tcMar>
            <w:vAlign w:val="center"/>
            <w:hideMark/>
          </w:tcPr>
          <w:p w:rsidR="00000000" w:rsidRDefault="007C49E1">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Foreign currency exchange gain</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(35,377)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(45,385)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Other items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2,547 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(349)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Core FFO allocable to common shares</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643,374 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493,520 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30.4 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0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rPr>
                <w:rFonts w:eastAsia="Times New Roman"/>
              </w:rPr>
            </w:pPr>
            <w:r>
              <w:rPr>
                <w:rFonts w:eastAsia="Times New Roman"/>
                <w:b/>
                <w:bCs/>
                <w:color w:val="000000"/>
                <w:sz w:val="20"/>
                <w:szCs w:val="20"/>
                <w:u w:val="single"/>
              </w:rPr>
              <w:t>Reconciliation of Diluted Earnings per Share to FFO per Share and Core FFO per Share: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Diluted Earnings per share</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2.63 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2.21 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19.0 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20"/>
                <w:szCs w:val="20"/>
              </w:rPr>
              <w:t>Eliminate amounts per share excluded from FFO:</w:t>
            </w:r>
          </w:p>
        </w:tc>
        <w:tc>
          <w:tcPr>
            <w:tcW w:w="0" w:type="auto"/>
            <w:gridSpan w:val="3"/>
            <w:tcMar>
              <w:top w:w="0" w:type="dxa"/>
              <w:left w:w="20" w:type="dxa"/>
              <w:bottom w:w="0" w:type="dxa"/>
              <w:right w:w="20" w:type="dxa"/>
            </w:tcMar>
            <w:vAlign w:val="center"/>
            <w:hideMark/>
          </w:tcPr>
          <w:p w:rsidR="00000000" w:rsidRDefault="007C49E1">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Depreciation and amortization</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1.35 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0.93 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Gains on sale of real estate investments, including our equity share from investments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(0.15)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(0.06)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FFO per share </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3.83 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3.08 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24.4 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20"/>
                <w:szCs w:val="20"/>
              </w:rPr>
              <w:t>Eliminate the per share impact of items excluded from Core FFO, including our equity share from investments:</w:t>
            </w:r>
          </w:p>
        </w:tc>
        <w:tc>
          <w:tcPr>
            <w:tcW w:w="0" w:type="auto"/>
            <w:gridSpan w:val="3"/>
            <w:tcMar>
              <w:top w:w="0" w:type="dxa"/>
              <w:left w:w="20" w:type="dxa"/>
              <w:bottom w:w="0" w:type="dxa"/>
              <w:right w:w="20" w:type="dxa"/>
            </w:tcMar>
            <w:vAlign w:val="center"/>
            <w:hideMark/>
          </w:tcPr>
          <w:p w:rsidR="00000000" w:rsidRDefault="007C49E1">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Foreign currency exchange gain</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(0.20)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(0.26)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20"/>
                <w:szCs w:val="20"/>
              </w:rPr>
              <w:t>Other items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0.02 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Core FFO per share </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3.65 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2.82 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29.4 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rPr>
                <w:rFonts w:eastAsia="Times New Roman"/>
              </w:rPr>
            </w:pPr>
            <w:r>
              <w:rPr>
                <w:rFonts w:eastAsia="Times New Roman"/>
                <w:color w:val="000000"/>
                <w:sz w:val="20"/>
                <w:szCs w:val="20"/>
              </w:rPr>
              <w:t>Diluted weighted average common shares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176,336 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174,840 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ind w:hanging="180"/>
        <w:jc w:val="both"/>
        <w:divId w:val="1545680742"/>
        <w:rPr>
          <w:rFonts w:eastAsia="Times New Roman"/>
        </w:rPr>
      </w:pPr>
    </w:p>
    <w:p w:rsidR="00000000" w:rsidRDefault="007C49E1">
      <w:pPr>
        <w:divId w:val="1727754293"/>
        <w:rPr>
          <w:rFonts w:eastAsia="Times New Roman"/>
        </w:rPr>
      </w:pPr>
      <w:r>
        <w:rPr>
          <w:rFonts w:eastAsia="Times New Roman"/>
          <w:b/>
          <w:bCs/>
          <w:color w:val="000000"/>
          <w:sz w:val="20"/>
          <w:szCs w:val="20"/>
        </w:rPr>
        <w:t>Analysis of Net Income - Self-Storage Operations</w:t>
      </w:r>
    </w:p>
    <w:p w:rsidR="00000000" w:rsidRDefault="007C49E1">
      <w:pPr>
        <w:ind w:firstLine="720"/>
        <w:jc w:val="both"/>
        <w:divId w:val="1570194685"/>
        <w:rPr>
          <w:rFonts w:eastAsia="Times New Roman"/>
        </w:rPr>
      </w:pPr>
      <w:r>
        <w:rPr>
          <w:rFonts w:eastAsia="Times New Roman"/>
          <w:color w:val="000000"/>
          <w:sz w:val="20"/>
          <w:szCs w:val="20"/>
        </w:rPr>
        <w:t>Our self-storage operations are analyzed in four groups: (i) the 2,282 facilities that we have owned and operated on a stabilized basis since January 1, 2020 (the “Same Store Facilities”), (ii) 304 facilities we acquired since January 1, 2020 (the “Acquire</w:t>
      </w:r>
      <w:r>
        <w:rPr>
          <w:rFonts w:eastAsia="Times New Roman"/>
          <w:color w:val="000000"/>
          <w:sz w:val="20"/>
          <w:szCs w:val="20"/>
        </w:rPr>
        <w:t>d Facilities”), (iii) 145 facilities that have been newly developed or expanded, or that will commence expansion by December 31, 2022 (the “Newly Developed and Expanded Facilities”), and (iv) 66 other facilities, which are otherwise not stabilized with res</w:t>
      </w:r>
      <w:r>
        <w:rPr>
          <w:rFonts w:eastAsia="Times New Roman"/>
          <w:color w:val="000000"/>
          <w:sz w:val="20"/>
          <w:szCs w:val="20"/>
        </w:rPr>
        <w:t>pect to occupancies or rental rates since January 1, 2020 (the “Other Non-same Store Facilities”). See Note 13 to our March 31, 2022 consolidated financial statements “Segment Information,” for a reconciliation of the amounts in the tables below to our tot</w:t>
      </w:r>
      <w:r>
        <w:rPr>
          <w:rFonts w:eastAsia="Times New Roman"/>
          <w:color w:val="000000"/>
          <w:sz w:val="20"/>
          <w:szCs w:val="20"/>
        </w:rPr>
        <w:t>al net income.</w:t>
      </w:r>
    </w:p>
    <w:p w:rsidR="00000000" w:rsidRDefault="007C49E1">
      <w:pPr>
        <w:jc w:val="center"/>
        <w:divId w:val="971054979"/>
        <w:rPr>
          <w:rFonts w:eastAsia="Times New Roman"/>
        </w:rPr>
      </w:pPr>
      <w:r>
        <w:rPr>
          <w:rFonts w:eastAsia="Times New Roman"/>
          <w:color w:val="000000"/>
          <w:sz w:val="20"/>
          <w:szCs w:val="20"/>
        </w:rPr>
        <w:t>24</w:t>
      </w:r>
    </w:p>
    <w:p w:rsidR="00000000" w:rsidRDefault="007C49E1">
      <w:pPr>
        <w:rPr>
          <w:rFonts w:eastAsia="Times New Roman"/>
        </w:rPr>
      </w:pPr>
      <w:r>
        <w:rPr>
          <w:rFonts w:eastAsia="Times New Roman"/>
        </w:rPr>
        <w:pict>
          <v:rect id="_x0000_i1050" style="width:0;height:1.5pt" o:hralign="center" o:hrstd="t" o:hr="t" fillcolor="#a0a0a0" stroked="f"/>
        </w:pict>
      </w:r>
    </w:p>
    <w:p w:rsidR="00000000" w:rsidRDefault="007C49E1">
      <w:pPr>
        <w:divId w:val="105867290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65"/>
        <w:gridCol w:w="38"/>
        <w:gridCol w:w="110"/>
        <w:gridCol w:w="1104"/>
        <w:gridCol w:w="36"/>
        <w:gridCol w:w="36"/>
        <w:gridCol w:w="36"/>
        <w:gridCol w:w="36"/>
        <w:gridCol w:w="110"/>
        <w:gridCol w:w="1056"/>
        <w:gridCol w:w="36"/>
        <w:gridCol w:w="36"/>
        <w:gridCol w:w="36"/>
        <w:gridCol w:w="36"/>
        <w:gridCol w:w="52"/>
        <w:gridCol w:w="1026"/>
        <w:gridCol w:w="170"/>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7C49E1">
            <w:pPr>
              <w:rPr>
                <w:rFonts w:eastAsia="Times New Roman"/>
              </w:rPr>
            </w:pPr>
          </w:p>
        </w:tc>
        <w:tc>
          <w:tcPr>
            <w:tcW w:w="243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75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75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75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Self-Storage Operations</w:t>
            </w: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 </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Summary</w:t>
            </w: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Three Months Ended March 31,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Percentage Change</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(Dollar amounts and square footage in thousands)</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Revenues:</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Same Store Facilities</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749,270 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647,200 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86,371 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11,123 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676.5 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60,076 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41,477 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44.8 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21,298 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16,547 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917,015 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716,347 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Cost of operations: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187,929 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181,419 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31,031 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7,177 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332.4 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19,417 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17,335 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7,117 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6,174 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245,494 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212,105 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Net operating income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561,341 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465,781 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55,340 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3,946 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1302.4 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40,659 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24,142 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68.4 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14,181 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10,373 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36.7 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Total net operating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671,521 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504,242 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33.2 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Depreciation and amortization expense: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(113,251)</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(110,663)</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(84,465)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(11,473)</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636.2 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(14,627)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(15,269)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(4.2)</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(9,785)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(9,454)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56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18"/>
                <w:szCs w:val="18"/>
              </w:rPr>
              <w:t>Total depreciation and amortization expense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(222,128)</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(146,859)</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51.3 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Net income (loss):</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448,090 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355,118 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(29,125)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(7,527)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286.9 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26,032 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8,873 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193.4 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4,396 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919 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378.3 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Total net income</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449,393 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357,383 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25.7 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Number of facilities at period end:</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2,282 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2,282 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304 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294.8 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2,797 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2,563 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9.1 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Net rentable square footage at period end:</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149,476 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149,476 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27,686 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6,162 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349.3 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16,641 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15,240 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5,315 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5,287 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199,118 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176,165 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jc w:val="center"/>
        <w:divId w:val="2041466771"/>
        <w:rPr>
          <w:rFonts w:eastAsia="Times New Roman"/>
        </w:rPr>
      </w:pPr>
      <w:r>
        <w:rPr>
          <w:rFonts w:eastAsia="Times New Roman"/>
          <w:color w:val="000000"/>
          <w:sz w:val="20"/>
          <w:szCs w:val="20"/>
        </w:rPr>
        <w:t>25</w:t>
      </w:r>
    </w:p>
    <w:p w:rsidR="00000000" w:rsidRDefault="007C49E1">
      <w:pPr>
        <w:rPr>
          <w:rFonts w:eastAsia="Times New Roman"/>
        </w:rPr>
      </w:pPr>
      <w:r>
        <w:rPr>
          <w:rFonts w:eastAsia="Times New Roman"/>
        </w:rPr>
        <w:pict>
          <v:rect id="_x0000_i1051" style="width:0;height:1.5pt" o:hralign="center" o:hrstd="t" o:hr="t" fillcolor="#a0a0a0" stroked="f"/>
        </w:pict>
      </w:r>
    </w:p>
    <w:p w:rsidR="00000000" w:rsidRDefault="007C49E1">
      <w:pPr>
        <w:divId w:val="520826737"/>
        <w:rPr>
          <w:rFonts w:eastAsia="Times New Roman"/>
        </w:rPr>
      </w:pPr>
    </w:p>
    <w:p w:rsidR="00000000" w:rsidRDefault="007C49E1">
      <w:pPr>
        <w:ind w:hanging="360"/>
        <w:jc w:val="both"/>
        <w:divId w:val="1054743820"/>
        <w:rPr>
          <w:rFonts w:eastAsia="Times New Roman"/>
        </w:rPr>
      </w:pPr>
      <w:r>
        <w:rPr>
          <w:rFonts w:eastAsia="Times New Roman"/>
          <w:color w:val="000000"/>
          <w:sz w:val="18"/>
          <w:szCs w:val="18"/>
        </w:rPr>
        <w:t xml:space="preserve">(a)Net operating income or “NOI” </w:t>
      </w:r>
      <w:r>
        <w:rPr>
          <w:rFonts w:eastAsia="Times New Roman"/>
          <w:color w:val="000000"/>
          <w:sz w:val="18"/>
          <w:szCs w:val="18"/>
        </w:rPr>
        <w:t>is a non-GAAP financial measure that excludes the impact of depreciation and amortization expense, which is based upon historical real estate costs and assumes that building values diminish ratably over time, while we believe that real estate values fluctu</w:t>
      </w:r>
      <w:r>
        <w:rPr>
          <w:rFonts w:eastAsia="Times New Roman"/>
          <w:color w:val="000000"/>
          <w:sz w:val="18"/>
          <w:szCs w:val="18"/>
        </w:rPr>
        <w:t>ate due to market conditions. We utilize NOI in determining current property values, evaluating property performance, and in evaluating property operating trends. We believe that investors and analysts utilize NOI in a similar manner. NOI is not a substitu</w:t>
      </w:r>
      <w:r>
        <w:rPr>
          <w:rFonts w:eastAsia="Times New Roman"/>
          <w:color w:val="000000"/>
          <w:sz w:val="18"/>
          <w:szCs w:val="18"/>
        </w:rPr>
        <w:t>te for net income, operating cash flow, or other related financial measures, in evaluating our operating results. See Note 13 to our March 31, 2022 consolidated financial statements for a reconciliation of NOI to our total net income for all periods presen</w:t>
      </w:r>
      <w:r>
        <w:rPr>
          <w:rFonts w:eastAsia="Times New Roman"/>
          <w:color w:val="000000"/>
          <w:sz w:val="18"/>
          <w:szCs w:val="18"/>
        </w:rPr>
        <w:t>ted.</w:t>
      </w:r>
    </w:p>
    <w:p w:rsidR="00000000" w:rsidRDefault="007C49E1">
      <w:pPr>
        <w:ind w:firstLine="720"/>
        <w:jc w:val="both"/>
        <w:rPr>
          <w:rFonts w:eastAsia="Times New Roman"/>
        </w:rPr>
      </w:pPr>
      <w:r>
        <w:rPr>
          <w:rFonts w:eastAsia="Times New Roman"/>
          <w:i/>
          <w:iCs/>
          <w:color w:val="000000"/>
          <w:sz w:val="20"/>
          <w:szCs w:val="20"/>
        </w:rPr>
        <w:t>Same Store Facilities</w:t>
      </w:r>
    </w:p>
    <w:p w:rsidR="00000000" w:rsidRDefault="007C49E1">
      <w:pPr>
        <w:ind w:firstLine="720"/>
        <w:jc w:val="both"/>
        <w:rPr>
          <w:rFonts w:eastAsia="Times New Roman"/>
        </w:rPr>
      </w:pPr>
    </w:p>
    <w:p w:rsidR="00000000" w:rsidRDefault="007C49E1">
      <w:pPr>
        <w:ind w:firstLine="720"/>
        <w:jc w:val="both"/>
        <w:rPr>
          <w:rFonts w:eastAsia="Times New Roman"/>
        </w:rPr>
      </w:pPr>
      <w:r>
        <w:rPr>
          <w:rFonts w:eastAsia="Times New Roman"/>
          <w:color w:val="000000"/>
          <w:sz w:val="20"/>
          <w:szCs w:val="20"/>
        </w:rPr>
        <w:t>The Same Store Facilities consist of facilities we have owned and operated on a stabilized level of occupancy, revenues, and cost of operations since January 1, 2020. Our Same Store Facilities increased from 2,274 facilities at</w:t>
      </w:r>
      <w:r>
        <w:rPr>
          <w:rFonts w:eastAsia="Times New Roman"/>
          <w:color w:val="000000"/>
          <w:sz w:val="20"/>
          <w:szCs w:val="20"/>
        </w:rPr>
        <w:t xml:space="preserve"> December 31, 2021 to 2,282 at March 31, 2022. The composition of our Same Store Facilities allows us more effectively to evaluate the ongoing performance of our self-storage portfolio in 2020, 2021, and 2022 and exclude the impact of fill-up of unstabiliz</w:t>
      </w:r>
      <w:r>
        <w:rPr>
          <w:rFonts w:eastAsia="Times New Roman"/>
          <w:color w:val="000000"/>
          <w:sz w:val="20"/>
          <w:szCs w:val="20"/>
        </w:rPr>
        <w:t>ed facilities, which can significantly affect operating trends. We believe investors and analysts use Same Store information in a similar manner. However, because other REITs may not compute Same Store Facilities in the same manner as we do, may not use th</w:t>
      </w:r>
      <w:r>
        <w:rPr>
          <w:rFonts w:eastAsia="Times New Roman"/>
          <w:color w:val="000000"/>
          <w:sz w:val="20"/>
          <w:szCs w:val="20"/>
        </w:rPr>
        <w:t xml:space="preserve">e same terminology or may not present such a measure, Same Store Facilities may not be comparable among REITs. </w:t>
      </w:r>
    </w:p>
    <w:p w:rsidR="00000000" w:rsidRDefault="007C49E1">
      <w:pPr>
        <w:ind w:firstLine="720"/>
        <w:jc w:val="both"/>
        <w:rPr>
          <w:rFonts w:eastAsia="Times New Roman"/>
        </w:rPr>
      </w:pPr>
    </w:p>
    <w:p w:rsidR="00000000" w:rsidRDefault="007C49E1">
      <w:pPr>
        <w:ind w:firstLine="720"/>
        <w:jc w:val="both"/>
        <w:rPr>
          <w:rFonts w:eastAsia="Times New Roman"/>
        </w:rPr>
      </w:pPr>
      <w:r>
        <w:rPr>
          <w:rFonts w:eastAsia="Times New Roman"/>
          <w:color w:val="000000"/>
          <w:sz w:val="20"/>
          <w:szCs w:val="20"/>
        </w:rPr>
        <w:t>The following table summarizes the historical operating results of these 2,282 facilities (149.5 million net rentable square feet) that repres</w:t>
      </w:r>
      <w:r>
        <w:rPr>
          <w:rFonts w:eastAsia="Times New Roman"/>
          <w:color w:val="000000"/>
          <w:sz w:val="20"/>
          <w:szCs w:val="20"/>
        </w:rPr>
        <w:t>ent approximately 75% of the aggregate net rentable square feet of our U.S. consolidated self-storage portfolio at March 31, 2022. It includes various measures and detail that we do not include in the analysis of the developed, acquired, and other non-same</w:t>
      </w:r>
      <w:r>
        <w:rPr>
          <w:rFonts w:eastAsia="Times New Roman"/>
          <w:color w:val="000000"/>
          <w:sz w:val="20"/>
          <w:szCs w:val="20"/>
        </w:rPr>
        <w:t xml:space="preserve"> store facilities, due to the relative magnitude and importance of the Same Store Facilities relative to our other self-storage facilities.</w:t>
      </w:r>
    </w:p>
    <w:p w:rsidR="00000000" w:rsidRDefault="007C49E1">
      <w:pPr>
        <w:ind w:firstLine="720"/>
        <w:jc w:val="both"/>
        <w:rPr>
          <w:rFonts w:eastAsia="Times New Roman"/>
        </w:rPr>
      </w:pPr>
    </w:p>
    <w:p w:rsidR="00000000" w:rsidRDefault="007C49E1">
      <w:pPr>
        <w:jc w:val="center"/>
        <w:divId w:val="1815098769"/>
        <w:rPr>
          <w:rFonts w:eastAsia="Times New Roman"/>
        </w:rPr>
      </w:pPr>
      <w:r>
        <w:rPr>
          <w:rFonts w:eastAsia="Times New Roman"/>
          <w:color w:val="000000"/>
          <w:sz w:val="20"/>
          <w:szCs w:val="20"/>
        </w:rPr>
        <w:t>26</w:t>
      </w:r>
    </w:p>
    <w:p w:rsidR="00000000" w:rsidRDefault="007C49E1">
      <w:pPr>
        <w:rPr>
          <w:rFonts w:eastAsia="Times New Roman"/>
        </w:rPr>
      </w:pPr>
      <w:r>
        <w:rPr>
          <w:rFonts w:eastAsia="Times New Roman"/>
        </w:rPr>
        <w:pict>
          <v:rect id="_x0000_i1052" style="width:0;height:1.5pt" o:hralign="center" o:hrstd="t" o:hr="t" fillcolor="#a0a0a0" stroked="f"/>
        </w:pict>
      </w:r>
    </w:p>
    <w:p w:rsidR="00000000" w:rsidRDefault="007C49E1">
      <w:pPr>
        <w:divId w:val="1352873538"/>
        <w:rPr>
          <w:rFonts w:eastAsia="Times New Roman"/>
        </w:rPr>
      </w:pPr>
    </w:p>
    <w:p w:rsidR="00000000" w:rsidRDefault="007C49E1">
      <w:pPr>
        <w:divId w:val="1928490706"/>
        <w:rPr>
          <w:rFonts w:eastAsia="Times New Roman"/>
        </w:rPr>
      </w:pPr>
      <w:r>
        <w:rPr>
          <w:rFonts w:eastAsia="Times New Roman"/>
          <w:b/>
          <w:bCs/>
          <w:color w:val="000000"/>
          <w:sz w:val="20"/>
          <w:szCs w:val="20"/>
        </w:rPr>
        <w:t>Selected Operating Data for the Same Store Facilities (2,282 facilities)</w:t>
      </w:r>
    </w:p>
    <w:p w:rsidR="00000000" w:rsidRDefault="007C49E1">
      <w:pPr>
        <w:jc w:val="both"/>
        <w:divId w:val="406995803"/>
        <w:rPr>
          <w:rFonts w:eastAsia="Times New Roman"/>
        </w:rPr>
      </w:pPr>
    </w:p>
    <w:tbl>
      <w:tblPr>
        <w:tblW w:w="4984" w:type="pct"/>
        <w:jc w:val="center"/>
        <w:tblCellMar>
          <w:top w:w="15" w:type="dxa"/>
          <w:left w:w="15" w:type="dxa"/>
          <w:bottom w:w="15" w:type="dxa"/>
          <w:right w:w="15" w:type="dxa"/>
        </w:tblCellMar>
        <w:tblLook w:val="04A0" w:firstRow="1" w:lastRow="0" w:firstColumn="1" w:lastColumn="0" w:noHBand="0" w:noVBand="1"/>
      </w:tblPr>
      <w:tblGrid>
        <w:gridCol w:w="38"/>
        <w:gridCol w:w="3495"/>
        <w:gridCol w:w="37"/>
        <w:gridCol w:w="120"/>
        <w:gridCol w:w="1176"/>
        <w:gridCol w:w="36"/>
        <w:gridCol w:w="36"/>
        <w:gridCol w:w="36"/>
        <w:gridCol w:w="36"/>
        <w:gridCol w:w="120"/>
        <w:gridCol w:w="1142"/>
        <w:gridCol w:w="36"/>
        <w:gridCol w:w="36"/>
        <w:gridCol w:w="36"/>
        <w:gridCol w:w="36"/>
        <w:gridCol w:w="54"/>
        <w:gridCol w:w="1125"/>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7C49E1">
            <w:pPr>
              <w:jc w:val="both"/>
              <w:rPr>
                <w:rFonts w:eastAsia="Times New Roman"/>
              </w:rPr>
            </w:pPr>
          </w:p>
        </w:tc>
        <w:tc>
          <w:tcPr>
            <w:tcW w:w="231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79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79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796"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Three Months Ended March 31,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Percentage Change</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hideMark/>
          </w:tcPr>
          <w:p w:rsidR="00000000" w:rsidRDefault="007C49E1">
            <w:pPr>
              <w:spacing w:after="100"/>
              <w:jc w:val="center"/>
              <w:rPr>
                <w:rFonts w:eastAsia="Times New Roman"/>
              </w:rPr>
            </w:pPr>
            <w:r>
              <w:rPr>
                <w:rFonts w:eastAsia="Times New Roman"/>
                <w:color w:val="000000"/>
                <w:sz w:val="20"/>
                <w:szCs w:val="20"/>
              </w:rPr>
              <w:t>(Dollar amounts in thousands, except for per square foot data)</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Revenues (a):</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Rental income </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725,433 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627,153 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Late charges and administrative fees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23,837 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20,047 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18.9%</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749,270 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647,200 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15.8%</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Direct cost of operations (a):</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Property taxes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70,004 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66,782 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4.8%</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On-site property manager payroll</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30,700 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28,744 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6.8%</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Repairs and maintenance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15,490 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13,021 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19.0%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Utilities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11,446 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10,796 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Marketing</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11,240 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14,610 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(23.1)%</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Other direct property costs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20,066 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18,364 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9.3%</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Total direct cost of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158,946 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152,317 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4.4%</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Direct net operating income (b)</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590,324 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494,883 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19.3%</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Indirect cost of operations (a):</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Supervisory payroll</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(9,567)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(10,330)</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(7.4)%</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Centralized management costs</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(15,557)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(13,237)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17.5%</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Share-based compensation</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(3,859)</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(5,535)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(30.3)%</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Net operating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561,341 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465,781 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20.5%</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20"/>
                <w:szCs w:val="20"/>
              </w:rPr>
              <w:t>Depreciation and amortization expense</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(113,251)</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(110,663)</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2.3%</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448,090 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355,118 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26.2%</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20"/>
                <w:szCs w:val="20"/>
              </w:rPr>
              <w:t>Gross margin (before indirect costs, depreciation and amortization expense)</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78.8%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76.5%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20"/>
                <w:szCs w:val="20"/>
              </w:rPr>
              <w:t>Gross margin (before depreciation and amortization expense)</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74.9%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72.0%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Weighted average for the period:</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59"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Square foot occupancy </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95.6%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95.6%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20"/>
                <w:szCs w:val="20"/>
              </w:rPr>
              <w:t>Realized annual rental income per (c):</w:t>
            </w:r>
          </w:p>
        </w:tc>
        <w:tc>
          <w:tcPr>
            <w:tcW w:w="0" w:type="auto"/>
            <w:gridSpan w:val="3"/>
            <w:tcMar>
              <w:top w:w="0" w:type="dxa"/>
              <w:left w:w="20" w:type="dxa"/>
              <w:bottom w:w="0" w:type="dxa"/>
              <w:right w:w="20" w:type="dxa"/>
            </w:tcMar>
            <w:vAlign w:val="center"/>
            <w:hideMark/>
          </w:tcPr>
          <w:p w:rsidR="00000000" w:rsidRDefault="007C49E1">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Occupied square foot</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20.29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17.54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Available square foot</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19.40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16.78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15.6%</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342823117"/>
              <w:rPr>
                <w:rFonts w:eastAsia="Times New Roman"/>
              </w:rPr>
            </w:pPr>
            <w:r>
              <w:rPr>
                <w:rFonts w:eastAsia="Times New Roman"/>
                <w:color w:val="000000"/>
                <w:sz w:val="20"/>
                <w:szCs w:val="20"/>
              </w:rPr>
              <w:t>At March 31:</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Square foot occupancy</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95.1%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95.9%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(0.8)%</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20"/>
                <w:szCs w:val="20"/>
              </w:rPr>
              <w:t>Annual contract rent per occupied square foot (d)</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20.84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17.97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16.0%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jc w:val="center"/>
        <w:divId w:val="882055361"/>
        <w:rPr>
          <w:rFonts w:eastAsia="Times New Roman"/>
        </w:rPr>
      </w:pPr>
      <w:r>
        <w:rPr>
          <w:rFonts w:eastAsia="Times New Roman"/>
          <w:color w:val="000000"/>
          <w:sz w:val="20"/>
          <w:szCs w:val="20"/>
        </w:rPr>
        <w:t>27</w:t>
      </w:r>
    </w:p>
    <w:p w:rsidR="00000000" w:rsidRDefault="007C49E1">
      <w:pPr>
        <w:rPr>
          <w:rFonts w:eastAsia="Times New Roman"/>
        </w:rPr>
      </w:pPr>
      <w:r>
        <w:rPr>
          <w:rFonts w:eastAsia="Times New Roman"/>
        </w:rPr>
        <w:pict>
          <v:rect id="_x0000_i1053" style="width:0;height:1.5pt" o:hralign="center" o:hrstd="t" o:hr="t" fillcolor="#a0a0a0" stroked="f"/>
        </w:pict>
      </w:r>
    </w:p>
    <w:p w:rsidR="00000000" w:rsidRDefault="007C49E1">
      <w:pPr>
        <w:divId w:val="1325623896"/>
        <w:rPr>
          <w:rFonts w:eastAsia="Times New Roman"/>
        </w:rPr>
      </w:pPr>
    </w:p>
    <w:p w:rsidR="00000000" w:rsidRDefault="007C49E1">
      <w:pPr>
        <w:ind w:hanging="360"/>
        <w:jc w:val="both"/>
        <w:divId w:val="238368362"/>
        <w:rPr>
          <w:rFonts w:eastAsia="Times New Roman"/>
        </w:rPr>
      </w:pPr>
      <w:r>
        <w:rPr>
          <w:rFonts w:eastAsia="Times New Roman"/>
          <w:color w:val="000000"/>
          <w:sz w:val="18"/>
          <w:szCs w:val="18"/>
        </w:rPr>
        <w:t>(a)Revenues and cost of operations do not include tenant reinsurance and merchandise sale revenues and expenses generated at the facilities. See “Ancillary Operations” below for more information.</w:t>
      </w:r>
    </w:p>
    <w:p w:rsidR="00000000" w:rsidRDefault="007C49E1">
      <w:pPr>
        <w:ind w:hanging="360"/>
        <w:jc w:val="both"/>
        <w:divId w:val="334038513"/>
        <w:rPr>
          <w:rFonts w:eastAsia="Times New Roman"/>
        </w:rPr>
      </w:pPr>
      <w:r>
        <w:rPr>
          <w:rFonts w:eastAsia="Times New Roman"/>
          <w:color w:val="000000"/>
          <w:sz w:val="18"/>
          <w:szCs w:val="18"/>
        </w:rPr>
        <w:t>(b)Direct net operatin</w:t>
      </w:r>
      <w:r>
        <w:rPr>
          <w:rFonts w:eastAsia="Times New Roman"/>
          <w:color w:val="000000"/>
          <w:sz w:val="18"/>
          <w:szCs w:val="18"/>
        </w:rPr>
        <w:t>g income (“Direct NOI”), a subtotal within NOI, is a non-GAAP financial measure that excludes the impact of supervisory payroll, centralized management costs and share-based compensation in addition to depreciation and amortization expense. We utilize dire</w:t>
      </w:r>
      <w:r>
        <w:rPr>
          <w:rFonts w:eastAsia="Times New Roman"/>
          <w:color w:val="000000"/>
          <w:sz w:val="18"/>
          <w:szCs w:val="18"/>
        </w:rPr>
        <w:t xml:space="preserve">ct net operating income in evaluating property performance and in evaluating property operating trends as compared to our competitors. </w:t>
      </w:r>
    </w:p>
    <w:p w:rsidR="00000000" w:rsidRDefault="007C49E1">
      <w:pPr>
        <w:ind w:hanging="360"/>
        <w:jc w:val="both"/>
        <w:divId w:val="1810323917"/>
        <w:rPr>
          <w:rFonts w:eastAsia="Times New Roman"/>
        </w:rPr>
      </w:pPr>
      <w:r>
        <w:rPr>
          <w:rFonts w:eastAsia="Times New Roman"/>
          <w:color w:val="000000"/>
          <w:sz w:val="18"/>
          <w:szCs w:val="18"/>
        </w:rPr>
        <w:t>(c)</w:t>
      </w:r>
      <w:r>
        <w:rPr>
          <w:rFonts w:eastAsia="Times New Roman"/>
          <w:color w:val="000000"/>
          <w:sz w:val="18"/>
          <w:szCs w:val="18"/>
        </w:rPr>
        <w:t>Realized annual rent per occupied square foot is computed by dividing rental income, before late charges and administrative fees, by the weighted average occupied square feet for the period. Realized annual rent per available square foot (“REVPAF”) is comp</w:t>
      </w:r>
      <w:r>
        <w:rPr>
          <w:rFonts w:eastAsia="Times New Roman"/>
          <w:color w:val="000000"/>
          <w:sz w:val="18"/>
          <w:szCs w:val="18"/>
        </w:rPr>
        <w:t>uted by dividing rental income, before late charges and administrative fees, by the total available net rentable square feet for the period. These measures exclude late charges and administrative fees in order to provide a better measure of our ongoing lev</w:t>
      </w:r>
      <w:r>
        <w:rPr>
          <w:rFonts w:eastAsia="Times New Roman"/>
          <w:color w:val="000000"/>
          <w:sz w:val="18"/>
          <w:szCs w:val="18"/>
        </w:rPr>
        <w:t>el of revenue. Late charges are dependent upon the level of delinquency and administrative fees are dependent upon the level of move-ins. In addition, the rates charged for late charges and administrative fees can vary independently from rental rates. Thes</w:t>
      </w:r>
      <w:r>
        <w:rPr>
          <w:rFonts w:eastAsia="Times New Roman"/>
          <w:color w:val="000000"/>
          <w:sz w:val="18"/>
          <w:szCs w:val="18"/>
        </w:rPr>
        <w:t xml:space="preserve">e measures take into consideration promotional discounts, which reduce rental income. </w:t>
      </w:r>
    </w:p>
    <w:p w:rsidR="00000000" w:rsidRDefault="007C49E1">
      <w:pPr>
        <w:ind w:hanging="360"/>
        <w:jc w:val="both"/>
        <w:divId w:val="932981482"/>
        <w:rPr>
          <w:rFonts w:eastAsia="Times New Roman"/>
        </w:rPr>
      </w:pPr>
      <w:r>
        <w:rPr>
          <w:rFonts w:eastAsia="Times New Roman"/>
          <w:color w:val="000000"/>
          <w:sz w:val="18"/>
          <w:szCs w:val="18"/>
        </w:rPr>
        <w:t xml:space="preserve">(d)Annual contract rent represents the agreed upon monthly rate that is paid by our tenants in place at the time of measurement. Contract rates are initially set in the </w:t>
      </w:r>
      <w:r>
        <w:rPr>
          <w:rFonts w:eastAsia="Times New Roman"/>
          <w:color w:val="000000"/>
          <w:sz w:val="18"/>
          <w:szCs w:val="18"/>
        </w:rPr>
        <w:t>lease agreement upon move-in and we adjust them from time to time with notice. Contract rent excludes other fees that are charged on a per-item basis, such as late charges and administrative fees, does not reflect the impact of promotional discounts, and d</w:t>
      </w:r>
      <w:r>
        <w:rPr>
          <w:rFonts w:eastAsia="Times New Roman"/>
          <w:color w:val="000000"/>
          <w:sz w:val="18"/>
          <w:szCs w:val="18"/>
        </w:rPr>
        <w:t>oes not reflect the impact of rents that are written off as uncollectible.</w:t>
      </w:r>
    </w:p>
    <w:p w:rsidR="00000000" w:rsidRDefault="007C49E1">
      <w:pPr>
        <w:divId w:val="1827629972"/>
        <w:rPr>
          <w:rFonts w:eastAsia="Times New Roman"/>
        </w:rPr>
      </w:pPr>
      <w:r>
        <w:rPr>
          <w:rFonts w:eastAsia="Times New Roman"/>
          <w:i/>
          <w:iCs/>
          <w:color w:val="000000"/>
          <w:sz w:val="20"/>
          <w:szCs w:val="20"/>
        </w:rPr>
        <w:t>Analysis of Same Store Revenue</w:t>
      </w:r>
    </w:p>
    <w:p w:rsidR="00000000" w:rsidRDefault="007C49E1">
      <w:pPr>
        <w:ind w:firstLine="720"/>
        <w:jc w:val="both"/>
        <w:divId w:val="605889172"/>
        <w:rPr>
          <w:rFonts w:eastAsia="Times New Roman"/>
        </w:rPr>
      </w:pPr>
      <w:r>
        <w:rPr>
          <w:rFonts w:eastAsia="Times New Roman"/>
          <w:color w:val="000000"/>
          <w:sz w:val="20"/>
          <w:szCs w:val="20"/>
        </w:rPr>
        <w:t>We believe a balanced occupancy and rate strategy maximizes our revenues over time. We regularly adjust rental rates and promotional discounts offered</w:t>
      </w:r>
      <w:r>
        <w:rPr>
          <w:rFonts w:eastAsia="Times New Roman"/>
          <w:color w:val="000000"/>
          <w:sz w:val="20"/>
          <w:szCs w:val="20"/>
        </w:rPr>
        <w:t xml:space="preserve"> (generally, “$1.00 rent for the first month”), as well as our marketing efforts to maximize revenue from new tenants to replace tenants that vacate. </w:t>
      </w:r>
    </w:p>
    <w:p w:rsidR="00000000" w:rsidRDefault="007C49E1">
      <w:pPr>
        <w:ind w:firstLine="720"/>
        <w:jc w:val="both"/>
        <w:divId w:val="353926928"/>
        <w:rPr>
          <w:rFonts w:eastAsia="Times New Roman"/>
        </w:rPr>
      </w:pPr>
      <w:r>
        <w:rPr>
          <w:rFonts w:eastAsia="Times New Roman"/>
          <w:color w:val="000000"/>
          <w:sz w:val="20"/>
          <w:szCs w:val="20"/>
        </w:rPr>
        <w:t>We typically increase rental rates to our long-term tenants (generally, those who have been with us for a</w:t>
      </w:r>
      <w:r>
        <w:rPr>
          <w:rFonts w:eastAsia="Times New Roman"/>
          <w:color w:val="000000"/>
          <w:sz w:val="20"/>
          <w:szCs w:val="20"/>
        </w:rPr>
        <w:t>t least a year) every six to twelve months. As a result, the number of long-term tenants we have in our facilities is an important factor in our revenue growth. The level of rate increases to long-term tenants is based upon evaluating the additional revenu</w:t>
      </w:r>
      <w:r>
        <w:rPr>
          <w:rFonts w:eastAsia="Times New Roman"/>
          <w:color w:val="000000"/>
          <w:sz w:val="20"/>
          <w:szCs w:val="20"/>
        </w:rPr>
        <w:t xml:space="preserve">e from the increase against the negative impact of incremental move-outs, by considering the customer’s in-place rent and prevailing market rents, among other factors. </w:t>
      </w:r>
    </w:p>
    <w:p w:rsidR="00000000" w:rsidRDefault="007C49E1">
      <w:pPr>
        <w:ind w:firstLine="720"/>
        <w:jc w:val="both"/>
        <w:divId w:val="766776945"/>
        <w:rPr>
          <w:rFonts w:eastAsia="Times New Roman"/>
        </w:rPr>
      </w:pPr>
      <w:r>
        <w:rPr>
          <w:rFonts w:eastAsia="Times New Roman"/>
          <w:color w:val="000000"/>
          <w:sz w:val="20"/>
          <w:szCs w:val="20"/>
        </w:rPr>
        <w:t>Revenues generated by our Same Store Facilities increased 15.8% in the three months end</w:t>
      </w:r>
      <w:r>
        <w:rPr>
          <w:rFonts w:eastAsia="Times New Roman"/>
          <w:color w:val="000000"/>
          <w:sz w:val="20"/>
          <w:szCs w:val="20"/>
        </w:rPr>
        <w:t xml:space="preserve">ed March 31, 2022, as compared to the same period in 2021, due primarily to a 15.7% increase in realized annual rent per occupied square foot. </w:t>
      </w:r>
    </w:p>
    <w:p w:rsidR="00000000" w:rsidRDefault="007C49E1">
      <w:pPr>
        <w:ind w:firstLine="720"/>
        <w:jc w:val="both"/>
        <w:divId w:val="46496135"/>
        <w:rPr>
          <w:rFonts w:eastAsia="Times New Roman"/>
        </w:rPr>
      </w:pPr>
      <w:r>
        <w:rPr>
          <w:rFonts w:eastAsia="Times New Roman"/>
          <w:color w:val="000000"/>
          <w:sz w:val="20"/>
          <w:szCs w:val="20"/>
        </w:rPr>
        <w:t>Our growth in revenues, realized annual rent per occupied square foot, and REVPAF for the three months ended Mar</w:t>
      </w:r>
      <w:r>
        <w:rPr>
          <w:rFonts w:eastAsia="Times New Roman"/>
          <w:color w:val="000000"/>
          <w:sz w:val="20"/>
          <w:szCs w:val="20"/>
        </w:rPr>
        <w:t>ch 31, 2022 as compared to the same period in 2021 was evident in each of our markets. Our weighted average square foot occupancy remained strong across our markets for the three months ended March 31, 2022.</w:t>
      </w:r>
    </w:p>
    <w:p w:rsidR="00000000" w:rsidRDefault="007C49E1">
      <w:pPr>
        <w:ind w:firstLine="720"/>
        <w:jc w:val="both"/>
        <w:divId w:val="1794473814"/>
        <w:rPr>
          <w:rFonts w:eastAsia="Times New Roman"/>
        </w:rPr>
      </w:pPr>
      <w:r>
        <w:rPr>
          <w:rFonts w:eastAsia="Times New Roman"/>
          <w:color w:val="000000"/>
          <w:sz w:val="20"/>
          <w:szCs w:val="20"/>
        </w:rPr>
        <w:t>The increase of realized annual rent per occupie</w:t>
      </w:r>
      <w:r>
        <w:rPr>
          <w:rFonts w:eastAsia="Times New Roman"/>
          <w:color w:val="000000"/>
          <w:sz w:val="20"/>
          <w:szCs w:val="20"/>
        </w:rPr>
        <w:t>d square foot in the three months ended March 31, 2022 as compared to the same period in 2021 was due to (i) rate increases to existing long-term tenants in substantially all of our markets in 2022 as compared to curtailed increases in certain markets in 2</w:t>
      </w:r>
      <w:r>
        <w:rPr>
          <w:rFonts w:eastAsia="Times New Roman"/>
          <w:color w:val="000000"/>
          <w:sz w:val="20"/>
          <w:szCs w:val="20"/>
        </w:rPr>
        <w:t>021, combined with (ii) a 15.1% year over year increase in average rates per square foot charged to new tenants moving in as a result of strong customer demand across all markets. At March 31, 2022, annual contract rent per occupied square foot was 16.0% h</w:t>
      </w:r>
      <w:r>
        <w:rPr>
          <w:rFonts w:eastAsia="Times New Roman"/>
          <w:color w:val="000000"/>
          <w:sz w:val="20"/>
          <w:szCs w:val="20"/>
        </w:rPr>
        <w:t>igher as compared to March 31, 2021.</w:t>
      </w:r>
    </w:p>
    <w:p w:rsidR="00000000" w:rsidRDefault="007C49E1">
      <w:pPr>
        <w:ind w:firstLine="720"/>
        <w:jc w:val="both"/>
        <w:divId w:val="678822489"/>
        <w:rPr>
          <w:rFonts w:eastAsia="Times New Roman"/>
        </w:rPr>
      </w:pPr>
      <w:r>
        <w:rPr>
          <w:rFonts w:eastAsia="Times New Roman"/>
          <w:color w:val="000000"/>
          <w:sz w:val="20"/>
          <w:szCs w:val="20"/>
        </w:rPr>
        <w:t>We experienced high occupancy levels throughout the first three months of 2022. Our average square foot occupancy levels remained unchanged on a year over year basis at 95.6% during the three months ended March 31, 2022</w:t>
      </w:r>
      <w:r>
        <w:rPr>
          <w:rFonts w:eastAsia="Times New Roman"/>
          <w:color w:val="000000"/>
          <w:sz w:val="20"/>
          <w:szCs w:val="20"/>
        </w:rPr>
        <w:t>. Move-out volumes increased 5.0% and move-in volumes decreased 4.9% in the three months ended March 31, 2022 as compared to the same period in 2021, leading to a lower square foot occupancy at March 31, 2022 of 95.1% as compared to 95.9% at March 31, 2021</w:t>
      </w:r>
      <w:r>
        <w:rPr>
          <w:rFonts w:eastAsia="Times New Roman"/>
          <w:color w:val="000000"/>
          <w:sz w:val="20"/>
          <w:szCs w:val="20"/>
        </w:rPr>
        <w:t>. Move-out volumes were impacted by rental rate increases to our existing tenants, while move-in volumes were impacted by the higher rental rates charged to new tenants in the three months ended March 31, 2022 as compared to the same period in 2021. Averag</w:t>
      </w:r>
      <w:r>
        <w:rPr>
          <w:rFonts w:eastAsia="Times New Roman"/>
          <w:color w:val="000000"/>
          <w:sz w:val="20"/>
          <w:szCs w:val="20"/>
        </w:rPr>
        <w:t>e length of stay increased in the three months ended March 31, 2022 as compared to the same period in 2021, which supported revenue growth through rate increases to long-term tenants. With strong occupancy, we reduced promotional discounts given to new mov</w:t>
      </w:r>
      <w:r>
        <w:rPr>
          <w:rFonts w:eastAsia="Times New Roman"/>
          <w:color w:val="000000"/>
          <w:sz w:val="20"/>
          <w:szCs w:val="20"/>
        </w:rPr>
        <w:t>e-in customers for the three months ended March 31, 2022 by 43.7% as compared to the same period in 2021.</w:t>
      </w:r>
    </w:p>
    <w:p w:rsidR="00000000" w:rsidRDefault="007C49E1">
      <w:pPr>
        <w:ind w:firstLine="720"/>
        <w:jc w:val="both"/>
        <w:divId w:val="555900370"/>
        <w:rPr>
          <w:rFonts w:eastAsia="Times New Roman"/>
        </w:rPr>
      </w:pPr>
      <w:r>
        <w:rPr>
          <w:rFonts w:eastAsia="Times New Roman"/>
          <w:color w:val="000000"/>
          <w:sz w:val="20"/>
          <w:szCs w:val="20"/>
        </w:rPr>
        <w:t>Demand historically has been higher in the summer months than in the winter months and, as a result, rental rates charged to new tenants have typicall</w:t>
      </w:r>
      <w:r>
        <w:rPr>
          <w:rFonts w:eastAsia="Times New Roman"/>
          <w:color w:val="000000"/>
          <w:sz w:val="20"/>
          <w:szCs w:val="20"/>
        </w:rPr>
        <w:t>y been higher in the summer months than in the winter months. Demand fluctuates due to various local and regional factors, including the overall economy. Demand into our system is also impacted by new supply of self-storage space as well as alternatives to</w:t>
      </w:r>
      <w:r>
        <w:rPr>
          <w:rFonts w:eastAsia="Times New Roman"/>
          <w:color w:val="000000"/>
          <w:sz w:val="20"/>
          <w:szCs w:val="20"/>
        </w:rPr>
        <w:t xml:space="preserve"> self-storage.</w:t>
      </w:r>
    </w:p>
    <w:p w:rsidR="00000000" w:rsidRDefault="007C49E1">
      <w:pPr>
        <w:jc w:val="center"/>
        <w:divId w:val="1681851484"/>
        <w:rPr>
          <w:rFonts w:eastAsia="Times New Roman"/>
        </w:rPr>
      </w:pPr>
      <w:r>
        <w:rPr>
          <w:rFonts w:eastAsia="Times New Roman"/>
          <w:color w:val="000000"/>
          <w:sz w:val="20"/>
          <w:szCs w:val="20"/>
        </w:rPr>
        <w:t>28</w:t>
      </w:r>
    </w:p>
    <w:p w:rsidR="00000000" w:rsidRDefault="007C49E1">
      <w:pPr>
        <w:rPr>
          <w:rFonts w:eastAsia="Times New Roman"/>
        </w:rPr>
      </w:pPr>
      <w:r>
        <w:rPr>
          <w:rFonts w:eastAsia="Times New Roman"/>
        </w:rPr>
        <w:pict>
          <v:rect id="_x0000_i1054" style="width:0;height:1.5pt" o:hralign="center" o:hrstd="t" o:hr="t" fillcolor="#a0a0a0" stroked="f"/>
        </w:pict>
      </w:r>
    </w:p>
    <w:p w:rsidR="00000000" w:rsidRDefault="007C49E1">
      <w:pPr>
        <w:divId w:val="2110538354"/>
        <w:rPr>
          <w:rFonts w:eastAsia="Times New Roman"/>
        </w:rPr>
      </w:pPr>
    </w:p>
    <w:p w:rsidR="00000000" w:rsidRDefault="007C49E1">
      <w:pPr>
        <w:ind w:firstLine="720"/>
        <w:jc w:val="both"/>
        <w:divId w:val="1358964641"/>
        <w:rPr>
          <w:rFonts w:eastAsia="Times New Roman"/>
        </w:rPr>
      </w:pPr>
      <w:r>
        <w:rPr>
          <w:rFonts w:eastAsia="Times New Roman"/>
          <w:color w:val="000000"/>
          <w:sz w:val="20"/>
          <w:szCs w:val="20"/>
        </w:rPr>
        <w:t>We expect continued revenue growth for the remainder of 2022 supported by consistently high customer demand and a stable tenant base leading to increasing realized annual rent per occupied square foot</w:t>
      </w:r>
      <w:r>
        <w:rPr>
          <w:rFonts w:eastAsia="Times New Roman"/>
          <w:color w:val="000000"/>
          <w:sz w:val="20"/>
          <w:szCs w:val="20"/>
        </w:rPr>
        <w:t xml:space="preserve"> while maintaining a high level of occupancy. </w:t>
      </w:r>
    </w:p>
    <w:p w:rsidR="00000000" w:rsidRDefault="007C49E1">
      <w:pPr>
        <w:ind w:firstLine="720"/>
        <w:jc w:val="both"/>
        <w:divId w:val="1622763073"/>
        <w:rPr>
          <w:rFonts w:eastAsia="Times New Roman"/>
        </w:rPr>
      </w:pPr>
      <w:r>
        <w:rPr>
          <w:rFonts w:eastAsia="Times New Roman"/>
          <w:color w:val="000000"/>
          <w:sz w:val="20"/>
          <w:szCs w:val="20"/>
          <w:u w:val="single"/>
        </w:rPr>
        <w:t>Late Charges and Administrative Fees</w:t>
      </w:r>
    </w:p>
    <w:p w:rsidR="00000000" w:rsidRDefault="007C49E1">
      <w:pPr>
        <w:ind w:firstLine="720"/>
        <w:jc w:val="both"/>
        <w:divId w:val="1639065870"/>
        <w:rPr>
          <w:rFonts w:eastAsia="Times New Roman"/>
        </w:rPr>
      </w:pPr>
      <w:r>
        <w:rPr>
          <w:rFonts w:eastAsia="Times New Roman"/>
          <w:color w:val="000000"/>
          <w:sz w:val="20"/>
          <w:szCs w:val="20"/>
        </w:rPr>
        <w:t>Late charges and administrative fees increased 18.9% for the three months ended March 31, 2022 as compared to the same period in 2021, due to (i) higher late charges collec</w:t>
      </w:r>
      <w:r>
        <w:rPr>
          <w:rFonts w:eastAsia="Times New Roman"/>
          <w:color w:val="000000"/>
          <w:sz w:val="20"/>
          <w:szCs w:val="20"/>
        </w:rPr>
        <w:t xml:space="preserve">ted on delinquent accounts and to a lesser extent (ii) higher administrative charge per move-in. </w:t>
      </w:r>
    </w:p>
    <w:p w:rsidR="00000000" w:rsidRDefault="007C49E1">
      <w:pPr>
        <w:ind w:firstLine="720"/>
        <w:jc w:val="both"/>
        <w:divId w:val="224731196"/>
        <w:rPr>
          <w:rFonts w:eastAsia="Times New Roman"/>
        </w:rPr>
      </w:pPr>
      <w:r>
        <w:rPr>
          <w:rFonts w:eastAsia="Times New Roman"/>
          <w:color w:val="000000"/>
          <w:sz w:val="20"/>
          <w:szCs w:val="20"/>
          <w:u w:val="single"/>
        </w:rPr>
        <w:t>Selected Key Statistical Data</w:t>
      </w:r>
    </w:p>
    <w:p w:rsidR="00000000" w:rsidRDefault="007C49E1">
      <w:pPr>
        <w:ind w:firstLine="720"/>
        <w:jc w:val="both"/>
        <w:divId w:val="1010370403"/>
        <w:rPr>
          <w:rFonts w:eastAsia="Times New Roman"/>
        </w:rPr>
      </w:pPr>
      <w:r>
        <w:rPr>
          <w:rFonts w:eastAsia="Times New Roman"/>
          <w:color w:val="000000"/>
          <w:sz w:val="20"/>
          <w:szCs w:val="20"/>
        </w:rPr>
        <w:t>The following table sets forth average annual contract rent per square foot and total square footage for tenants moving in and m</w:t>
      </w:r>
      <w:r>
        <w:rPr>
          <w:rFonts w:eastAsia="Times New Roman"/>
          <w:color w:val="000000"/>
          <w:sz w:val="20"/>
          <w:szCs w:val="20"/>
        </w:rPr>
        <w:t xml:space="preserve">oving out during the three months ended March 31, 2022 and 2021. It also includes promotional discounts, which vary based upon the move-in contractual rates, move-in volume, and percentage of tenants moving in who receive the discount. </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3365"/>
        <w:gridCol w:w="38"/>
        <w:gridCol w:w="120"/>
        <w:gridCol w:w="1222"/>
        <w:gridCol w:w="36"/>
        <w:gridCol w:w="36"/>
        <w:gridCol w:w="36"/>
        <w:gridCol w:w="36"/>
        <w:gridCol w:w="120"/>
        <w:gridCol w:w="1189"/>
        <w:gridCol w:w="36"/>
        <w:gridCol w:w="36"/>
        <w:gridCol w:w="36"/>
        <w:gridCol w:w="36"/>
        <w:gridCol w:w="41"/>
        <w:gridCol w:w="1185"/>
        <w:gridCol w:w="38"/>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7C49E1">
            <w:pPr>
              <w:ind w:firstLine="720"/>
              <w:jc w:val="both"/>
              <w:rPr>
                <w:rFonts w:eastAsia="Times New Roman"/>
              </w:rPr>
            </w:pPr>
          </w:p>
        </w:tc>
        <w:tc>
          <w:tcPr>
            <w:tcW w:w="222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2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2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2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Three Months Ended March 31,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ind w:hanging="90"/>
              <w:jc w:val="center"/>
              <w:rPr>
                <w:rFonts w:eastAsia="Times New Roman"/>
              </w:rPr>
            </w:pPr>
            <w:r>
              <w:rPr>
                <w:rFonts w:eastAsia="Times New Roman"/>
                <w:color w:val="000000"/>
                <w:sz w:val="20"/>
                <w:szCs w:val="20"/>
              </w:rPr>
              <w:t>Change</w:t>
            </w:r>
          </w:p>
        </w:tc>
        <w:tc>
          <w:tcPr>
            <w:tcW w:w="0" w:type="auto"/>
            <w:gridSpan w:val="3"/>
            <w:vAlign w:val="center"/>
            <w:hideMark/>
          </w:tcPr>
          <w:p w:rsidR="00000000" w:rsidRDefault="007C49E1">
            <w:pPr>
              <w:spacing w:after="100"/>
              <w:ind w:hanging="9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(Amounts in thousands, except for per square foot amounts)</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15"/>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20"/>
                <w:szCs w:val="20"/>
              </w:rPr>
              <w:t>Tenants moving in during the period:</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20"/>
                <w:szCs w:val="20"/>
              </w:rPr>
              <w:t>Average annual contract rent per square foot</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17.15 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14.90 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15.1%</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Square footage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23,366 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24,561 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(4.9)%</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Contract rents gained from move-ins</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100,182 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91,490 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9.5%</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Promotional discounts given</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9,339 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16,577 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(43.7)%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20"/>
                <w:szCs w:val="20"/>
              </w:rPr>
              <w:t>Tenants moving out during the period:</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20"/>
                <w:szCs w:val="20"/>
              </w:rPr>
              <w:t>Average annual contract rent per square foot</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19.35 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16.21 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19.4%</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Square footage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22,933 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21,849 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Contract rents lost from move-outs</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110,938 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88,543 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25.3%</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ind w:firstLine="720"/>
        <w:jc w:val="both"/>
        <w:rPr>
          <w:rFonts w:eastAsia="Times New Roman"/>
        </w:rPr>
      </w:pPr>
    </w:p>
    <w:p w:rsidR="00000000" w:rsidRDefault="007C49E1">
      <w:pPr>
        <w:divId w:val="152794926"/>
        <w:rPr>
          <w:rFonts w:eastAsia="Times New Roman"/>
        </w:rPr>
      </w:pPr>
      <w:r>
        <w:rPr>
          <w:rFonts w:eastAsia="Times New Roman"/>
          <w:i/>
          <w:iCs/>
          <w:color w:val="000000"/>
          <w:sz w:val="20"/>
          <w:szCs w:val="20"/>
        </w:rPr>
        <w:t xml:space="preserve">Analysis of Same Store Cost of Operations </w:t>
      </w:r>
    </w:p>
    <w:p w:rsidR="00000000" w:rsidRDefault="007C49E1">
      <w:pPr>
        <w:ind w:firstLine="720"/>
        <w:jc w:val="both"/>
        <w:divId w:val="1083406141"/>
        <w:rPr>
          <w:rFonts w:eastAsia="Times New Roman"/>
        </w:rPr>
      </w:pPr>
      <w:r>
        <w:rPr>
          <w:rFonts w:eastAsia="Times New Roman"/>
          <w:color w:val="000000"/>
          <w:sz w:val="20"/>
          <w:szCs w:val="20"/>
        </w:rPr>
        <w:t>Cost of operations (excluding depreciation and amortization) increased 3.6% in the three months ended March 31, 2022 as compared to the same period in 2021, due primarily to increased property tax expense, repairs and maintenance expense and centralized ma</w:t>
      </w:r>
      <w:r>
        <w:rPr>
          <w:rFonts w:eastAsia="Times New Roman"/>
          <w:color w:val="000000"/>
          <w:sz w:val="20"/>
          <w:szCs w:val="20"/>
        </w:rPr>
        <w:t>nagement costs, partially offset by decreased marketing expense.</w:t>
      </w:r>
    </w:p>
    <w:p w:rsidR="00000000" w:rsidRDefault="007C49E1">
      <w:pPr>
        <w:ind w:firstLine="720"/>
        <w:jc w:val="both"/>
        <w:rPr>
          <w:rFonts w:eastAsia="Times New Roman"/>
        </w:rPr>
      </w:pPr>
      <w:r>
        <w:rPr>
          <w:rFonts w:eastAsia="Times New Roman"/>
          <w:color w:val="000000"/>
          <w:sz w:val="20"/>
          <w:szCs w:val="20"/>
        </w:rPr>
        <w:t>Property tax expense increased 4.8% in the three months ended March </w:t>
      </w:r>
      <w:r>
        <w:rPr>
          <w:rFonts w:eastAsia="Times New Roman"/>
          <w:color w:val="000000"/>
          <w:sz w:val="20"/>
          <w:szCs w:val="20"/>
        </w:rPr>
        <w:t xml:space="preserve">31, 2022 as compared to the same period in 2021, as a result of higher recently assessed values. We expect property tax expense growth of approximately 5.0% in the remainder of 2022. </w:t>
      </w:r>
    </w:p>
    <w:p w:rsidR="00000000" w:rsidRDefault="007C49E1">
      <w:pPr>
        <w:ind w:firstLine="720"/>
        <w:jc w:val="both"/>
        <w:divId w:val="319231805"/>
        <w:rPr>
          <w:rFonts w:eastAsia="Times New Roman"/>
        </w:rPr>
      </w:pPr>
      <w:r>
        <w:rPr>
          <w:rFonts w:eastAsia="Times New Roman"/>
          <w:color w:val="000000"/>
          <w:sz w:val="20"/>
          <w:szCs w:val="20"/>
        </w:rPr>
        <w:t>On-site property manager payroll expense increased 6.8% in the three mon</w:t>
      </w:r>
      <w:r>
        <w:rPr>
          <w:rFonts w:eastAsia="Times New Roman"/>
          <w:color w:val="000000"/>
          <w:sz w:val="20"/>
          <w:szCs w:val="20"/>
        </w:rPr>
        <w:t>ths ended March 31, 2022 as compared to the same period in 2021. The increase is primarily due to wage increases effective in late 2021 in response to competitive labor conditions experienced in most geographical markets, partially offset by a year-over-ye</w:t>
      </w:r>
      <w:r>
        <w:rPr>
          <w:rFonts w:eastAsia="Times New Roman"/>
          <w:color w:val="000000"/>
          <w:sz w:val="20"/>
          <w:szCs w:val="20"/>
        </w:rPr>
        <w:t>ar decline in hours worked due to staffing reductions from revisions to other operational processes. We expect on-site property manager payroll expense to further increase in the remainder of 2022 as compared to 2021 due in part to continued competitive la</w:t>
      </w:r>
      <w:r>
        <w:rPr>
          <w:rFonts w:eastAsia="Times New Roman"/>
          <w:color w:val="000000"/>
          <w:sz w:val="20"/>
          <w:szCs w:val="20"/>
        </w:rPr>
        <w:t>bor conditions.</w:t>
      </w:r>
    </w:p>
    <w:p w:rsidR="00000000" w:rsidRDefault="007C49E1">
      <w:pPr>
        <w:ind w:firstLine="720"/>
        <w:jc w:val="both"/>
        <w:divId w:val="21905312"/>
        <w:rPr>
          <w:rFonts w:eastAsia="Times New Roman"/>
        </w:rPr>
      </w:pPr>
      <w:r>
        <w:rPr>
          <w:rFonts w:eastAsia="Times New Roman"/>
          <w:color w:val="000000"/>
          <w:sz w:val="20"/>
          <w:szCs w:val="20"/>
        </w:rPr>
        <w:t>Repairs and maintenance expense increased 19.0% in the three months ended March 31, 2022 as compared to the same period in 2021. Repairs and maintenance expense includes snow removal costs totaling $3.3 million and $2.0 million in the three</w:t>
      </w:r>
      <w:r>
        <w:rPr>
          <w:rFonts w:eastAsia="Times New Roman"/>
          <w:color w:val="000000"/>
          <w:sz w:val="20"/>
          <w:szCs w:val="20"/>
        </w:rPr>
        <w:t xml:space="preserve"> months ended March 31, 2022 and 2021, respectively. Excluding snow removal costs, repairs and maintenance expense increased 10.2% in in the three months ended March 31, 2022 as compared to the same period in 2021. Repairs and maintenance expense levels ar</w:t>
      </w:r>
      <w:r>
        <w:rPr>
          <w:rFonts w:eastAsia="Times New Roman"/>
          <w:color w:val="000000"/>
          <w:sz w:val="20"/>
          <w:szCs w:val="20"/>
        </w:rPr>
        <w:t>e dependent upon many factors such as (i) damage and equipment malfunctions, (ii) short-term local supply and demand factors for material and labor, and (iii) weather conditions, which can impact costs such as snow removal, roof repairs, and HVAC maintenan</w:t>
      </w:r>
      <w:r>
        <w:rPr>
          <w:rFonts w:eastAsia="Times New Roman"/>
          <w:color w:val="000000"/>
          <w:sz w:val="20"/>
          <w:szCs w:val="20"/>
        </w:rPr>
        <w:t>ce and repairs.</w:t>
      </w:r>
    </w:p>
    <w:p w:rsidR="00000000" w:rsidRDefault="007C49E1">
      <w:pPr>
        <w:jc w:val="center"/>
        <w:divId w:val="1783498877"/>
        <w:rPr>
          <w:rFonts w:eastAsia="Times New Roman"/>
        </w:rPr>
      </w:pPr>
      <w:r>
        <w:rPr>
          <w:rFonts w:eastAsia="Times New Roman"/>
          <w:color w:val="000000"/>
          <w:sz w:val="20"/>
          <w:szCs w:val="20"/>
        </w:rPr>
        <w:t>29</w:t>
      </w:r>
    </w:p>
    <w:p w:rsidR="00000000" w:rsidRDefault="007C49E1">
      <w:pPr>
        <w:rPr>
          <w:rFonts w:eastAsia="Times New Roman"/>
        </w:rPr>
      </w:pPr>
      <w:r>
        <w:rPr>
          <w:rFonts w:eastAsia="Times New Roman"/>
        </w:rPr>
        <w:pict>
          <v:rect id="_x0000_i1055" style="width:0;height:1.5pt" o:hralign="center" o:hrstd="t" o:hr="t" fillcolor="#a0a0a0" stroked="f"/>
        </w:pict>
      </w:r>
    </w:p>
    <w:p w:rsidR="00000000" w:rsidRDefault="007C49E1">
      <w:pPr>
        <w:divId w:val="1694455228"/>
        <w:rPr>
          <w:rFonts w:eastAsia="Times New Roman"/>
        </w:rPr>
      </w:pPr>
    </w:p>
    <w:p w:rsidR="00000000" w:rsidRDefault="007C49E1">
      <w:pPr>
        <w:ind w:firstLine="634"/>
        <w:jc w:val="both"/>
        <w:divId w:val="372580078"/>
        <w:rPr>
          <w:rFonts w:eastAsia="Times New Roman"/>
        </w:rPr>
      </w:pPr>
      <w:r>
        <w:rPr>
          <w:rFonts w:eastAsia="Times New Roman"/>
          <w:color w:val="000000"/>
          <w:sz w:val="20"/>
          <w:szCs w:val="20"/>
        </w:rPr>
        <w:t>Marketing expense includes Internet advertising and the operating costs of our telephone reservation center. Internet advertising expense, comprising keyword search fees assessed on a “per click” ba</w:t>
      </w:r>
      <w:r>
        <w:rPr>
          <w:rFonts w:eastAsia="Times New Roman"/>
          <w:color w:val="000000"/>
          <w:sz w:val="20"/>
          <w:szCs w:val="20"/>
        </w:rPr>
        <w:t>sis, varies based upon demand for self-storage space, the quantity of people inquiring about self-storage through online search, occupancy levels, the number and aggressiveness of bidding competitors, and other factors. These factors are volatile; accordin</w:t>
      </w:r>
      <w:r>
        <w:rPr>
          <w:rFonts w:eastAsia="Times New Roman"/>
          <w:color w:val="000000"/>
          <w:sz w:val="20"/>
          <w:szCs w:val="20"/>
        </w:rPr>
        <w:t>gly, Internet advertising can increase or decrease significantly in the short-term. We decreased marketing expense by 23.1% in the three months ended March 31, 2022 as compared to the same period in 2021 due primarily to lower volume of paid search program</w:t>
      </w:r>
      <w:r>
        <w:rPr>
          <w:rFonts w:eastAsia="Times New Roman"/>
          <w:color w:val="000000"/>
          <w:sz w:val="20"/>
          <w:szCs w:val="20"/>
        </w:rPr>
        <w:t>s we utilized given strong demand and high occupancies in many of our same store properties.</w:t>
      </w:r>
    </w:p>
    <w:p w:rsidR="00000000" w:rsidRDefault="007C49E1">
      <w:pPr>
        <w:ind w:firstLine="634"/>
        <w:jc w:val="both"/>
        <w:divId w:val="290283986"/>
        <w:rPr>
          <w:rFonts w:eastAsia="Times New Roman"/>
        </w:rPr>
      </w:pPr>
      <w:r>
        <w:rPr>
          <w:rFonts w:eastAsia="Times New Roman"/>
          <w:color w:val="000000"/>
          <w:sz w:val="20"/>
          <w:szCs w:val="20"/>
        </w:rPr>
        <w:t>Centralized management costs represents administrative and cash compensation expenses for shared general corporate functions to the extent their efforts are devote</w:t>
      </w:r>
      <w:r>
        <w:rPr>
          <w:rFonts w:eastAsia="Times New Roman"/>
          <w:color w:val="000000"/>
          <w:sz w:val="20"/>
          <w:szCs w:val="20"/>
        </w:rPr>
        <w:t>d to self-storage operations. Such functions include information technology support, hardware, and software, as well as centralized administration of payroll, benefits, training, facilities management, customer service, pricing and marketing, operational a</w:t>
      </w:r>
      <w:r>
        <w:rPr>
          <w:rFonts w:eastAsia="Times New Roman"/>
          <w:color w:val="000000"/>
          <w:sz w:val="20"/>
          <w:szCs w:val="20"/>
        </w:rPr>
        <w:t>ccounting and finance, and legal costs. Centralized management costs increased 17.5% in the three months ended March 31, 2022 as compared to the same period in 2021. The increase was due primarily to an increase in technology and data team costs that suppo</w:t>
      </w:r>
      <w:r>
        <w:rPr>
          <w:rFonts w:eastAsia="Times New Roman"/>
          <w:color w:val="000000"/>
          <w:sz w:val="20"/>
          <w:szCs w:val="20"/>
        </w:rPr>
        <w:t xml:space="preserve">rt property operations. We expect increases in centralized management costs in the remainder of 2022 due to continued investment in our technology and data platforms that support our property operations. </w:t>
      </w:r>
    </w:p>
    <w:p w:rsidR="00000000" w:rsidRDefault="007C49E1">
      <w:pPr>
        <w:ind w:firstLine="720"/>
        <w:jc w:val="both"/>
        <w:divId w:val="1560700594"/>
        <w:rPr>
          <w:rFonts w:eastAsia="Times New Roman"/>
        </w:rPr>
      </w:pPr>
      <w:r>
        <w:rPr>
          <w:rFonts w:eastAsia="Times New Roman"/>
          <w:color w:val="000000"/>
          <w:sz w:val="20"/>
          <w:szCs w:val="20"/>
        </w:rPr>
        <w:t>Share-based compensation expense includes the amort</w:t>
      </w:r>
      <w:r>
        <w:rPr>
          <w:rFonts w:eastAsia="Times New Roman"/>
          <w:color w:val="000000"/>
          <w:sz w:val="20"/>
          <w:szCs w:val="20"/>
        </w:rPr>
        <w:t>ization of restricted share units and stock options granted to management personnel who directly and indirectly supervise the on-site property managers, as well as those employees responsible for providing shared general corporate functions to the extent t</w:t>
      </w:r>
      <w:r>
        <w:rPr>
          <w:rFonts w:eastAsia="Times New Roman"/>
          <w:color w:val="000000"/>
          <w:sz w:val="20"/>
          <w:szCs w:val="20"/>
        </w:rPr>
        <w:t>heir efforts are devoted to self-storage operations. Such functions are listed above under centralized management costs. Share-based compensation expense varies based upon the level of grants and their related vesting and amortization periods, forfeitures,</w:t>
      </w:r>
      <w:r>
        <w:rPr>
          <w:rFonts w:eastAsia="Times New Roman"/>
          <w:color w:val="000000"/>
          <w:sz w:val="20"/>
          <w:szCs w:val="20"/>
        </w:rPr>
        <w:t xml:space="preserve"> as well as the Company’s common share price on the date of each grant. Share-based compensation decreased 30.3% in the three months ended March 31, 2022 as compared to the same period in 2021. The decrease in 2022 is due primarily to higher expense recogn</w:t>
      </w:r>
      <w:r>
        <w:rPr>
          <w:rFonts w:eastAsia="Times New Roman"/>
          <w:color w:val="000000"/>
          <w:sz w:val="20"/>
          <w:szCs w:val="20"/>
        </w:rPr>
        <w:t>ized in 2021 for certain performance-based awards estimated to achieve above-target results.</w:t>
      </w:r>
    </w:p>
    <w:p w:rsidR="00000000" w:rsidRDefault="007C49E1">
      <w:pPr>
        <w:jc w:val="center"/>
        <w:divId w:val="1937012454"/>
        <w:rPr>
          <w:rFonts w:eastAsia="Times New Roman"/>
        </w:rPr>
      </w:pPr>
      <w:r>
        <w:rPr>
          <w:rFonts w:eastAsia="Times New Roman"/>
          <w:color w:val="000000"/>
          <w:sz w:val="20"/>
          <w:szCs w:val="20"/>
        </w:rPr>
        <w:t>30</w:t>
      </w:r>
    </w:p>
    <w:p w:rsidR="00000000" w:rsidRDefault="007C49E1">
      <w:pPr>
        <w:rPr>
          <w:rFonts w:eastAsia="Times New Roman"/>
        </w:rPr>
      </w:pPr>
      <w:r>
        <w:rPr>
          <w:rFonts w:eastAsia="Times New Roman"/>
        </w:rPr>
        <w:pict>
          <v:rect id="_x0000_i1056" style="width:0;height:1.5pt" o:hralign="center" o:hrstd="t" o:hr="t" fillcolor="#a0a0a0" stroked="f"/>
        </w:pict>
      </w:r>
    </w:p>
    <w:p w:rsidR="00000000" w:rsidRDefault="007C49E1">
      <w:pPr>
        <w:divId w:val="771625846"/>
        <w:rPr>
          <w:rFonts w:eastAsia="Times New Roman"/>
        </w:rPr>
      </w:pPr>
    </w:p>
    <w:p w:rsidR="00000000" w:rsidRDefault="007C49E1">
      <w:pPr>
        <w:jc w:val="both"/>
        <w:divId w:val="1155949972"/>
        <w:rPr>
          <w:rFonts w:eastAsia="Times New Roman"/>
        </w:rPr>
      </w:pPr>
      <w:r>
        <w:rPr>
          <w:rFonts w:eastAsia="Times New Roman"/>
          <w:b/>
          <w:bCs/>
          <w:color w:val="000000"/>
          <w:sz w:val="20"/>
          <w:szCs w:val="20"/>
          <w:u w:val="single"/>
        </w:rPr>
        <w:t>Analysis of Market Trends</w:t>
      </w:r>
    </w:p>
    <w:p w:rsidR="00000000" w:rsidRDefault="007C49E1">
      <w:pPr>
        <w:ind w:firstLine="720"/>
        <w:jc w:val="both"/>
        <w:divId w:val="376319559"/>
        <w:rPr>
          <w:rFonts w:eastAsia="Times New Roman"/>
        </w:rPr>
      </w:pPr>
      <w:r>
        <w:rPr>
          <w:rFonts w:eastAsia="Times New Roman"/>
          <w:color w:val="000000"/>
          <w:sz w:val="20"/>
          <w:szCs w:val="20"/>
        </w:rPr>
        <w:t>The following tables set forth selected market trends in our Same Store Facilities:</w:t>
      </w:r>
    </w:p>
    <w:p w:rsidR="00000000" w:rsidRDefault="007C49E1">
      <w:pPr>
        <w:divId w:val="1918709213"/>
        <w:rPr>
          <w:rFonts w:eastAsia="Times New Roman"/>
        </w:rPr>
      </w:pPr>
      <w:r>
        <w:rPr>
          <w:rFonts w:eastAsia="Times New Roman"/>
          <w:b/>
          <w:bCs/>
          <w:color w:val="000000"/>
          <w:sz w:val="20"/>
          <w:szCs w:val="20"/>
        </w:rPr>
        <w:t>Same Store F</w:t>
      </w:r>
      <w:r>
        <w:rPr>
          <w:rFonts w:eastAsia="Times New Roman"/>
          <w:b/>
          <w:bCs/>
          <w:color w:val="000000"/>
          <w:sz w:val="20"/>
          <w:szCs w:val="20"/>
        </w:rPr>
        <w:t>acilities Operating Trends by Market</w:t>
      </w:r>
    </w:p>
    <w:p w:rsidR="00000000" w:rsidRDefault="007C49E1">
      <w:pPr>
        <w:divId w:val="422919683"/>
        <w:rPr>
          <w:rFonts w:eastAsia="Times New Roman"/>
        </w:rPr>
      </w:pPr>
    </w:p>
    <w:p w:rsidR="00000000" w:rsidRDefault="007C49E1">
      <w:pPr>
        <w:divId w:val="36722031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1309"/>
        <w:gridCol w:w="38"/>
        <w:gridCol w:w="89"/>
        <w:gridCol w:w="530"/>
        <w:gridCol w:w="38"/>
        <w:gridCol w:w="95"/>
        <w:gridCol w:w="567"/>
        <w:gridCol w:w="37"/>
        <w:gridCol w:w="110"/>
        <w:gridCol w:w="450"/>
        <w:gridCol w:w="36"/>
        <w:gridCol w:w="110"/>
        <w:gridCol w:w="450"/>
        <w:gridCol w:w="36"/>
        <w:gridCol w:w="75"/>
        <w:gridCol w:w="447"/>
        <w:gridCol w:w="170"/>
        <w:gridCol w:w="55"/>
        <w:gridCol w:w="325"/>
        <w:gridCol w:w="171"/>
        <w:gridCol w:w="55"/>
        <w:gridCol w:w="325"/>
        <w:gridCol w:w="170"/>
        <w:gridCol w:w="75"/>
        <w:gridCol w:w="447"/>
        <w:gridCol w:w="170"/>
        <w:gridCol w:w="110"/>
        <w:gridCol w:w="450"/>
        <w:gridCol w:w="36"/>
        <w:gridCol w:w="110"/>
        <w:gridCol w:w="450"/>
        <w:gridCol w:w="36"/>
        <w:gridCol w:w="75"/>
        <w:gridCol w:w="447"/>
        <w:gridCol w:w="170"/>
      </w:tblGrid>
      <w:tr w:rsidR="00000000">
        <w:trPr>
          <w:divId w:val="350180401"/>
        </w:trPr>
        <w:tc>
          <w:tcPr>
            <w:tcW w:w="50" w:type="pct"/>
            <w:vAlign w:val="center"/>
            <w:hideMark/>
          </w:tcPr>
          <w:p w:rsidR="00000000" w:rsidRDefault="007C49E1">
            <w:pPr>
              <w:rPr>
                <w:rFonts w:eastAsia="Times New Roman"/>
              </w:rPr>
            </w:pPr>
          </w:p>
        </w:tc>
        <w:tc>
          <w:tcPr>
            <w:tcW w:w="1033"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350180401"/>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6"/>
                <w:szCs w:val="16"/>
              </w:rPr>
              <w:t> </w:t>
            </w:r>
          </w:p>
        </w:tc>
        <w:tc>
          <w:tcPr>
            <w:tcW w:w="0" w:type="auto"/>
            <w:gridSpan w:val="6"/>
            <w:tcBorders>
              <w:top w:val="single" w:sz="8" w:space="0" w:color="000000"/>
              <w:lef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As of March 31, 2022</w:t>
            </w:r>
          </w:p>
        </w:tc>
        <w:tc>
          <w:tcPr>
            <w:tcW w:w="0" w:type="auto"/>
            <w:gridSpan w:val="27"/>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Three Months Ended March 31,</w:t>
            </w:r>
          </w:p>
        </w:tc>
      </w:tr>
      <w:tr w:rsidR="00000000">
        <w:trPr>
          <w:divId w:val="350180401"/>
          <w:trHeight w:val="42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6"/>
                <w:szCs w:val="16"/>
              </w:rPr>
              <w:t> </w:t>
            </w:r>
          </w:p>
        </w:tc>
        <w:tc>
          <w:tcPr>
            <w:tcW w:w="0" w:type="auto"/>
            <w:gridSpan w:val="3"/>
            <w:vMerge w:val="restart"/>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Number</w:t>
            </w:r>
            <w:r>
              <w:rPr>
                <w:rFonts w:eastAsia="Times New Roman"/>
                <w:color w:val="000000"/>
                <w:sz w:val="16"/>
                <w:szCs w:val="16"/>
              </w:rPr>
              <w:br/>
              <w:t xml:space="preserve">of </w:t>
            </w:r>
            <w:r>
              <w:rPr>
                <w:rFonts w:eastAsia="Times New Roman"/>
                <w:color w:val="000000"/>
                <w:sz w:val="16"/>
                <w:szCs w:val="16"/>
              </w:rPr>
              <w:br/>
              <w:t>Facilities</w:t>
            </w:r>
          </w:p>
        </w:tc>
        <w:tc>
          <w:tcPr>
            <w:tcW w:w="0" w:type="auto"/>
            <w:gridSpan w:val="3"/>
            <w:vMerge w:val="restart"/>
            <w:tcBorders>
              <w:top w:val="single" w:sz="8" w:space="0" w:color="000000"/>
              <w:lef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Square</w:t>
            </w:r>
            <w:r>
              <w:rPr>
                <w:rFonts w:eastAsia="Times New Roman"/>
                <w:color w:val="000000"/>
                <w:sz w:val="16"/>
                <w:szCs w:val="16"/>
              </w:rPr>
              <w:br/>
              <w:t>Feet</w:t>
            </w:r>
            <w:r>
              <w:rPr>
                <w:rFonts w:eastAsia="Times New Roman"/>
                <w:color w:val="000000"/>
                <w:sz w:val="16"/>
                <w:szCs w:val="16"/>
              </w:rPr>
              <w:br/>
              <w:t>(millions)</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r>
            <w:r>
              <w:rPr>
                <w:rFonts w:eastAsia="Times New Roman"/>
                <w:color w:val="000000"/>
                <w:sz w:val="16"/>
                <w:szCs w:val="16"/>
              </w:rPr>
              <w:t>Occupied Square Foot</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Average Occupancy</w:t>
            </w:r>
          </w:p>
        </w:tc>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Available Square Foot</w:t>
            </w:r>
          </w:p>
        </w:tc>
      </w:tr>
      <w:tr w:rsidR="00000000">
        <w:trPr>
          <w:divId w:val="350180401"/>
          <w:trHeight w:val="240"/>
        </w:trPr>
        <w:tc>
          <w:tcPr>
            <w:tcW w:w="0" w:type="auto"/>
            <w:gridSpan w:val="3"/>
            <w:tcBorders>
              <w:right w:val="single" w:sz="8"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6"/>
                <w:szCs w:val="16"/>
              </w:rPr>
              <w:t> </w:t>
            </w:r>
          </w:p>
        </w:tc>
        <w:tc>
          <w:tcPr>
            <w:tcW w:w="0" w:type="auto"/>
            <w:gridSpan w:val="3"/>
            <w:vMerge/>
            <w:tcBorders>
              <w:top w:val="single" w:sz="8" w:space="0" w:color="000000"/>
              <w:left w:val="single" w:sz="8" w:space="0" w:color="000000"/>
              <w:right w:val="single" w:sz="8" w:space="0" w:color="000000"/>
            </w:tcBorders>
            <w:vAlign w:val="center"/>
            <w:hideMark/>
          </w:tcPr>
          <w:p w:rsidR="00000000" w:rsidRDefault="007C49E1">
            <w:pPr>
              <w:spacing w:after="100"/>
              <w:rPr>
                <w:rFonts w:eastAsia="Times New Roman"/>
              </w:rPr>
            </w:pPr>
          </w:p>
        </w:tc>
        <w:tc>
          <w:tcPr>
            <w:tcW w:w="0" w:type="auto"/>
            <w:gridSpan w:val="3"/>
            <w:vMerge/>
            <w:tcBorders>
              <w:top w:val="single" w:sz="8" w:space="0" w:color="000000"/>
              <w:left w:val="single" w:sz="8" w:space="0" w:color="000000"/>
            </w:tcBorders>
            <w:vAlign w:val="center"/>
            <w:hideMark/>
          </w:tcPr>
          <w:p w:rsidR="00000000" w:rsidRDefault="007C49E1">
            <w:pPr>
              <w:spacing w:after="100"/>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Change</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Los Angeles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212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15.3</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29.45 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26.34 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11.8 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97.8 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97.9 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(0.1)</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28.79 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25.77 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San Francisco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128</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7.8</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29.89 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26.96 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96.0 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97.5 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28.70 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26.28 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New York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28.96 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26.39 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95.5 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96.0 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27.66 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25.33 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Miami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83</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5.8</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25.81 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20.46 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96.9 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96.3 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25.02 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19.71 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Seattle-Tacoma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86</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5.7</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23.61 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20.60 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22.43 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19.54 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Washington DC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5.5</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24.13 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21.36 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95.1 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22.69 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20.32 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Atlanta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101</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6.6</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16.17 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13.33 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15.34 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12.61 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Dallas-Ft. Worth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106</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7.0</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16.18 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13.58 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15.42 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12.87 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Chicago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129</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18.01 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15.42 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17.03 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14.62 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Houston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95</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6.8</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14.87 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12.68 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93.5 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11.86 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18.0 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Orlando-Daytona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70</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4.5</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16.48 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13.73 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15.85 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13.09 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Philadelphia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56</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19.82 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17.49 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96.0 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96.7 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19.03 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16.92 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West Palm Beach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37</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2.6</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23.64 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19.27 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97.1 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96.3 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22.95 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18.56 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Tampa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51</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3.4</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17.60 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14.11 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24.7 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95.8 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95.6 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16.86 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13.48 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25.1 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Charlotte</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50</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3.8</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13.92 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11.41 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95.5 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94.8 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13.29 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10.81 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All other markets </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898</w:t>
            </w: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56.7</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16.88 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14.47 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95.4 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95.4 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16.10 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13.80 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350180401"/>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Totals</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2,282</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149.5</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20.29 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17.54 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95.6 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95.6 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19.40 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16.78 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bl>
    <w:p w:rsidR="00000000" w:rsidRDefault="007C49E1">
      <w:pPr>
        <w:divId w:val="2024433490"/>
        <w:rPr>
          <w:rFonts w:eastAsia="Times New Roman"/>
        </w:rPr>
      </w:pPr>
    </w:p>
    <w:p w:rsidR="00000000" w:rsidRDefault="007C49E1">
      <w:pPr>
        <w:jc w:val="center"/>
        <w:divId w:val="1496216033"/>
        <w:rPr>
          <w:rFonts w:eastAsia="Times New Roman"/>
        </w:rPr>
      </w:pPr>
      <w:r>
        <w:rPr>
          <w:rFonts w:eastAsia="Times New Roman"/>
          <w:color w:val="000000"/>
          <w:sz w:val="20"/>
          <w:szCs w:val="20"/>
        </w:rPr>
        <w:t>31</w:t>
      </w:r>
    </w:p>
    <w:p w:rsidR="00000000" w:rsidRDefault="007C49E1">
      <w:pPr>
        <w:rPr>
          <w:rFonts w:eastAsia="Times New Roman"/>
        </w:rPr>
      </w:pPr>
      <w:r>
        <w:rPr>
          <w:rFonts w:eastAsia="Times New Roman"/>
        </w:rPr>
        <w:pict>
          <v:rect id="_x0000_i1057" style="width:0;height:1.5pt" o:hralign="center" o:hrstd="t" o:hr="t" fillcolor="#a0a0a0" stroked="f"/>
        </w:pict>
      </w:r>
    </w:p>
    <w:p w:rsidR="00000000" w:rsidRDefault="007C49E1">
      <w:pPr>
        <w:divId w:val="1745713223"/>
        <w:rPr>
          <w:rFonts w:eastAsia="Times New Roman"/>
        </w:rPr>
      </w:pPr>
    </w:p>
    <w:p w:rsidR="00000000" w:rsidRDefault="007C49E1">
      <w:pPr>
        <w:divId w:val="1251697450"/>
        <w:rPr>
          <w:rFonts w:eastAsia="Times New Roman"/>
        </w:rPr>
      </w:pPr>
      <w:r>
        <w:rPr>
          <w:rFonts w:eastAsia="Times New Roman"/>
          <w:b/>
          <w:bCs/>
          <w:color w:val="000000"/>
          <w:sz w:val="20"/>
          <w:szCs w:val="20"/>
        </w:rPr>
        <w:t>Same Store Facilities Operating Trends by Market (Contin</w:t>
      </w:r>
      <w:r>
        <w:rPr>
          <w:rFonts w:eastAsia="Times New Roman"/>
          <w:b/>
          <w:bCs/>
          <w:color w:val="000000"/>
          <w:sz w:val="20"/>
          <w:szCs w:val="20"/>
        </w:rPr>
        <w:t>ued)</w:t>
      </w:r>
    </w:p>
    <w:p w:rsidR="00000000" w:rsidRDefault="007C49E1">
      <w:pPr>
        <w:divId w:val="183992366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3"/>
        <w:gridCol w:w="842"/>
        <w:gridCol w:w="38"/>
        <w:gridCol w:w="110"/>
        <w:gridCol w:w="630"/>
        <w:gridCol w:w="36"/>
        <w:gridCol w:w="110"/>
        <w:gridCol w:w="630"/>
        <w:gridCol w:w="36"/>
        <w:gridCol w:w="75"/>
        <w:gridCol w:w="447"/>
        <w:gridCol w:w="170"/>
        <w:gridCol w:w="110"/>
        <w:gridCol w:w="630"/>
        <w:gridCol w:w="36"/>
        <w:gridCol w:w="110"/>
        <w:gridCol w:w="630"/>
        <w:gridCol w:w="36"/>
        <w:gridCol w:w="75"/>
        <w:gridCol w:w="447"/>
        <w:gridCol w:w="170"/>
        <w:gridCol w:w="110"/>
        <w:gridCol w:w="540"/>
        <w:gridCol w:w="36"/>
        <w:gridCol w:w="110"/>
        <w:gridCol w:w="540"/>
        <w:gridCol w:w="36"/>
        <w:gridCol w:w="75"/>
        <w:gridCol w:w="447"/>
        <w:gridCol w:w="170"/>
        <w:gridCol w:w="110"/>
        <w:gridCol w:w="630"/>
        <w:gridCol w:w="36"/>
        <w:gridCol w:w="110"/>
        <w:gridCol w:w="630"/>
        <w:gridCol w:w="36"/>
        <w:gridCol w:w="75"/>
        <w:gridCol w:w="447"/>
        <w:gridCol w:w="170"/>
      </w:tblGrid>
      <w:tr w:rsidR="00000000">
        <w:trPr>
          <w:divId w:val="2060549460"/>
        </w:trPr>
        <w:tc>
          <w:tcPr>
            <w:tcW w:w="50" w:type="pct"/>
            <w:vAlign w:val="center"/>
            <w:hideMark/>
          </w:tcPr>
          <w:p w:rsidR="00000000" w:rsidRDefault="007C49E1">
            <w:pPr>
              <w:rPr>
                <w:rFonts w:eastAsia="Times New Roman"/>
              </w:rPr>
            </w:pPr>
          </w:p>
        </w:tc>
        <w:tc>
          <w:tcPr>
            <w:tcW w:w="67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30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2060549460"/>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16"/>
                <w:szCs w:val="16"/>
              </w:rPr>
              <w:t> </w:t>
            </w:r>
          </w:p>
        </w:tc>
        <w:tc>
          <w:tcPr>
            <w:tcW w:w="0" w:type="auto"/>
            <w:gridSpan w:val="36"/>
            <w:tcBorders>
              <w:top w:val="single" w:sz="8" w:space="0" w:color="000000"/>
              <w:left w:val="single" w:sz="8" w:space="0" w:color="000000"/>
              <w:bottom w:val="single" w:sz="8" w:space="0" w:color="000000"/>
              <w:right w:val="single" w:sz="8" w:space="0" w:color="000000"/>
            </w:tcBorders>
            <w:tcMar>
              <w:top w:w="30" w:type="dxa"/>
              <w:left w:w="48" w:type="dxa"/>
              <w:bottom w:w="30" w:type="dxa"/>
              <w:right w:w="48" w:type="dxa"/>
            </w:tcMar>
            <w:hideMark/>
          </w:tcPr>
          <w:p w:rsidR="00000000" w:rsidRDefault="007C49E1">
            <w:pPr>
              <w:spacing w:after="100"/>
              <w:jc w:val="center"/>
              <w:rPr>
                <w:rFonts w:eastAsia="Times New Roman"/>
              </w:rPr>
            </w:pPr>
            <w:r>
              <w:rPr>
                <w:rFonts w:eastAsia="Times New Roman"/>
                <w:color w:val="000000"/>
                <w:sz w:val="16"/>
                <w:szCs w:val="16"/>
              </w:rPr>
              <w:t>Three Months Ended March 31,</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6"/>
                <w:szCs w:val="16"/>
              </w:rPr>
              <w:t> </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7C49E1">
            <w:pPr>
              <w:spacing w:after="100"/>
              <w:jc w:val="center"/>
              <w:rPr>
                <w:rFonts w:eastAsia="Times New Roman"/>
              </w:rPr>
            </w:pPr>
            <w:r>
              <w:rPr>
                <w:rFonts w:eastAsia="Times New Roman"/>
                <w:color w:val="000000"/>
                <w:sz w:val="16"/>
                <w:szCs w:val="16"/>
              </w:rPr>
              <w:t>Revenues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7C49E1">
            <w:pPr>
              <w:spacing w:after="100"/>
              <w:jc w:val="center"/>
              <w:rPr>
                <w:rFonts w:eastAsia="Times New Roman"/>
              </w:rPr>
            </w:pPr>
            <w:r>
              <w:rPr>
                <w:rFonts w:eastAsia="Times New Roman"/>
                <w:color w:val="000000"/>
                <w:sz w:val="16"/>
                <w:szCs w:val="16"/>
              </w:rPr>
              <w:t>Direct Expenses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7C49E1">
            <w:pPr>
              <w:spacing w:after="100"/>
              <w:jc w:val="center"/>
              <w:rPr>
                <w:rFonts w:eastAsia="Times New Roman"/>
              </w:rPr>
            </w:pPr>
            <w:r>
              <w:rPr>
                <w:rFonts w:eastAsia="Times New Roman"/>
                <w:color w:val="000000"/>
                <w:sz w:val="16"/>
                <w:szCs w:val="16"/>
              </w:rPr>
              <w:t>Indirect Expenses ($000's)</w:t>
            </w:r>
          </w:p>
        </w:tc>
        <w:tc>
          <w:tcPr>
            <w:tcW w:w="0" w:type="auto"/>
            <w:gridSpan w:val="9"/>
            <w:tcBorders>
              <w:top w:val="single" w:sz="8" w:space="0" w:color="000000"/>
              <w:left w:val="single" w:sz="8" w:space="0" w:color="000000"/>
              <w:right w:val="single" w:sz="8" w:space="0" w:color="000000"/>
            </w:tcBorders>
            <w:tcMar>
              <w:top w:w="30" w:type="dxa"/>
              <w:left w:w="48" w:type="dxa"/>
              <w:bottom w:w="30" w:type="dxa"/>
              <w:right w:w="48" w:type="dxa"/>
            </w:tcMar>
            <w:vAlign w:val="center"/>
            <w:hideMark/>
          </w:tcPr>
          <w:p w:rsidR="00000000" w:rsidRDefault="007C49E1">
            <w:pPr>
              <w:spacing w:after="100"/>
              <w:jc w:val="center"/>
              <w:rPr>
                <w:rFonts w:eastAsia="Times New Roman"/>
              </w:rPr>
            </w:pPr>
            <w:r>
              <w:rPr>
                <w:rFonts w:eastAsia="Times New Roman"/>
                <w:color w:val="000000"/>
                <w:sz w:val="16"/>
                <w:szCs w:val="16"/>
              </w:rPr>
              <w:t>Net Operating Income ($000's)</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7C49E1">
            <w:pPr>
              <w:spacing w:after="100"/>
              <w:jc w:val="center"/>
              <w:rPr>
                <w:rFonts w:eastAsia="Times New Roman"/>
              </w:rPr>
            </w:pPr>
            <w:r>
              <w:rPr>
                <w:rFonts w:eastAsia="Times New Roman"/>
                <w:color w:val="000000"/>
                <w:sz w:val="16"/>
                <w:szCs w:val="16"/>
              </w:rPr>
              <w:t>Change</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Los Angeles </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112,345 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100,330 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15,778 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15,320 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2,900 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2,961 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93,667 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82,049 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14.2 </w:t>
            </w:r>
          </w:p>
        </w:tc>
        <w:tc>
          <w:tcPr>
            <w:tcW w:w="0" w:type="auto"/>
            <w:tcBorders>
              <w:top w:val="single" w:sz="8"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San Francisco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57,158 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52,087 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8,834 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8,555 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1,710 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1,807 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46,614 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41,725 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New York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45,608 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41,818 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12,194 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11,264 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1,368 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1,463 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(6.5)</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32,046 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29,091 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Miami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37,591 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29,759 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6,841 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6,470 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1,059 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1,134 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29,691 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22,155 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34.0 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Seattle-Tacoma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32,807 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28,550 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5,935 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5,922 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1,011 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1,084 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25,861 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21,544 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Washington DC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32,377 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28,938 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7,217 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6,834 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1,039 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1,097 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(5.3)</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24,121 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21,007 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Atlanta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26,762 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21,992 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21.7 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5,070 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4,810 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1,258 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1,289 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(2.4)</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20,434 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15,893 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Dallas-Ft. Worth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27,928 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23,345 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6,384 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6,380 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1,158 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1,202 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20,386 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15,763 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Chicago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35,827 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30,751 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14,901 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12,520 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1,587 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1,502 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19,339 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16,729 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Houston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24,700 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20,898 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18.2 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6,788 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6,737 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1,117 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1,159 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16,795 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13,002 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Orlando-Daytona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18,400 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15,220 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3,689 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3,545 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919 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853 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13,792 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10,822 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27.4 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Philadelphia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17,500 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15,521 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4,183 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3,850 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690 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723 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(4.6)</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12,627 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10,948 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West Palm Beach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15,594 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12,622 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3,140 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2,867 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488 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543 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(10.1)</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11,966 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9,212 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Tampa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14,822 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11,894 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24.6 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3,133 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2,999 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623 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634 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11,066 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8,261 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34.0 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Charlotte</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13,202 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10,750 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22.8 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2,378 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2,315 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613 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572 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7.2 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10,211 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7,863 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xml:space="preserve">All other markets </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236,649 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202,725 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16.7 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52,481 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51,929 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11,443 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11,079 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3.3 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172,725 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139,717 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23.6 </w:t>
            </w:r>
          </w:p>
        </w:tc>
        <w:tc>
          <w:tcPr>
            <w:tcW w:w="0" w:type="auto"/>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r w:rsidR="00000000">
        <w:trPr>
          <w:divId w:val="2060549460"/>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Totals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749,270 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647,200 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158,946 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152,317 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28,983 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29,102 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(0.4)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561,341 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465,781 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18"/>
                <w:szCs w:val="18"/>
              </w:rPr>
              <w:t>20.5 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r>
    </w:tbl>
    <w:p w:rsidR="00000000" w:rsidRDefault="007C49E1">
      <w:pPr>
        <w:divId w:val="615598907"/>
        <w:rPr>
          <w:rFonts w:eastAsia="Times New Roman"/>
        </w:rPr>
      </w:pPr>
    </w:p>
    <w:p w:rsidR="00000000" w:rsidRDefault="007C49E1">
      <w:pPr>
        <w:jc w:val="center"/>
        <w:divId w:val="893854228"/>
        <w:rPr>
          <w:rFonts w:eastAsia="Times New Roman"/>
        </w:rPr>
      </w:pPr>
      <w:r>
        <w:rPr>
          <w:rFonts w:eastAsia="Times New Roman"/>
          <w:color w:val="000000"/>
          <w:sz w:val="20"/>
          <w:szCs w:val="20"/>
        </w:rPr>
        <w:t>32</w:t>
      </w:r>
    </w:p>
    <w:p w:rsidR="00000000" w:rsidRDefault="007C49E1">
      <w:pPr>
        <w:rPr>
          <w:rFonts w:eastAsia="Times New Roman"/>
        </w:rPr>
      </w:pPr>
      <w:r>
        <w:rPr>
          <w:rFonts w:eastAsia="Times New Roman"/>
        </w:rPr>
        <w:pict>
          <v:rect id="_x0000_i1058" style="width:0;height:1.5pt" o:hralign="center" o:hrstd="t" o:hr="t" fillcolor="#a0a0a0" stroked="f"/>
        </w:pict>
      </w:r>
    </w:p>
    <w:p w:rsidR="00000000" w:rsidRDefault="007C49E1">
      <w:pPr>
        <w:divId w:val="579557445"/>
        <w:rPr>
          <w:rFonts w:eastAsia="Times New Roman"/>
        </w:rPr>
      </w:pPr>
    </w:p>
    <w:p w:rsidR="00000000" w:rsidRDefault="007C49E1">
      <w:pPr>
        <w:ind w:firstLine="720"/>
        <w:jc w:val="both"/>
        <w:divId w:val="1856728046"/>
        <w:rPr>
          <w:rFonts w:eastAsia="Times New Roman"/>
        </w:rPr>
      </w:pPr>
      <w:r>
        <w:rPr>
          <w:rFonts w:eastAsia="Times New Roman"/>
          <w:b/>
          <w:bCs/>
          <w:i/>
          <w:iCs/>
          <w:color w:val="000000"/>
          <w:sz w:val="20"/>
          <w:szCs w:val="20"/>
          <w:u w:val="single"/>
        </w:rPr>
        <w:t>Acquired Facilities</w:t>
      </w:r>
    </w:p>
    <w:p w:rsidR="00000000" w:rsidRDefault="007C49E1">
      <w:pPr>
        <w:ind w:firstLine="720"/>
        <w:jc w:val="both"/>
        <w:divId w:val="656300795"/>
        <w:rPr>
          <w:rFonts w:eastAsia="Times New Roman"/>
        </w:rPr>
      </w:pPr>
      <w:r>
        <w:rPr>
          <w:rFonts w:eastAsia="Times New Roman"/>
          <w:color w:val="000000"/>
          <w:sz w:val="20"/>
          <w:szCs w:val="20"/>
        </w:rPr>
        <w:t xml:space="preserve">The Acquired Facilities represent 304 facilities that we acquired in 2020, 2021, and 2022. As a result of the stabilization process and timing of when these facilities were acquired (and resulting reclassification to Same-Store Facilities), year-over-year </w:t>
      </w:r>
      <w:r>
        <w:rPr>
          <w:rFonts w:eastAsia="Times New Roman"/>
          <w:color w:val="000000"/>
          <w:sz w:val="20"/>
          <w:szCs w:val="20"/>
        </w:rPr>
        <w:t>changes can be significant. The following table summarizes operating data with respect to the Acquired Facilities: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121"/>
        <w:gridCol w:w="36"/>
        <w:gridCol w:w="121"/>
        <w:gridCol w:w="1257"/>
        <w:gridCol w:w="39"/>
        <w:gridCol w:w="36"/>
        <w:gridCol w:w="36"/>
        <w:gridCol w:w="36"/>
        <w:gridCol w:w="121"/>
        <w:gridCol w:w="1257"/>
        <w:gridCol w:w="38"/>
        <w:gridCol w:w="36"/>
        <w:gridCol w:w="36"/>
        <w:gridCol w:w="36"/>
        <w:gridCol w:w="121"/>
        <w:gridCol w:w="1257"/>
        <w:gridCol w:w="37"/>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7C49E1">
            <w:pPr>
              <w:ind w:firstLine="720"/>
              <w:jc w:val="both"/>
              <w:rPr>
                <w:rFonts w:eastAsia="Times New Roman"/>
              </w:rPr>
            </w:pPr>
          </w:p>
        </w:tc>
        <w:tc>
          <w:tcPr>
            <w:tcW w:w="211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6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6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6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20"/>
                <w:szCs w:val="20"/>
              </w:rPr>
              <w:t xml:space="preserve">ACQUIRED FACILITIES </w:t>
            </w: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Three Months Ended March 31,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Change (a)</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 amounts in thousands, except for per square foot amounts)</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20"/>
                <w:szCs w:val="20"/>
              </w:rPr>
              <w:t>Revenues (b):</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2028754766"/>
              <w:rPr>
                <w:rFonts w:eastAsia="Times New Roman"/>
              </w:rPr>
            </w:pPr>
            <w:r>
              <w:rPr>
                <w:rFonts w:eastAsia="Times New Roman"/>
                <w:color w:val="000000"/>
                <w:sz w:val="20"/>
                <w:szCs w:val="20"/>
              </w:rPr>
              <w:t>2020 Acquisitions</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17,068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10,291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6,777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1603679820"/>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68,825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832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67,993</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469253843"/>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478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478</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    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86,371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11,123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75,248</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20"/>
                <w:szCs w:val="20"/>
              </w:rPr>
              <w:t xml:space="preserve">Cost of operations (b):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871694594"/>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6,814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6,626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188</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596133574"/>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23,898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551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23,347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689334687"/>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319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319</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    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31,031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7,177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23,854</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20"/>
                <w:szCs w:val="20"/>
              </w:rPr>
              <w:t>Net operating income:</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332756745"/>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10,254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3,665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6,589</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1148282613"/>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44,927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281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44,646</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1655453536"/>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159</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    Net operating income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55,340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3,946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51,394</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Depreciation and amortization expense</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(84,465)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(11,473)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(72,992)</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Net loss</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(29,125)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(7,527)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(21,598)</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125049077"/>
              <w:rPr>
                <w:rFonts w:eastAsia="Times New Roman"/>
              </w:rPr>
            </w:pPr>
            <w:r>
              <w:rPr>
                <w:rFonts w:eastAsia="Times New Roman"/>
                <w:color w:val="000000"/>
                <w:sz w:val="20"/>
                <w:szCs w:val="20"/>
                <w:u w:val="single"/>
              </w:rPr>
              <w:t>At March 31:</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Square foot occupancy:</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1998875332"/>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89.8%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73.1%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22.8%</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10495145"/>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82.3%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67.6%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21.7%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1884556055"/>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43.5%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82.6%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72.2%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14.4%</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80" w:type="dxa"/>
              <w:bottom w:w="30" w:type="dxa"/>
              <w:right w:w="20" w:type="dxa"/>
            </w:tcMar>
            <w:vAlign w:val="bottom"/>
            <w:hideMark/>
          </w:tcPr>
          <w:p w:rsidR="00000000" w:rsidRDefault="007C49E1">
            <w:pPr>
              <w:spacing w:after="100"/>
              <w:ind w:hanging="90"/>
              <w:rPr>
                <w:rFonts w:eastAsia="Times New Roman"/>
              </w:rPr>
            </w:pPr>
            <w:r>
              <w:rPr>
                <w:rFonts w:eastAsia="Times New Roman"/>
                <w:color w:val="000000"/>
                <w:sz w:val="20"/>
                <w:szCs w:val="20"/>
              </w:rPr>
              <w:t>Annual contract rent per occupied square foot:</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260187228"/>
              <w:rPr>
                <w:rFonts w:eastAsia="Times New Roman"/>
              </w:rPr>
            </w:pPr>
            <w:r>
              <w:rPr>
                <w:rFonts w:eastAsia="Times New Roman"/>
                <w:color w:val="000000"/>
                <w:sz w:val="20"/>
                <w:szCs w:val="20"/>
              </w:rPr>
              <w:t>2020 Acquisitions</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15.27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12.40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23.1%</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5063705"/>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15.87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13.64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16.3%</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443186846"/>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12.80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15.71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12.60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24.7%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Number of facilities: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379018444"/>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788357856"/>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232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217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1554925068"/>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304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227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Net rentable square feet (in thousands):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1447431141"/>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1728190354"/>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21,830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1,087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20,743</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divId w:val="1056782528"/>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781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781</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27,686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6,162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21,524</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jc w:val="center"/>
        <w:divId w:val="985670817"/>
        <w:rPr>
          <w:rFonts w:eastAsia="Times New Roman"/>
        </w:rPr>
      </w:pPr>
      <w:r>
        <w:rPr>
          <w:rFonts w:eastAsia="Times New Roman"/>
          <w:color w:val="000000"/>
          <w:sz w:val="20"/>
          <w:szCs w:val="20"/>
        </w:rPr>
        <w:t>33</w:t>
      </w:r>
    </w:p>
    <w:p w:rsidR="00000000" w:rsidRDefault="007C49E1">
      <w:pPr>
        <w:rPr>
          <w:rFonts w:eastAsia="Times New Roman"/>
        </w:rPr>
      </w:pPr>
      <w:r>
        <w:rPr>
          <w:rFonts w:eastAsia="Times New Roman"/>
        </w:rPr>
        <w:pict>
          <v:rect id="_x0000_i1059" style="width:0;height:1.5pt" o:hralign="center" o:hrstd="t" o:hr="t" fillcolor="#a0a0a0" stroked="f"/>
        </w:pict>
      </w:r>
    </w:p>
    <w:p w:rsidR="00000000" w:rsidRDefault="007C49E1">
      <w:pPr>
        <w:divId w:val="1700471723"/>
        <w:rPr>
          <w:rFonts w:eastAsia="Times New Roman"/>
        </w:rPr>
      </w:pPr>
    </w:p>
    <w:p w:rsidR="00000000" w:rsidRDefault="007C49E1">
      <w:pPr>
        <w:divId w:val="525219191"/>
        <w:rPr>
          <w:rFonts w:eastAsia="Times New Roman"/>
        </w:rPr>
      </w:pPr>
      <w:r>
        <w:rPr>
          <w:rFonts w:eastAsia="Times New Roman"/>
          <w:b/>
          <w:bCs/>
          <w:color w:val="000000"/>
          <w:sz w:val="20"/>
          <w:szCs w:val="20"/>
        </w:rPr>
        <w:t xml:space="preserve">ACQUIRED FACILITIES (Continued) </w:t>
      </w:r>
    </w:p>
    <w:tbl>
      <w:tblPr>
        <w:tblW w:w="4287" w:type="pct"/>
        <w:tblCellMar>
          <w:top w:w="15" w:type="dxa"/>
          <w:left w:w="15" w:type="dxa"/>
          <w:bottom w:w="15" w:type="dxa"/>
          <w:right w:w="15" w:type="dxa"/>
        </w:tblCellMar>
        <w:tblLook w:val="04A0" w:firstRow="1" w:lastRow="0" w:firstColumn="1" w:lastColumn="0" w:noHBand="0" w:noVBand="1"/>
      </w:tblPr>
      <w:tblGrid>
        <w:gridCol w:w="38"/>
        <w:gridCol w:w="5559"/>
        <w:gridCol w:w="37"/>
        <w:gridCol w:w="121"/>
        <w:gridCol w:w="1331"/>
        <w:gridCol w:w="36"/>
      </w:tblGrid>
      <w:tr w:rsidR="00000000">
        <w:trPr>
          <w:divId w:val="1842042918"/>
        </w:trPr>
        <w:tc>
          <w:tcPr>
            <w:tcW w:w="50" w:type="pct"/>
            <w:vAlign w:val="center"/>
            <w:hideMark/>
          </w:tcPr>
          <w:p w:rsidR="00000000" w:rsidRDefault="007C49E1">
            <w:pPr>
              <w:rPr>
                <w:rFonts w:eastAsia="Times New Roman"/>
              </w:rPr>
            </w:pPr>
          </w:p>
        </w:tc>
        <w:tc>
          <w:tcPr>
            <w:tcW w:w="392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96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1842042918"/>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 xml:space="preserve">As of </w:t>
            </w:r>
          </w:p>
          <w:p w:rsidR="00000000" w:rsidRDefault="007C49E1">
            <w:pPr>
              <w:spacing w:after="100"/>
              <w:jc w:val="center"/>
              <w:rPr>
                <w:rFonts w:eastAsia="Times New Roman"/>
              </w:rPr>
            </w:pPr>
            <w:r>
              <w:rPr>
                <w:rFonts w:eastAsia="Times New Roman"/>
                <w:color w:val="000000"/>
                <w:sz w:val="20"/>
                <w:szCs w:val="20"/>
              </w:rPr>
              <w:t>March 31, 2022</w:t>
            </w:r>
          </w:p>
        </w:tc>
      </w:tr>
      <w:tr w:rsidR="00000000">
        <w:trPr>
          <w:divId w:val="184204291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Costs to acquire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r>
      <w:tr w:rsidR="00000000">
        <w:trPr>
          <w:divId w:val="1842042918"/>
        </w:trPr>
        <w:tc>
          <w:tcPr>
            <w:tcW w:w="0" w:type="auto"/>
            <w:gridSpan w:val="3"/>
            <w:tcMar>
              <w:top w:w="30" w:type="dxa"/>
              <w:left w:w="20" w:type="dxa"/>
              <w:bottom w:w="30" w:type="dxa"/>
              <w:right w:w="20" w:type="dxa"/>
            </w:tcMar>
            <w:vAlign w:val="bottom"/>
            <w:hideMark/>
          </w:tcPr>
          <w:p w:rsidR="00000000" w:rsidRDefault="007C49E1">
            <w:pPr>
              <w:spacing w:after="100"/>
              <w:divId w:val="624232646"/>
              <w:rPr>
                <w:rFonts w:eastAsia="Times New Roman"/>
              </w:rPr>
            </w:pPr>
            <w:r>
              <w:rPr>
                <w:rFonts w:eastAsia="Times New Roman"/>
                <w:color w:val="000000"/>
                <w:sz w:val="20"/>
                <w:szCs w:val="20"/>
              </w:rPr>
              <w:t>2020 Acquisitions</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796,065</w:t>
            </w:r>
          </w:p>
        </w:tc>
      </w:tr>
      <w:tr w:rsidR="00000000">
        <w:trPr>
          <w:divId w:val="1842042918"/>
        </w:trPr>
        <w:tc>
          <w:tcPr>
            <w:tcW w:w="0" w:type="auto"/>
            <w:gridSpan w:val="3"/>
            <w:tcMar>
              <w:top w:w="30" w:type="dxa"/>
              <w:left w:w="20" w:type="dxa"/>
              <w:bottom w:w="30" w:type="dxa"/>
              <w:right w:w="20" w:type="dxa"/>
            </w:tcMar>
            <w:vAlign w:val="bottom"/>
            <w:hideMark/>
          </w:tcPr>
          <w:p w:rsidR="00000000" w:rsidRDefault="007C49E1">
            <w:pPr>
              <w:spacing w:after="100"/>
              <w:divId w:val="642320594"/>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5,115,276</w:t>
            </w:r>
          </w:p>
        </w:tc>
      </w:tr>
      <w:tr w:rsidR="00000000">
        <w:trPr>
          <w:divId w:val="1842042918"/>
        </w:trPr>
        <w:tc>
          <w:tcPr>
            <w:tcW w:w="0" w:type="auto"/>
            <w:gridSpan w:val="3"/>
            <w:tcMar>
              <w:top w:w="30" w:type="dxa"/>
              <w:left w:w="20" w:type="dxa"/>
              <w:bottom w:w="30" w:type="dxa"/>
              <w:right w:w="20" w:type="dxa"/>
            </w:tcMar>
            <w:vAlign w:val="bottom"/>
            <w:hideMark/>
          </w:tcPr>
          <w:p w:rsidR="00000000" w:rsidRDefault="007C49E1">
            <w:pPr>
              <w:spacing w:after="100"/>
              <w:divId w:val="2022661714"/>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127,703</w:t>
            </w:r>
          </w:p>
        </w:tc>
      </w:tr>
      <w:tr w:rsidR="00000000">
        <w:trPr>
          <w:divId w:val="1842042918"/>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6,039,044</w:t>
            </w:r>
          </w:p>
        </w:tc>
      </w:tr>
    </w:tbl>
    <w:p w:rsidR="00000000" w:rsidRDefault="007C49E1">
      <w:pPr>
        <w:ind w:hanging="360"/>
        <w:jc w:val="both"/>
        <w:divId w:val="1265922118"/>
        <w:rPr>
          <w:rFonts w:eastAsia="Times New Roman"/>
        </w:rPr>
      </w:pPr>
      <w:r>
        <w:rPr>
          <w:rFonts w:eastAsia="Times New Roman"/>
          <w:color w:val="000000"/>
          <w:sz w:val="18"/>
          <w:szCs w:val="18"/>
        </w:rPr>
        <w:t>(a)</w:t>
      </w:r>
      <w:r>
        <w:rPr>
          <w:rFonts w:eastAsia="Times New Roman"/>
          <w:color w:val="000000"/>
          <w:sz w:val="18"/>
          <w:szCs w:val="18"/>
        </w:rPr>
        <w:t xml:space="preserve">Represents the percentage change with respect to square foot occupancy and annual contract rent per occupied square foot, and the absolute nominal change with respect to all other items. </w:t>
      </w:r>
    </w:p>
    <w:p w:rsidR="00000000" w:rsidRDefault="007C49E1">
      <w:pPr>
        <w:ind w:hanging="360"/>
        <w:jc w:val="both"/>
        <w:divId w:val="1739547060"/>
        <w:rPr>
          <w:rFonts w:eastAsia="Times New Roman"/>
        </w:rPr>
      </w:pPr>
      <w:r>
        <w:rPr>
          <w:rFonts w:eastAsia="Times New Roman"/>
          <w:color w:val="000000"/>
          <w:sz w:val="18"/>
          <w:szCs w:val="18"/>
        </w:rPr>
        <w:t>(b)Revenues and cost of operations do not include tenant reinsurance</w:t>
      </w:r>
      <w:r>
        <w:rPr>
          <w:rFonts w:eastAsia="Times New Roman"/>
          <w:color w:val="000000"/>
          <w:sz w:val="18"/>
          <w:szCs w:val="18"/>
        </w:rPr>
        <w:t xml:space="preserve"> and merchandise sale revenues and expenses generated at the facilities. See “Ancillary Operations” below for more information.</w:t>
      </w:r>
    </w:p>
    <w:p w:rsidR="00000000" w:rsidRDefault="007C49E1">
      <w:pPr>
        <w:ind w:firstLine="720"/>
        <w:jc w:val="both"/>
        <w:divId w:val="1578249127"/>
        <w:rPr>
          <w:rFonts w:eastAsia="Times New Roman"/>
        </w:rPr>
      </w:pPr>
      <w:r>
        <w:rPr>
          <w:rFonts w:eastAsia="Times New Roman"/>
          <w:color w:val="000000"/>
          <w:sz w:val="20"/>
          <w:szCs w:val="20"/>
        </w:rPr>
        <w:t>During 2021, we acquired the ezStorage portfolio, consisting of 48 properties (4.1 million net rentable square feet) for acquisi</w:t>
      </w:r>
      <w:r>
        <w:rPr>
          <w:rFonts w:eastAsia="Times New Roman"/>
          <w:color w:val="000000"/>
          <w:sz w:val="20"/>
          <w:szCs w:val="20"/>
        </w:rPr>
        <w:t>tion cost of $1.8 billion, which includes 47 self-storage facilities and one property that is under construction. Included in the Acquisition results in the table above are revenues of $24.0 million, NOI of $18.6 million (including Direct NOI of $19.4 mill</w:t>
      </w:r>
      <w:r>
        <w:rPr>
          <w:rFonts w:eastAsia="Times New Roman"/>
          <w:color w:val="000000"/>
          <w:sz w:val="20"/>
          <w:szCs w:val="20"/>
        </w:rPr>
        <w:t xml:space="preserve">ion), and average square footage occupancy of 88.0% for the three months ended March 31, 2022. </w:t>
      </w:r>
    </w:p>
    <w:p w:rsidR="00000000" w:rsidRDefault="007C49E1">
      <w:pPr>
        <w:ind w:firstLine="720"/>
        <w:jc w:val="both"/>
        <w:divId w:val="810826029"/>
        <w:rPr>
          <w:rFonts w:eastAsia="Times New Roman"/>
        </w:rPr>
      </w:pPr>
      <w:r>
        <w:rPr>
          <w:rFonts w:eastAsia="Times New Roman"/>
          <w:color w:val="000000"/>
          <w:sz w:val="20"/>
          <w:szCs w:val="20"/>
        </w:rPr>
        <w:t>During 2021, we acquired the All Storage portfolio, consisting of 56 properties (7.5 million net rentable square feet) for $1.5 billion, with 55 properties clos</w:t>
      </w:r>
      <w:r>
        <w:rPr>
          <w:rFonts w:eastAsia="Times New Roman"/>
          <w:color w:val="000000"/>
          <w:sz w:val="20"/>
          <w:szCs w:val="20"/>
        </w:rPr>
        <w:t>ed in the fourth quarter of 2021 and one property closed in February 2022. Included in the Acquisition results in the table above are revenues of $16.8 million, NOI of $10.5 million (including Direct NOI of $11.2 million), and average square footage occupa</w:t>
      </w:r>
      <w:r>
        <w:rPr>
          <w:rFonts w:eastAsia="Times New Roman"/>
          <w:color w:val="000000"/>
          <w:sz w:val="20"/>
          <w:szCs w:val="20"/>
        </w:rPr>
        <w:t xml:space="preserve">ncy of 77.3% for the three months ended March 31, 2022. </w:t>
      </w:r>
    </w:p>
    <w:p w:rsidR="00000000" w:rsidRDefault="007C49E1">
      <w:pPr>
        <w:ind w:firstLine="720"/>
        <w:jc w:val="both"/>
        <w:rPr>
          <w:rFonts w:eastAsia="Times New Roman"/>
        </w:rPr>
      </w:pPr>
      <w:r>
        <w:rPr>
          <w:rFonts w:eastAsia="Times New Roman"/>
          <w:color w:val="000000"/>
          <w:sz w:val="20"/>
          <w:szCs w:val="20"/>
        </w:rPr>
        <w:t xml:space="preserve">Subsequent to March 31, 2022, we acquired or were under contract to acquire eleven self-storage facilities across nine states with 0.9 million net rentable square feet, for $147.2 million. </w:t>
      </w:r>
    </w:p>
    <w:p w:rsidR="00000000" w:rsidRDefault="007C49E1">
      <w:pPr>
        <w:ind w:firstLine="720"/>
        <w:jc w:val="both"/>
        <w:rPr>
          <w:rFonts w:eastAsia="Times New Roman"/>
        </w:rPr>
      </w:pPr>
    </w:p>
    <w:p w:rsidR="00000000" w:rsidRDefault="007C49E1">
      <w:pPr>
        <w:divId w:val="371541260"/>
        <w:rPr>
          <w:rFonts w:eastAsia="Times New Roman"/>
        </w:rPr>
      </w:pPr>
    </w:p>
    <w:p w:rsidR="00000000" w:rsidRDefault="007C49E1">
      <w:pPr>
        <w:jc w:val="center"/>
        <w:divId w:val="1778478158"/>
        <w:rPr>
          <w:rFonts w:eastAsia="Times New Roman"/>
        </w:rPr>
      </w:pPr>
      <w:r>
        <w:rPr>
          <w:rFonts w:eastAsia="Times New Roman"/>
          <w:color w:val="000000"/>
          <w:sz w:val="20"/>
          <w:szCs w:val="20"/>
        </w:rPr>
        <w:t>34</w:t>
      </w:r>
    </w:p>
    <w:p w:rsidR="00000000" w:rsidRDefault="007C49E1">
      <w:pPr>
        <w:rPr>
          <w:rFonts w:eastAsia="Times New Roman"/>
        </w:rPr>
      </w:pPr>
      <w:r>
        <w:rPr>
          <w:rFonts w:eastAsia="Times New Roman"/>
        </w:rPr>
        <w:pict>
          <v:rect id="_x0000_i1060" style="width:0;height:1.5pt" o:hralign="center" o:hrstd="t" o:hr="t" fillcolor="#a0a0a0" stroked="f"/>
        </w:pict>
      </w:r>
    </w:p>
    <w:p w:rsidR="00000000" w:rsidRDefault="007C49E1">
      <w:pPr>
        <w:divId w:val="31005616"/>
        <w:rPr>
          <w:rFonts w:eastAsia="Times New Roman"/>
        </w:rPr>
      </w:pPr>
    </w:p>
    <w:p w:rsidR="00000000" w:rsidRDefault="007C49E1">
      <w:pPr>
        <w:divId w:val="1316225751"/>
        <w:rPr>
          <w:rFonts w:eastAsia="Times New Roman"/>
        </w:rPr>
      </w:pPr>
      <w:r>
        <w:rPr>
          <w:rFonts w:eastAsia="Times New Roman"/>
          <w:b/>
          <w:bCs/>
          <w:i/>
          <w:iCs/>
          <w:color w:val="000000"/>
          <w:sz w:val="20"/>
          <w:szCs w:val="20"/>
          <w:u w:val="single"/>
        </w:rPr>
        <w:t>Developed and Expanded Facilities</w:t>
      </w:r>
    </w:p>
    <w:p w:rsidR="00000000" w:rsidRDefault="007C49E1">
      <w:pPr>
        <w:ind w:firstLine="720"/>
        <w:jc w:val="both"/>
        <w:divId w:val="148132183"/>
        <w:rPr>
          <w:rFonts w:eastAsia="Times New Roman"/>
        </w:rPr>
      </w:pPr>
      <w:r>
        <w:rPr>
          <w:rFonts w:eastAsia="Times New Roman"/>
          <w:color w:val="000000"/>
          <w:sz w:val="20"/>
          <w:szCs w:val="20"/>
        </w:rPr>
        <w:t>The developed and expanded facilities include 54 facilities that were developed on new sites since January 1, 2017, and 91 facilities expanded to increase their net rentable square foota</w:t>
      </w:r>
      <w:r>
        <w:rPr>
          <w:rFonts w:eastAsia="Times New Roman"/>
          <w:color w:val="000000"/>
          <w:sz w:val="20"/>
          <w:szCs w:val="20"/>
        </w:rPr>
        <w:t>ge. Of these expansions, 51 were completed before 2021, 17 were completed in 2021 or 2022, and 23 are currently in process at March 31, 2022. The following table summarizes operating data with respect to the Developed and Expanded Facilities:</w:t>
      </w:r>
    </w:p>
    <w:tbl>
      <w:tblPr>
        <w:tblW w:w="4984" w:type="pct"/>
        <w:jc w:val="center"/>
        <w:tblCellMar>
          <w:top w:w="15" w:type="dxa"/>
          <w:left w:w="15" w:type="dxa"/>
          <w:bottom w:w="15" w:type="dxa"/>
          <w:right w:w="15" w:type="dxa"/>
        </w:tblCellMar>
        <w:tblLook w:val="04A0" w:firstRow="1" w:lastRow="0" w:firstColumn="1" w:lastColumn="0" w:noHBand="0" w:noVBand="1"/>
      </w:tblPr>
      <w:tblGrid>
        <w:gridCol w:w="39"/>
        <w:gridCol w:w="3363"/>
        <w:gridCol w:w="38"/>
        <w:gridCol w:w="122"/>
        <w:gridCol w:w="1197"/>
        <w:gridCol w:w="38"/>
        <w:gridCol w:w="36"/>
        <w:gridCol w:w="36"/>
        <w:gridCol w:w="36"/>
        <w:gridCol w:w="121"/>
        <w:gridCol w:w="1151"/>
        <w:gridCol w:w="37"/>
        <w:gridCol w:w="36"/>
        <w:gridCol w:w="36"/>
        <w:gridCol w:w="36"/>
        <w:gridCol w:w="120"/>
        <w:gridCol w:w="1153"/>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7C49E1">
            <w:pPr>
              <w:ind w:firstLine="720"/>
              <w:jc w:val="both"/>
              <w:rPr>
                <w:rFonts w:eastAsia="Times New Roman"/>
              </w:rPr>
            </w:pPr>
          </w:p>
        </w:tc>
        <w:tc>
          <w:tcPr>
            <w:tcW w:w="224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1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1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1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18"/>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20"/>
                <w:szCs w:val="20"/>
              </w:rPr>
              <w:t>DEVELOPED AND EXPANDED FACILITIES</w:t>
            </w:r>
          </w:p>
        </w:tc>
        <w:tc>
          <w:tcPr>
            <w:tcW w:w="0" w:type="auto"/>
            <w:gridSpan w:val="3"/>
            <w:vAlign w:val="center"/>
            <w:hideMark/>
          </w:tcPr>
          <w:p w:rsidR="00000000" w:rsidRDefault="007C49E1">
            <w:pPr>
              <w:spacing w:after="100"/>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Three Months Ended March 31,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Change (a)</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 amounts in thousands, except for per square foot amounts)</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20"/>
                <w:szCs w:val="20"/>
              </w:rPr>
              <w:t>Revenues (b):</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2017</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7,942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6,043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1,899</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8,293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6,053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2,240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3,626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2,338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1,288</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1,482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369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1,113</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1,429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1,425</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Expansions completed before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21,416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14,271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7,145</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Expansions completed in 2021 or 2022</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8,637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5,010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3,627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7,251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7,389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(138)</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     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60,076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41,477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18,599</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20"/>
                <w:szCs w:val="20"/>
              </w:rPr>
              <w:t xml:space="preserve">Cost of operations (b):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2,628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2,504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124</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2,555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2,561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1,368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1,408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428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399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29</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855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772</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Expansions completed before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7,601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7,076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525</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Expansions completed in 2021 or 2022</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2,362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1,523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839</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1,620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1,781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(161)</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     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19,417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17,335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2,082</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20"/>
                <w:szCs w:val="20"/>
              </w:rPr>
              <w:t>Net operating income (loss):</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5,314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3,539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1,775</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5,738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3,492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2,246</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2,258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930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1,328</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1,054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1,084</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574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653</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Expansions completed before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13,815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7,195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6,620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Expansions completed in 2021 or 2022</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6,275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3,487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2,788</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5,631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5,608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23</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     Net operating income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40,659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24,142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16,517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Depreciation and amortization expense</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(14,627)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(15,269)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642</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Net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26,032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8,873 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7C49E1">
            <w:pPr>
              <w:spacing w:after="100"/>
              <w:jc w:val="right"/>
              <w:rPr>
                <w:rFonts w:eastAsia="Times New Roman"/>
              </w:rPr>
            </w:pPr>
            <w:r>
              <w:rPr>
                <w:rFonts w:eastAsia="Times New Roman"/>
                <w:color w:val="000000"/>
                <w:sz w:val="20"/>
                <w:szCs w:val="20"/>
              </w:rPr>
              <w:t>17,159 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jc w:val="right"/>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divId w:val="1208491882"/>
        <w:rPr>
          <w:rFonts w:eastAsia="Times New Roman"/>
        </w:rPr>
      </w:pPr>
    </w:p>
    <w:p w:rsidR="00000000" w:rsidRDefault="007C49E1">
      <w:pPr>
        <w:divId w:val="900142870"/>
        <w:rPr>
          <w:rFonts w:eastAsia="Times New Roman"/>
        </w:rPr>
      </w:pPr>
    </w:p>
    <w:p w:rsidR="00000000" w:rsidRDefault="007C49E1">
      <w:pPr>
        <w:jc w:val="both"/>
        <w:rPr>
          <w:rFonts w:eastAsia="Times New Roman"/>
        </w:rPr>
      </w:pPr>
    </w:p>
    <w:p w:rsidR="00000000" w:rsidRDefault="007C49E1">
      <w:pPr>
        <w:jc w:val="center"/>
        <w:divId w:val="1179270114"/>
        <w:rPr>
          <w:rFonts w:eastAsia="Times New Roman"/>
        </w:rPr>
      </w:pPr>
      <w:r>
        <w:rPr>
          <w:rFonts w:eastAsia="Times New Roman"/>
          <w:color w:val="000000"/>
          <w:sz w:val="20"/>
          <w:szCs w:val="20"/>
        </w:rPr>
        <w:t>35</w:t>
      </w:r>
    </w:p>
    <w:p w:rsidR="00000000" w:rsidRDefault="007C49E1">
      <w:pPr>
        <w:rPr>
          <w:rFonts w:eastAsia="Times New Roman"/>
        </w:rPr>
      </w:pPr>
      <w:r>
        <w:rPr>
          <w:rFonts w:eastAsia="Times New Roman"/>
        </w:rPr>
        <w:pict>
          <v:rect id="_x0000_i1061" style="width:0;height:1.5pt" o:hralign="center" o:hrstd="t" o:hr="t" fillcolor="#a0a0a0" stroked="f"/>
        </w:pict>
      </w:r>
    </w:p>
    <w:p w:rsidR="00000000" w:rsidRDefault="007C49E1">
      <w:pPr>
        <w:divId w:val="1117875382"/>
        <w:rPr>
          <w:rFonts w:eastAsia="Times New Roman"/>
        </w:rPr>
      </w:pPr>
    </w:p>
    <w:tbl>
      <w:tblPr>
        <w:tblW w:w="4984" w:type="pct"/>
        <w:jc w:val="center"/>
        <w:tblCellMar>
          <w:top w:w="15" w:type="dxa"/>
          <w:left w:w="15" w:type="dxa"/>
          <w:bottom w:w="15" w:type="dxa"/>
          <w:right w:w="15" w:type="dxa"/>
        </w:tblCellMar>
        <w:tblLook w:val="04A0" w:firstRow="1" w:lastRow="0" w:firstColumn="1" w:lastColumn="0" w:noHBand="0" w:noVBand="1"/>
      </w:tblPr>
      <w:tblGrid>
        <w:gridCol w:w="38"/>
        <w:gridCol w:w="3394"/>
        <w:gridCol w:w="36"/>
        <w:gridCol w:w="112"/>
        <w:gridCol w:w="1212"/>
        <w:gridCol w:w="37"/>
        <w:gridCol w:w="36"/>
        <w:gridCol w:w="36"/>
        <w:gridCol w:w="36"/>
        <w:gridCol w:w="112"/>
        <w:gridCol w:w="1179"/>
        <w:gridCol w:w="37"/>
        <w:gridCol w:w="36"/>
        <w:gridCol w:w="36"/>
        <w:gridCol w:w="36"/>
        <w:gridCol w:w="38"/>
        <w:gridCol w:w="1183"/>
        <w:gridCol w:w="37"/>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7C49E1">
            <w:pPr>
              <w:rPr>
                <w:rFonts w:eastAsia="Times New Roman"/>
              </w:rPr>
            </w:pPr>
          </w:p>
        </w:tc>
        <w:tc>
          <w:tcPr>
            <w:tcW w:w="224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1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1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1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b/>
                <w:bCs/>
                <w:color w:val="000000"/>
                <w:sz w:val="18"/>
                <w:szCs w:val="18"/>
              </w:rPr>
              <w:t>DEVELOPED AND EXPANDED FACILITIES (Continued)</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As of March 31,</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Change (a)</w:t>
            </w:r>
          </w:p>
        </w:tc>
        <w:tc>
          <w:tcPr>
            <w:tcW w:w="0" w:type="auto"/>
            <w:gridSpan w:val="3"/>
            <w:vAlign w:val="center"/>
            <w:hideMark/>
          </w:tcPr>
          <w:p w:rsidR="00000000" w:rsidRDefault="007C49E1">
            <w:pPr>
              <w:spacing w:after="100"/>
              <w:jc w:val="center"/>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7C49E1">
            <w:pPr>
              <w:spacing w:after="10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18"/>
                <w:szCs w:val="18"/>
              </w:rPr>
              <w:t>($ amounts in thousands, except for per square foot amounts)</w:t>
            </w: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c>
          <w:tcPr>
            <w:tcW w:w="0" w:type="auto"/>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Square foot occupancy:</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vAlign w:val="center"/>
            <w:hideMark/>
          </w:tcPr>
          <w:p w:rsidR="00000000" w:rsidRDefault="007C49E1">
            <w:pPr>
              <w:spacing w:after="100"/>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2017</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92.1%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92.9%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(0.9)%</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2018</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88.6%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89.6%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(1.1)%</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2019</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88.4%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88.2%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0.2%</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2020</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92.0%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55.7%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65.2%</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67.4%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13.1%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414.5%</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Expansions completed before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87.6%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80.2%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9.2%</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Expansions completed in 2021 or 2022</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85.1%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95.6%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(11.0)%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Expansions in process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86.2%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91.4%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(5.7)%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87.2%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84.9%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18"/>
                <w:szCs w:val="18"/>
              </w:rPr>
              <w:t>Annual contract rent per occupied square foot:</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ind w:hanging="18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2017</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16.79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12.94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29.8%</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2018</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18.06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13.41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34.7%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2019</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15.54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10.61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46.5%</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2020</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19.08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11.20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70.4%</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15.28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14.25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7.2%</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Expansions completed before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14.31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10.83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32.1%</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Expansions completed in 2021 or 2022</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20.32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18.61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9.2%</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Expansions in process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22.87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20.63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10.9%</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16.91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13.17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28.4%</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Number of facilities: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2017</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2018</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2019</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2020</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5</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Expansions completed before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51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51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Expansions completed in 2021 or 2022</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Expansions in process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145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138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7</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7C49E1">
            <w:pPr>
              <w:spacing w:after="100"/>
              <w:ind w:hanging="180"/>
              <w:rPr>
                <w:rFonts w:eastAsia="Times New Roman"/>
              </w:rPr>
            </w:pPr>
            <w:r>
              <w:rPr>
                <w:rFonts w:eastAsia="Times New Roman"/>
                <w:color w:val="000000"/>
                <w:sz w:val="18"/>
                <w:szCs w:val="18"/>
              </w:rPr>
              <w:t>Net rentable square feet (in thousands) (c):</w:t>
            </w: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7C49E1">
            <w:pPr>
              <w:spacing w:after="100"/>
              <w:jc w:val="right"/>
              <w:rPr>
                <w:rFonts w:eastAsia="Times New Roman"/>
              </w:rPr>
            </w:pPr>
            <w:r>
              <w:rPr>
                <w:rFonts w:eastAsia="Times New Roman"/>
                <w:color w:val="000000"/>
                <w:sz w:val="18"/>
                <w:szCs w:val="18"/>
              </w:rPr>
              <w:t> </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2017</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2,040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2,040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2018</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2,069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2,069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2019</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1,057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1,057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2020</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347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347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Developed in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681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200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481</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Expansions completed before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6,877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6,877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Expansions completed in 2021 or 2022</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2,133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1,133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1,000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Expansions in process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1,437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1,517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(80)</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18"/>
                <w:szCs w:val="18"/>
              </w:rPr>
              <w:t> </w:t>
            </w: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16,641</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15,240</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18"/>
                <w:szCs w:val="18"/>
              </w:rPr>
              <w:t>1,401</w:t>
            </w:r>
          </w:p>
        </w:tc>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c>
          <w:tcPr>
            <w:tcW w:w="0" w:type="auto"/>
            <w:gridSpan w:val="3"/>
            <w:vAlign w:val="center"/>
            <w:hideMark/>
          </w:tcPr>
          <w:p w:rsidR="00000000" w:rsidRDefault="007C49E1">
            <w:pPr>
              <w:spacing w:after="100"/>
              <w:rPr>
                <w:rFonts w:eastAsia="Times New Roman"/>
                <w:sz w:val="20"/>
                <w:szCs w:val="20"/>
              </w:rPr>
            </w:pPr>
          </w:p>
        </w:tc>
      </w:tr>
    </w:tbl>
    <w:p w:rsidR="00000000" w:rsidRDefault="007C49E1">
      <w:pPr>
        <w:jc w:val="center"/>
        <w:divId w:val="263005641"/>
        <w:rPr>
          <w:rFonts w:eastAsia="Times New Roman"/>
        </w:rPr>
      </w:pPr>
      <w:r>
        <w:rPr>
          <w:rFonts w:eastAsia="Times New Roman"/>
          <w:color w:val="000000"/>
          <w:sz w:val="20"/>
          <w:szCs w:val="20"/>
        </w:rPr>
        <w:t>36</w:t>
      </w:r>
    </w:p>
    <w:p w:rsidR="00000000" w:rsidRDefault="007C49E1">
      <w:pPr>
        <w:rPr>
          <w:rFonts w:eastAsia="Times New Roman"/>
        </w:rPr>
      </w:pPr>
      <w:r>
        <w:rPr>
          <w:rFonts w:eastAsia="Times New Roman"/>
        </w:rPr>
        <w:pict>
          <v:rect id="_x0000_i1062" style="width:0;height:1.5pt" o:hralign="center" o:hrstd="t" o:hr="t" fillcolor="#a0a0a0" stroked="f"/>
        </w:pict>
      </w:r>
    </w:p>
    <w:p w:rsidR="00000000" w:rsidRDefault="007C49E1">
      <w:pPr>
        <w:divId w:val="986662874"/>
        <w:rPr>
          <w:rFonts w:eastAsia="Times New Roman"/>
        </w:rPr>
      </w:pPr>
    </w:p>
    <w:tbl>
      <w:tblPr>
        <w:tblW w:w="3818" w:type="pct"/>
        <w:jc w:val="center"/>
        <w:tblCellMar>
          <w:top w:w="15" w:type="dxa"/>
          <w:left w:w="15" w:type="dxa"/>
          <w:bottom w:w="15" w:type="dxa"/>
          <w:right w:w="15" w:type="dxa"/>
        </w:tblCellMar>
        <w:tblLook w:val="04A0" w:firstRow="1" w:lastRow="0" w:firstColumn="1" w:lastColumn="0" w:noHBand="0" w:noVBand="1"/>
      </w:tblPr>
      <w:tblGrid>
        <w:gridCol w:w="38"/>
        <w:gridCol w:w="4773"/>
        <w:gridCol w:w="37"/>
        <w:gridCol w:w="121"/>
        <w:gridCol w:w="1337"/>
        <w:gridCol w:w="36"/>
      </w:tblGrid>
      <w:tr w:rsidR="00000000">
        <w:trPr>
          <w:jc w:val="center"/>
        </w:trPr>
        <w:tc>
          <w:tcPr>
            <w:tcW w:w="50" w:type="pct"/>
            <w:vAlign w:val="center"/>
            <w:hideMark/>
          </w:tcPr>
          <w:p w:rsidR="00000000" w:rsidRDefault="007C49E1">
            <w:pPr>
              <w:rPr>
                <w:rFonts w:eastAsia="Times New Roman"/>
              </w:rPr>
            </w:pPr>
          </w:p>
        </w:tc>
        <w:tc>
          <w:tcPr>
            <w:tcW w:w="3804"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08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p>
          <w:p w:rsidR="00000000" w:rsidRDefault="007C49E1">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 xml:space="preserve">As of </w:t>
            </w:r>
          </w:p>
          <w:p w:rsidR="00000000" w:rsidRDefault="007C49E1">
            <w:pPr>
              <w:spacing w:after="100"/>
              <w:jc w:val="center"/>
              <w:rPr>
                <w:rFonts w:eastAsia="Times New Roman"/>
              </w:rPr>
            </w:pPr>
            <w:r>
              <w:rPr>
                <w:rFonts w:eastAsia="Times New Roman"/>
                <w:color w:val="000000"/>
                <w:sz w:val="20"/>
                <w:szCs w:val="20"/>
              </w:rPr>
              <w:t>March 31, 2022</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Costs to develop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2017</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239,871</w:t>
            </w: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262,187</w:t>
            </w: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150,387</w:t>
            </w: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42,063</w:t>
            </w: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115,632</w:t>
            </w:r>
          </w:p>
        </w:tc>
      </w:tr>
      <w:tr w:rsidR="00000000">
        <w:trPr>
          <w:jc w:val="center"/>
        </w:trPr>
        <w:tc>
          <w:tcPr>
            <w:tcW w:w="0" w:type="auto"/>
            <w:gridSpan w:val="3"/>
            <w:vAlign w:val="center"/>
            <w:hideMark/>
          </w:tcPr>
          <w:p w:rsidR="00000000" w:rsidRDefault="007C49E1">
            <w:pPr>
              <w:spacing w:after="100"/>
              <w:jc w:val="right"/>
              <w:rPr>
                <w:rFonts w:eastAsia="Times New Roman"/>
              </w:rPr>
            </w:pPr>
          </w:p>
        </w:tc>
        <w:tc>
          <w:tcPr>
            <w:tcW w:w="0" w:type="auto"/>
            <w:gridSpan w:val="3"/>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Expansions completed before 2021 (d)</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478,659</w:t>
            </w: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Expansions completed in 2021 or 2022 (d)</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123,499</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1,412,298</w:t>
            </w:r>
          </w:p>
        </w:tc>
      </w:tr>
    </w:tbl>
    <w:p w:rsidR="00000000" w:rsidRDefault="007C49E1">
      <w:pPr>
        <w:ind w:hanging="360"/>
        <w:jc w:val="both"/>
        <w:divId w:val="1844513734"/>
        <w:rPr>
          <w:rFonts w:eastAsia="Times New Roman"/>
        </w:rPr>
      </w:pPr>
      <w:r>
        <w:rPr>
          <w:rFonts w:eastAsia="Times New Roman"/>
          <w:color w:val="000000"/>
          <w:sz w:val="18"/>
          <w:szCs w:val="18"/>
        </w:rPr>
        <w:t>(a)</w:t>
      </w:r>
      <w:r>
        <w:rPr>
          <w:rFonts w:eastAsia="Times New Roman"/>
          <w:color w:val="000000"/>
          <w:sz w:val="18"/>
          <w:szCs w:val="18"/>
        </w:rPr>
        <w:t xml:space="preserve">Represents the percentage change with respect to square foot occupancy and annual contract rent per occupied square foot, and the absolute nominal change with respect to all other items. </w:t>
      </w:r>
    </w:p>
    <w:p w:rsidR="00000000" w:rsidRDefault="007C49E1">
      <w:pPr>
        <w:ind w:hanging="360"/>
        <w:jc w:val="both"/>
        <w:divId w:val="780026388"/>
        <w:rPr>
          <w:rFonts w:eastAsia="Times New Roman"/>
        </w:rPr>
      </w:pPr>
      <w:r>
        <w:rPr>
          <w:rFonts w:eastAsia="Times New Roman"/>
          <w:color w:val="000000"/>
          <w:sz w:val="18"/>
          <w:szCs w:val="18"/>
        </w:rPr>
        <w:t>(b)Revenues and cost of operations do not include tenant reinsurance</w:t>
      </w:r>
      <w:r>
        <w:rPr>
          <w:rFonts w:eastAsia="Times New Roman"/>
          <w:color w:val="000000"/>
          <w:sz w:val="18"/>
          <w:szCs w:val="18"/>
        </w:rPr>
        <w:t xml:space="preserve"> and merchandise sales generated at the facilities. See “Ancillary Operations” below for more information.</w:t>
      </w:r>
    </w:p>
    <w:p w:rsidR="00000000" w:rsidRDefault="007C49E1">
      <w:pPr>
        <w:ind w:hanging="360"/>
        <w:jc w:val="both"/>
        <w:divId w:val="396441156"/>
        <w:rPr>
          <w:rFonts w:eastAsia="Times New Roman"/>
        </w:rPr>
      </w:pPr>
      <w:r>
        <w:rPr>
          <w:rFonts w:eastAsia="Times New Roman"/>
          <w:color w:val="000000"/>
          <w:sz w:val="18"/>
          <w:szCs w:val="18"/>
        </w:rPr>
        <w:t>(c)The facilities included above have an aggregate of approximately 16.6 million net rentable square feet at March 31, 2022, including 5.0 million in</w:t>
      </w:r>
      <w:r>
        <w:rPr>
          <w:rFonts w:eastAsia="Times New Roman"/>
          <w:color w:val="000000"/>
          <w:sz w:val="18"/>
          <w:szCs w:val="18"/>
        </w:rPr>
        <w:t xml:space="preserve"> Texas, 2.8 million in Florida, 2.2 million in California, 1.5 million in Colorado, 1.2 million in Minnesota, 0.9 million in North Carolina, 0.6 million in Michigan, 0.4 million in each of Missouri and Washington, 0.3 million in each of New Jersey, South C</w:t>
      </w:r>
      <w:r>
        <w:rPr>
          <w:rFonts w:eastAsia="Times New Roman"/>
          <w:color w:val="000000"/>
          <w:sz w:val="18"/>
          <w:szCs w:val="18"/>
        </w:rPr>
        <w:t>arolina and Virginia and 0.7 million in other states.</w:t>
      </w:r>
    </w:p>
    <w:p w:rsidR="00000000" w:rsidRDefault="007C49E1">
      <w:pPr>
        <w:ind w:hanging="360"/>
        <w:jc w:val="both"/>
        <w:divId w:val="1800875801"/>
        <w:rPr>
          <w:rFonts w:eastAsia="Times New Roman"/>
        </w:rPr>
      </w:pPr>
      <w:r>
        <w:rPr>
          <w:rFonts w:eastAsia="Times New Roman"/>
          <w:color w:val="000000"/>
          <w:sz w:val="18"/>
          <w:szCs w:val="18"/>
        </w:rPr>
        <w:t>(d)These amounts only include the direct cost incurred to expand and renovate these facilities, and do not include (i) the original cost to develop or acquire the facility or (ii) the lost revenue on sp</w:t>
      </w:r>
      <w:r>
        <w:rPr>
          <w:rFonts w:eastAsia="Times New Roman"/>
          <w:color w:val="000000"/>
          <w:sz w:val="18"/>
          <w:szCs w:val="18"/>
        </w:rPr>
        <w:t xml:space="preserve">ace demolished during the construction and fill-up period. </w:t>
      </w:r>
    </w:p>
    <w:p w:rsidR="00000000" w:rsidRDefault="007C49E1">
      <w:pPr>
        <w:ind w:firstLine="720"/>
        <w:jc w:val="both"/>
        <w:divId w:val="1930192174"/>
        <w:rPr>
          <w:rFonts w:eastAsia="Times New Roman"/>
        </w:rPr>
      </w:pPr>
      <w:r>
        <w:rPr>
          <w:rFonts w:eastAsia="Times New Roman"/>
          <w:color w:val="000000"/>
          <w:sz w:val="20"/>
          <w:szCs w:val="20"/>
        </w:rPr>
        <w:t>It typically takes at least three to four years for a newly developed or expanded self-storage facility to stabilize with respect to revenues. Physical occupancy can be achieved as early as two to</w:t>
      </w:r>
      <w:r>
        <w:rPr>
          <w:rFonts w:eastAsia="Times New Roman"/>
          <w:color w:val="000000"/>
          <w:sz w:val="20"/>
          <w:szCs w:val="20"/>
        </w:rPr>
        <w:t xml:space="preserve"> three years following completion of the development or expansion through offering lower rental rates during fill-up. As a result, even after achieving high occupancy, there can still be a period of elevated revenue growth as the tenant base matures and hi</w:t>
      </w:r>
      <w:r>
        <w:rPr>
          <w:rFonts w:eastAsia="Times New Roman"/>
          <w:color w:val="000000"/>
          <w:sz w:val="20"/>
          <w:szCs w:val="20"/>
        </w:rPr>
        <w:t xml:space="preserve">gher rental rates are achieved. </w:t>
      </w:r>
    </w:p>
    <w:p w:rsidR="00000000" w:rsidRDefault="007C49E1">
      <w:pPr>
        <w:ind w:firstLine="720"/>
        <w:jc w:val="both"/>
        <w:divId w:val="812796313"/>
        <w:rPr>
          <w:rFonts w:eastAsia="Times New Roman"/>
        </w:rPr>
      </w:pPr>
      <w:r>
        <w:rPr>
          <w:rFonts w:eastAsia="Times New Roman"/>
          <w:color w:val="000000"/>
          <w:sz w:val="20"/>
          <w:szCs w:val="20"/>
        </w:rPr>
        <w:t>We believe that our development and redevelopment activities generate favorable risk-adjusted returns over the long run. However, in the short run, our earnings are diluted during the construction and stabilization period d</w:t>
      </w:r>
      <w:r>
        <w:rPr>
          <w:rFonts w:eastAsia="Times New Roman"/>
          <w:color w:val="000000"/>
          <w:sz w:val="20"/>
          <w:szCs w:val="20"/>
        </w:rPr>
        <w:t xml:space="preserve">ue to the cost of capital to fund the development cost, as well as the related construction and development overhead expenses included in general and administrative expense. </w:t>
      </w:r>
    </w:p>
    <w:p w:rsidR="00000000" w:rsidRDefault="007C49E1">
      <w:pPr>
        <w:ind w:firstLine="720"/>
        <w:jc w:val="both"/>
        <w:divId w:val="272370430"/>
        <w:rPr>
          <w:rFonts w:eastAsia="Times New Roman"/>
        </w:rPr>
      </w:pPr>
      <w:r>
        <w:rPr>
          <w:rFonts w:eastAsia="Times New Roman"/>
          <w:color w:val="000000"/>
          <w:sz w:val="20"/>
          <w:szCs w:val="20"/>
        </w:rPr>
        <w:t>We typically underwrite new developments to stabilize at approximately an 8.0% NO</w:t>
      </w:r>
      <w:r>
        <w:rPr>
          <w:rFonts w:eastAsia="Times New Roman"/>
          <w:color w:val="000000"/>
          <w:sz w:val="20"/>
          <w:szCs w:val="20"/>
        </w:rPr>
        <w:t>I yield on cost. Our developed facilities have thus far leased up as expected and are at various stages of their revenue stabilization periods. The actual annualized yields that we may achieve on these facilities upon stabilization will depend on many fact</w:t>
      </w:r>
      <w:r>
        <w:rPr>
          <w:rFonts w:eastAsia="Times New Roman"/>
          <w:color w:val="000000"/>
          <w:sz w:val="20"/>
          <w:szCs w:val="20"/>
        </w:rPr>
        <w:t>ors, including local and current market conditions in the vicinity of each property and the level of new and existing supply.</w:t>
      </w:r>
    </w:p>
    <w:p w:rsidR="00000000" w:rsidRDefault="007C49E1">
      <w:pPr>
        <w:ind w:firstLine="720"/>
        <w:jc w:val="both"/>
        <w:divId w:val="1177423790"/>
        <w:rPr>
          <w:rFonts w:eastAsia="Times New Roman"/>
        </w:rPr>
      </w:pPr>
      <w:r>
        <w:rPr>
          <w:rFonts w:eastAsia="Times New Roman"/>
          <w:color w:val="000000"/>
          <w:sz w:val="20"/>
          <w:szCs w:val="20"/>
        </w:rPr>
        <w:t>The facilities under “expansions completed” represent those facilities where the expansions have been completed at March 31, 2022.</w:t>
      </w:r>
      <w:r>
        <w:rPr>
          <w:rFonts w:eastAsia="Times New Roman"/>
          <w:color w:val="000000"/>
          <w:sz w:val="20"/>
          <w:szCs w:val="20"/>
        </w:rPr>
        <w:t xml:space="preserve"> We incurred a total of $602.2 million in direct cost to expand these facilities, demolished a total of 1.1 million net rentable square feet of storage space, and built a total of 5.7 million net rentable square feet of new storage space. </w:t>
      </w:r>
    </w:p>
    <w:p w:rsidR="00000000" w:rsidRDefault="007C49E1">
      <w:pPr>
        <w:ind w:firstLine="720"/>
        <w:jc w:val="both"/>
        <w:divId w:val="514461549"/>
        <w:rPr>
          <w:rFonts w:eastAsia="Times New Roman"/>
        </w:rPr>
      </w:pPr>
      <w:r>
        <w:rPr>
          <w:rFonts w:eastAsia="Times New Roman"/>
          <w:color w:val="000000"/>
          <w:sz w:val="20"/>
          <w:szCs w:val="20"/>
        </w:rPr>
        <w:t>At March 31, 202</w:t>
      </w:r>
      <w:r>
        <w:rPr>
          <w:rFonts w:eastAsia="Times New Roman"/>
          <w:color w:val="000000"/>
          <w:sz w:val="20"/>
          <w:szCs w:val="20"/>
        </w:rPr>
        <w:t>2, we had 26 additional facilities in development, which will have a total of 2.2 million net rentable square feet of storage space and have an aggregate development cost totaling approximately $406.1 million. We expect these facilities to open over the ne</w:t>
      </w:r>
      <w:r>
        <w:rPr>
          <w:rFonts w:eastAsia="Times New Roman"/>
          <w:color w:val="000000"/>
          <w:sz w:val="20"/>
          <w:szCs w:val="20"/>
        </w:rPr>
        <w:t xml:space="preserve">xt 18 to 24 months. </w:t>
      </w:r>
    </w:p>
    <w:p w:rsidR="00000000" w:rsidRDefault="007C49E1">
      <w:pPr>
        <w:ind w:firstLine="720"/>
        <w:jc w:val="both"/>
        <w:divId w:val="1171221459"/>
        <w:rPr>
          <w:rFonts w:eastAsia="Times New Roman"/>
        </w:rPr>
      </w:pPr>
      <w:r>
        <w:rPr>
          <w:rFonts w:eastAsia="Times New Roman"/>
          <w:color w:val="000000"/>
          <w:sz w:val="20"/>
          <w:szCs w:val="20"/>
        </w:rPr>
        <w:t>The facilities under "expansion in process" represent those facilities where construction is in process at March 31, 2022, and together with additional expansion activities primarily related to our Same Store Facilities at March 31, 20</w:t>
      </w:r>
      <w:r>
        <w:rPr>
          <w:rFonts w:eastAsia="Times New Roman"/>
          <w:color w:val="000000"/>
          <w:sz w:val="20"/>
          <w:szCs w:val="20"/>
        </w:rPr>
        <w:t xml:space="preserve">22, we expect to add a total of 2.6 million net rentable square feet of storage space by expanding existing self-storage facilities for an aggregate direct development cost of $427.7 million. </w:t>
      </w:r>
    </w:p>
    <w:p w:rsidR="00000000" w:rsidRDefault="007C49E1">
      <w:pPr>
        <w:jc w:val="both"/>
        <w:divId w:val="643391231"/>
        <w:rPr>
          <w:rFonts w:eastAsia="Times New Roman"/>
        </w:rPr>
      </w:pPr>
    </w:p>
    <w:p w:rsidR="00000000" w:rsidRDefault="007C49E1">
      <w:pPr>
        <w:jc w:val="center"/>
        <w:divId w:val="207499707"/>
        <w:rPr>
          <w:rFonts w:eastAsia="Times New Roman"/>
        </w:rPr>
      </w:pPr>
      <w:r>
        <w:rPr>
          <w:rFonts w:eastAsia="Times New Roman"/>
          <w:color w:val="000000"/>
          <w:sz w:val="20"/>
          <w:szCs w:val="20"/>
        </w:rPr>
        <w:t>37</w:t>
      </w:r>
    </w:p>
    <w:p w:rsidR="00000000" w:rsidRDefault="007C49E1">
      <w:pPr>
        <w:rPr>
          <w:rFonts w:eastAsia="Times New Roman"/>
        </w:rPr>
      </w:pPr>
      <w:r>
        <w:rPr>
          <w:rFonts w:eastAsia="Times New Roman"/>
        </w:rPr>
        <w:pict>
          <v:rect id="_x0000_i1063" style="width:0;height:1.5pt" o:hralign="center" o:hrstd="t" o:hr="t" fillcolor="#a0a0a0" stroked="f"/>
        </w:pict>
      </w:r>
    </w:p>
    <w:p w:rsidR="00000000" w:rsidRDefault="007C49E1">
      <w:pPr>
        <w:divId w:val="1153526339"/>
        <w:rPr>
          <w:rFonts w:eastAsia="Times New Roman"/>
        </w:rPr>
      </w:pPr>
    </w:p>
    <w:p w:rsidR="00000000" w:rsidRDefault="007C49E1">
      <w:pPr>
        <w:jc w:val="both"/>
        <w:divId w:val="130637951"/>
        <w:rPr>
          <w:rFonts w:eastAsia="Times New Roman"/>
        </w:rPr>
      </w:pPr>
      <w:r>
        <w:rPr>
          <w:rFonts w:eastAsia="Times New Roman"/>
          <w:b/>
          <w:bCs/>
          <w:i/>
          <w:iCs/>
          <w:color w:val="000000"/>
          <w:sz w:val="20"/>
          <w:szCs w:val="20"/>
          <w:u w:val="single"/>
        </w:rPr>
        <w:t>Other Non-Same Store Facilities</w:t>
      </w:r>
    </w:p>
    <w:p w:rsidR="00000000" w:rsidRDefault="007C49E1">
      <w:pPr>
        <w:ind w:firstLine="720"/>
        <w:jc w:val="both"/>
        <w:divId w:val="196165063"/>
        <w:rPr>
          <w:rFonts w:eastAsia="Times New Roman"/>
        </w:rPr>
      </w:pPr>
      <w:r>
        <w:rPr>
          <w:rFonts w:eastAsia="Times New Roman"/>
          <w:color w:val="000000"/>
          <w:sz w:val="20"/>
          <w:szCs w:val="20"/>
        </w:rPr>
        <w:t>The “Other Non-Same Store Facilities” represent facilities which, while not newly acquired, developed, or expanded, are not fully stabilized since January 1, 2020, including facilities under fill-up as well as facilities dam</w:t>
      </w:r>
      <w:r>
        <w:rPr>
          <w:rFonts w:eastAsia="Times New Roman"/>
          <w:color w:val="000000"/>
          <w:sz w:val="20"/>
          <w:szCs w:val="20"/>
        </w:rPr>
        <w:t xml:space="preserve">aged in casualty events such as hurricanes, floods, and fires. </w:t>
      </w:r>
    </w:p>
    <w:p w:rsidR="00000000" w:rsidRDefault="007C49E1">
      <w:pPr>
        <w:ind w:firstLine="720"/>
        <w:jc w:val="both"/>
        <w:divId w:val="485633337"/>
        <w:rPr>
          <w:rFonts w:eastAsia="Times New Roman"/>
        </w:rPr>
      </w:pPr>
      <w:r>
        <w:rPr>
          <w:rFonts w:eastAsia="Times New Roman"/>
          <w:color w:val="000000"/>
          <w:sz w:val="20"/>
          <w:szCs w:val="20"/>
        </w:rPr>
        <w:t>The Other Non-Same Store Facilities have an aggregate of 5.3 million net rentable square feet, including 1.1 million in Texas, 0.6 million in each of Florida and Washington, 0.4 million in eac</w:t>
      </w:r>
      <w:r>
        <w:rPr>
          <w:rFonts w:eastAsia="Times New Roman"/>
          <w:color w:val="000000"/>
          <w:sz w:val="20"/>
          <w:szCs w:val="20"/>
        </w:rPr>
        <w:t xml:space="preserve">h of California and Virginia, 0.3 million in each of Indiana and South Carolina, 0.2 million in each of Georgia, Kentucky, Massachusetts and Tennessee and 0.8 million in other states. </w:t>
      </w:r>
    </w:p>
    <w:p w:rsidR="00000000" w:rsidRDefault="007C49E1">
      <w:pPr>
        <w:ind w:firstLine="720"/>
        <w:jc w:val="both"/>
        <w:divId w:val="149369182"/>
        <w:rPr>
          <w:rFonts w:eastAsia="Times New Roman"/>
        </w:rPr>
      </w:pPr>
      <w:r>
        <w:rPr>
          <w:rFonts w:eastAsia="Times New Roman"/>
          <w:color w:val="000000"/>
          <w:sz w:val="20"/>
          <w:szCs w:val="20"/>
        </w:rPr>
        <w:t>During the three months ended March 31, 2022 and 2021, the average occu</w:t>
      </w:r>
      <w:r>
        <w:rPr>
          <w:rFonts w:eastAsia="Times New Roman"/>
          <w:color w:val="000000"/>
          <w:sz w:val="20"/>
          <w:szCs w:val="20"/>
        </w:rPr>
        <w:t>pancy for these facilities totaled 91.7% and 90.6%, respectively, and the realized rent per occupied square foot totaled $16.90 and $13.23, respectively.</w:t>
      </w:r>
    </w:p>
    <w:p w:rsidR="00000000" w:rsidRDefault="007C49E1">
      <w:pPr>
        <w:jc w:val="both"/>
        <w:divId w:val="188759221"/>
        <w:rPr>
          <w:rFonts w:eastAsia="Times New Roman"/>
        </w:rPr>
      </w:pPr>
      <w:r>
        <w:rPr>
          <w:rFonts w:eastAsia="Times New Roman"/>
          <w:b/>
          <w:bCs/>
          <w:i/>
          <w:iCs/>
          <w:color w:val="000000"/>
          <w:sz w:val="20"/>
          <w:szCs w:val="20"/>
          <w:u w:val="single"/>
        </w:rPr>
        <w:t>Depreciation and amortization expense</w:t>
      </w:r>
    </w:p>
    <w:p w:rsidR="00000000" w:rsidRDefault="007C49E1">
      <w:pPr>
        <w:ind w:firstLine="720"/>
        <w:jc w:val="both"/>
        <w:divId w:val="226376652"/>
        <w:rPr>
          <w:rFonts w:eastAsia="Times New Roman"/>
        </w:rPr>
      </w:pPr>
      <w:r>
        <w:rPr>
          <w:rFonts w:eastAsia="Times New Roman"/>
          <w:color w:val="000000"/>
          <w:sz w:val="20"/>
          <w:szCs w:val="20"/>
        </w:rPr>
        <w:t>Depreciation and amortization expense for Self-Storage Operation</w:t>
      </w:r>
      <w:r>
        <w:rPr>
          <w:rFonts w:eastAsia="Times New Roman"/>
          <w:color w:val="000000"/>
          <w:sz w:val="20"/>
          <w:szCs w:val="20"/>
        </w:rPr>
        <w:t>s increased $75.3 million in the three months ended March 31, 2022 as compared to the same period in 2021, primarily due to newly acquired facilities of $5.1 billion in 2021. We expect continued increases in depreciation expense in the remainder of 2022 as</w:t>
      </w:r>
      <w:r>
        <w:rPr>
          <w:rFonts w:eastAsia="Times New Roman"/>
          <w:color w:val="000000"/>
          <w:sz w:val="20"/>
          <w:szCs w:val="20"/>
        </w:rPr>
        <w:t xml:space="preserve"> a result of elevated levels of capital expenditures and new facilities that are acquired, developed or expanded in the remainder of 2022.</w:t>
      </w:r>
    </w:p>
    <w:p w:rsidR="00000000" w:rsidRDefault="007C49E1">
      <w:pPr>
        <w:jc w:val="center"/>
        <w:divId w:val="353533275"/>
        <w:rPr>
          <w:rFonts w:eastAsia="Times New Roman"/>
        </w:rPr>
      </w:pPr>
      <w:r>
        <w:rPr>
          <w:rFonts w:eastAsia="Times New Roman"/>
          <w:color w:val="000000"/>
          <w:sz w:val="20"/>
          <w:szCs w:val="20"/>
        </w:rPr>
        <w:t>38</w:t>
      </w:r>
    </w:p>
    <w:p w:rsidR="00000000" w:rsidRDefault="007C49E1">
      <w:pPr>
        <w:rPr>
          <w:rFonts w:eastAsia="Times New Roman"/>
        </w:rPr>
      </w:pPr>
      <w:r>
        <w:rPr>
          <w:rFonts w:eastAsia="Times New Roman"/>
        </w:rPr>
        <w:pict>
          <v:rect id="_x0000_i1064" style="width:0;height:1.5pt" o:hralign="center" o:hrstd="t" o:hr="t" fillcolor="#a0a0a0" stroked="f"/>
        </w:pict>
      </w:r>
    </w:p>
    <w:p w:rsidR="00000000" w:rsidRDefault="007C49E1">
      <w:pPr>
        <w:divId w:val="192692675"/>
        <w:rPr>
          <w:rFonts w:eastAsia="Times New Roman"/>
        </w:rPr>
      </w:pPr>
    </w:p>
    <w:p w:rsidR="00000000" w:rsidRDefault="007C49E1">
      <w:pPr>
        <w:jc w:val="both"/>
        <w:divId w:val="2073195282"/>
        <w:rPr>
          <w:rFonts w:eastAsia="Times New Roman"/>
        </w:rPr>
      </w:pPr>
      <w:r>
        <w:rPr>
          <w:rFonts w:eastAsia="Times New Roman"/>
          <w:b/>
          <w:bCs/>
          <w:color w:val="000000"/>
          <w:sz w:val="20"/>
          <w:szCs w:val="20"/>
          <w:u w:val="single"/>
        </w:rPr>
        <w:t>Ancillary Operations</w:t>
      </w:r>
    </w:p>
    <w:p w:rsidR="00000000" w:rsidRDefault="007C49E1">
      <w:pPr>
        <w:ind w:firstLine="720"/>
        <w:jc w:val="both"/>
        <w:divId w:val="748191627"/>
        <w:rPr>
          <w:rFonts w:eastAsia="Times New Roman"/>
        </w:rPr>
      </w:pPr>
      <w:r>
        <w:rPr>
          <w:rFonts w:eastAsia="Times New Roman"/>
          <w:color w:val="000000"/>
          <w:sz w:val="20"/>
          <w:szCs w:val="20"/>
        </w:rPr>
        <w:t>Ancillary revenues and expenses include amounts associa</w:t>
      </w:r>
      <w:r>
        <w:rPr>
          <w:rFonts w:eastAsia="Times New Roman"/>
          <w:color w:val="000000"/>
          <w:sz w:val="20"/>
          <w:szCs w:val="20"/>
        </w:rPr>
        <w:t>ted with the reinsurance of policies against losses to goods stored by tenants in our self-storage facilities, sale of merchandise at our self-storage facilities, and management of property owned by unrelated third parties. The following table sets forth o</w:t>
      </w:r>
      <w:r>
        <w:rPr>
          <w:rFonts w:eastAsia="Times New Roman"/>
          <w:color w:val="000000"/>
          <w:sz w:val="20"/>
          <w:szCs w:val="20"/>
        </w:rPr>
        <w:t>ur ancillary operations:</w:t>
      </w:r>
      <w:r>
        <w:rPr>
          <w:rFonts w:eastAsia="Times New Roman"/>
          <w:color w:val="000000"/>
          <w:sz w:val="2"/>
          <w:szCs w:val="2"/>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240"/>
        <w:gridCol w:w="37"/>
        <w:gridCol w:w="121"/>
        <w:gridCol w:w="1459"/>
        <w:gridCol w:w="37"/>
        <w:gridCol w:w="36"/>
        <w:gridCol w:w="36"/>
        <w:gridCol w:w="36"/>
        <w:gridCol w:w="121"/>
        <w:gridCol w:w="1421"/>
        <w:gridCol w:w="37"/>
        <w:gridCol w:w="36"/>
        <w:gridCol w:w="36"/>
        <w:gridCol w:w="36"/>
        <w:gridCol w:w="121"/>
        <w:gridCol w:w="1421"/>
        <w:gridCol w:w="36"/>
      </w:tblGrid>
      <w:tr w:rsidR="00000000">
        <w:trPr>
          <w:jc w:val="center"/>
        </w:trPr>
        <w:tc>
          <w:tcPr>
            <w:tcW w:w="50" w:type="pct"/>
            <w:vAlign w:val="center"/>
            <w:hideMark/>
          </w:tcPr>
          <w:p w:rsidR="00000000" w:rsidRDefault="007C49E1">
            <w:pPr>
              <w:ind w:firstLine="720"/>
              <w:jc w:val="both"/>
              <w:rPr>
                <w:rFonts w:eastAsia="Times New Roman"/>
              </w:rPr>
            </w:pPr>
          </w:p>
        </w:tc>
        <w:tc>
          <w:tcPr>
            <w:tcW w:w="1982"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90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90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90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Three Months Ended March 31,</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(Amounts in thousands)</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Revenues:</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Tenant reinsurance premiums </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45,195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39,681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5,514</w:t>
            </w: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6,871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7,036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(165)</w:t>
            </w: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4,364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4,198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166</w:t>
            </w: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56,430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50,915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5,515</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Cost of operations: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Tenant reinsurance </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7,277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7,824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(547)</w:t>
            </w: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3,904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3,966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(62)</w:t>
            </w: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4,334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4,528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(194)</w:t>
            </w: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15,515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16,318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(803)</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Net operating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Tenant reinsurance </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37,918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31,857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6,061</w:t>
            </w: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2,967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3,070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(103)</w:t>
            </w: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(330)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360</w:t>
            </w:r>
          </w:p>
        </w:tc>
      </w:tr>
      <w:tr w:rsidR="00000000">
        <w:trPr>
          <w:jc w:val="center"/>
        </w:trPr>
        <w:tc>
          <w:tcPr>
            <w:tcW w:w="0" w:type="auto"/>
            <w:gridSpan w:val="3"/>
            <w:tcMar>
              <w:top w:w="30" w:type="dxa"/>
              <w:left w:w="44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Total net operating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40,915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34,597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6,318</w:t>
            </w:r>
          </w:p>
        </w:tc>
      </w:tr>
    </w:tbl>
    <w:p w:rsidR="00000000" w:rsidRDefault="007C49E1">
      <w:pPr>
        <w:ind w:firstLine="720"/>
        <w:jc w:val="both"/>
        <w:divId w:val="629745607"/>
        <w:rPr>
          <w:rFonts w:eastAsia="Times New Roman"/>
        </w:rPr>
      </w:pPr>
      <w:r>
        <w:rPr>
          <w:rFonts w:eastAsia="Times New Roman"/>
          <w:b/>
          <w:bCs/>
          <w:i/>
          <w:iCs/>
          <w:color w:val="000000"/>
          <w:sz w:val="20"/>
          <w:szCs w:val="20"/>
        </w:rPr>
        <w:t xml:space="preserve">Tenant reinsurance operations: </w:t>
      </w:r>
      <w:r>
        <w:rPr>
          <w:rFonts w:eastAsia="Times New Roman"/>
          <w:color w:val="000000"/>
          <w:sz w:val="20"/>
          <w:szCs w:val="20"/>
        </w:rPr>
        <w:t>Tenant reinsurance premium revenue increased $5.5 </w:t>
      </w:r>
      <w:r>
        <w:rPr>
          <w:rFonts w:eastAsia="Times New Roman"/>
          <w:color w:val="000000"/>
          <w:sz w:val="20"/>
          <w:szCs w:val="20"/>
        </w:rPr>
        <w:t>million or 13.9% in the three months ended March 31, 2022 over the same period in 2021 as a result of higher average premiums and an increase in our tenant base with respect to acquired, newly developed, and expanded facilities and the third party properti</w:t>
      </w:r>
      <w:r>
        <w:rPr>
          <w:rFonts w:eastAsia="Times New Roman"/>
          <w:color w:val="000000"/>
          <w:sz w:val="20"/>
          <w:szCs w:val="20"/>
        </w:rPr>
        <w:t>es we manage. Tenant reinsurance premium revenue generated from tenants at our Same-Store Facilities were $34.4 million and $33.2 million in the three months ended March 31, 2022 and 2021, respectively, representing a 3.6% increase.</w:t>
      </w:r>
    </w:p>
    <w:p w:rsidR="00000000" w:rsidRDefault="007C49E1">
      <w:pPr>
        <w:ind w:firstLine="720"/>
        <w:jc w:val="both"/>
        <w:divId w:val="447505102"/>
        <w:rPr>
          <w:rFonts w:eastAsia="Times New Roman"/>
        </w:rPr>
      </w:pPr>
      <w:r>
        <w:rPr>
          <w:rFonts w:eastAsia="Times New Roman"/>
          <w:color w:val="000000"/>
          <w:sz w:val="20"/>
          <w:szCs w:val="20"/>
        </w:rPr>
        <w:t>We expect future growth will come primarily from customers of newly acquired and developed facilities, as well as additional tenants at our existing unstabilized self-storage facilities.</w:t>
      </w:r>
    </w:p>
    <w:p w:rsidR="00000000" w:rsidRDefault="007C49E1">
      <w:pPr>
        <w:ind w:firstLine="720"/>
        <w:jc w:val="both"/>
        <w:divId w:val="242032954"/>
        <w:rPr>
          <w:rFonts w:eastAsia="Times New Roman"/>
        </w:rPr>
      </w:pPr>
      <w:r>
        <w:rPr>
          <w:rFonts w:eastAsia="Times New Roman"/>
          <w:color w:val="000000"/>
          <w:sz w:val="20"/>
          <w:szCs w:val="20"/>
        </w:rPr>
        <w:t>Cost of operations primarily includes claims paid as well as claims a</w:t>
      </w:r>
      <w:r>
        <w:rPr>
          <w:rFonts w:eastAsia="Times New Roman"/>
          <w:color w:val="000000"/>
          <w:sz w:val="20"/>
          <w:szCs w:val="20"/>
        </w:rPr>
        <w:t>djustment expenses. Claims expenses vary based upon the number of insured tenants and the volume of events which drive covered customer losses, such as burglary, as well as catastrophic weather events affecting multiple properties such as hurricanes and fl</w:t>
      </w:r>
      <w:r>
        <w:rPr>
          <w:rFonts w:eastAsia="Times New Roman"/>
          <w:color w:val="000000"/>
          <w:sz w:val="20"/>
          <w:szCs w:val="20"/>
        </w:rPr>
        <w:t>oods.</w:t>
      </w:r>
    </w:p>
    <w:p w:rsidR="00000000" w:rsidRDefault="007C49E1">
      <w:pPr>
        <w:ind w:firstLine="720"/>
        <w:jc w:val="both"/>
        <w:divId w:val="1055275815"/>
        <w:rPr>
          <w:rFonts w:eastAsia="Times New Roman"/>
        </w:rPr>
      </w:pPr>
      <w:r>
        <w:rPr>
          <w:rFonts w:eastAsia="Times New Roman"/>
          <w:b/>
          <w:bCs/>
          <w:i/>
          <w:iCs/>
          <w:color w:val="000000"/>
          <w:sz w:val="20"/>
          <w:szCs w:val="20"/>
        </w:rPr>
        <w:t>Merchandise sales:</w:t>
      </w:r>
      <w:r>
        <w:rPr>
          <w:rFonts w:eastAsia="Times New Roman"/>
          <w:i/>
          <w:iCs/>
          <w:color w:val="000000"/>
          <w:sz w:val="20"/>
          <w:szCs w:val="20"/>
        </w:rPr>
        <w:t xml:space="preserve"> </w:t>
      </w:r>
      <w:r>
        <w:rPr>
          <w:rFonts w:eastAsia="Times New Roman"/>
          <w:color w:val="000000"/>
          <w:sz w:val="20"/>
          <w:szCs w:val="20"/>
        </w:rPr>
        <w:t>Sales of locks, boxes, and packing supplies at our self-storage facilities are primarily impacted by the level of move-ins and other customer traffic at our self-storage facilities. We do not expect any significant changes in reven</w:t>
      </w:r>
      <w:r>
        <w:rPr>
          <w:rFonts w:eastAsia="Times New Roman"/>
          <w:color w:val="000000"/>
          <w:sz w:val="20"/>
          <w:szCs w:val="20"/>
        </w:rPr>
        <w:t>ues or profitability from our merchandise sales in the remainder of 2022.</w:t>
      </w:r>
    </w:p>
    <w:p w:rsidR="00000000" w:rsidRDefault="007C49E1">
      <w:pPr>
        <w:ind w:firstLine="720"/>
        <w:jc w:val="both"/>
        <w:divId w:val="1720738399"/>
        <w:rPr>
          <w:rFonts w:eastAsia="Times New Roman"/>
        </w:rPr>
      </w:pPr>
      <w:r>
        <w:rPr>
          <w:rFonts w:eastAsia="Times New Roman"/>
          <w:b/>
          <w:bCs/>
          <w:i/>
          <w:iCs/>
          <w:color w:val="000000"/>
          <w:sz w:val="20"/>
          <w:szCs w:val="20"/>
        </w:rPr>
        <w:t xml:space="preserve">Third-party property management: </w:t>
      </w:r>
      <w:r>
        <w:rPr>
          <w:rFonts w:eastAsia="Times New Roman"/>
          <w:color w:val="000000"/>
          <w:sz w:val="20"/>
          <w:szCs w:val="20"/>
        </w:rPr>
        <w:t>At March 31, 2022, we managed 97 facilities for unrelated third parties, and were under contract to manage 64 additional facilities including 58 faci</w:t>
      </w:r>
      <w:r>
        <w:rPr>
          <w:rFonts w:eastAsia="Times New Roman"/>
          <w:color w:val="000000"/>
          <w:sz w:val="20"/>
          <w:szCs w:val="20"/>
        </w:rPr>
        <w:t>lities that are currently under construction. During the three months ended March 31, 2022, we added 15 facilities to the program, acquired one facility from the program, and had five properties exit the program due to sales to other buyers. While we expec</w:t>
      </w:r>
      <w:r>
        <w:rPr>
          <w:rFonts w:eastAsia="Times New Roman"/>
          <w:color w:val="000000"/>
          <w:sz w:val="20"/>
          <w:szCs w:val="20"/>
        </w:rPr>
        <w:t>t this business to increase in scope and size, we do not expect any significant changes in overall profitability of this business in the near term as we seek new properties to manage and are in the earlier stages of fill-up for newly managed properties.</w:t>
      </w:r>
    </w:p>
    <w:p w:rsidR="00000000" w:rsidRDefault="007C49E1">
      <w:pPr>
        <w:jc w:val="center"/>
        <w:divId w:val="89860036"/>
        <w:rPr>
          <w:rFonts w:eastAsia="Times New Roman"/>
        </w:rPr>
      </w:pPr>
      <w:r>
        <w:rPr>
          <w:rFonts w:eastAsia="Times New Roman"/>
          <w:color w:val="000000"/>
          <w:sz w:val="20"/>
          <w:szCs w:val="20"/>
        </w:rPr>
        <w:t>39</w:t>
      </w:r>
    </w:p>
    <w:p w:rsidR="00000000" w:rsidRDefault="007C49E1">
      <w:pPr>
        <w:rPr>
          <w:rFonts w:eastAsia="Times New Roman"/>
        </w:rPr>
      </w:pPr>
      <w:r>
        <w:rPr>
          <w:rFonts w:eastAsia="Times New Roman"/>
        </w:rPr>
        <w:pict>
          <v:rect id="_x0000_i1065" style="width:0;height:1.5pt" o:hralign="center" o:hrstd="t" o:hr="t" fillcolor="#a0a0a0" stroked="f"/>
        </w:pict>
      </w:r>
    </w:p>
    <w:p w:rsidR="00000000" w:rsidRDefault="007C49E1">
      <w:pPr>
        <w:divId w:val="825055447"/>
        <w:rPr>
          <w:rFonts w:eastAsia="Times New Roman"/>
        </w:rPr>
      </w:pPr>
    </w:p>
    <w:p w:rsidR="00000000" w:rsidRDefault="007C49E1">
      <w:pPr>
        <w:jc w:val="both"/>
        <w:divId w:val="400560663"/>
        <w:rPr>
          <w:rFonts w:eastAsia="Times New Roman"/>
        </w:rPr>
      </w:pPr>
      <w:r>
        <w:rPr>
          <w:rFonts w:eastAsia="Times New Roman"/>
          <w:b/>
          <w:bCs/>
          <w:color w:val="000000"/>
          <w:sz w:val="20"/>
          <w:szCs w:val="20"/>
        </w:rPr>
        <w:t>Analysis of items not allocated to segments</w:t>
      </w:r>
    </w:p>
    <w:p w:rsidR="00000000" w:rsidRDefault="007C49E1">
      <w:pPr>
        <w:jc w:val="both"/>
        <w:divId w:val="306323735"/>
        <w:rPr>
          <w:rFonts w:eastAsia="Times New Roman"/>
        </w:rPr>
      </w:pPr>
      <w:r>
        <w:rPr>
          <w:rFonts w:eastAsia="Times New Roman"/>
          <w:b/>
          <w:bCs/>
          <w:i/>
          <w:iCs/>
          <w:color w:val="000000"/>
          <w:sz w:val="20"/>
          <w:szCs w:val="20"/>
        </w:rPr>
        <w:t>Equity in earnings of unconsolidated real estate entities</w:t>
      </w:r>
    </w:p>
    <w:p w:rsidR="00000000" w:rsidRDefault="007C49E1">
      <w:pPr>
        <w:ind w:firstLine="720"/>
        <w:jc w:val="both"/>
        <w:divId w:val="24717498"/>
        <w:rPr>
          <w:rFonts w:eastAsia="Times New Roman"/>
        </w:rPr>
      </w:pPr>
      <w:r>
        <w:rPr>
          <w:rFonts w:eastAsia="Times New Roman"/>
          <w:color w:val="000000"/>
          <w:sz w:val="20"/>
          <w:szCs w:val="20"/>
        </w:rPr>
        <w:t>For all periods presented, we have equity investments in PSB and Shurgard, which we account for using the equity m</w:t>
      </w:r>
      <w:r>
        <w:rPr>
          <w:rFonts w:eastAsia="Times New Roman"/>
          <w:color w:val="000000"/>
          <w:sz w:val="20"/>
          <w:szCs w:val="20"/>
        </w:rPr>
        <w:t>ethod and record our pro-rata share of the net income of these entities. The following table, and the discussion below, sets forth our equity in earnings of unconsolidated real estate entities:</w:t>
      </w:r>
    </w:p>
    <w:tbl>
      <w:tblPr>
        <w:tblW w:w="4621" w:type="pct"/>
        <w:jc w:val="center"/>
        <w:tblCellMar>
          <w:top w:w="15" w:type="dxa"/>
          <w:left w:w="15" w:type="dxa"/>
          <w:bottom w:w="15" w:type="dxa"/>
          <w:right w:w="15" w:type="dxa"/>
        </w:tblCellMar>
        <w:tblLook w:val="04A0" w:firstRow="1" w:lastRow="0" w:firstColumn="1" w:lastColumn="0" w:noHBand="0" w:noVBand="1"/>
      </w:tblPr>
      <w:tblGrid>
        <w:gridCol w:w="38"/>
        <w:gridCol w:w="3062"/>
        <w:gridCol w:w="37"/>
        <w:gridCol w:w="121"/>
        <w:gridCol w:w="1311"/>
        <w:gridCol w:w="37"/>
        <w:gridCol w:w="36"/>
        <w:gridCol w:w="36"/>
        <w:gridCol w:w="36"/>
        <w:gridCol w:w="121"/>
        <w:gridCol w:w="1269"/>
        <w:gridCol w:w="37"/>
        <w:gridCol w:w="36"/>
        <w:gridCol w:w="36"/>
        <w:gridCol w:w="36"/>
        <w:gridCol w:w="121"/>
        <w:gridCol w:w="1270"/>
        <w:gridCol w:w="36"/>
      </w:tblGrid>
      <w:tr w:rsidR="00000000">
        <w:trPr>
          <w:jc w:val="center"/>
        </w:trPr>
        <w:tc>
          <w:tcPr>
            <w:tcW w:w="50" w:type="pct"/>
            <w:vAlign w:val="center"/>
            <w:hideMark/>
          </w:tcPr>
          <w:p w:rsidR="00000000" w:rsidRDefault="007C49E1">
            <w:pPr>
              <w:ind w:firstLine="720"/>
              <w:jc w:val="both"/>
              <w:rPr>
                <w:rFonts w:eastAsia="Times New Roman"/>
              </w:rPr>
            </w:pPr>
          </w:p>
        </w:tc>
        <w:tc>
          <w:tcPr>
            <w:tcW w:w="203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8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3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8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3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88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Three Months Ended March 31,</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(Amounts in thousands)</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Equity in earnings:</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36,886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14,476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22,410</w:t>
            </w:r>
          </w:p>
        </w:tc>
      </w:tr>
      <w:tr w:rsidR="00000000">
        <w:trPr>
          <w:jc w:val="center"/>
        </w:trPr>
        <w:tc>
          <w:tcPr>
            <w:tcW w:w="0" w:type="auto"/>
            <w:gridSpan w:val="3"/>
            <w:tcMar>
              <w:top w:w="30" w:type="dxa"/>
              <w:left w:w="212"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6,538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4,980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1,558</w:t>
            </w:r>
          </w:p>
        </w:tc>
      </w:tr>
      <w:tr w:rsidR="00000000">
        <w:trPr>
          <w:jc w:val="center"/>
        </w:trPr>
        <w:tc>
          <w:tcPr>
            <w:tcW w:w="0" w:type="auto"/>
            <w:gridSpan w:val="3"/>
            <w:tcMar>
              <w:top w:w="30" w:type="dxa"/>
              <w:left w:w="83"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Total equity in earnings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43,424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19,456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23,968</w:t>
            </w:r>
          </w:p>
        </w:tc>
      </w:tr>
    </w:tbl>
    <w:p w:rsidR="00000000" w:rsidRDefault="007C49E1">
      <w:pPr>
        <w:ind w:firstLine="720"/>
        <w:jc w:val="both"/>
        <w:divId w:val="1606041041"/>
        <w:rPr>
          <w:rFonts w:eastAsia="Times New Roman"/>
        </w:rPr>
      </w:pPr>
      <w:r>
        <w:rPr>
          <w:rFonts w:eastAsia="Times New Roman"/>
          <w:b/>
          <w:bCs/>
          <w:i/>
          <w:iCs/>
          <w:color w:val="000000"/>
          <w:sz w:val="20"/>
          <w:szCs w:val="20"/>
        </w:rPr>
        <w:t>Investment in PSB:</w:t>
      </w:r>
      <w:r>
        <w:rPr>
          <w:rFonts w:eastAsia="Times New Roman"/>
          <w:i/>
          <w:iCs/>
          <w:color w:val="000000"/>
          <w:sz w:val="20"/>
          <w:szCs w:val="20"/>
        </w:rPr>
        <w:t xml:space="preserve"> </w:t>
      </w:r>
      <w:r>
        <w:rPr>
          <w:rFonts w:eastAsia="Times New Roman"/>
          <w:color w:val="000000"/>
          <w:sz w:val="20"/>
          <w:szCs w:val="20"/>
        </w:rPr>
        <w:t>Throughout all periods presented, we owned 7,158,354 shares of PS Business Parks, Inc. (“PSB”) common stock and 7,305,355 limited partnership units in an operating partnership controlled by PSB, representing an approximate 41% common equity interest in PSB</w:t>
      </w:r>
      <w:r>
        <w:rPr>
          <w:rFonts w:eastAsia="Times New Roman"/>
          <w:color w:val="000000"/>
          <w:sz w:val="20"/>
          <w:szCs w:val="20"/>
        </w:rPr>
        <w:t xml:space="preserve"> as of March 31, 2022 (41% as of December 31, 2021). The limited partnership units are convertible at our option, subject to certain conditions, on a one-for-one basis into PSB common stock.</w:t>
      </w:r>
    </w:p>
    <w:p w:rsidR="00000000" w:rsidRDefault="007C49E1">
      <w:pPr>
        <w:ind w:firstLine="720"/>
        <w:jc w:val="both"/>
        <w:divId w:val="187182929"/>
        <w:rPr>
          <w:rFonts w:eastAsia="Times New Roman"/>
        </w:rPr>
      </w:pPr>
      <w:r>
        <w:rPr>
          <w:rFonts w:eastAsia="Times New Roman"/>
          <w:color w:val="000000"/>
          <w:sz w:val="20"/>
          <w:szCs w:val="20"/>
        </w:rPr>
        <w:t>At March </w:t>
      </w:r>
      <w:r>
        <w:rPr>
          <w:rFonts w:eastAsia="Times New Roman"/>
          <w:color w:val="000000"/>
          <w:sz w:val="20"/>
          <w:szCs w:val="20"/>
        </w:rPr>
        <w:t>31, 2022, PSB wholly-owned approximately 27 million rentable square feet of commercial space and had a 95% interest in a 395-unit apartment complex. PSB also manages commercial space that we own pursuant to property management agreements.</w:t>
      </w:r>
    </w:p>
    <w:p w:rsidR="00000000" w:rsidRDefault="007C49E1">
      <w:pPr>
        <w:ind w:firstLine="720"/>
        <w:jc w:val="both"/>
        <w:divId w:val="1188060386"/>
        <w:rPr>
          <w:rFonts w:eastAsia="Times New Roman"/>
        </w:rPr>
      </w:pPr>
      <w:r>
        <w:rPr>
          <w:rFonts w:eastAsia="Times New Roman"/>
          <w:color w:val="000000"/>
          <w:sz w:val="20"/>
          <w:szCs w:val="20"/>
        </w:rPr>
        <w:t>Included in our e</w:t>
      </w:r>
      <w:r>
        <w:rPr>
          <w:rFonts w:eastAsia="Times New Roman"/>
          <w:color w:val="000000"/>
          <w:sz w:val="20"/>
          <w:szCs w:val="20"/>
        </w:rPr>
        <w:t xml:space="preserve">quity earnings from PSB for the three months ended March 31, 2022 is our equity share of gains on sale of real estate totaling $23.6 million (none for the same period in 2021). For the three months ended March 31, 2022 and 2021, our share of earnings from </w:t>
      </w:r>
      <w:r>
        <w:rPr>
          <w:rFonts w:eastAsia="Times New Roman"/>
          <w:color w:val="000000"/>
          <w:sz w:val="20"/>
          <w:szCs w:val="20"/>
        </w:rPr>
        <w:t>PSB contributed $25.5 million and $24.2 million, respectively, to Core FFO.</w:t>
      </w:r>
    </w:p>
    <w:p w:rsidR="00000000" w:rsidRDefault="007C49E1">
      <w:pPr>
        <w:ind w:firstLine="720"/>
        <w:jc w:val="both"/>
        <w:divId w:val="2111000932"/>
        <w:rPr>
          <w:rFonts w:eastAsia="Times New Roman"/>
        </w:rPr>
      </w:pPr>
      <w:r>
        <w:rPr>
          <w:rFonts w:eastAsia="Times New Roman"/>
          <w:color w:val="000000"/>
          <w:sz w:val="20"/>
          <w:szCs w:val="20"/>
        </w:rPr>
        <w:t>On April 24, 2022, PSB entered into an Agreement and Plan of Merger (the "Merger Agreement") whereby affiliates of Blackstone Real Estate ("Blackstone") will acquire all outstandin</w:t>
      </w:r>
      <w:r>
        <w:rPr>
          <w:rFonts w:eastAsia="Times New Roman"/>
          <w:color w:val="000000"/>
          <w:sz w:val="20"/>
          <w:szCs w:val="20"/>
        </w:rPr>
        <w:t xml:space="preserve">g shares of PSB's common stock for $187.50 per share in cash. Subject to the terms and conditions set forth in the Merger Agreement, each share of PSB common stock and each common unit of partnership interest will be converted into the right to receive an </w:t>
      </w:r>
      <w:r>
        <w:rPr>
          <w:rFonts w:eastAsia="Times New Roman"/>
          <w:color w:val="000000"/>
          <w:sz w:val="20"/>
          <w:szCs w:val="20"/>
        </w:rPr>
        <w:t>amount in cash equal to $187.50, without interest. If the transaction is consummated, we expect to (i) receive approximately $2.7 billion of cash proceeds in exchange for the approximate 41% common equity interest we hold in PSB, (ii) recognize an approxim</w:t>
      </w:r>
      <w:r>
        <w:rPr>
          <w:rFonts w:eastAsia="Times New Roman"/>
          <w:color w:val="000000"/>
          <w:sz w:val="20"/>
          <w:szCs w:val="20"/>
        </w:rPr>
        <w:t>ate $2.2 billion gain on the sale of our equity investment in PSB in the Consolidated Statement of Income, and (iii) distribute a $2.3 billion estimated tax gain on the sale to our common shareholders. The merger transaction is expected to close in the thi</w:t>
      </w:r>
      <w:r>
        <w:rPr>
          <w:rFonts w:eastAsia="Times New Roman"/>
          <w:color w:val="000000"/>
          <w:sz w:val="20"/>
          <w:szCs w:val="20"/>
        </w:rPr>
        <w:t>rd quarter of 2022, however, the merger transaction is subject to customary closing conditions, including approval by PSB’s common stockholders. Pursuant to a support agreement entered into with PSB and Blackstone, we have committed to vote our equity inte</w:t>
      </w:r>
      <w:r>
        <w:rPr>
          <w:rFonts w:eastAsia="Times New Roman"/>
          <w:color w:val="000000"/>
          <w:sz w:val="20"/>
          <w:szCs w:val="20"/>
        </w:rPr>
        <w:t>rests in favor of the transaction, subject to certain conditions.</w:t>
      </w:r>
    </w:p>
    <w:p w:rsidR="00000000" w:rsidRDefault="007C49E1">
      <w:pPr>
        <w:ind w:firstLine="720"/>
        <w:jc w:val="both"/>
        <w:rPr>
          <w:rFonts w:eastAsia="Times New Roman"/>
        </w:rPr>
      </w:pPr>
      <w:r>
        <w:rPr>
          <w:rFonts w:eastAsia="Times New Roman"/>
          <w:color w:val="000000"/>
          <w:sz w:val="20"/>
          <w:szCs w:val="20"/>
        </w:rPr>
        <w:t>PSB’s filings and selected financial information, including discussion of the factors that affect its earnings, can be accessed through the SEC, and on PSB’s website, www.psbusinessparks.com</w:t>
      </w:r>
      <w:r>
        <w:rPr>
          <w:rFonts w:eastAsia="Times New Roman"/>
          <w:color w:val="000000"/>
          <w:sz w:val="20"/>
          <w:szCs w:val="20"/>
        </w:rPr>
        <w:t>. Information on this website is not incorporated by reference herein and is not a part of this Quarterly Report on Form 10-Q.</w:t>
      </w:r>
    </w:p>
    <w:p w:rsidR="00000000" w:rsidRDefault="007C49E1">
      <w:pPr>
        <w:ind w:firstLine="720"/>
        <w:jc w:val="both"/>
        <w:rPr>
          <w:rFonts w:eastAsia="Times New Roman"/>
        </w:rPr>
      </w:pPr>
    </w:p>
    <w:p w:rsidR="00000000" w:rsidRDefault="007C49E1">
      <w:pPr>
        <w:ind w:firstLine="720"/>
        <w:jc w:val="both"/>
        <w:divId w:val="2060592753"/>
        <w:rPr>
          <w:rFonts w:eastAsia="Times New Roman"/>
        </w:rPr>
      </w:pPr>
      <w:r>
        <w:rPr>
          <w:rFonts w:eastAsia="Times New Roman"/>
          <w:b/>
          <w:bCs/>
          <w:i/>
          <w:iCs/>
          <w:color w:val="000000"/>
          <w:sz w:val="20"/>
          <w:szCs w:val="20"/>
        </w:rPr>
        <w:t>Investment in Shurgard:</w:t>
      </w:r>
      <w:r>
        <w:rPr>
          <w:rFonts w:eastAsia="Times New Roman"/>
          <w:i/>
          <w:iCs/>
          <w:color w:val="000000"/>
          <w:sz w:val="20"/>
          <w:szCs w:val="20"/>
        </w:rPr>
        <w:t xml:space="preserve"> </w:t>
      </w:r>
      <w:r>
        <w:rPr>
          <w:rFonts w:eastAsia="Times New Roman"/>
          <w:color w:val="000000"/>
          <w:sz w:val="20"/>
          <w:szCs w:val="20"/>
        </w:rPr>
        <w:t>Throughout all periods presented, we effectively owned, directly and indirectly, 31,268,459 Shurgard co</w:t>
      </w:r>
      <w:r>
        <w:rPr>
          <w:rFonts w:eastAsia="Times New Roman"/>
          <w:color w:val="000000"/>
          <w:sz w:val="20"/>
          <w:szCs w:val="20"/>
        </w:rPr>
        <w:t xml:space="preserve">mmon shares, representing an approximate 35% equity interest in Shurgard. Shurgard’s common shares trade on Euronext Brussels under the “SHUR” symbol. </w:t>
      </w:r>
    </w:p>
    <w:p w:rsidR="00000000" w:rsidRDefault="007C49E1">
      <w:pPr>
        <w:ind w:firstLine="720"/>
        <w:jc w:val="both"/>
        <w:divId w:val="1120534817"/>
        <w:rPr>
          <w:rFonts w:eastAsia="Times New Roman"/>
        </w:rPr>
      </w:pPr>
      <w:r>
        <w:rPr>
          <w:rFonts w:eastAsia="Times New Roman"/>
          <w:color w:val="000000"/>
          <w:sz w:val="20"/>
          <w:szCs w:val="20"/>
        </w:rPr>
        <w:t>At March 31, 2022, Shurgard owned 254 self-storage facilities with approximately 14 million net rentable</w:t>
      </w:r>
      <w:r>
        <w:rPr>
          <w:rFonts w:eastAsia="Times New Roman"/>
          <w:color w:val="000000"/>
          <w:sz w:val="20"/>
          <w:szCs w:val="20"/>
        </w:rPr>
        <w:t xml:space="preserve"> square feet. Shurgard pays us license fees for use of the Shurgard® trademark, as described in more detail in Note 4 to our March 31, 2022 consolidated financial statements. </w:t>
      </w:r>
    </w:p>
    <w:p w:rsidR="00000000" w:rsidRDefault="007C49E1">
      <w:pPr>
        <w:ind w:firstLine="720"/>
        <w:jc w:val="both"/>
        <w:divId w:val="1716125959"/>
        <w:rPr>
          <w:rFonts w:eastAsia="Times New Roman"/>
        </w:rPr>
      </w:pPr>
      <w:r>
        <w:rPr>
          <w:rFonts w:eastAsia="Times New Roman"/>
          <w:color w:val="000000"/>
          <w:sz w:val="20"/>
          <w:szCs w:val="20"/>
        </w:rPr>
        <w:t>Shurgard’s public filings and publicly reported information, including discussio</w:t>
      </w:r>
      <w:r>
        <w:rPr>
          <w:rFonts w:eastAsia="Times New Roman"/>
          <w:color w:val="000000"/>
          <w:sz w:val="20"/>
          <w:szCs w:val="20"/>
        </w:rPr>
        <w:t xml:space="preserve">n of the factors that affect its earnings, can be obtained on its website, https://corporate.shurgard.eu and on the website of the Luxembourg Stock </w:t>
      </w:r>
    </w:p>
    <w:p w:rsidR="00000000" w:rsidRDefault="007C49E1">
      <w:pPr>
        <w:jc w:val="center"/>
        <w:divId w:val="1831823697"/>
        <w:rPr>
          <w:rFonts w:eastAsia="Times New Roman"/>
        </w:rPr>
      </w:pPr>
      <w:r>
        <w:rPr>
          <w:rFonts w:eastAsia="Times New Roman"/>
          <w:color w:val="000000"/>
          <w:sz w:val="20"/>
          <w:szCs w:val="20"/>
        </w:rPr>
        <w:t>40</w:t>
      </w:r>
    </w:p>
    <w:p w:rsidR="00000000" w:rsidRDefault="007C49E1">
      <w:pPr>
        <w:rPr>
          <w:rFonts w:eastAsia="Times New Roman"/>
        </w:rPr>
      </w:pPr>
      <w:r>
        <w:rPr>
          <w:rFonts w:eastAsia="Times New Roman"/>
        </w:rPr>
        <w:pict>
          <v:rect id="_x0000_i1066" style="width:0;height:1.5pt" o:hralign="center" o:hrstd="t" o:hr="t" fillcolor="#a0a0a0" stroked="f"/>
        </w:pict>
      </w:r>
    </w:p>
    <w:p w:rsidR="00000000" w:rsidRDefault="007C49E1">
      <w:pPr>
        <w:divId w:val="1383557054"/>
        <w:rPr>
          <w:rFonts w:eastAsia="Times New Roman"/>
        </w:rPr>
      </w:pPr>
    </w:p>
    <w:p w:rsidR="00000000" w:rsidRDefault="007C49E1">
      <w:pPr>
        <w:jc w:val="both"/>
        <w:divId w:val="1505165459"/>
        <w:rPr>
          <w:rFonts w:eastAsia="Times New Roman"/>
        </w:rPr>
      </w:pPr>
      <w:r>
        <w:rPr>
          <w:rFonts w:eastAsia="Times New Roman"/>
          <w:color w:val="000000"/>
          <w:sz w:val="20"/>
          <w:szCs w:val="20"/>
        </w:rPr>
        <w:t>Exchange, http://www.bourse.lu. Information on these websites is n</w:t>
      </w:r>
      <w:r>
        <w:rPr>
          <w:rFonts w:eastAsia="Times New Roman"/>
          <w:color w:val="000000"/>
          <w:sz w:val="20"/>
          <w:szCs w:val="20"/>
        </w:rPr>
        <w:t>ot incorporated by reference herein and is not a part of this Quarterly Report on Form 10-Q.</w:t>
      </w:r>
    </w:p>
    <w:p w:rsidR="00000000" w:rsidRDefault="007C49E1">
      <w:pPr>
        <w:ind w:firstLine="720"/>
        <w:jc w:val="both"/>
        <w:divId w:val="22295488"/>
        <w:rPr>
          <w:rFonts w:eastAsia="Times New Roman"/>
        </w:rPr>
      </w:pPr>
      <w:r>
        <w:rPr>
          <w:rFonts w:eastAsia="Times New Roman"/>
          <w:color w:val="000000"/>
          <w:sz w:val="20"/>
          <w:szCs w:val="20"/>
        </w:rPr>
        <w:t>For purposes of recording our equity in earnings from Shurgard, the Euro was translated at exchange rates of approximately 1.111 U.S. Dollars per Euro at March 31,</w:t>
      </w:r>
      <w:r>
        <w:rPr>
          <w:rFonts w:eastAsia="Times New Roman"/>
          <w:color w:val="000000"/>
          <w:sz w:val="20"/>
          <w:szCs w:val="20"/>
        </w:rPr>
        <w:t xml:space="preserve"> 2022 (1.134 at December 31, 2021), and average exchange rates of 1.122 and 1.205 for the three months ended March 31, 2022 and 2021, respectively. </w:t>
      </w:r>
    </w:p>
    <w:p w:rsidR="00000000" w:rsidRDefault="007C49E1">
      <w:pPr>
        <w:ind w:firstLine="720"/>
        <w:jc w:val="both"/>
        <w:divId w:val="1825270632"/>
        <w:rPr>
          <w:rFonts w:eastAsia="Times New Roman"/>
        </w:rPr>
      </w:pPr>
    </w:p>
    <w:p w:rsidR="00000000" w:rsidRDefault="007C49E1">
      <w:pPr>
        <w:ind w:firstLine="720"/>
        <w:jc w:val="both"/>
        <w:rPr>
          <w:rFonts w:eastAsia="Times New Roman"/>
        </w:rPr>
      </w:pPr>
      <w:r>
        <w:rPr>
          <w:rFonts w:eastAsia="Times New Roman"/>
          <w:b/>
          <w:bCs/>
          <w:i/>
          <w:iCs/>
          <w:color w:val="000000"/>
          <w:sz w:val="20"/>
          <w:szCs w:val="20"/>
        </w:rPr>
        <w:t>General and administrative expense:</w:t>
      </w:r>
      <w:r>
        <w:rPr>
          <w:rFonts w:eastAsia="Times New Roman"/>
          <w:color w:val="000000"/>
          <w:sz w:val="20"/>
          <w:szCs w:val="20"/>
        </w:rPr>
        <w:t xml:space="preserve"> The following table sets forth our general and administrative expense</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093"/>
        <w:gridCol w:w="36"/>
        <w:gridCol w:w="121"/>
        <w:gridCol w:w="1509"/>
        <w:gridCol w:w="39"/>
        <w:gridCol w:w="36"/>
        <w:gridCol w:w="36"/>
        <w:gridCol w:w="36"/>
        <w:gridCol w:w="121"/>
        <w:gridCol w:w="1469"/>
        <w:gridCol w:w="39"/>
        <w:gridCol w:w="36"/>
        <w:gridCol w:w="36"/>
        <w:gridCol w:w="36"/>
        <w:gridCol w:w="121"/>
        <w:gridCol w:w="1469"/>
        <w:gridCol w:w="36"/>
      </w:tblGrid>
      <w:tr w:rsidR="00000000">
        <w:trPr>
          <w:jc w:val="center"/>
        </w:trPr>
        <w:tc>
          <w:tcPr>
            <w:tcW w:w="50" w:type="pct"/>
            <w:vAlign w:val="center"/>
            <w:hideMark/>
          </w:tcPr>
          <w:p w:rsidR="00000000" w:rsidRDefault="007C49E1">
            <w:pPr>
              <w:ind w:firstLine="720"/>
              <w:jc w:val="both"/>
              <w:rPr>
                <w:rFonts w:eastAsia="Times New Roman"/>
              </w:rPr>
            </w:pPr>
          </w:p>
        </w:tc>
        <w:tc>
          <w:tcPr>
            <w:tcW w:w="1891"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93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93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93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Three Months Ended March 31,</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7C49E1">
            <w:pPr>
              <w:spacing w:after="100"/>
              <w:jc w:val="center"/>
              <w:rPr>
                <w:rFonts w:eastAsia="Times New Roman"/>
              </w:rPr>
            </w:pPr>
            <w:r>
              <w:rPr>
                <w:rFonts w:eastAsia="Times New Roman"/>
                <w:color w:val="000000"/>
                <w:sz w:val="20"/>
                <w:szCs w:val="20"/>
              </w:rPr>
              <w:t>(Amounts in thousands)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7C49E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Share-based compensation expense </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8,798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7,680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1,118</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Development and acquisition costs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2,840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1,807</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1,033</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Tax compliance costs and taxes paid </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2,734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1,609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1,125</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Legal costs </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240</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1,143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(903)</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Corporate management costs</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5,846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4,176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1,670</w:t>
            </w:r>
          </w:p>
        </w:tc>
      </w:tr>
      <w:tr w:rsidR="00000000">
        <w:trPr>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Other costs </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2,611</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3,159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(548)</w:t>
            </w:r>
          </w:p>
        </w:tc>
      </w:tr>
      <w:tr w:rsidR="00000000">
        <w:trPr>
          <w:jc w:val="center"/>
        </w:trPr>
        <w:tc>
          <w:tcPr>
            <w:tcW w:w="0" w:type="auto"/>
            <w:gridSpan w:val="3"/>
            <w:tcMar>
              <w:top w:w="30" w:type="dxa"/>
              <w:left w:w="327"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23,069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19,574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3,495</w:t>
            </w:r>
          </w:p>
        </w:tc>
      </w:tr>
    </w:tbl>
    <w:p w:rsidR="00000000" w:rsidRDefault="007C49E1">
      <w:pPr>
        <w:ind w:firstLine="720"/>
        <w:jc w:val="both"/>
        <w:divId w:val="1520971008"/>
        <w:rPr>
          <w:rFonts w:eastAsia="Times New Roman"/>
        </w:rPr>
      </w:pPr>
      <w:r>
        <w:rPr>
          <w:rFonts w:eastAsia="Times New Roman"/>
          <w:color w:val="000000"/>
          <w:sz w:val="20"/>
          <w:szCs w:val="20"/>
        </w:rPr>
        <w:t>Share-based compensation expense includes the amortization of restricted share units and stock options granted to certain corporate employees and trustees.</w:t>
      </w:r>
    </w:p>
    <w:p w:rsidR="00000000" w:rsidRDefault="007C49E1">
      <w:pPr>
        <w:ind w:firstLine="720"/>
        <w:jc w:val="both"/>
        <w:divId w:val="2058310975"/>
        <w:rPr>
          <w:rFonts w:eastAsia="Times New Roman"/>
        </w:rPr>
      </w:pPr>
      <w:r>
        <w:rPr>
          <w:rFonts w:eastAsia="Times New Roman"/>
          <w:color w:val="000000"/>
          <w:sz w:val="20"/>
          <w:szCs w:val="20"/>
        </w:rPr>
        <w:t>Share-based compensation expense for management personnel who directly and indirectly supervise the on-site property managers, as well as those employees responsible for providing shared general corporate functions to the extent their efforts are devoted t</w:t>
      </w:r>
      <w:r>
        <w:rPr>
          <w:rFonts w:eastAsia="Times New Roman"/>
          <w:color w:val="000000"/>
          <w:sz w:val="20"/>
          <w:szCs w:val="20"/>
        </w:rPr>
        <w:t>o self-storage operations, are included as self-storage cost of operations. See “Same Store Facilities” for further information. Share-based compensation expense varies based upon the level of grants and their related vesting and amortization periods, forf</w:t>
      </w:r>
      <w:r>
        <w:rPr>
          <w:rFonts w:eastAsia="Times New Roman"/>
          <w:color w:val="000000"/>
          <w:sz w:val="20"/>
          <w:szCs w:val="20"/>
        </w:rPr>
        <w:t xml:space="preserve">eitures, as well as the Company’s common share price on the date of each grant. </w:t>
      </w:r>
    </w:p>
    <w:p w:rsidR="00000000" w:rsidRDefault="007C49E1">
      <w:pPr>
        <w:ind w:firstLine="720"/>
        <w:jc w:val="both"/>
        <w:divId w:val="98648078"/>
        <w:rPr>
          <w:rFonts w:eastAsia="Times New Roman"/>
        </w:rPr>
      </w:pPr>
      <w:r>
        <w:rPr>
          <w:rFonts w:eastAsia="Times New Roman"/>
          <w:color w:val="000000"/>
          <w:sz w:val="20"/>
          <w:szCs w:val="20"/>
        </w:rPr>
        <w:t>Share-based compensation expense classified as general and administrative expense increased $1.1 million in the three months ended March 31, 2022 as compared to the same perio</w:t>
      </w:r>
      <w:r>
        <w:rPr>
          <w:rFonts w:eastAsia="Times New Roman"/>
          <w:color w:val="000000"/>
          <w:sz w:val="20"/>
          <w:szCs w:val="20"/>
        </w:rPr>
        <w:t>d in 2021 due primarily to accelerated compensation expense recognized for awards granted to corporate management personnel who are eligible for immediate vesting of their outstanding awards upon retirement.</w:t>
      </w:r>
    </w:p>
    <w:p w:rsidR="00000000" w:rsidRDefault="007C49E1">
      <w:pPr>
        <w:ind w:firstLine="720"/>
        <w:jc w:val="both"/>
        <w:divId w:val="33315526"/>
        <w:rPr>
          <w:rFonts w:eastAsia="Times New Roman"/>
        </w:rPr>
      </w:pPr>
      <w:r>
        <w:rPr>
          <w:rFonts w:eastAsia="Times New Roman"/>
          <w:color w:val="000000"/>
          <w:sz w:val="20"/>
          <w:szCs w:val="20"/>
        </w:rPr>
        <w:t>Development and acquisition costs primarily repr</w:t>
      </w:r>
      <w:r>
        <w:rPr>
          <w:rFonts w:eastAsia="Times New Roman"/>
          <w:color w:val="000000"/>
          <w:sz w:val="20"/>
          <w:szCs w:val="20"/>
        </w:rPr>
        <w:t xml:space="preserve">esent internal and external expenses related to our development and acquisition of real estate facilities and varies primarily based upon the level of activities. The amounts in the above table are net of $4.3 million and $3.2 million for the three months </w:t>
      </w:r>
      <w:r>
        <w:rPr>
          <w:rFonts w:eastAsia="Times New Roman"/>
          <w:color w:val="000000"/>
          <w:sz w:val="20"/>
          <w:szCs w:val="20"/>
        </w:rPr>
        <w:t>ended March 31, 2022 and 2021, respectively, in development costs that were capitalized to newly developed and redeveloped self-storage facilities.</w:t>
      </w:r>
    </w:p>
    <w:p w:rsidR="00000000" w:rsidRDefault="007C49E1">
      <w:pPr>
        <w:ind w:firstLine="720"/>
        <w:jc w:val="both"/>
        <w:divId w:val="1905336864"/>
        <w:rPr>
          <w:rFonts w:eastAsia="Times New Roman"/>
        </w:rPr>
      </w:pPr>
      <w:r>
        <w:rPr>
          <w:rFonts w:eastAsia="Times New Roman"/>
          <w:b/>
          <w:bCs/>
          <w:i/>
          <w:iCs/>
          <w:color w:val="000000"/>
          <w:sz w:val="20"/>
          <w:szCs w:val="20"/>
        </w:rPr>
        <w:t>Interest and other income:</w:t>
      </w:r>
      <w:r>
        <w:rPr>
          <w:rFonts w:eastAsia="Times New Roman"/>
          <w:color w:val="000000"/>
          <w:sz w:val="20"/>
          <w:szCs w:val="20"/>
        </w:rPr>
        <w:t xml:space="preserve"> Interest and other income is comprised of the revenue and cost associated with ou</w:t>
      </w:r>
      <w:r>
        <w:rPr>
          <w:rFonts w:eastAsia="Times New Roman"/>
          <w:color w:val="000000"/>
          <w:sz w:val="20"/>
          <w:szCs w:val="20"/>
        </w:rPr>
        <w:t>r commercial operations, interest earned on cash balances, and trademark license fees received from Shurgard, as well as sundry other income items that are received from time to time in varying amounts. For the three months ended March 31, 2022 and 2021, w</w:t>
      </w:r>
      <w:r>
        <w:rPr>
          <w:rFonts w:eastAsia="Times New Roman"/>
          <w:color w:val="000000"/>
          <w:sz w:val="20"/>
          <w:szCs w:val="20"/>
        </w:rPr>
        <w:t>e recognized $3.4 million and $2.9 million interest and other income, respectively. Amounts attributable to commercial operations was $2.1 million and $2.0 million in the three months ended March 31, 2022 and 2021, respectively. Excluding the aforementione</w:t>
      </w:r>
      <w:r>
        <w:rPr>
          <w:rFonts w:eastAsia="Times New Roman"/>
          <w:color w:val="000000"/>
          <w:sz w:val="20"/>
          <w:szCs w:val="20"/>
        </w:rPr>
        <w:t xml:space="preserve">d amounts attributable to our commercial operations, interest and other income increased $0.4 million from the three months ended March 31, 2021 to the same period in 2022. </w:t>
      </w:r>
    </w:p>
    <w:p w:rsidR="00000000" w:rsidRDefault="007C49E1">
      <w:pPr>
        <w:ind w:firstLine="720"/>
        <w:jc w:val="both"/>
        <w:divId w:val="949556062"/>
        <w:rPr>
          <w:rFonts w:eastAsia="Times New Roman"/>
        </w:rPr>
      </w:pPr>
      <w:r>
        <w:rPr>
          <w:rFonts w:eastAsia="Times New Roman"/>
          <w:b/>
          <w:bCs/>
          <w:i/>
          <w:iCs/>
          <w:color w:val="000000"/>
          <w:sz w:val="20"/>
          <w:szCs w:val="20"/>
        </w:rPr>
        <w:t>Interest expense:</w:t>
      </w:r>
      <w:r>
        <w:rPr>
          <w:rFonts w:eastAsia="Times New Roman"/>
          <w:color w:val="000000"/>
          <w:sz w:val="20"/>
          <w:szCs w:val="20"/>
        </w:rPr>
        <w:t xml:space="preserve"> For the three months ended March 31, 2022 and 2021, we incurred </w:t>
      </w:r>
      <w:r>
        <w:rPr>
          <w:rFonts w:eastAsia="Times New Roman"/>
          <w:color w:val="000000"/>
          <w:sz w:val="20"/>
          <w:szCs w:val="20"/>
        </w:rPr>
        <w:t>$34.3 million and $16.2 million, respectively, of interest on our outstanding notes payable. In determining interest expense, these amounts were offset by capitalized interest of $1.2 million and $0.9 million during each of the three months ended March 31,</w:t>
      </w:r>
      <w:r>
        <w:rPr>
          <w:rFonts w:eastAsia="Times New Roman"/>
          <w:color w:val="000000"/>
          <w:sz w:val="20"/>
          <w:szCs w:val="20"/>
        </w:rPr>
        <w:t xml:space="preserve"> 2022 and 2021, respectively, associated with our development activities. The increase of interest expense in the three months ended March 31, 2022 as compared to the same period in 2021 is due to our issuances of debt. At March 31, 2022, we had $7.4 billi</w:t>
      </w:r>
      <w:r>
        <w:rPr>
          <w:rFonts w:eastAsia="Times New Roman"/>
          <w:color w:val="000000"/>
          <w:sz w:val="20"/>
          <w:szCs w:val="20"/>
        </w:rPr>
        <w:t>on of notes payable outstanding, with a weighted average interest rate of approximately 1.8%.</w:t>
      </w:r>
    </w:p>
    <w:p w:rsidR="00000000" w:rsidRDefault="007C49E1">
      <w:pPr>
        <w:jc w:val="center"/>
        <w:divId w:val="44722891"/>
        <w:rPr>
          <w:rFonts w:eastAsia="Times New Roman"/>
        </w:rPr>
      </w:pPr>
      <w:r>
        <w:rPr>
          <w:rFonts w:eastAsia="Times New Roman"/>
          <w:color w:val="000000"/>
          <w:sz w:val="20"/>
          <w:szCs w:val="20"/>
        </w:rPr>
        <w:t>41</w:t>
      </w:r>
    </w:p>
    <w:p w:rsidR="00000000" w:rsidRDefault="007C49E1">
      <w:pPr>
        <w:rPr>
          <w:rFonts w:eastAsia="Times New Roman"/>
        </w:rPr>
      </w:pPr>
      <w:r>
        <w:rPr>
          <w:rFonts w:eastAsia="Times New Roman"/>
        </w:rPr>
        <w:pict>
          <v:rect id="_x0000_i1067" style="width:0;height:1.5pt" o:hralign="center" o:hrstd="t" o:hr="t" fillcolor="#a0a0a0" stroked="f"/>
        </w:pict>
      </w:r>
    </w:p>
    <w:p w:rsidR="00000000" w:rsidRDefault="007C49E1">
      <w:pPr>
        <w:divId w:val="1349212972"/>
        <w:rPr>
          <w:rFonts w:eastAsia="Times New Roman"/>
        </w:rPr>
      </w:pPr>
    </w:p>
    <w:p w:rsidR="00000000" w:rsidRDefault="007C49E1">
      <w:pPr>
        <w:ind w:firstLine="720"/>
        <w:jc w:val="both"/>
        <w:divId w:val="170535856"/>
        <w:rPr>
          <w:rFonts w:eastAsia="Times New Roman"/>
        </w:rPr>
      </w:pPr>
      <w:r>
        <w:rPr>
          <w:rFonts w:eastAsia="Times New Roman"/>
          <w:b/>
          <w:bCs/>
          <w:i/>
          <w:iCs/>
          <w:color w:val="000000"/>
          <w:sz w:val="20"/>
          <w:szCs w:val="20"/>
        </w:rPr>
        <w:t>Foreign Currency Exchange Gain:</w:t>
      </w:r>
      <w:r>
        <w:rPr>
          <w:rFonts w:eastAsia="Times New Roman"/>
          <w:color w:val="000000"/>
          <w:sz w:val="20"/>
          <w:szCs w:val="20"/>
        </w:rPr>
        <w:t xml:space="preserve"> For the three months ended March 31, 2022 and 2021, we recorded foreign currency gains o</w:t>
      </w:r>
      <w:r>
        <w:rPr>
          <w:rFonts w:eastAsia="Times New Roman"/>
          <w:color w:val="000000"/>
          <w:sz w:val="20"/>
          <w:szCs w:val="20"/>
        </w:rPr>
        <w:t>f $35.4 million and $45.4 million, respectively, representing the changes in the U.S. Dollar equivalent of our Euro-denominated unsecured notes due to fluctuations in exchange rates. The Euro was translated at exchange rates of approximately 1.111 U.S. Dol</w:t>
      </w:r>
      <w:r>
        <w:rPr>
          <w:rFonts w:eastAsia="Times New Roman"/>
          <w:color w:val="000000"/>
          <w:sz w:val="20"/>
          <w:szCs w:val="20"/>
        </w:rPr>
        <w:t>lars per Euro at March 31, 2022, 1.134 at December 31, 2021, 1.173 at March 31, 2021 and 1.226 at December 31, 2020. Future gains and losses on foreign currency will be dependent upon changes in the relative value of the Euro to the U.S. Dollar and the lev</w:t>
      </w:r>
      <w:r>
        <w:rPr>
          <w:rFonts w:eastAsia="Times New Roman"/>
          <w:color w:val="000000"/>
          <w:sz w:val="20"/>
          <w:szCs w:val="20"/>
        </w:rPr>
        <w:t xml:space="preserve">el of Euro-denominated notes payable outstanding. </w:t>
      </w:r>
    </w:p>
    <w:p w:rsidR="00000000" w:rsidRDefault="007C49E1">
      <w:pPr>
        <w:ind w:firstLine="720"/>
        <w:jc w:val="both"/>
        <w:divId w:val="124277556"/>
        <w:rPr>
          <w:rFonts w:eastAsia="Times New Roman"/>
        </w:rPr>
      </w:pPr>
      <w:r>
        <w:rPr>
          <w:rFonts w:eastAsia="Times New Roman"/>
          <w:b/>
          <w:bCs/>
          <w:i/>
          <w:iCs/>
          <w:color w:val="000000"/>
          <w:sz w:val="20"/>
          <w:szCs w:val="20"/>
        </w:rPr>
        <w:t>Gain on Sale of Real Estate:</w:t>
      </w:r>
      <w:r>
        <w:rPr>
          <w:rFonts w:eastAsia="Times New Roman"/>
          <w:color w:val="000000"/>
          <w:sz w:val="20"/>
          <w:szCs w:val="20"/>
        </w:rPr>
        <w:t xml:space="preserve"> In the three months ended March 31, 2021, we recorded gains on sale of real estate totaling $9.4 million (none in the three months ended March 31, 2022), in connection with the</w:t>
      </w:r>
      <w:r>
        <w:rPr>
          <w:rFonts w:eastAsia="Times New Roman"/>
          <w:color w:val="000000"/>
          <w:sz w:val="20"/>
          <w:szCs w:val="20"/>
        </w:rPr>
        <w:t xml:space="preserve"> complete sale of a real estate facility pursuant to eminent domain proceeding in Saint Louis, Missouri.</w:t>
      </w:r>
    </w:p>
    <w:p w:rsidR="00000000" w:rsidRDefault="007C49E1">
      <w:pPr>
        <w:divId w:val="375472459"/>
        <w:rPr>
          <w:rFonts w:eastAsia="Times New Roman"/>
        </w:rPr>
      </w:pPr>
      <w:r>
        <w:rPr>
          <w:rFonts w:eastAsia="Times New Roman"/>
          <w:b/>
          <w:bCs/>
          <w:color w:val="000000"/>
          <w:sz w:val="20"/>
          <w:szCs w:val="20"/>
        </w:rPr>
        <w:t>Liquidity and Capital Resources</w:t>
      </w:r>
    </w:p>
    <w:p w:rsidR="00000000" w:rsidRDefault="007C49E1">
      <w:pPr>
        <w:ind w:firstLine="720"/>
        <w:divId w:val="2024699306"/>
        <w:rPr>
          <w:rFonts w:eastAsia="Times New Roman"/>
        </w:rPr>
      </w:pPr>
      <w:r>
        <w:rPr>
          <w:rFonts w:eastAsia="Times New Roman"/>
          <w:b/>
          <w:bCs/>
          <w:color w:val="000000"/>
          <w:sz w:val="20"/>
          <w:szCs w:val="20"/>
          <w:u w:val="single"/>
        </w:rPr>
        <w:t>Overview</w:t>
      </w:r>
    </w:p>
    <w:p w:rsidR="00000000" w:rsidRDefault="007C49E1">
      <w:pPr>
        <w:divId w:val="618952175"/>
        <w:rPr>
          <w:rFonts w:eastAsia="Times New Roman"/>
        </w:rPr>
      </w:pPr>
    </w:p>
    <w:p w:rsidR="00000000" w:rsidRDefault="007C49E1">
      <w:pPr>
        <w:ind w:firstLine="720"/>
        <w:jc w:val="both"/>
        <w:divId w:val="22171407"/>
        <w:rPr>
          <w:rFonts w:eastAsia="Times New Roman"/>
        </w:rPr>
      </w:pPr>
      <w:r>
        <w:rPr>
          <w:rFonts w:eastAsia="Times New Roman"/>
          <w:color w:val="000000"/>
          <w:sz w:val="20"/>
          <w:szCs w:val="20"/>
        </w:rPr>
        <w:t>As of March 31, 2022, our expected material cash requirements for the next twelve months and thereafter comp</w:t>
      </w:r>
      <w:r>
        <w:rPr>
          <w:rFonts w:eastAsia="Times New Roman"/>
          <w:color w:val="000000"/>
          <w:sz w:val="20"/>
          <w:szCs w:val="20"/>
        </w:rPr>
        <w:t>rised (i) contractually obligated expenditures, including payments of principal and interest; (ii) other essential expenditures, including property operating expenses, maintenance capital expenditures and dividends paid in accordance with REIT distribution</w:t>
      </w:r>
      <w:r>
        <w:rPr>
          <w:rFonts w:eastAsia="Times New Roman"/>
          <w:color w:val="000000"/>
          <w:sz w:val="20"/>
          <w:szCs w:val="20"/>
        </w:rPr>
        <w:t xml:space="preserve"> requirements; and (iii) opportunistic expenditures, including acquisitions and developments and repurchases of our securities. We expect to satisfy these cash requirements through operating cash flow and opportunistic debt and equity financing.</w:t>
      </w:r>
    </w:p>
    <w:p w:rsidR="00000000" w:rsidRDefault="007C49E1">
      <w:pPr>
        <w:ind w:firstLine="720"/>
        <w:divId w:val="569922151"/>
        <w:rPr>
          <w:rFonts w:eastAsia="Times New Roman"/>
        </w:rPr>
      </w:pPr>
      <w:r>
        <w:rPr>
          <w:rFonts w:eastAsia="Times New Roman"/>
          <w:b/>
          <w:bCs/>
          <w:color w:val="000000"/>
          <w:sz w:val="20"/>
          <w:szCs w:val="20"/>
          <w:u w:val="single"/>
        </w:rPr>
        <w:t>Sources of</w:t>
      </w:r>
      <w:r>
        <w:rPr>
          <w:rFonts w:eastAsia="Times New Roman"/>
          <w:b/>
          <w:bCs/>
          <w:color w:val="000000"/>
          <w:sz w:val="20"/>
          <w:szCs w:val="20"/>
          <w:u w:val="single"/>
        </w:rPr>
        <w:t xml:space="preserve"> Capital</w:t>
      </w:r>
    </w:p>
    <w:p w:rsidR="00000000" w:rsidRDefault="007C49E1">
      <w:pPr>
        <w:ind w:firstLine="720"/>
        <w:divId w:val="1311404831"/>
        <w:rPr>
          <w:rFonts w:eastAsia="Times New Roman"/>
        </w:rPr>
      </w:pPr>
    </w:p>
    <w:p w:rsidR="00000000" w:rsidRDefault="007C49E1">
      <w:pPr>
        <w:ind w:firstLine="720"/>
        <w:jc w:val="both"/>
        <w:divId w:val="221261323"/>
        <w:rPr>
          <w:rFonts w:eastAsia="Times New Roman"/>
        </w:rPr>
      </w:pPr>
      <w:r>
        <w:rPr>
          <w:rFonts w:eastAsia="Times New Roman"/>
          <w:color w:val="000000"/>
          <w:sz w:val="20"/>
          <w:szCs w:val="20"/>
        </w:rPr>
        <w:t xml:space="preserve">While operating as a REIT allows us to minimize the payment of U.S. federal corporate income tax expense, we are required to distribute at least 90% of our taxable income to our shareholders. Notwithstanding this requirement, we are nonetheless </w:t>
      </w:r>
      <w:r>
        <w:rPr>
          <w:rFonts w:eastAsia="Times New Roman"/>
          <w:color w:val="000000"/>
          <w:sz w:val="20"/>
          <w:szCs w:val="20"/>
        </w:rPr>
        <w:t>able to retain operating cash flow to the extent that our tax depreciation exceeds our maintenance capital expenditures. Retained operating cash flow represents our expected cash flow provided by operating activities, less shareholder distributions and cap</w:t>
      </w:r>
      <w:r>
        <w:rPr>
          <w:rFonts w:eastAsia="Times New Roman"/>
          <w:color w:val="000000"/>
          <w:sz w:val="20"/>
          <w:szCs w:val="20"/>
        </w:rPr>
        <w:t>ital expenditures. Our annual operating retained cash flow increased from $200 million to $300 million per year in recent years to approximately $700 million in 2021. We anticipate retained operating cash flow over the next twelve months will be similar to</w:t>
      </w:r>
      <w:r>
        <w:rPr>
          <w:rFonts w:eastAsia="Times New Roman"/>
          <w:color w:val="000000"/>
          <w:sz w:val="20"/>
          <w:szCs w:val="20"/>
        </w:rPr>
        <w:t xml:space="preserve"> 2021.</w:t>
      </w:r>
    </w:p>
    <w:p w:rsidR="00000000" w:rsidRDefault="007C49E1">
      <w:pPr>
        <w:ind w:firstLine="720"/>
        <w:jc w:val="both"/>
        <w:divId w:val="1927491715"/>
        <w:rPr>
          <w:rFonts w:eastAsia="Times New Roman"/>
        </w:rPr>
      </w:pPr>
      <w:r>
        <w:rPr>
          <w:rFonts w:eastAsia="Times New Roman"/>
          <w:color w:val="000000"/>
          <w:sz w:val="20"/>
          <w:szCs w:val="20"/>
        </w:rPr>
        <w:t>The REIT distribution requirement limits cash flow from operations that can be retained and reinvested in the business, increasing our reliance upon raising capital to fund growth. Capital needs in excess of retained cash flow are met with: (i) medi</w:t>
      </w:r>
      <w:r>
        <w:rPr>
          <w:rFonts w:eastAsia="Times New Roman"/>
          <w:color w:val="000000"/>
          <w:sz w:val="20"/>
          <w:szCs w:val="20"/>
        </w:rPr>
        <w:t>um and long-term debt, (ii) preferred equity, and (iii) common equity. We select among these sources of capital based upon relative cost, availability, the desire for leverage, and considering potential constraints caused by certain features of capital sou</w:t>
      </w:r>
      <w:r>
        <w:rPr>
          <w:rFonts w:eastAsia="Times New Roman"/>
          <w:color w:val="000000"/>
          <w:sz w:val="20"/>
          <w:szCs w:val="20"/>
        </w:rPr>
        <w:t xml:space="preserve">rces, such as debt covenants. We view our line of credit, as well as any short-term bank loans, as bridge financing. </w:t>
      </w:r>
    </w:p>
    <w:p w:rsidR="00000000" w:rsidRDefault="007C49E1">
      <w:pPr>
        <w:ind w:firstLine="720"/>
        <w:jc w:val="both"/>
        <w:divId w:val="857277955"/>
        <w:rPr>
          <w:rFonts w:eastAsia="Times New Roman"/>
        </w:rPr>
      </w:pPr>
      <w:r>
        <w:rPr>
          <w:rFonts w:eastAsia="Times New Roman"/>
          <w:color w:val="000000"/>
          <w:sz w:val="20"/>
          <w:szCs w:val="20"/>
        </w:rPr>
        <w:t>Because raising capital is important to our growth, we endeavor to maintain a strong financial profile characterized by strong credit metr</w:t>
      </w:r>
      <w:r>
        <w:rPr>
          <w:rFonts w:eastAsia="Times New Roman"/>
          <w:color w:val="000000"/>
          <w:sz w:val="20"/>
          <w:szCs w:val="20"/>
        </w:rPr>
        <w:t>ics, including low leverage relative to our total capitalization and operating cash flows. We are one of the highest rated REITs, as rated by major rating agencies Moody’s and Standard &amp; Poor’s. Our senior notes payable has an “A” credit rating by Standard</w:t>
      </w:r>
      <w:r>
        <w:rPr>
          <w:rFonts w:eastAsia="Times New Roman"/>
          <w:color w:val="000000"/>
          <w:sz w:val="20"/>
          <w:szCs w:val="20"/>
        </w:rPr>
        <w:t xml:space="preserve"> &amp; Poor’s and “A2” by Moody’s. Our credit ratings on each of our series of preferred shares are “A3” by Moody’s and “BBB+” by Standard &amp; Poor’s. Our credit profile enable us to effectively access both the public and private capital markets to raise capital</w:t>
      </w:r>
      <w:r>
        <w:rPr>
          <w:rFonts w:eastAsia="Times New Roman"/>
          <w:color w:val="000000"/>
          <w:sz w:val="20"/>
          <w:szCs w:val="20"/>
        </w:rPr>
        <w:t>.</w:t>
      </w:r>
    </w:p>
    <w:p w:rsidR="00000000" w:rsidRDefault="007C49E1">
      <w:pPr>
        <w:ind w:firstLine="720"/>
        <w:jc w:val="both"/>
        <w:divId w:val="773088115"/>
        <w:rPr>
          <w:rFonts w:eastAsia="Times New Roman"/>
        </w:rPr>
      </w:pPr>
      <w:r>
        <w:rPr>
          <w:rFonts w:eastAsia="Times New Roman"/>
          <w:color w:val="000000"/>
          <w:sz w:val="20"/>
          <w:szCs w:val="20"/>
        </w:rPr>
        <w:t>We have a $500.0 million revolving line of credit which we are able to use as temporary “bridge” financing until we are able to raise longer term capital. As of March 31, 2022 and May 3, 2022, there were no borrowings outstanding on the revolving line of</w:t>
      </w:r>
      <w:r>
        <w:rPr>
          <w:rFonts w:eastAsia="Times New Roman"/>
          <w:color w:val="000000"/>
          <w:sz w:val="20"/>
          <w:szCs w:val="20"/>
        </w:rPr>
        <w:t xml:space="preserve"> credit; however, we do have approximately $21.2 million of outstanding letters of credit which limits our borrowing capacity to $478.8 million. Our line of credit matures on April 19, 2024. </w:t>
      </w:r>
    </w:p>
    <w:p w:rsidR="00000000" w:rsidRDefault="007C49E1">
      <w:pPr>
        <w:ind w:firstLine="720"/>
        <w:jc w:val="both"/>
        <w:divId w:val="1199662337"/>
        <w:rPr>
          <w:rFonts w:eastAsia="Times New Roman"/>
        </w:rPr>
      </w:pPr>
      <w:r>
        <w:rPr>
          <w:rFonts w:eastAsia="Times New Roman"/>
          <w:color w:val="000000"/>
          <w:sz w:val="20"/>
          <w:szCs w:val="20"/>
        </w:rPr>
        <w:t>We believe that we have significant financial flexibility to ada</w:t>
      </w:r>
      <w:r>
        <w:rPr>
          <w:rFonts w:eastAsia="Times New Roman"/>
          <w:color w:val="000000"/>
          <w:sz w:val="20"/>
          <w:szCs w:val="20"/>
        </w:rPr>
        <w:t>pt to changing conditions and opportunities and we have significant access to sources of capital including debt and preferred equity. Based upon our substantial current liquidity relative to our capital requirements noted below, we would not expect any pot</w:t>
      </w:r>
      <w:r>
        <w:rPr>
          <w:rFonts w:eastAsia="Times New Roman"/>
          <w:color w:val="000000"/>
          <w:sz w:val="20"/>
          <w:szCs w:val="20"/>
        </w:rPr>
        <w:t>ential capital market dislocations to have a material impact upon our expected capital and growth plans over the next 12 months. However, if capital market conditions were to change significantly in the long run, our access to or cost of debt and preferred</w:t>
      </w:r>
      <w:r>
        <w:rPr>
          <w:rFonts w:eastAsia="Times New Roman"/>
          <w:color w:val="000000"/>
          <w:sz w:val="20"/>
          <w:szCs w:val="20"/>
        </w:rPr>
        <w:t xml:space="preserve"> equity capital could be negatively impacted and potentially affect future investment activities.</w:t>
      </w:r>
    </w:p>
    <w:p w:rsidR="00000000" w:rsidRDefault="007C49E1">
      <w:pPr>
        <w:jc w:val="center"/>
        <w:divId w:val="933548"/>
        <w:rPr>
          <w:rFonts w:eastAsia="Times New Roman"/>
        </w:rPr>
      </w:pPr>
      <w:r>
        <w:rPr>
          <w:rFonts w:eastAsia="Times New Roman"/>
          <w:color w:val="000000"/>
          <w:sz w:val="20"/>
          <w:szCs w:val="20"/>
        </w:rPr>
        <w:t>42</w:t>
      </w:r>
    </w:p>
    <w:p w:rsidR="00000000" w:rsidRDefault="007C49E1">
      <w:pPr>
        <w:rPr>
          <w:rFonts w:eastAsia="Times New Roman"/>
        </w:rPr>
      </w:pPr>
      <w:r>
        <w:rPr>
          <w:rFonts w:eastAsia="Times New Roman"/>
        </w:rPr>
        <w:pict>
          <v:rect id="_x0000_i1068" style="width:0;height:1.5pt" o:hralign="center" o:hrstd="t" o:hr="t" fillcolor="#a0a0a0" stroked="f"/>
        </w:pict>
      </w:r>
    </w:p>
    <w:p w:rsidR="00000000" w:rsidRDefault="007C49E1">
      <w:pPr>
        <w:divId w:val="1330326162"/>
        <w:rPr>
          <w:rFonts w:eastAsia="Times New Roman"/>
        </w:rPr>
      </w:pPr>
    </w:p>
    <w:p w:rsidR="00000000" w:rsidRDefault="007C49E1">
      <w:pPr>
        <w:ind w:firstLine="720"/>
        <w:jc w:val="both"/>
        <w:divId w:val="785855488"/>
        <w:rPr>
          <w:rFonts w:eastAsia="Times New Roman"/>
        </w:rPr>
      </w:pPr>
      <w:r>
        <w:rPr>
          <w:rFonts w:eastAsia="Times New Roman"/>
          <w:color w:val="000000"/>
          <w:sz w:val="20"/>
          <w:szCs w:val="20"/>
        </w:rPr>
        <w:t>We believe that our cash provided by our operating activities will continue to be sufficient to enable us to meet ou</w:t>
      </w:r>
      <w:r>
        <w:rPr>
          <w:rFonts w:eastAsia="Times New Roman"/>
          <w:color w:val="000000"/>
          <w:sz w:val="20"/>
          <w:szCs w:val="20"/>
        </w:rPr>
        <w:t xml:space="preserve">r ongoing cash requirements for interest payments on debt, maintenance capital expenditures and distributions to our shareholders for the foreseeable future. </w:t>
      </w:r>
    </w:p>
    <w:p w:rsidR="00000000" w:rsidRDefault="007C49E1">
      <w:pPr>
        <w:ind w:firstLine="720"/>
        <w:jc w:val="both"/>
        <w:divId w:val="1755474272"/>
        <w:rPr>
          <w:rFonts w:eastAsia="Times New Roman"/>
        </w:rPr>
      </w:pPr>
      <w:r>
        <w:rPr>
          <w:rFonts w:eastAsia="Times New Roman"/>
          <w:color w:val="000000"/>
          <w:sz w:val="20"/>
          <w:szCs w:val="20"/>
        </w:rPr>
        <w:t xml:space="preserve">Our expected capital resources include: (i) $940.5 million of cash as of March 31, 2022 and (ii) approximately $700.0 million of expected retained operating cash flow over the next twelve months. In addition, upon the consummation of the PSB merger, which </w:t>
      </w:r>
      <w:r>
        <w:rPr>
          <w:rFonts w:eastAsia="Times New Roman"/>
          <w:color w:val="000000"/>
          <w:sz w:val="20"/>
          <w:szCs w:val="20"/>
        </w:rPr>
        <w:t xml:space="preserve">PSB has announced is expected to close in the third quarter of 2022, we expect to receive approximately $2.7 billion of cash proceeds. The transaction will generate a tax gain of approximately $2.3 billion which, in order to satisfy our REIT qualification </w:t>
      </w:r>
      <w:r>
        <w:rPr>
          <w:rFonts w:eastAsia="Times New Roman"/>
          <w:color w:val="000000"/>
          <w:sz w:val="20"/>
          <w:szCs w:val="20"/>
        </w:rPr>
        <w:t>distribution requirements, we expect to distribute to our shareholders.</w:t>
      </w:r>
    </w:p>
    <w:p w:rsidR="00000000" w:rsidRDefault="007C49E1">
      <w:pPr>
        <w:ind w:firstLine="720"/>
        <w:jc w:val="both"/>
        <w:divId w:val="984436107"/>
        <w:rPr>
          <w:rFonts w:eastAsia="Times New Roman"/>
        </w:rPr>
      </w:pPr>
      <w:r>
        <w:rPr>
          <w:rFonts w:eastAsia="Times New Roman"/>
          <w:color w:val="000000"/>
          <w:sz w:val="20"/>
          <w:szCs w:val="20"/>
        </w:rPr>
        <w:t>Over the long term, to the extent that our capital needs exceed our capital resources, we believe we have a variety of possibilities to raise additional capital including issuing commo</w:t>
      </w:r>
      <w:r>
        <w:rPr>
          <w:rFonts w:eastAsia="Times New Roman"/>
          <w:color w:val="000000"/>
          <w:sz w:val="20"/>
          <w:szCs w:val="20"/>
        </w:rPr>
        <w:t>n or preferred securities, issuing debt, or entering into joint venture arrangements to acquire or develop facilities.</w:t>
      </w:r>
    </w:p>
    <w:p w:rsidR="00000000" w:rsidRDefault="007C49E1">
      <w:pPr>
        <w:ind w:firstLine="720"/>
        <w:jc w:val="both"/>
        <w:divId w:val="1987397793"/>
        <w:rPr>
          <w:rFonts w:eastAsia="Times New Roman"/>
        </w:rPr>
      </w:pPr>
      <w:r>
        <w:rPr>
          <w:rFonts w:eastAsia="Times New Roman"/>
          <w:b/>
          <w:bCs/>
          <w:color w:val="000000"/>
          <w:sz w:val="20"/>
          <w:szCs w:val="20"/>
          <w:u w:val="single"/>
        </w:rPr>
        <w:t>Cash Requirements</w:t>
      </w:r>
    </w:p>
    <w:p w:rsidR="00000000" w:rsidRDefault="007C49E1">
      <w:pPr>
        <w:ind w:firstLine="720"/>
        <w:jc w:val="both"/>
        <w:divId w:val="1683389491"/>
        <w:rPr>
          <w:rFonts w:eastAsia="Times New Roman"/>
        </w:rPr>
      </w:pPr>
      <w:r>
        <w:rPr>
          <w:rFonts w:eastAsia="Times New Roman"/>
          <w:color w:val="000000"/>
          <w:sz w:val="20"/>
          <w:szCs w:val="20"/>
        </w:rPr>
        <w:t>The following summarizes our expected material cash requirements which comprise (i) contractually obligated expenditures, (ii) other essential expenditures, and (iii) opportunistic expenditures. We expect our capital needs to increase over the next year as</w:t>
      </w:r>
      <w:r>
        <w:rPr>
          <w:rFonts w:eastAsia="Times New Roman"/>
          <w:color w:val="000000"/>
          <w:sz w:val="20"/>
          <w:szCs w:val="20"/>
        </w:rPr>
        <w:t xml:space="preserve"> we add projects to our development pipeline and acquire additional properties.</w:t>
      </w:r>
    </w:p>
    <w:p w:rsidR="00000000" w:rsidRDefault="007C49E1">
      <w:pPr>
        <w:ind w:firstLine="720"/>
        <w:jc w:val="both"/>
        <w:divId w:val="1348020605"/>
        <w:rPr>
          <w:rFonts w:eastAsia="Times New Roman"/>
        </w:rPr>
      </w:pPr>
      <w:r>
        <w:rPr>
          <w:rFonts w:eastAsia="Times New Roman"/>
          <w:b/>
          <w:bCs/>
          <w:i/>
          <w:iCs/>
          <w:color w:val="000000"/>
          <w:sz w:val="20"/>
          <w:szCs w:val="20"/>
        </w:rPr>
        <w:t>Required Debt Repayments:</w:t>
      </w:r>
      <w:r>
        <w:rPr>
          <w:rFonts w:eastAsia="Times New Roman"/>
          <w:b/>
          <w:bCs/>
          <w:color w:val="000000"/>
          <w:sz w:val="20"/>
          <w:szCs w:val="20"/>
        </w:rPr>
        <w:t xml:space="preserve"> </w:t>
      </w:r>
      <w:r>
        <w:rPr>
          <w:rFonts w:eastAsia="Times New Roman"/>
          <w:color w:val="000000"/>
          <w:sz w:val="20"/>
          <w:szCs w:val="20"/>
        </w:rPr>
        <w:t xml:space="preserve">As of March 31, 2022, the principal outstanding on our debt totaled approximately $7.5 billion, consisting of $23.0 million of secured notes payable, </w:t>
      </w:r>
      <w:r>
        <w:rPr>
          <w:rFonts w:eastAsia="Times New Roman"/>
          <w:color w:val="000000"/>
          <w:sz w:val="20"/>
          <w:szCs w:val="20"/>
        </w:rPr>
        <w:t>$1.7 billion of Euro-denominated unsecured notes payable and $5.8 billion of U.S. Dollar denominated unsecured notes payable. Approximate principal maturities and interest payments are as follows (amounts in thousands):</w:t>
      </w:r>
    </w:p>
    <w:tbl>
      <w:tblPr>
        <w:tblW w:w="5595" w:type="dxa"/>
        <w:jc w:val="center"/>
        <w:tblCellMar>
          <w:top w:w="15" w:type="dxa"/>
          <w:left w:w="15" w:type="dxa"/>
          <w:bottom w:w="15" w:type="dxa"/>
          <w:right w:w="15" w:type="dxa"/>
        </w:tblCellMar>
        <w:tblLook w:val="04A0" w:firstRow="1" w:lastRow="0" w:firstColumn="1" w:lastColumn="0" w:noHBand="0" w:noVBand="1"/>
      </w:tblPr>
      <w:tblGrid>
        <w:gridCol w:w="36"/>
        <w:gridCol w:w="4033"/>
        <w:gridCol w:w="36"/>
        <w:gridCol w:w="120"/>
        <w:gridCol w:w="1334"/>
        <w:gridCol w:w="36"/>
      </w:tblGrid>
      <w:tr w:rsidR="00000000">
        <w:trPr>
          <w:jc w:val="center"/>
        </w:trPr>
        <w:tc>
          <w:tcPr>
            <w:tcW w:w="20" w:type="dxa"/>
            <w:vAlign w:val="center"/>
            <w:hideMark/>
          </w:tcPr>
          <w:p w:rsidR="00000000" w:rsidRDefault="007C49E1">
            <w:pPr>
              <w:ind w:firstLine="720"/>
              <w:jc w:val="both"/>
              <w:rPr>
                <w:rFonts w:eastAsia="Times New Roman"/>
              </w:rPr>
            </w:pPr>
          </w:p>
        </w:tc>
        <w:tc>
          <w:tcPr>
            <w:tcW w:w="4160" w:type="dxa"/>
            <w:vAlign w:val="center"/>
            <w:hideMark/>
          </w:tcPr>
          <w:p w:rsidR="00000000" w:rsidRDefault="007C49E1">
            <w:pPr>
              <w:spacing w:after="100"/>
              <w:rPr>
                <w:rFonts w:eastAsia="Times New Roman"/>
                <w:sz w:val="20"/>
                <w:szCs w:val="20"/>
              </w:rPr>
            </w:pPr>
          </w:p>
        </w:tc>
        <w:tc>
          <w:tcPr>
            <w:tcW w:w="20" w:type="dxa"/>
            <w:vAlign w:val="center"/>
            <w:hideMark/>
          </w:tcPr>
          <w:p w:rsidR="00000000" w:rsidRDefault="007C49E1">
            <w:pPr>
              <w:spacing w:after="100"/>
              <w:rPr>
                <w:rFonts w:eastAsia="Times New Roman"/>
                <w:sz w:val="20"/>
                <w:szCs w:val="20"/>
              </w:rPr>
            </w:pPr>
          </w:p>
        </w:tc>
        <w:tc>
          <w:tcPr>
            <w:tcW w:w="20" w:type="dxa"/>
            <w:vAlign w:val="center"/>
            <w:hideMark/>
          </w:tcPr>
          <w:p w:rsidR="00000000" w:rsidRDefault="007C49E1">
            <w:pPr>
              <w:spacing w:after="100"/>
              <w:rPr>
                <w:rFonts w:eastAsia="Times New Roman"/>
                <w:sz w:val="20"/>
                <w:szCs w:val="20"/>
              </w:rPr>
            </w:pPr>
          </w:p>
        </w:tc>
        <w:tc>
          <w:tcPr>
            <w:tcW w:w="1355" w:type="dxa"/>
            <w:vAlign w:val="center"/>
            <w:hideMark/>
          </w:tcPr>
          <w:p w:rsidR="00000000" w:rsidRDefault="007C49E1">
            <w:pPr>
              <w:spacing w:after="100"/>
              <w:rPr>
                <w:rFonts w:eastAsia="Times New Roman"/>
                <w:sz w:val="20"/>
                <w:szCs w:val="20"/>
              </w:rPr>
            </w:pPr>
          </w:p>
        </w:tc>
        <w:tc>
          <w:tcPr>
            <w:tcW w:w="20" w:type="dxa"/>
            <w:vAlign w:val="center"/>
            <w:hideMark/>
          </w:tcPr>
          <w:p w:rsidR="00000000" w:rsidRDefault="007C49E1">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7C49E1">
            <w:pPr>
              <w:spacing w:after="100"/>
              <w:divId w:val="752051401"/>
              <w:rPr>
                <w:rFonts w:eastAsia="Times New Roman"/>
              </w:rPr>
            </w:pPr>
            <w:r>
              <w:rPr>
                <w:rFonts w:eastAsia="Times New Roman"/>
                <w:color w:val="000000"/>
                <w:sz w:val="20"/>
                <w:szCs w:val="20"/>
              </w:rPr>
              <w:t>Remainder of 2022</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595,837</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2023</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136,252</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2024</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924,590</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377,965</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2026</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1,251,728</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Thereafter </w:t>
            </w: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4,987,294</w:t>
            </w:r>
          </w:p>
        </w:tc>
      </w:tr>
      <w:tr w:rsidR="00000000">
        <w:trPr>
          <w:trHeight w:val="300"/>
          <w:jc w:val="center"/>
        </w:trPr>
        <w:tc>
          <w:tcPr>
            <w:tcW w:w="0" w:type="auto"/>
            <w:gridSpan w:val="3"/>
            <w:tcMar>
              <w:top w:w="30" w:type="dxa"/>
              <w:left w:w="20" w:type="dxa"/>
              <w:bottom w:w="30" w:type="dxa"/>
              <w:right w:w="20" w:type="dxa"/>
            </w:tcMar>
            <w:vAlign w:val="center"/>
            <w:hideMark/>
          </w:tcPr>
          <w:p w:rsidR="00000000" w:rsidRDefault="007C49E1">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8,273,666</w:t>
            </w:r>
          </w:p>
        </w:tc>
      </w:tr>
    </w:tbl>
    <w:p w:rsidR="00000000" w:rsidRDefault="007C49E1">
      <w:pPr>
        <w:ind w:firstLine="720"/>
        <w:jc w:val="both"/>
        <w:divId w:val="691732486"/>
        <w:rPr>
          <w:rFonts w:eastAsia="Times New Roman"/>
        </w:rPr>
      </w:pPr>
      <w:r>
        <w:rPr>
          <w:rFonts w:eastAsia="Times New Roman"/>
          <w:b/>
          <w:bCs/>
          <w:i/>
          <w:iCs/>
          <w:color w:val="000000"/>
          <w:sz w:val="20"/>
          <w:szCs w:val="20"/>
        </w:rPr>
        <w:t>Capital Expenditure Requirements:</w:t>
      </w:r>
      <w:r>
        <w:rPr>
          <w:rFonts w:eastAsia="Times New Roman"/>
          <w:color w:val="000000"/>
          <w:sz w:val="20"/>
          <w:szCs w:val="20"/>
        </w:rPr>
        <w:t xml:space="preserve"> </w:t>
      </w:r>
      <w:r>
        <w:rPr>
          <w:rFonts w:eastAsia="Times New Roman"/>
          <w:color w:val="000000"/>
          <w:sz w:val="20"/>
          <w:szCs w:val="20"/>
        </w:rPr>
        <w:t>Capital expenditures include general maintenance, major repairs or replacements to elements of our facilities to keep our facilities in good operating condition and maintain their visual appeal. Capital expenditures do not include costs relating to the dev</w:t>
      </w:r>
      <w:r>
        <w:rPr>
          <w:rFonts w:eastAsia="Times New Roman"/>
          <w:color w:val="000000"/>
          <w:sz w:val="20"/>
          <w:szCs w:val="20"/>
        </w:rPr>
        <w:t xml:space="preserve">elopment of new facilities or redevelopment of existing facilities to increase their available rentable square footage. </w:t>
      </w:r>
    </w:p>
    <w:p w:rsidR="00000000" w:rsidRDefault="007C49E1">
      <w:pPr>
        <w:ind w:firstLine="720"/>
        <w:jc w:val="both"/>
        <w:divId w:val="1767068680"/>
        <w:rPr>
          <w:rFonts w:eastAsia="Times New Roman"/>
        </w:rPr>
      </w:pPr>
      <w:r>
        <w:rPr>
          <w:rFonts w:eastAsia="Times New Roman"/>
          <w:color w:val="000000"/>
          <w:sz w:val="20"/>
          <w:szCs w:val="20"/>
        </w:rPr>
        <w:t xml:space="preserve">Capital expenditures totaled $91.3 million in the first three months of 2022 and are expected to approximate $300 million for the year </w:t>
      </w:r>
      <w:r>
        <w:rPr>
          <w:rFonts w:eastAsia="Times New Roman"/>
          <w:color w:val="000000"/>
          <w:sz w:val="20"/>
          <w:szCs w:val="20"/>
        </w:rPr>
        <w:t>ending December 31, 2022. In addition to standard capital repairs of building elements reaching the end of their useful lives, our capital expenditures in recent years have included incremental expenditures to enhance the competitive position of certain of</w:t>
      </w:r>
      <w:r>
        <w:rPr>
          <w:rFonts w:eastAsia="Times New Roman"/>
          <w:color w:val="000000"/>
          <w:sz w:val="20"/>
          <w:szCs w:val="20"/>
        </w:rPr>
        <w:t xml:space="preserve"> our facilities relative to local competitors pursuant to a multi-year program. Such investments include development of more pronounced, attractive, and clearly identifiable color schemes and signage, upgrades to the configuration and layout of the offices</w:t>
      </w:r>
      <w:r>
        <w:rPr>
          <w:rFonts w:eastAsia="Times New Roman"/>
          <w:color w:val="000000"/>
          <w:sz w:val="20"/>
          <w:szCs w:val="20"/>
        </w:rPr>
        <w:t xml:space="preserve"> and other customer zones to improve the customer experience. We spent approximately $42 million in the first three months of 2022 and expect to spend $180 million in 2022 on this effort. In addition, we have made investments in LED lighting and the instal</w:t>
      </w:r>
      <w:r>
        <w:rPr>
          <w:rFonts w:eastAsia="Times New Roman"/>
          <w:color w:val="000000"/>
          <w:sz w:val="20"/>
          <w:szCs w:val="20"/>
        </w:rPr>
        <w:t>lation of solar panels, which approximated $15 million for the three months ended March 31, 2022 and we expect to spend $30 million in 2022.</w:t>
      </w:r>
    </w:p>
    <w:p w:rsidR="00000000" w:rsidRDefault="007C49E1">
      <w:pPr>
        <w:ind w:firstLine="720"/>
        <w:jc w:val="both"/>
        <w:divId w:val="1273442546"/>
        <w:rPr>
          <w:rFonts w:eastAsia="Times New Roman"/>
        </w:rPr>
      </w:pPr>
      <w:r>
        <w:rPr>
          <w:rFonts w:eastAsia="Times New Roman"/>
          <w:color w:val="000000"/>
          <w:sz w:val="20"/>
          <w:szCs w:val="20"/>
        </w:rPr>
        <w:t>We believe that these incremental investments improve customer satisfaction, the attractiveness and competitiveness</w:t>
      </w:r>
      <w:r>
        <w:rPr>
          <w:rFonts w:eastAsia="Times New Roman"/>
          <w:color w:val="000000"/>
          <w:sz w:val="20"/>
          <w:szCs w:val="20"/>
        </w:rPr>
        <w:t xml:space="preserve"> of our facilities to new and existing customers and, in the case of LED lighting and solar panels, reduce operating costs. </w:t>
      </w:r>
    </w:p>
    <w:p w:rsidR="00000000" w:rsidRDefault="007C49E1">
      <w:pPr>
        <w:ind w:firstLine="720"/>
        <w:jc w:val="both"/>
        <w:divId w:val="1142773477"/>
        <w:rPr>
          <w:rFonts w:eastAsia="Times New Roman"/>
        </w:rPr>
      </w:pPr>
      <w:r>
        <w:rPr>
          <w:rFonts w:eastAsia="Times New Roman"/>
          <w:b/>
          <w:bCs/>
          <w:i/>
          <w:iCs/>
          <w:color w:val="000000"/>
          <w:sz w:val="20"/>
          <w:szCs w:val="20"/>
        </w:rPr>
        <w:t>Requirement to Pay Distributions:</w:t>
      </w:r>
      <w:r>
        <w:rPr>
          <w:rFonts w:eastAsia="Times New Roman"/>
          <w:color w:val="000000"/>
          <w:sz w:val="20"/>
          <w:szCs w:val="20"/>
        </w:rPr>
        <w:t xml:space="preserve"> For all periods presented herein, we have elected to be treated as a REIT, as defined in the Code</w:t>
      </w:r>
      <w:r>
        <w:rPr>
          <w:rFonts w:eastAsia="Times New Roman"/>
          <w:color w:val="000000"/>
          <w:sz w:val="20"/>
          <w:szCs w:val="20"/>
        </w:rPr>
        <w:t xml:space="preserve">. For each taxable year in which we qualify for taxation as a REIT, we will not be subject to U.S. federal corporate income tax on our “REIT taxable income” (generally, taxable income subject to specified adjustments, </w:t>
      </w:r>
    </w:p>
    <w:p w:rsidR="00000000" w:rsidRDefault="007C49E1">
      <w:pPr>
        <w:jc w:val="center"/>
        <w:divId w:val="981807726"/>
        <w:rPr>
          <w:rFonts w:eastAsia="Times New Roman"/>
        </w:rPr>
      </w:pPr>
      <w:r>
        <w:rPr>
          <w:rFonts w:eastAsia="Times New Roman"/>
          <w:color w:val="000000"/>
          <w:sz w:val="20"/>
          <w:szCs w:val="20"/>
        </w:rPr>
        <w:t>43</w:t>
      </w:r>
    </w:p>
    <w:p w:rsidR="00000000" w:rsidRDefault="007C49E1">
      <w:pPr>
        <w:rPr>
          <w:rFonts w:eastAsia="Times New Roman"/>
        </w:rPr>
      </w:pPr>
      <w:r>
        <w:rPr>
          <w:rFonts w:eastAsia="Times New Roman"/>
        </w:rPr>
        <w:pict>
          <v:rect id="_x0000_i1069" style="width:0;height:1.5pt" o:hralign="center" o:hrstd="t" o:hr="t" fillcolor="#a0a0a0" stroked="f"/>
        </w:pict>
      </w:r>
    </w:p>
    <w:p w:rsidR="00000000" w:rsidRDefault="007C49E1">
      <w:pPr>
        <w:divId w:val="1030716046"/>
        <w:rPr>
          <w:rFonts w:eastAsia="Times New Roman"/>
        </w:rPr>
      </w:pPr>
    </w:p>
    <w:p w:rsidR="00000000" w:rsidRDefault="007C49E1">
      <w:pPr>
        <w:jc w:val="both"/>
        <w:divId w:val="723986085"/>
        <w:rPr>
          <w:rFonts w:eastAsia="Times New Roman"/>
        </w:rPr>
      </w:pPr>
      <w:r>
        <w:rPr>
          <w:rFonts w:eastAsia="Times New Roman"/>
          <w:color w:val="000000"/>
          <w:sz w:val="20"/>
          <w:szCs w:val="20"/>
        </w:rPr>
        <w:t>including a deduction for dividends paid and excluding our net capital gain) that is distributed to our shareholders. We believe we have met these requirements in all periods presented herein, and we expect to continue to qualify as a REIT.</w:t>
      </w:r>
      <w:r>
        <w:rPr>
          <w:rFonts w:eastAsia="Times New Roman"/>
          <w:color w:val="000000"/>
        </w:rPr>
        <w:t xml:space="preserve"> </w:t>
      </w:r>
    </w:p>
    <w:p w:rsidR="00000000" w:rsidRDefault="007C49E1">
      <w:pPr>
        <w:ind w:firstLine="720"/>
        <w:jc w:val="both"/>
        <w:divId w:val="635529799"/>
        <w:rPr>
          <w:rFonts w:eastAsia="Times New Roman"/>
        </w:rPr>
      </w:pPr>
      <w:r>
        <w:rPr>
          <w:rFonts w:eastAsia="Times New Roman"/>
          <w:color w:val="000000"/>
          <w:sz w:val="20"/>
          <w:szCs w:val="20"/>
        </w:rPr>
        <w:t>On April 28, 2</w:t>
      </w:r>
      <w:r>
        <w:rPr>
          <w:rFonts w:eastAsia="Times New Roman"/>
          <w:color w:val="000000"/>
          <w:sz w:val="20"/>
          <w:szCs w:val="20"/>
        </w:rPr>
        <w:t>022, our Board declared a regular common quarterly dividend of $2.00 per common share totaling approximately $350 million, which will be paid at the end of June 2022. Our consistent, long-term dividend policy has been to distribute our taxable income. Futu</w:t>
      </w:r>
      <w:r>
        <w:rPr>
          <w:rFonts w:eastAsia="Times New Roman"/>
          <w:color w:val="000000"/>
          <w:sz w:val="20"/>
          <w:szCs w:val="20"/>
        </w:rPr>
        <w:t>re quarterly distributions with respect to the common shares will continue to be determined based upon our REIT distribution requirements after taking into consideration distributions to the preferred shareholders and will be funded with cash flows from op</w:t>
      </w:r>
      <w:r>
        <w:rPr>
          <w:rFonts w:eastAsia="Times New Roman"/>
          <w:color w:val="000000"/>
          <w:sz w:val="20"/>
          <w:szCs w:val="20"/>
        </w:rPr>
        <w:t xml:space="preserve">erating activities. </w:t>
      </w:r>
    </w:p>
    <w:p w:rsidR="00000000" w:rsidRDefault="007C49E1">
      <w:pPr>
        <w:ind w:firstLine="720"/>
        <w:jc w:val="both"/>
        <w:divId w:val="1567690818"/>
        <w:rPr>
          <w:rFonts w:eastAsia="Times New Roman"/>
        </w:rPr>
      </w:pPr>
      <w:r>
        <w:rPr>
          <w:rFonts w:eastAsia="Times New Roman"/>
          <w:color w:val="000000"/>
          <w:sz w:val="20"/>
          <w:szCs w:val="20"/>
        </w:rPr>
        <w:t xml:space="preserve">The annual distribution requirement with respect to our Preferred Shares outstanding at March 31, 2022 is approximately $194.7 million per year. </w:t>
      </w:r>
    </w:p>
    <w:p w:rsidR="00000000" w:rsidRDefault="007C49E1">
      <w:pPr>
        <w:ind w:firstLine="720"/>
        <w:jc w:val="both"/>
        <w:divId w:val="1309550056"/>
        <w:rPr>
          <w:rFonts w:eastAsia="Times New Roman"/>
        </w:rPr>
      </w:pPr>
      <w:r>
        <w:rPr>
          <w:rFonts w:eastAsia="Times New Roman"/>
          <w:color w:val="000000"/>
          <w:sz w:val="20"/>
          <w:szCs w:val="20"/>
        </w:rPr>
        <w:t>As discussed above, in connection with the PSB merger transaction, we expect to distribut</w:t>
      </w:r>
      <w:r>
        <w:rPr>
          <w:rFonts w:eastAsia="Times New Roman"/>
          <w:color w:val="000000"/>
          <w:sz w:val="20"/>
          <w:szCs w:val="20"/>
        </w:rPr>
        <w:t>e approximately $2.3 billion of taxable gain associated with the transaction to our common shareholders.</w:t>
      </w:r>
    </w:p>
    <w:p w:rsidR="00000000" w:rsidRDefault="007C49E1">
      <w:pPr>
        <w:ind w:firstLine="720"/>
        <w:jc w:val="both"/>
        <w:divId w:val="1354964263"/>
        <w:rPr>
          <w:rFonts w:eastAsia="Times New Roman"/>
        </w:rPr>
      </w:pPr>
      <w:r>
        <w:rPr>
          <w:rFonts w:eastAsia="Times New Roman"/>
          <w:b/>
          <w:bCs/>
          <w:i/>
          <w:iCs/>
          <w:color w:val="000000"/>
          <w:sz w:val="20"/>
          <w:szCs w:val="20"/>
        </w:rPr>
        <w:t>Real Estate Investment Activities:</w:t>
      </w:r>
      <w:r>
        <w:rPr>
          <w:rFonts w:eastAsia="Times New Roman"/>
          <w:b/>
          <w:bCs/>
          <w:color w:val="000000"/>
          <w:sz w:val="20"/>
          <w:szCs w:val="20"/>
        </w:rPr>
        <w:t xml:space="preserve"> </w:t>
      </w:r>
      <w:r>
        <w:rPr>
          <w:rFonts w:eastAsia="Times New Roman"/>
          <w:color w:val="000000"/>
          <w:sz w:val="20"/>
          <w:szCs w:val="20"/>
        </w:rPr>
        <w:t xml:space="preserve">We continue to seek to acquire additional self-storage facilities from third parties. Subsequent to March 31, 2022, </w:t>
      </w:r>
      <w:r>
        <w:rPr>
          <w:rFonts w:eastAsia="Times New Roman"/>
          <w:color w:val="000000"/>
          <w:sz w:val="20"/>
          <w:szCs w:val="20"/>
        </w:rPr>
        <w:t>we acquired or were under contract to acquire eleven self-storage facilities for a total purchase price of $147.2 million. Five of these properties are under construction and expected to close as they are completed in the remainder of 2022 and the first qu</w:t>
      </w:r>
      <w:r>
        <w:rPr>
          <w:rFonts w:eastAsia="Times New Roman"/>
          <w:color w:val="000000"/>
          <w:sz w:val="20"/>
          <w:szCs w:val="20"/>
        </w:rPr>
        <w:t xml:space="preserve">arter of 2023. </w:t>
      </w:r>
    </w:p>
    <w:p w:rsidR="00000000" w:rsidRDefault="007C49E1">
      <w:pPr>
        <w:ind w:firstLine="720"/>
        <w:jc w:val="both"/>
        <w:divId w:val="1956670603"/>
        <w:rPr>
          <w:rFonts w:eastAsia="Times New Roman"/>
        </w:rPr>
      </w:pPr>
      <w:r>
        <w:rPr>
          <w:rFonts w:eastAsia="Times New Roman"/>
          <w:color w:val="000000"/>
          <w:sz w:val="20"/>
          <w:szCs w:val="20"/>
        </w:rPr>
        <w:t>We are actively seeking to acquire additional facilities. However, future acquisition volume will depend upon whether additional owners will be motivated to market their facilities, which will in turn depend upon factors such as economic co</w:t>
      </w:r>
      <w:r>
        <w:rPr>
          <w:rFonts w:eastAsia="Times New Roman"/>
          <w:color w:val="000000"/>
          <w:sz w:val="20"/>
          <w:szCs w:val="20"/>
        </w:rPr>
        <w:t xml:space="preserve">nditions and the level of seller confidence. </w:t>
      </w:r>
    </w:p>
    <w:p w:rsidR="00000000" w:rsidRDefault="007C49E1">
      <w:pPr>
        <w:ind w:firstLine="720"/>
        <w:jc w:val="both"/>
        <w:divId w:val="738097779"/>
        <w:rPr>
          <w:rFonts w:eastAsia="Times New Roman"/>
        </w:rPr>
      </w:pPr>
      <w:r>
        <w:rPr>
          <w:rFonts w:eastAsia="Times New Roman"/>
          <w:color w:val="000000"/>
          <w:sz w:val="20"/>
          <w:szCs w:val="20"/>
        </w:rPr>
        <w:t>As of March 31, 2022, we had development and expansion projects at a total cost of approximately $833.8 million. Costs incurred through March 31, 2022 were $337.6 million, with the remaining cost to complete of</w:t>
      </w:r>
      <w:r>
        <w:rPr>
          <w:rFonts w:eastAsia="Times New Roman"/>
          <w:color w:val="000000"/>
          <w:sz w:val="20"/>
          <w:szCs w:val="20"/>
        </w:rPr>
        <w:t xml:space="preserve"> $496.2 million expected to be incurred primarily in the next 18 to 24 months. Some of these projects are subject to contingencies such as entitlement approval. We expect to continue to seek to add projects to maintain and increase our robust pipeline. Our</w:t>
      </w:r>
      <w:r>
        <w:rPr>
          <w:rFonts w:eastAsia="Times New Roman"/>
          <w:color w:val="000000"/>
          <w:sz w:val="20"/>
          <w:szCs w:val="20"/>
        </w:rPr>
        <w:t xml:space="preserve"> ability to do so continues to be challenged by various constraints such as difficulty in finding projects that meet our risk-adjusted yield expectations, and challenges in obtaining building permits for self-storage facilities in certain municipalities.</w:t>
      </w:r>
    </w:p>
    <w:p w:rsidR="00000000" w:rsidRDefault="007C49E1">
      <w:pPr>
        <w:ind w:firstLine="720"/>
        <w:jc w:val="both"/>
        <w:divId w:val="1125462363"/>
        <w:rPr>
          <w:rFonts w:eastAsia="Times New Roman"/>
        </w:rPr>
      </w:pPr>
      <w:r>
        <w:rPr>
          <w:rFonts w:eastAsia="Times New Roman"/>
          <w:b/>
          <w:bCs/>
          <w:i/>
          <w:iCs/>
          <w:color w:val="000000"/>
          <w:sz w:val="20"/>
          <w:szCs w:val="20"/>
        </w:rPr>
        <w:t>Property Operating Expenses:</w:t>
      </w:r>
      <w:r>
        <w:rPr>
          <w:rFonts w:eastAsia="Times New Roman"/>
          <w:color w:val="000000"/>
          <w:sz w:val="20"/>
          <w:szCs w:val="20"/>
        </w:rPr>
        <w:t xml:space="preserve"> The direct and indirect cost of our operations impose significant cash requirements. Direct operating costs include property taxes, on-site property manager payroll, repairs and maintenance, utilities and marketing. Indirect op</w:t>
      </w:r>
      <w:r>
        <w:rPr>
          <w:rFonts w:eastAsia="Times New Roman"/>
          <w:color w:val="000000"/>
          <w:sz w:val="20"/>
          <w:szCs w:val="20"/>
        </w:rPr>
        <w:t>erating costs include supervisory payroll and centralized management costs. The cash requirements from these operating costs will vary year to year based on, among other things, changes in the size of our portfolio and changes in property tax rates and ass</w:t>
      </w:r>
      <w:r>
        <w:rPr>
          <w:rFonts w:eastAsia="Times New Roman"/>
          <w:color w:val="000000"/>
          <w:sz w:val="20"/>
          <w:szCs w:val="20"/>
        </w:rPr>
        <w:t>essed values, wage rates and marketing costs in our markets.</w:t>
      </w:r>
    </w:p>
    <w:p w:rsidR="00000000" w:rsidRDefault="007C49E1">
      <w:pPr>
        <w:ind w:firstLine="720"/>
        <w:jc w:val="both"/>
        <w:divId w:val="294988231"/>
        <w:rPr>
          <w:rFonts w:eastAsia="Times New Roman"/>
        </w:rPr>
      </w:pPr>
      <w:r>
        <w:rPr>
          <w:rFonts w:eastAsia="Times New Roman"/>
          <w:b/>
          <w:bCs/>
          <w:i/>
          <w:iCs/>
          <w:color w:val="000000"/>
          <w:sz w:val="20"/>
          <w:szCs w:val="20"/>
        </w:rPr>
        <w:t>Redemption of Preferred Securities</w:t>
      </w:r>
      <w:r>
        <w:rPr>
          <w:rFonts w:eastAsia="Times New Roman"/>
          <w:color w:val="000000"/>
          <w:sz w:val="20"/>
          <w:szCs w:val="20"/>
        </w:rPr>
        <w:t>: Historically, we have taken advantage of refinancing higher coupon preferred securities with lower coupon preferred securities. In the future, we may also elec</w:t>
      </w:r>
      <w:r>
        <w:rPr>
          <w:rFonts w:eastAsia="Times New Roman"/>
          <w:color w:val="000000"/>
          <w:sz w:val="20"/>
          <w:szCs w:val="20"/>
        </w:rPr>
        <w:t xml:space="preserve">t to finance the redemption of preferred securities with proceeds from the issuance of debt. As of May 3, 2022, we have no series of preferred securities that are eligible for redemption, at our option and with 30 days’ notice. See Note 9 to our March 31, </w:t>
      </w:r>
      <w:r>
        <w:rPr>
          <w:rFonts w:eastAsia="Times New Roman"/>
          <w:color w:val="000000"/>
          <w:sz w:val="20"/>
          <w:szCs w:val="20"/>
        </w:rPr>
        <w:t>2022 consolidated financial statements for the redemption dates of all of our series of preferred shares. Redemption of such preferred shares will depend upon many factors, including the rate at which we could issue replacement preferred securities. None o</w:t>
      </w:r>
      <w:r>
        <w:rPr>
          <w:rFonts w:eastAsia="Times New Roman"/>
          <w:color w:val="000000"/>
          <w:sz w:val="20"/>
          <w:szCs w:val="20"/>
        </w:rPr>
        <w:t xml:space="preserve">f our preferred securities are redeemable at the option of the holders. </w:t>
      </w:r>
    </w:p>
    <w:p w:rsidR="00000000" w:rsidRDefault="007C49E1">
      <w:pPr>
        <w:ind w:firstLine="720"/>
        <w:jc w:val="both"/>
        <w:divId w:val="1157453479"/>
        <w:rPr>
          <w:rFonts w:eastAsia="Times New Roman"/>
        </w:rPr>
      </w:pPr>
      <w:r>
        <w:rPr>
          <w:rFonts w:eastAsia="Times New Roman"/>
          <w:b/>
          <w:bCs/>
          <w:i/>
          <w:iCs/>
          <w:color w:val="000000"/>
          <w:sz w:val="20"/>
          <w:szCs w:val="20"/>
        </w:rPr>
        <w:t>Repurchases of Common Shares</w:t>
      </w:r>
      <w:r>
        <w:rPr>
          <w:rFonts w:eastAsia="Times New Roman"/>
          <w:color w:val="000000"/>
          <w:sz w:val="20"/>
          <w:szCs w:val="20"/>
        </w:rPr>
        <w:t>: Our Board has authorized management to repurchase up to 35,000,000 of our common shares on the open market or in privately negotiated transactions. Durin</w:t>
      </w:r>
      <w:r>
        <w:rPr>
          <w:rFonts w:eastAsia="Times New Roman"/>
          <w:color w:val="000000"/>
          <w:sz w:val="20"/>
          <w:szCs w:val="20"/>
        </w:rPr>
        <w:t>g the three months ended March 31, 2022, we did not repurchase any of our common shares. From the inception of the repurchase program through May 3, 2022, we have repurchased a total of 23,721,916 common shares at an aggregate cost of approximately $679.1 </w:t>
      </w:r>
      <w:r>
        <w:rPr>
          <w:rFonts w:eastAsia="Times New Roman"/>
          <w:color w:val="000000"/>
          <w:sz w:val="20"/>
          <w:szCs w:val="20"/>
        </w:rPr>
        <w:t>million. Future levels of common share repurchases will be dependent upon our available capital, investment alternatives and the trading price of our common shares.</w:t>
      </w:r>
    </w:p>
    <w:p w:rsidR="00000000" w:rsidRDefault="007C49E1">
      <w:pPr>
        <w:jc w:val="center"/>
        <w:divId w:val="1496455430"/>
        <w:rPr>
          <w:rFonts w:eastAsia="Times New Roman"/>
        </w:rPr>
      </w:pPr>
      <w:r>
        <w:rPr>
          <w:rFonts w:eastAsia="Times New Roman"/>
          <w:color w:val="000000"/>
          <w:sz w:val="20"/>
          <w:szCs w:val="20"/>
        </w:rPr>
        <w:t>44</w:t>
      </w:r>
    </w:p>
    <w:p w:rsidR="00000000" w:rsidRDefault="007C49E1">
      <w:pPr>
        <w:rPr>
          <w:rFonts w:eastAsia="Times New Roman"/>
        </w:rPr>
      </w:pPr>
      <w:r>
        <w:rPr>
          <w:rFonts w:eastAsia="Times New Roman"/>
        </w:rPr>
        <w:pict>
          <v:rect id="_x0000_i1070" style="width:0;height:1.5pt" o:hralign="center" o:hrstd="t" o:hr="t" fillcolor="#a0a0a0" stroked="f"/>
        </w:pict>
      </w:r>
    </w:p>
    <w:p w:rsidR="00000000" w:rsidRDefault="007C49E1">
      <w:pPr>
        <w:divId w:val="1450851610"/>
        <w:rPr>
          <w:rFonts w:eastAsia="Times New Roman"/>
        </w:rPr>
      </w:pPr>
    </w:p>
    <w:p w:rsidR="00000000" w:rsidRDefault="007C49E1">
      <w:pPr>
        <w:jc w:val="both"/>
        <w:divId w:val="1866553112"/>
        <w:rPr>
          <w:rFonts w:eastAsia="Times New Roman"/>
        </w:rPr>
      </w:pPr>
      <w:r>
        <w:rPr>
          <w:rFonts w:eastAsia="Times New Roman"/>
          <w:b/>
          <w:bCs/>
          <w:color w:val="000000"/>
          <w:sz w:val="20"/>
          <w:szCs w:val="20"/>
          <w:u w:val="single"/>
        </w:rPr>
        <w:t>ITEM 3.</w:t>
      </w:r>
      <w:r>
        <w:rPr>
          <w:rFonts w:eastAsia="Times New Roman"/>
          <w:color w:val="000000"/>
          <w:sz w:val="20"/>
          <w:szCs w:val="20"/>
        </w:rPr>
        <w:t xml:space="preserve">     </w:t>
      </w:r>
      <w:r>
        <w:rPr>
          <w:rFonts w:eastAsia="Times New Roman"/>
          <w:b/>
          <w:bCs/>
          <w:color w:val="000000"/>
          <w:sz w:val="20"/>
          <w:szCs w:val="20"/>
          <w:u w:val="single"/>
        </w:rPr>
        <w:t>Quantitative and Qualitative Disclosur</w:t>
      </w:r>
      <w:r>
        <w:rPr>
          <w:rFonts w:eastAsia="Times New Roman"/>
          <w:b/>
          <w:bCs/>
          <w:color w:val="000000"/>
          <w:sz w:val="20"/>
          <w:szCs w:val="20"/>
          <w:u w:val="single"/>
        </w:rPr>
        <w:t>es about Market Risk</w:t>
      </w:r>
    </w:p>
    <w:p w:rsidR="00000000" w:rsidRDefault="007C49E1">
      <w:pPr>
        <w:ind w:firstLine="720"/>
        <w:jc w:val="both"/>
        <w:divId w:val="1180390018"/>
        <w:rPr>
          <w:rFonts w:eastAsia="Times New Roman"/>
        </w:rPr>
      </w:pPr>
      <w:r>
        <w:rPr>
          <w:rFonts w:eastAsia="Times New Roman"/>
          <w:color w:val="000000"/>
          <w:sz w:val="20"/>
          <w:szCs w:val="20"/>
        </w:rPr>
        <w:t>To limit our exposure to market risk, we are capitalized primarily with preferred and common equity. Our preferred shares are redeemable at our option generally five years after issuance, but the holder has no redemption option. Our de</w:t>
      </w:r>
      <w:r>
        <w:rPr>
          <w:rFonts w:eastAsia="Times New Roman"/>
          <w:color w:val="000000"/>
          <w:sz w:val="20"/>
          <w:szCs w:val="20"/>
        </w:rPr>
        <w:t xml:space="preserve">bt is our only market-risk sensitive portion of our capital structure, which totals approximately $7.4 billion at March 31, 2022. </w:t>
      </w:r>
    </w:p>
    <w:p w:rsidR="00000000" w:rsidRDefault="007C49E1">
      <w:pPr>
        <w:ind w:firstLine="720"/>
        <w:jc w:val="both"/>
        <w:divId w:val="1730566701"/>
        <w:rPr>
          <w:rFonts w:eastAsia="Times New Roman"/>
        </w:rPr>
      </w:pPr>
      <w:r>
        <w:rPr>
          <w:rFonts w:eastAsia="Times New Roman"/>
          <w:color w:val="000000"/>
          <w:sz w:val="20"/>
          <w:szCs w:val="20"/>
        </w:rPr>
        <w:t xml:space="preserve">The fair value of our debt at March 31, 2022 is approximately $7.1 billion. The table below summarizes the annual maturities </w:t>
      </w:r>
      <w:r>
        <w:rPr>
          <w:rFonts w:eastAsia="Times New Roman"/>
          <w:color w:val="000000"/>
          <w:sz w:val="20"/>
          <w:szCs w:val="20"/>
        </w:rPr>
        <w:t>of our debt, which had a weighted average effective rate of 1.8% at March 31, 2022. See Note 7 to our March 31, 2022 consolidated financial statements for further information regarding our debt (amounts in thousands).</w:t>
      </w:r>
      <w:r>
        <w:rPr>
          <w:rFonts w:eastAsia="Times New Roman"/>
          <w:color w:val="000000"/>
          <w:sz w:val="2"/>
          <w:szCs w:val="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5"/>
        <w:gridCol w:w="628"/>
        <w:gridCol w:w="36"/>
        <w:gridCol w:w="121"/>
        <w:gridCol w:w="871"/>
        <w:gridCol w:w="36"/>
        <w:gridCol w:w="36"/>
        <w:gridCol w:w="36"/>
        <w:gridCol w:w="36"/>
        <w:gridCol w:w="121"/>
        <w:gridCol w:w="825"/>
        <w:gridCol w:w="36"/>
        <w:gridCol w:w="36"/>
        <w:gridCol w:w="36"/>
        <w:gridCol w:w="36"/>
        <w:gridCol w:w="121"/>
        <w:gridCol w:w="825"/>
        <w:gridCol w:w="36"/>
        <w:gridCol w:w="36"/>
        <w:gridCol w:w="36"/>
        <w:gridCol w:w="36"/>
        <w:gridCol w:w="121"/>
        <w:gridCol w:w="825"/>
        <w:gridCol w:w="36"/>
        <w:gridCol w:w="36"/>
        <w:gridCol w:w="36"/>
        <w:gridCol w:w="36"/>
        <w:gridCol w:w="121"/>
        <w:gridCol w:w="832"/>
        <w:gridCol w:w="36"/>
        <w:gridCol w:w="36"/>
        <w:gridCol w:w="36"/>
        <w:gridCol w:w="36"/>
        <w:gridCol w:w="121"/>
        <w:gridCol w:w="840"/>
        <w:gridCol w:w="36"/>
        <w:gridCol w:w="36"/>
        <w:gridCol w:w="36"/>
        <w:gridCol w:w="36"/>
        <w:gridCol w:w="121"/>
        <w:gridCol w:w="832"/>
        <w:gridCol w:w="36"/>
      </w:tblGrid>
      <w:tr w:rsidR="00000000">
        <w:trPr>
          <w:divId w:val="1094277964"/>
        </w:trPr>
        <w:tc>
          <w:tcPr>
            <w:tcW w:w="50" w:type="pct"/>
            <w:vAlign w:val="center"/>
            <w:hideMark/>
          </w:tcPr>
          <w:p w:rsidR="00000000" w:rsidRDefault="007C49E1">
            <w:pPr>
              <w:ind w:firstLine="720"/>
              <w:jc w:val="both"/>
              <w:rPr>
                <w:rFonts w:eastAsia="Times New Roman"/>
              </w:rPr>
            </w:pPr>
          </w:p>
        </w:tc>
        <w:tc>
          <w:tcPr>
            <w:tcW w:w="422"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55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55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55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55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55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558"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2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55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1094277964"/>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Remainder of 2022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 Thereafter</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C49E1">
            <w:pPr>
              <w:spacing w:after="100"/>
              <w:jc w:val="right"/>
              <w:rPr>
                <w:rFonts w:eastAsia="Times New Roman"/>
              </w:rPr>
            </w:pPr>
            <w:r>
              <w:rPr>
                <w:rFonts w:eastAsia="Times New Roman"/>
                <w:color w:val="000000"/>
                <w:sz w:val="20"/>
                <w:szCs w:val="20"/>
              </w:rPr>
              <w:t> Total</w:t>
            </w:r>
          </w:p>
        </w:tc>
      </w:tr>
      <w:tr w:rsidR="00000000">
        <w:trPr>
          <w:divId w:val="1094277964"/>
          <w:trHeight w:val="120"/>
        </w:trPr>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1094277964"/>
        </w:trPr>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Debt </w:t>
            </w: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502,246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19,219</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811,272</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269,124</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1,150,138</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4,734,966</w:t>
            </w:r>
          </w:p>
        </w:tc>
        <w:tc>
          <w:tcPr>
            <w:tcW w:w="0" w:type="auto"/>
            <w:gridSpan w:val="3"/>
            <w:tcMar>
              <w:top w:w="0" w:type="dxa"/>
              <w:left w:w="20" w:type="dxa"/>
              <w:bottom w:w="0" w:type="dxa"/>
              <w:right w:w="20" w:type="dxa"/>
            </w:tcMar>
            <w:vAlign w:val="center"/>
            <w:hideMark/>
          </w:tcPr>
          <w:p w:rsidR="00000000" w:rsidRDefault="007C49E1">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7C49E1">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7C49E1">
            <w:pPr>
              <w:spacing w:after="100"/>
              <w:jc w:val="right"/>
              <w:rPr>
                <w:rFonts w:eastAsia="Times New Roman"/>
              </w:rPr>
            </w:pPr>
            <w:r>
              <w:rPr>
                <w:rFonts w:eastAsia="Times New Roman"/>
                <w:color w:val="000000"/>
                <w:sz w:val="20"/>
                <w:szCs w:val="20"/>
              </w:rPr>
              <w:t>7,486,965</w:t>
            </w:r>
          </w:p>
        </w:tc>
      </w:tr>
    </w:tbl>
    <w:p w:rsidR="00000000" w:rsidRDefault="007C49E1">
      <w:pPr>
        <w:ind w:firstLine="720"/>
        <w:jc w:val="both"/>
        <w:divId w:val="397823421"/>
        <w:rPr>
          <w:rFonts w:eastAsia="Times New Roman"/>
        </w:rPr>
      </w:pPr>
      <w:r>
        <w:rPr>
          <w:rFonts w:eastAsia="Times New Roman"/>
          <w:color w:val="000000"/>
          <w:sz w:val="20"/>
          <w:szCs w:val="20"/>
        </w:rPr>
        <w:t>We have foreign currency exposure at March 31, 2022 related to (i) our investment in Shurgard, with a book val</w:t>
      </w:r>
      <w:r>
        <w:rPr>
          <w:rFonts w:eastAsia="Times New Roman"/>
          <w:color w:val="000000"/>
          <w:sz w:val="20"/>
          <w:szCs w:val="20"/>
        </w:rPr>
        <w:t>ue of $313.3 million, and a fair value of $2.0 billion based upon the closing price of Shurgard’s stock on March 31, 2022, and (ii) €1.5 billion ($1.7 billion) of Euro-denominated unsecured notes payable, providing a natural hedge against the fair value of</w:t>
      </w:r>
      <w:r>
        <w:rPr>
          <w:rFonts w:eastAsia="Times New Roman"/>
          <w:color w:val="000000"/>
          <w:sz w:val="20"/>
          <w:szCs w:val="20"/>
        </w:rPr>
        <w:t xml:space="preserve"> our investment in Shurgard.</w:t>
      </w:r>
    </w:p>
    <w:p w:rsidR="00000000" w:rsidRDefault="007C49E1">
      <w:pPr>
        <w:jc w:val="both"/>
        <w:divId w:val="2020110519"/>
        <w:rPr>
          <w:rFonts w:eastAsia="Times New Roman"/>
        </w:rPr>
      </w:pPr>
      <w:r>
        <w:rPr>
          <w:rFonts w:eastAsia="Times New Roman"/>
          <w:b/>
          <w:bCs/>
          <w:color w:val="000000"/>
          <w:sz w:val="20"/>
          <w:szCs w:val="20"/>
          <w:u w:val="single"/>
        </w:rPr>
        <w:t>ITEM 4.</w:t>
      </w:r>
      <w:r>
        <w:rPr>
          <w:rFonts w:eastAsia="Times New Roman"/>
          <w:b/>
          <w:bCs/>
          <w:color w:val="000000"/>
          <w:sz w:val="20"/>
          <w:szCs w:val="20"/>
        </w:rPr>
        <w:t xml:space="preserve"> </w:t>
      </w:r>
      <w:r>
        <w:rPr>
          <w:rFonts w:eastAsia="Times New Roman"/>
          <w:b/>
          <w:bCs/>
          <w:color w:val="000000"/>
          <w:sz w:val="20"/>
          <w:szCs w:val="20"/>
          <w:u w:val="single"/>
        </w:rPr>
        <w:t>Controls and Procedures</w:t>
      </w:r>
    </w:p>
    <w:p w:rsidR="00000000" w:rsidRDefault="007C49E1">
      <w:pPr>
        <w:divId w:val="1211380331"/>
        <w:rPr>
          <w:rFonts w:eastAsia="Times New Roman"/>
        </w:rPr>
      </w:pPr>
      <w:r>
        <w:rPr>
          <w:rFonts w:eastAsia="Times New Roman"/>
          <w:b/>
          <w:bCs/>
          <w:color w:val="000000"/>
          <w:sz w:val="20"/>
          <w:szCs w:val="20"/>
        </w:rPr>
        <w:t>Conclusion Regarding the Effectiveness of Disclosure Controls and Procedures</w:t>
      </w:r>
    </w:p>
    <w:p w:rsidR="00000000" w:rsidRDefault="007C49E1">
      <w:pPr>
        <w:ind w:firstLine="720"/>
        <w:jc w:val="both"/>
        <w:divId w:val="936671313"/>
        <w:rPr>
          <w:rFonts w:eastAsia="Times New Roman"/>
        </w:rPr>
      </w:pPr>
      <w:r>
        <w:rPr>
          <w:rFonts w:eastAsia="Times New Roman"/>
          <w:color w:val="000000"/>
          <w:sz w:val="20"/>
          <w:szCs w:val="20"/>
        </w:rPr>
        <w:t>We maintain disclosure controls and procedures that are designed to ensure that information required to be disclosed in reports we file and submit under the Securities Exchange Act of 1934, as amended (the “Exchange Act”) is recorded, processed, summarized</w:t>
      </w:r>
      <w:r>
        <w:rPr>
          <w:rFonts w:eastAsia="Times New Roman"/>
          <w:color w:val="000000"/>
          <w:sz w:val="20"/>
          <w:szCs w:val="20"/>
        </w:rPr>
        <w:t xml:space="preserve"> and reported within the time periods specified in accordance with SEC guidelines and that such information is communicated to our management, including our Chief Executive Officer and Chief Financial Officer, to allow timely decisions regarding required d</w:t>
      </w:r>
      <w:r>
        <w:rPr>
          <w:rFonts w:eastAsia="Times New Roman"/>
          <w:color w:val="000000"/>
          <w:sz w:val="20"/>
          <w:szCs w:val="20"/>
        </w:rPr>
        <w:t>isclosure based on the definition of “disclosure controls and procedures” in Rules 13a-15(e) and 15d-15(e) of the Exchange Act. In designing and evaluating the disclosure controls and procedures, management recognized that any controls and procedures, no m</w:t>
      </w:r>
      <w:r>
        <w:rPr>
          <w:rFonts w:eastAsia="Times New Roman"/>
          <w:color w:val="000000"/>
          <w:sz w:val="20"/>
          <w:szCs w:val="20"/>
        </w:rPr>
        <w:t>atter how well designed and operated, can provide only reasonable assurance of achieving the desired control objectives and management necessarily was required to apply its judgment in evaluating the cost-benefit relationship of possible controls and proce</w:t>
      </w:r>
      <w:r>
        <w:rPr>
          <w:rFonts w:eastAsia="Times New Roman"/>
          <w:color w:val="000000"/>
          <w:sz w:val="20"/>
          <w:szCs w:val="20"/>
        </w:rPr>
        <w:t>dures in reaching that level of reasonable assurance. We also have investments in certain unconsolidated real estate entities and because we do not control these entities, our disclosure controls and procedures with respect to such entities are substantial</w:t>
      </w:r>
      <w:r>
        <w:rPr>
          <w:rFonts w:eastAsia="Times New Roman"/>
          <w:color w:val="000000"/>
          <w:sz w:val="20"/>
          <w:szCs w:val="20"/>
        </w:rPr>
        <w:t>ly more limited than those we maintain with respect to our consolidated subsidiaries.</w:t>
      </w:r>
    </w:p>
    <w:p w:rsidR="00000000" w:rsidRDefault="007C49E1">
      <w:pPr>
        <w:ind w:firstLine="720"/>
        <w:jc w:val="both"/>
        <w:divId w:val="1869950862"/>
        <w:rPr>
          <w:rFonts w:eastAsia="Times New Roman"/>
        </w:rPr>
      </w:pPr>
      <w:r>
        <w:rPr>
          <w:rFonts w:eastAsia="Times New Roman"/>
          <w:color w:val="000000"/>
          <w:sz w:val="20"/>
          <w:szCs w:val="20"/>
        </w:rPr>
        <w:t>Under the supervision and with the participation of our management, including our Chief Executive Officer and Chief Financial Officer, we evaluated the effectiveness of o</w:t>
      </w:r>
      <w:r>
        <w:rPr>
          <w:rFonts w:eastAsia="Times New Roman"/>
          <w:color w:val="000000"/>
          <w:sz w:val="20"/>
          <w:szCs w:val="20"/>
        </w:rPr>
        <w:t xml:space="preserve">ur disclosure controls and procedures, as required by Exchange Act Rule 13a-15(b), as of the end of the period covered by this report. Based on that evaluation, our Chief Executive Officer and Chief Financial Officer concluded that our disclosure controls </w:t>
      </w:r>
      <w:r>
        <w:rPr>
          <w:rFonts w:eastAsia="Times New Roman"/>
          <w:color w:val="000000"/>
          <w:sz w:val="20"/>
          <w:szCs w:val="20"/>
        </w:rPr>
        <w:t xml:space="preserve">and procedures were effective, at a reasonable assurance level. </w:t>
      </w:r>
    </w:p>
    <w:p w:rsidR="00000000" w:rsidRDefault="007C49E1">
      <w:pPr>
        <w:divId w:val="2091539752"/>
        <w:rPr>
          <w:rFonts w:eastAsia="Times New Roman"/>
        </w:rPr>
      </w:pPr>
      <w:r>
        <w:rPr>
          <w:rFonts w:eastAsia="Times New Roman"/>
          <w:b/>
          <w:bCs/>
          <w:color w:val="000000"/>
          <w:sz w:val="20"/>
          <w:szCs w:val="20"/>
        </w:rPr>
        <w:t>Internal Control Over Financial Reporting</w:t>
      </w:r>
    </w:p>
    <w:p w:rsidR="00000000" w:rsidRDefault="007C49E1">
      <w:pPr>
        <w:ind w:firstLine="720"/>
        <w:jc w:val="both"/>
        <w:divId w:val="1867671632"/>
        <w:rPr>
          <w:rFonts w:eastAsia="Times New Roman"/>
        </w:rPr>
      </w:pPr>
      <w:r>
        <w:rPr>
          <w:rFonts w:eastAsia="Times New Roman"/>
          <w:color w:val="000000"/>
          <w:sz w:val="20"/>
          <w:szCs w:val="20"/>
        </w:rPr>
        <w:t xml:space="preserve">There were no changes in our internal control over financial reporting during the quarter ended March 31, 2022 that have materially affected, or are </w:t>
      </w:r>
      <w:r>
        <w:rPr>
          <w:rFonts w:eastAsia="Times New Roman"/>
          <w:color w:val="000000"/>
          <w:sz w:val="20"/>
          <w:szCs w:val="20"/>
        </w:rPr>
        <w:t>reasonably likely to materially affect, our internal control over financial reporting.</w:t>
      </w:r>
    </w:p>
    <w:p w:rsidR="00000000" w:rsidRDefault="007C49E1">
      <w:pPr>
        <w:jc w:val="center"/>
        <w:divId w:val="1587573250"/>
        <w:rPr>
          <w:rFonts w:eastAsia="Times New Roman"/>
        </w:rPr>
      </w:pPr>
      <w:r>
        <w:rPr>
          <w:rFonts w:eastAsia="Times New Roman"/>
          <w:color w:val="000000"/>
          <w:sz w:val="20"/>
          <w:szCs w:val="20"/>
        </w:rPr>
        <w:t>45</w:t>
      </w:r>
    </w:p>
    <w:p w:rsidR="00000000" w:rsidRDefault="007C49E1">
      <w:pPr>
        <w:rPr>
          <w:rFonts w:eastAsia="Times New Roman"/>
        </w:rPr>
      </w:pPr>
      <w:r>
        <w:rPr>
          <w:rFonts w:eastAsia="Times New Roman"/>
        </w:rPr>
        <w:pict>
          <v:rect id="_x0000_i1071" style="width:0;height:1.5pt" o:hralign="center" o:hrstd="t" o:hr="t" fillcolor="#a0a0a0" stroked="f"/>
        </w:pict>
      </w:r>
    </w:p>
    <w:p w:rsidR="00000000" w:rsidRDefault="007C49E1">
      <w:pPr>
        <w:divId w:val="911308475"/>
        <w:rPr>
          <w:rFonts w:eastAsia="Times New Roman"/>
        </w:rPr>
      </w:pPr>
    </w:p>
    <w:p w:rsidR="00000000" w:rsidRDefault="007C49E1">
      <w:pPr>
        <w:divId w:val="374740361"/>
        <w:rPr>
          <w:rFonts w:eastAsia="Times New Roman"/>
        </w:rPr>
      </w:pPr>
      <w:r>
        <w:rPr>
          <w:rFonts w:eastAsia="Times New Roman"/>
          <w:b/>
          <w:bCs/>
          <w:color w:val="000000"/>
          <w:sz w:val="20"/>
          <w:szCs w:val="20"/>
        </w:rPr>
        <w:t>Part II.        </w:t>
      </w:r>
      <w:r>
        <w:rPr>
          <w:rFonts w:eastAsia="Times New Roman"/>
          <w:b/>
          <w:bCs/>
          <w:color w:val="000000"/>
          <w:sz w:val="20"/>
          <w:szCs w:val="20"/>
          <w:u w:val="single"/>
        </w:rPr>
        <w:t>OTHER INFORMATION</w:t>
      </w:r>
    </w:p>
    <w:p w:rsidR="00000000" w:rsidRDefault="007C49E1">
      <w:pPr>
        <w:jc w:val="both"/>
        <w:divId w:val="1129741251"/>
        <w:rPr>
          <w:rFonts w:eastAsia="Times New Roman"/>
        </w:rPr>
      </w:pPr>
      <w:r>
        <w:rPr>
          <w:rFonts w:eastAsia="Times New Roman"/>
          <w:b/>
          <w:bCs/>
          <w:color w:val="000000"/>
          <w:sz w:val="20"/>
          <w:szCs w:val="20"/>
        </w:rPr>
        <w:t>ITEM 1.    </w:t>
      </w:r>
      <w:r>
        <w:rPr>
          <w:rFonts w:eastAsia="Times New Roman"/>
          <w:b/>
          <w:bCs/>
          <w:color w:val="000000"/>
          <w:sz w:val="20"/>
          <w:szCs w:val="20"/>
          <w:u w:val="single"/>
        </w:rPr>
        <w:t>Legal Proceedings</w:t>
      </w:r>
    </w:p>
    <w:p w:rsidR="00000000" w:rsidRDefault="007C49E1">
      <w:pPr>
        <w:ind w:firstLine="720"/>
        <w:jc w:val="both"/>
        <w:divId w:val="229006271"/>
        <w:rPr>
          <w:rFonts w:eastAsia="Times New Roman"/>
        </w:rPr>
      </w:pPr>
      <w:r>
        <w:rPr>
          <w:rFonts w:eastAsia="Times New Roman"/>
          <w:color w:val="000000"/>
          <w:sz w:val="20"/>
          <w:szCs w:val="20"/>
        </w:rPr>
        <w:t>We are a party to various legal proceedings and subject to variou</w:t>
      </w:r>
      <w:r>
        <w:rPr>
          <w:rFonts w:eastAsia="Times New Roman"/>
          <w:color w:val="000000"/>
          <w:sz w:val="20"/>
          <w:szCs w:val="20"/>
        </w:rPr>
        <w:t>s claims and complaints; however, we believe that the likelihood of these contingencies resulting in a material loss to the Company, either individually or in the aggregate, is remote.</w:t>
      </w:r>
    </w:p>
    <w:p w:rsidR="00000000" w:rsidRDefault="007C49E1">
      <w:pPr>
        <w:jc w:val="both"/>
        <w:divId w:val="1602109545"/>
        <w:rPr>
          <w:rFonts w:eastAsia="Times New Roman"/>
        </w:rPr>
      </w:pPr>
      <w:r>
        <w:rPr>
          <w:rFonts w:eastAsia="Times New Roman"/>
          <w:b/>
          <w:bCs/>
          <w:color w:val="000000"/>
          <w:sz w:val="20"/>
          <w:szCs w:val="20"/>
        </w:rPr>
        <w:t>ITEM 1A.    </w:t>
      </w:r>
      <w:r>
        <w:rPr>
          <w:rFonts w:eastAsia="Times New Roman"/>
          <w:b/>
          <w:bCs/>
          <w:color w:val="000000"/>
          <w:sz w:val="20"/>
          <w:szCs w:val="20"/>
          <w:u w:val="single"/>
        </w:rPr>
        <w:t>Risk Factors</w:t>
      </w:r>
    </w:p>
    <w:p w:rsidR="00000000" w:rsidRDefault="007C49E1">
      <w:pPr>
        <w:ind w:firstLine="720"/>
        <w:jc w:val="both"/>
        <w:divId w:val="622425730"/>
        <w:rPr>
          <w:rFonts w:eastAsia="Times New Roman"/>
        </w:rPr>
      </w:pPr>
      <w:r>
        <w:rPr>
          <w:rFonts w:eastAsia="Times New Roman"/>
          <w:color w:val="000000"/>
          <w:sz w:val="20"/>
          <w:szCs w:val="20"/>
        </w:rPr>
        <w:t>In addition to the other information in this Q</w:t>
      </w:r>
      <w:r>
        <w:rPr>
          <w:rFonts w:eastAsia="Times New Roman"/>
          <w:color w:val="000000"/>
          <w:sz w:val="20"/>
          <w:szCs w:val="20"/>
        </w:rPr>
        <w:t>uarterly Report on Form 10-Q, you should carefully consider the risks described in our Annual Report on Form 10-K filed for the year ended December 31, 2021, in Part I, Item 1A, Risk Factors, and in our other filings with the SEC. These factors may materia</w:t>
      </w:r>
      <w:r>
        <w:rPr>
          <w:rFonts w:eastAsia="Times New Roman"/>
          <w:color w:val="000000"/>
          <w:sz w:val="20"/>
          <w:szCs w:val="20"/>
        </w:rPr>
        <w:t>lly affect our business, financial condition and operating results. There have been no material changes to the risk factors relating to the Company disclosed in our Annual Report on Form 10-K for the year ended December 31, 2021.</w:t>
      </w:r>
    </w:p>
    <w:p w:rsidR="00000000" w:rsidRDefault="007C49E1">
      <w:pPr>
        <w:ind w:firstLine="720"/>
        <w:jc w:val="both"/>
        <w:divId w:val="2091730205"/>
        <w:rPr>
          <w:rFonts w:eastAsia="Times New Roman"/>
        </w:rPr>
      </w:pPr>
      <w:r>
        <w:rPr>
          <w:rFonts w:eastAsia="Times New Roman"/>
          <w:color w:val="000000"/>
          <w:sz w:val="20"/>
          <w:szCs w:val="20"/>
        </w:rPr>
        <w:t>In addition, in considerin</w:t>
      </w:r>
      <w:r>
        <w:rPr>
          <w:rFonts w:eastAsia="Times New Roman"/>
          <w:color w:val="000000"/>
          <w:sz w:val="20"/>
          <w:szCs w:val="20"/>
        </w:rPr>
        <w:t>g the forward-looking statements contained in this Quarterly Report on Form 10-Q and elsewhere, you should refer to the qualifications and limitations on our forward-looking statements that are described in Forward Looking Statements at the beginning of Pa</w:t>
      </w:r>
      <w:r>
        <w:rPr>
          <w:rFonts w:eastAsia="Times New Roman"/>
          <w:color w:val="000000"/>
          <w:sz w:val="20"/>
          <w:szCs w:val="20"/>
        </w:rPr>
        <w:t>rt I, Item 2 of this Quarterly Report on Form 10-Q.</w:t>
      </w:r>
    </w:p>
    <w:p w:rsidR="00000000" w:rsidRDefault="007C49E1">
      <w:pPr>
        <w:jc w:val="both"/>
        <w:divId w:val="1989048183"/>
        <w:rPr>
          <w:rFonts w:eastAsia="Times New Roman"/>
        </w:rPr>
      </w:pPr>
      <w:r>
        <w:rPr>
          <w:rFonts w:eastAsia="Times New Roman"/>
          <w:b/>
          <w:bCs/>
          <w:color w:val="000000"/>
          <w:sz w:val="20"/>
          <w:szCs w:val="20"/>
        </w:rPr>
        <w:t>ITEM 2.    </w:t>
      </w:r>
      <w:r>
        <w:rPr>
          <w:rFonts w:eastAsia="Times New Roman"/>
          <w:b/>
          <w:bCs/>
          <w:color w:val="000000"/>
          <w:sz w:val="20"/>
          <w:szCs w:val="20"/>
          <w:u w:val="single"/>
        </w:rPr>
        <w:t>Unregistered Sales of Equity Securities and Use of Proceeds</w:t>
      </w:r>
    </w:p>
    <w:p w:rsidR="00000000" w:rsidRDefault="007C49E1">
      <w:pPr>
        <w:jc w:val="both"/>
        <w:divId w:val="997226200"/>
        <w:rPr>
          <w:rFonts w:eastAsia="Times New Roman"/>
        </w:rPr>
      </w:pPr>
      <w:r>
        <w:rPr>
          <w:rFonts w:eastAsia="Times New Roman"/>
          <w:color w:val="000000"/>
          <w:sz w:val="20"/>
          <w:szCs w:val="20"/>
          <w:u w:val="single"/>
        </w:rPr>
        <w:t>Common Share Repurchases</w:t>
      </w:r>
    </w:p>
    <w:p w:rsidR="00000000" w:rsidRDefault="007C49E1">
      <w:pPr>
        <w:ind w:firstLine="720"/>
        <w:jc w:val="both"/>
        <w:divId w:val="1643387228"/>
        <w:rPr>
          <w:rFonts w:eastAsia="Times New Roman"/>
        </w:rPr>
      </w:pPr>
      <w:r>
        <w:rPr>
          <w:rFonts w:eastAsia="Times New Roman"/>
          <w:color w:val="000000"/>
          <w:sz w:val="20"/>
          <w:szCs w:val="20"/>
        </w:rPr>
        <w:t xml:space="preserve">Our Board has authorized management to repurchase up to 35,000,000 of our common shares on the open market or in privately negotiated transactions. From the inception of the repurchase program through May 3, 2022, we have repurchased a total of 23,721,916 </w:t>
      </w:r>
      <w:r>
        <w:rPr>
          <w:rFonts w:eastAsia="Times New Roman"/>
          <w:color w:val="000000"/>
          <w:sz w:val="20"/>
          <w:szCs w:val="20"/>
        </w:rPr>
        <w:t>common shares (all purchased prior to 2010) at an aggregate cost of approximately $679.1 million. Our common share repurchase program does not have an expiration date and there are 11,278,084 common shares that may yet be repurchased under our repurchase p</w:t>
      </w:r>
      <w:r>
        <w:rPr>
          <w:rFonts w:eastAsia="Times New Roman"/>
          <w:color w:val="000000"/>
          <w:sz w:val="20"/>
          <w:szCs w:val="20"/>
        </w:rPr>
        <w:t xml:space="preserve">rogram as of March 31, 2022. We have no current plans to repurchase shares; however, future levels of common share repurchases will be dependent upon our available capital, investment alternatives, and the trading price of our common shares. </w:t>
      </w:r>
    </w:p>
    <w:p w:rsidR="00000000" w:rsidRDefault="007C49E1">
      <w:pPr>
        <w:jc w:val="both"/>
        <w:divId w:val="1661693830"/>
        <w:rPr>
          <w:rFonts w:eastAsia="Times New Roman"/>
        </w:rPr>
      </w:pPr>
      <w:r>
        <w:rPr>
          <w:rFonts w:eastAsia="Times New Roman"/>
          <w:b/>
          <w:bCs/>
          <w:color w:val="000000"/>
          <w:sz w:val="20"/>
          <w:szCs w:val="20"/>
        </w:rPr>
        <w:t>ITEM 6.    </w:t>
      </w:r>
      <w:r>
        <w:rPr>
          <w:rFonts w:eastAsia="Times New Roman"/>
          <w:b/>
          <w:bCs/>
          <w:color w:val="000000"/>
          <w:sz w:val="20"/>
          <w:szCs w:val="20"/>
          <w:u w:val="single"/>
        </w:rPr>
        <w:t>Ex</w:t>
      </w:r>
      <w:r>
        <w:rPr>
          <w:rFonts w:eastAsia="Times New Roman"/>
          <w:b/>
          <w:bCs/>
          <w:color w:val="000000"/>
          <w:sz w:val="20"/>
          <w:szCs w:val="20"/>
          <w:u w:val="single"/>
        </w:rPr>
        <w:t>hibits</w:t>
      </w:r>
    </w:p>
    <w:p w:rsidR="00000000" w:rsidRDefault="007C49E1">
      <w:pPr>
        <w:ind w:firstLine="720"/>
        <w:jc w:val="both"/>
        <w:divId w:val="307714021"/>
        <w:rPr>
          <w:rFonts w:eastAsia="Times New Roman"/>
        </w:rPr>
      </w:pPr>
      <w:r>
        <w:rPr>
          <w:rFonts w:eastAsia="Times New Roman"/>
          <w:color w:val="000000"/>
          <w:sz w:val="20"/>
          <w:szCs w:val="20"/>
        </w:rPr>
        <w:t>Exhibits required by Item 601 of Regulation S-K are filed herewith or incorporated herein by reference and are listed in the attached Exhibit Index which is incorporated herein by reference.</w:t>
      </w:r>
    </w:p>
    <w:p w:rsidR="00000000" w:rsidRDefault="007C49E1">
      <w:pPr>
        <w:jc w:val="center"/>
        <w:divId w:val="157041600"/>
        <w:rPr>
          <w:rFonts w:eastAsia="Times New Roman"/>
        </w:rPr>
      </w:pPr>
      <w:r>
        <w:rPr>
          <w:rFonts w:eastAsia="Times New Roman"/>
          <w:color w:val="000000"/>
          <w:sz w:val="20"/>
          <w:szCs w:val="20"/>
        </w:rPr>
        <w:t>46</w:t>
      </w:r>
    </w:p>
    <w:p w:rsidR="00000000" w:rsidRDefault="007C49E1">
      <w:pPr>
        <w:rPr>
          <w:rFonts w:eastAsia="Times New Roman"/>
        </w:rPr>
      </w:pPr>
      <w:r>
        <w:rPr>
          <w:rFonts w:eastAsia="Times New Roman"/>
        </w:rPr>
        <w:pict>
          <v:rect id="_x0000_i1072" style="width:0;height:1.5pt" o:hralign="center" o:hrstd="t" o:hr="t" fillcolor="#a0a0a0" stroked="f"/>
        </w:pict>
      </w:r>
    </w:p>
    <w:p w:rsidR="00000000" w:rsidRDefault="007C49E1">
      <w:pPr>
        <w:divId w:val="1175917331"/>
        <w:rPr>
          <w:rFonts w:eastAsia="Times New Roman"/>
        </w:rPr>
      </w:pPr>
    </w:p>
    <w:p w:rsidR="00000000" w:rsidRDefault="007C49E1">
      <w:pPr>
        <w:jc w:val="center"/>
        <w:divId w:val="292834633"/>
        <w:rPr>
          <w:rFonts w:eastAsia="Times New Roman"/>
        </w:rPr>
      </w:pPr>
      <w:r>
        <w:rPr>
          <w:rFonts w:eastAsia="Times New Roman"/>
          <w:color w:val="000000"/>
          <w:sz w:val="20"/>
          <w:szCs w:val="20"/>
        </w:rPr>
        <w:t>PUBLIC STORAGE</w:t>
      </w:r>
    </w:p>
    <w:p w:rsidR="00000000" w:rsidRDefault="007C49E1">
      <w:pPr>
        <w:jc w:val="center"/>
        <w:divId w:val="331183328"/>
        <w:rPr>
          <w:rFonts w:eastAsia="Times New Roman"/>
        </w:rPr>
      </w:pPr>
      <w:r>
        <w:rPr>
          <w:rFonts w:eastAsia="Times New Roman"/>
          <w:color w:val="000000"/>
          <w:sz w:val="20"/>
          <w:szCs w:val="20"/>
        </w:rPr>
        <w:t>I</w:t>
      </w:r>
      <w:r>
        <w:rPr>
          <w:rFonts w:eastAsia="Times New Roman"/>
          <w:color w:val="000000"/>
          <w:sz w:val="20"/>
          <w:szCs w:val="20"/>
        </w:rPr>
        <w:t>NDEX TO EXHIBITS (1)</w:t>
      </w:r>
    </w:p>
    <w:p w:rsidR="00000000" w:rsidRDefault="007C49E1">
      <w:pPr>
        <w:jc w:val="center"/>
        <w:divId w:val="1349941067"/>
        <w:rPr>
          <w:rFonts w:eastAsia="Times New Roman"/>
        </w:rPr>
      </w:pPr>
      <w:r>
        <w:rPr>
          <w:rFonts w:eastAsia="Times New Roman"/>
          <w:color w:val="000000"/>
          <w:sz w:val="20"/>
          <w:szCs w:val="20"/>
        </w:rPr>
        <w:t>(Items 15(a)(3) and 15(c)</w:t>
      </w:r>
    </w:p>
    <w:tbl>
      <w:tblPr>
        <w:tblW w:w="5000" w:type="pct"/>
        <w:tblCellMar>
          <w:top w:w="15" w:type="dxa"/>
          <w:left w:w="15" w:type="dxa"/>
          <w:bottom w:w="15" w:type="dxa"/>
          <w:right w:w="15" w:type="dxa"/>
        </w:tblCellMar>
        <w:tblLook w:val="04A0" w:firstRow="1" w:lastRow="0" w:firstColumn="1" w:lastColumn="0" w:noHBand="0" w:noVBand="1"/>
      </w:tblPr>
      <w:tblGrid>
        <w:gridCol w:w="82"/>
        <w:gridCol w:w="740"/>
        <w:gridCol w:w="36"/>
        <w:gridCol w:w="53"/>
        <w:gridCol w:w="7359"/>
        <w:gridCol w:w="36"/>
      </w:tblGrid>
      <w:tr w:rsidR="00000000">
        <w:trPr>
          <w:divId w:val="205528003"/>
        </w:trPr>
        <w:tc>
          <w:tcPr>
            <w:tcW w:w="50" w:type="pct"/>
            <w:vAlign w:val="center"/>
            <w:hideMark/>
          </w:tcPr>
          <w:p w:rsidR="00000000" w:rsidRDefault="007C49E1">
            <w:pPr>
              <w:jc w:val="center"/>
              <w:rPr>
                <w:rFonts w:eastAsia="Times New Roman"/>
              </w:rPr>
            </w:pPr>
          </w:p>
        </w:tc>
        <w:tc>
          <w:tcPr>
            <w:tcW w:w="452"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4437"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205528003"/>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vAlign w:val="bottom"/>
            <w:hideMark/>
          </w:tcPr>
          <w:p w:rsidR="00000000" w:rsidRDefault="007C49E1">
            <w:pPr>
              <w:spacing w:after="100"/>
              <w:jc w:val="both"/>
              <w:rPr>
                <w:rFonts w:eastAsia="Times New Roman"/>
              </w:rPr>
            </w:pPr>
            <w:hyperlink r:id="rId4" w:history="1">
              <w:r>
                <w:rPr>
                  <w:rStyle w:val="a3"/>
                  <w:rFonts w:eastAsia="Times New Roman"/>
                  <w:sz w:val="20"/>
                  <w:szCs w:val="20"/>
                </w:rPr>
                <w:t>Articles Supplementary for Public Storage 4.100% Cumulative Preferred Shares, Series S. Filed as Exhibit 3.1 to the Company’s Current Report on Form 8-K dated January 4, 2022 and incorporated by reference herein.</w:t>
              </w:r>
            </w:hyperlink>
          </w:p>
        </w:tc>
      </w:tr>
      <w:tr w:rsidR="00000000">
        <w:trPr>
          <w:divId w:val="205528003"/>
          <w:trHeight w:val="180"/>
        </w:trPr>
        <w:tc>
          <w:tcPr>
            <w:tcW w:w="0" w:type="auto"/>
            <w:gridSpan w:val="3"/>
            <w:tcMar>
              <w:top w:w="0" w:type="dxa"/>
              <w:left w:w="20" w:type="dxa"/>
              <w:bottom w:w="0" w:type="dxa"/>
              <w:right w:w="20" w:type="dxa"/>
            </w:tcMar>
            <w:vAlign w:val="center"/>
            <w:hideMark/>
          </w:tcPr>
          <w:p w:rsidR="00000000" w:rsidRDefault="007C49E1">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205528003"/>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rsidR="00000000" w:rsidRDefault="007C49E1">
            <w:pPr>
              <w:spacing w:after="100"/>
              <w:divId w:val="570120792"/>
              <w:rPr>
                <w:rFonts w:eastAsia="Times New Roman"/>
              </w:rPr>
            </w:pPr>
            <w:hyperlink r:id="rId5" w:history="1">
              <w:r>
                <w:rPr>
                  <w:rStyle w:val="a3"/>
                  <w:rFonts w:eastAsia="Times New Roman"/>
                  <w:sz w:val="20"/>
                  <w:szCs w:val="20"/>
                </w:rPr>
                <w:t>Form of 2021 Plan Employee Stock Unit Agreement.</w:t>
              </w:r>
            </w:hyperlink>
            <w:hyperlink r:id="rId6" w:history="1">
              <w:r>
                <w:rPr>
                  <w:rStyle w:val="a3"/>
                  <w:rFonts w:eastAsia="Times New Roman"/>
                  <w:sz w:val="20"/>
                  <w:szCs w:val="20"/>
                </w:rPr>
                <w:t xml:space="preserve"> Filed herewith.</w:t>
              </w:r>
            </w:hyperlink>
          </w:p>
        </w:tc>
      </w:tr>
      <w:tr w:rsidR="00000000">
        <w:trPr>
          <w:divId w:val="205528003"/>
          <w:trHeight w:val="180"/>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205528003"/>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vAlign w:val="bottom"/>
            <w:hideMark/>
          </w:tcPr>
          <w:p w:rsidR="00000000" w:rsidRDefault="007C49E1">
            <w:pPr>
              <w:spacing w:after="100"/>
              <w:divId w:val="2131166900"/>
              <w:rPr>
                <w:rFonts w:eastAsia="Times New Roman"/>
              </w:rPr>
            </w:pPr>
            <w:hyperlink r:id="rId7" w:history="1">
              <w:r>
                <w:rPr>
                  <w:rStyle w:val="a3"/>
                  <w:rFonts w:eastAsia="Times New Roman"/>
                  <w:sz w:val="20"/>
                  <w:szCs w:val="20"/>
                </w:rPr>
                <w:t>Rule 13a – 14(a) Certification. Filed herew</w:t>
              </w:r>
              <w:r>
                <w:rPr>
                  <w:rStyle w:val="a3"/>
                  <w:rFonts w:eastAsia="Times New Roman"/>
                  <w:sz w:val="20"/>
                  <w:szCs w:val="20"/>
                </w:rPr>
                <w:t>ith.</w:t>
              </w:r>
            </w:hyperlink>
          </w:p>
        </w:tc>
      </w:tr>
      <w:tr w:rsidR="00000000">
        <w:trPr>
          <w:divId w:val="205528003"/>
          <w:trHeight w:val="180"/>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205528003"/>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vAlign w:val="bottom"/>
            <w:hideMark/>
          </w:tcPr>
          <w:p w:rsidR="00000000" w:rsidRDefault="007C49E1">
            <w:pPr>
              <w:spacing w:after="100"/>
              <w:divId w:val="710497092"/>
              <w:rPr>
                <w:rFonts w:eastAsia="Times New Roman"/>
              </w:rPr>
            </w:pPr>
            <w:hyperlink r:id="rId8" w:history="1">
              <w:r>
                <w:rPr>
                  <w:rStyle w:val="a3"/>
                  <w:rFonts w:eastAsia="Times New Roman"/>
                  <w:sz w:val="20"/>
                  <w:szCs w:val="20"/>
                </w:rPr>
                <w:t>Rule 13a – 14(a) Certification. Filed herewith.</w:t>
              </w:r>
            </w:hyperlink>
          </w:p>
        </w:tc>
      </w:tr>
      <w:tr w:rsidR="00000000">
        <w:trPr>
          <w:divId w:val="205528003"/>
          <w:trHeight w:val="180"/>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205528003"/>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vAlign w:val="bottom"/>
            <w:hideMark/>
          </w:tcPr>
          <w:p w:rsidR="00000000" w:rsidRDefault="007C49E1">
            <w:pPr>
              <w:spacing w:after="100"/>
              <w:divId w:val="14307579"/>
              <w:rPr>
                <w:rFonts w:eastAsia="Times New Roman"/>
              </w:rPr>
            </w:pPr>
            <w:hyperlink r:id="rId9" w:history="1">
              <w:r>
                <w:rPr>
                  <w:rStyle w:val="a3"/>
                  <w:rFonts w:eastAsia="Times New Roman"/>
                  <w:sz w:val="20"/>
                  <w:szCs w:val="20"/>
                </w:rPr>
                <w:t>Section 1350 Certifications. Filed herewith.</w:t>
              </w:r>
            </w:hyperlink>
            <w:r>
              <w:rPr>
                <w:rFonts w:eastAsia="Times New Roman"/>
                <w:color w:val="0000FF"/>
                <w:sz w:val="20"/>
                <w:szCs w:val="20"/>
              </w:rPr>
              <w:t xml:space="preserve"> </w:t>
            </w:r>
          </w:p>
        </w:tc>
      </w:tr>
      <w:tr w:rsidR="00000000">
        <w:trPr>
          <w:divId w:val="205528003"/>
          <w:trHeight w:val="180"/>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205528003"/>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101 .INS</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Inline XBRL Instance Document (the instance document does not appear in the Interactive Data File because its XBRL tags are embedded within the Inline XBRL document)</w:t>
            </w:r>
          </w:p>
        </w:tc>
      </w:tr>
      <w:tr w:rsidR="00000000">
        <w:trPr>
          <w:divId w:val="205528003"/>
          <w:trHeight w:val="180"/>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205528003"/>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101 .SCH</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Inline XBRL Taxonomy Extension Schema. Filed herewith.</w:t>
            </w:r>
          </w:p>
        </w:tc>
      </w:tr>
      <w:tr w:rsidR="00000000">
        <w:trPr>
          <w:divId w:val="205528003"/>
          <w:trHeight w:val="180"/>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205528003"/>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101 .CAL</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 xml:space="preserve">Inline XBRL Taxonomy Extension Calculation Linkbase. Filed herewith. </w:t>
            </w:r>
          </w:p>
        </w:tc>
      </w:tr>
      <w:tr w:rsidR="00000000">
        <w:trPr>
          <w:divId w:val="205528003"/>
          <w:trHeight w:val="180"/>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205528003"/>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101 .DEF</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Inline XBRL Taxonomy Extension Definition Linkbase. Filed herewith.</w:t>
            </w:r>
          </w:p>
        </w:tc>
      </w:tr>
      <w:tr w:rsidR="00000000">
        <w:trPr>
          <w:divId w:val="205528003"/>
          <w:trHeight w:val="180"/>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205528003"/>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101 .LAB</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Inline XBRL Taxonomy Extension Label Linkbase. Filed herewith.</w:t>
            </w:r>
          </w:p>
        </w:tc>
      </w:tr>
      <w:tr w:rsidR="00000000">
        <w:trPr>
          <w:divId w:val="205528003"/>
          <w:trHeight w:val="180"/>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205528003"/>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101 .PRE</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Inline XBRL Taxonomy Extension Presentation Link. Filed herewith.</w:t>
            </w:r>
          </w:p>
        </w:tc>
      </w:tr>
      <w:tr w:rsidR="00000000">
        <w:trPr>
          <w:divId w:val="205528003"/>
          <w:trHeight w:val="180"/>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205528003"/>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Cover Page Interactive Data File (formatted as inline XBRL and contained in Exhibit 101)</w:t>
            </w:r>
          </w:p>
        </w:tc>
      </w:tr>
      <w:tr w:rsidR="00000000">
        <w:trPr>
          <w:divId w:val="205528003"/>
          <w:trHeight w:val="180"/>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205528003"/>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_ (1) SEC</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rPr>
              <w:t>File No. 001-33519 unless otherwise indicated.</w:t>
            </w:r>
          </w:p>
        </w:tc>
      </w:tr>
      <w:tr w:rsidR="00000000">
        <w:trPr>
          <w:divId w:val="205528003"/>
          <w:trHeight w:val="180"/>
        </w:trPr>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sz w:val="20"/>
                <w:szCs w:val="20"/>
              </w:rPr>
            </w:pPr>
          </w:p>
        </w:tc>
      </w:tr>
      <w:tr w:rsidR="00000000">
        <w:trPr>
          <w:divId w:val="205528003"/>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C49E1">
            <w:pPr>
              <w:spacing w:after="100"/>
              <w:divId w:val="1220094349"/>
              <w:rPr>
                <w:rFonts w:eastAsia="Times New Roman"/>
              </w:rPr>
            </w:pPr>
            <w:r>
              <w:rPr>
                <w:rFonts w:eastAsia="Times New Roman"/>
                <w:color w:val="000000"/>
                <w:sz w:val="20"/>
                <w:szCs w:val="20"/>
              </w:rPr>
              <w:t>Denotes management compensatory plan or arrangement.</w:t>
            </w:r>
          </w:p>
        </w:tc>
      </w:tr>
    </w:tbl>
    <w:p w:rsidR="00000000" w:rsidRDefault="007C49E1">
      <w:pPr>
        <w:jc w:val="center"/>
        <w:divId w:val="440103377"/>
        <w:rPr>
          <w:rFonts w:eastAsia="Times New Roman"/>
        </w:rPr>
      </w:pPr>
      <w:r>
        <w:rPr>
          <w:rFonts w:eastAsia="Times New Roman"/>
          <w:color w:val="000000"/>
          <w:sz w:val="20"/>
          <w:szCs w:val="20"/>
        </w:rPr>
        <w:t>47</w:t>
      </w:r>
    </w:p>
    <w:p w:rsidR="00000000" w:rsidRDefault="007C49E1">
      <w:pPr>
        <w:rPr>
          <w:rFonts w:eastAsia="Times New Roman"/>
        </w:rPr>
      </w:pPr>
      <w:r>
        <w:rPr>
          <w:rFonts w:eastAsia="Times New Roman"/>
        </w:rPr>
        <w:pict>
          <v:rect id="_x0000_i1073" style="width:0;height:1.5pt" o:hralign="center" o:hrstd="t" o:hr="t" fillcolor="#a0a0a0" stroked="f"/>
        </w:pict>
      </w:r>
    </w:p>
    <w:p w:rsidR="00000000" w:rsidRDefault="007C49E1">
      <w:pPr>
        <w:divId w:val="1518542511"/>
        <w:rPr>
          <w:rFonts w:eastAsia="Times New Roman"/>
        </w:rPr>
      </w:pPr>
    </w:p>
    <w:p w:rsidR="00000000" w:rsidRDefault="007C49E1">
      <w:pPr>
        <w:jc w:val="center"/>
        <w:rPr>
          <w:rFonts w:eastAsia="Times New Roman"/>
        </w:rPr>
      </w:pPr>
      <w:r>
        <w:rPr>
          <w:rFonts w:eastAsia="Times New Roman"/>
          <w:b/>
          <w:bCs/>
          <w:color w:val="000000"/>
          <w:sz w:val="20"/>
          <w:szCs w:val="20"/>
          <w:u w:val="single"/>
        </w:rPr>
        <w:t>SIGNATURES</w:t>
      </w:r>
    </w:p>
    <w:p w:rsidR="00000000" w:rsidRDefault="007C49E1">
      <w:pPr>
        <w:ind w:firstLine="720"/>
        <w:jc w:val="both"/>
        <w:divId w:val="424107528"/>
        <w:rPr>
          <w:rFonts w:eastAsia="Times New Roman"/>
        </w:rPr>
      </w:pPr>
      <w:r>
        <w:rPr>
          <w:rFonts w:eastAsia="Times New Roman"/>
          <w:color w:val="000000"/>
          <w:sz w:val="20"/>
          <w:szCs w:val="20"/>
        </w:rPr>
        <w:t>Pursuant to the requirement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8"/>
        <w:gridCol w:w="3998"/>
        <w:gridCol w:w="36"/>
        <w:gridCol w:w="71"/>
        <w:gridCol w:w="281"/>
        <w:gridCol w:w="37"/>
        <w:gridCol w:w="69"/>
        <w:gridCol w:w="3709"/>
        <w:gridCol w:w="37"/>
      </w:tblGrid>
      <w:tr w:rsidR="00000000">
        <w:trPr>
          <w:divId w:val="62922560"/>
        </w:trPr>
        <w:tc>
          <w:tcPr>
            <w:tcW w:w="50" w:type="pct"/>
            <w:vAlign w:val="center"/>
            <w:hideMark/>
          </w:tcPr>
          <w:p w:rsidR="00000000" w:rsidRDefault="007C49E1">
            <w:pPr>
              <w:ind w:firstLine="720"/>
              <w:jc w:val="both"/>
              <w:rPr>
                <w:rFonts w:eastAsia="Times New Roman"/>
              </w:rPr>
            </w:pPr>
          </w:p>
        </w:tc>
        <w:tc>
          <w:tcPr>
            <w:tcW w:w="2414"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179"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c>
          <w:tcPr>
            <w:tcW w:w="50" w:type="pct"/>
            <w:vAlign w:val="center"/>
            <w:hideMark/>
          </w:tcPr>
          <w:p w:rsidR="00000000" w:rsidRDefault="007C49E1">
            <w:pPr>
              <w:spacing w:after="100"/>
              <w:rPr>
                <w:rFonts w:eastAsia="Times New Roman"/>
                <w:sz w:val="20"/>
                <w:szCs w:val="20"/>
              </w:rPr>
            </w:pPr>
          </w:p>
        </w:tc>
        <w:tc>
          <w:tcPr>
            <w:tcW w:w="2240" w:type="pct"/>
            <w:vAlign w:val="center"/>
            <w:hideMark/>
          </w:tcPr>
          <w:p w:rsidR="00000000" w:rsidRDefault="007C49E1">
            <w:pPr>
              <w:spacing w:after="100"/>
              <w:rPr>
                <w:rFonts w:eastAsia="Times New Roman"/>
                <w:sz w:val="20"/>
                <w:szCs w:val="20"/>
              </w:rPr>
            </w:pPr>
          </w:p>
        </w:tc>
        <w:tc>
          <w:tcPr>
            <w:tcW w:w="5" w:type="pct"/>
            <w:vAlign w:val="center"/>
            <w:hideMark/>
          </w:tcPr>
          <w:p w:rsidR="00000000" w:rsidRDefault="007C49E1">
            <w:pPr>
              <w:spacing w:after="100"/>
              <w:rPr>
                <w:rFonts w:eastAsia="Times New Roman"/>
                <w:sz w:val="20"/>
                <w:szCs w:val="20"/>
              </w:rPr>
            </w:pPr>
          </w:p>
        </w:tc>
      </w:tr>
      <w:tr w:rsidR="00000000">
        <w:trPr>
          <w:divId w:val="62922560"/>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hideMark/>
          </w:tcPr>
          <w:p w:rsidR="00000000" w:rsidRDefault="007C49E1">
            <w:pPr>
              <w:spacing w:after="100"/>
              <w:ind w:hanging="630"/>
              <w:divId w:val="2076275753"/>
              <w:rPr>
                <w:rFonts w:eastAsia="Times New Roman"/>
              </w:rPr>
            </w:pPr>
            <w:r>
              <w:rPr>
                <w:rFonts w:eastAsia="Times New Roman"/>
                <w:color w:val="000000"/>
                <w:sz w:val="20"/>
                <w:szCs w:val="20"/>
              </w:rPr>
              <w:t>DATED: Ma</w:t>
            </w:r>
            <w:r>
              <w:rPr>
                <w:rFonts w:eastAsia="Times New Roman"/>
                <w:color w:val="000000"/>
                <w:sz w:val="20"/>
                <w:szCs w:val="20"/>
              </w:rPr>
              <w:t>y 3, 2022</w:t>
            </w:r>
          </w:p>
        </w:tc>
      </w:tr>
      <w:tr w:rsidR="00000000">
        <w:trPr>
          <w:divId w:val="62922560"/>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hideMark/>
          </w:tcPr>
          <w:p w:rsidR="00000000" w:rsidRDefault="007C49E1">
            <w:pPr>
              <w:spacing w:after="100"/>
              <w:rPr>
                <w:rFonts w:eastAsia="Times New Roman"/>
              </w:rPr>
            </w:pPr>
            <w:r>
              <w:rPr>
                <w:rFonts w:eastAsia="Times New Roman"/>
                <w:b/>
                <w:bCs/>
                <w:color w:val="000000"/>
                <w:sz w:val="20"/>
                <w:szCs w:val="20"/>
              </w:rPr>
              <w:t>PUBLIC STORAGE</w:t>
            </w:r>
          </w:p>
        </w:tc>
      </w:tr>
      <w:tr w:rsidR="00000000">
        <w:trPr>
          <w:divId w:val="62922560"/>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ascii="Calibri" w:eastAsia="Times New Roman" w:hAnsi="Calibri" w:cs="Calibri"/>
                <w:color w:val="000000"/>
                <w:sz w:val="22"/>
                <w:szCs w:val="22"/>
              </w:rPr>
              <w:t> </w:t>
            </w:r>
          </w:p>
        </w:tc>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 xml:space="preserve">By: </w:t>
            </w:r>
          </w:p>
        </w:tc>
        <w:tc>
          <w:tcPr>
            <w:tcW w:w="0" w:type="auto"/>
            <w:gridSpan w:val="3"/>
            <w:tcMar>
              <w:top w:w="30" w:type="dxa"/>
              <w:left w:w="20" w:type="dxa"/>
              <w:bottom w:w="30" w:type="dxa"/>
              <w:right w:w="20" w:type="dxa"/>
            </w:tcMar>
            <w:vAlign w:val="bottom"/>
            <w:hideMark/>
          </w:tcPr>
          <w:p w:rsidR="00000000" w:rsidRDefault="007C49E1">
            <w:pPr>
              <w:spacing w:after="100"/>
              <w:rPr>
                <w:rFonts w:eastAsia="Times New Roman"/>
              </w:rPr>
            </w:pPr>
            <w:r>
              <w:rPr>
                <w:rFonts w:eastAsia="Times New Roman"/>
                <w:color w:val="000000"/>
                <w:sz w:val="20"/>
                <w:szCs w:val="20"/>
                <w:u w:val="single"/>
              </w:rPr>
              <w:t xml:space="preserve">/s/ H. Thomas Boyle </w:t>
            </w:r>
          </w:p>
        </w:tc>
      </w:tr>
      <w:tr w:rsidR="00000000">
        <w:trPr>
          <w:divId w:val="62922560"/>
        </w:trPr>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7C49E1">
            <w:pPr>
              <w:spacing w:after="100"/>
              <w:rPr>
                <w:rFonts w:eastAsia="Times New Roman"/>
              </w:rPr>
            </w:pPr>
          </w:p>
        </w:tc>
        <w:tc>
          <w:tcPr>
            <w:tcW w:w="0" w:type="auto"/>
            <w:gridSpan w:val="3"/>
            <w:tcMar>
              <w:top w:w="30" w:type="dxa"/>
              <w:left w:w="20" w:type="dxa"/>
              <w:bottom w:w="30" w:type="dxa"/>
              <w:right w:w="20" w:type="dxa"/>
            </w:tcMar>
            <w:hideMark/>
          </w:tcPr>
          <w:p w:rsidR="00000000" w:rsidRDefault="007C49E1">
            <w:pPr>
              <w:spacing w:after="100"/>
              <w:rPr>
                <w:rFonts w:eastAsia="Times New Roman"/>
              </w:rPr>
            </w:pPr>
            <w:r>
              <w:rPr>
                <w:rFonts w:eastAsia="Times New Roman"/>
                <w:color w:val="000000"/>
                <w:sz w:val="20"/>
                <w:szCs w:val="20"/>
              </w:rPr>
              <w:t>H. Thomas Boyle</w:t>
            </w:r>
            <w:r>
              <w:rPr>
                <w:rFonts w:eastAsia="Times New Roman"/>
                <w:color w:val="000000"/>
                <w:sz w:val="20"/>
                <w:szCs w:val="20"/>
              </w:rPr>
              <w:br/>
              <w:t>Chief Financial Officer</w:t>
            </w:r>
            <w:r>
              <w:rPr>
                <w:rFonts w:eastAsia="Times New Roman"/>
                <w:color w:val="000000"/>
                <w:sz w:val="20"/>
                <w:szCs w:val="20"/>
              </w:rPr>
              <w:br/>
              <w:t>(principal financial officer)</w:t>
            </w:r>
          </w:p>
        </w:tc>
      </w:tr>
    </w:tbl>
    <w:p w:rsidR="00000000" w:rsidRDefault="007C49E1">
      <w:pPr>
        <w:divId w:val="1780636990"/>
        <w:rPr>
          <w:rFonts w:eastAsia="Times New Roman"/>
        </w:rPr>
      </w:pPr>
    </w:p>
    <w:p w:rsidR="007C49E1" w:rsidRDefault="007C49E1">
      <w:pPr>
        <w:jc w:val="center"/>
        <w:divId w:val="662975622"/>
        <w:rPr>
          <w:rFonts w:eastAsia="Times New Roman"/>
        </w:rPr>
      </w:pPr>
      <w:r>
        <w:rPr>
          <w:rFonts w:eastAsia="Times New Roman"/>
          <w:color w:val="000000"/>
          <w:sz w:val="20"/>
          <w:szCs w:val="20"/>
        </w:rPr>
        <w:t>48</w:t>
      </w:r>
    </w:p>
    <w:sectPr w:rsidR="007C49E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C49E1"/>
    <w:rsid w:val="007C49E1"/>
  </w:rsids>
  <m:mathPr>
    <m:mathFont m:val="Cambria Math"/>
    <m:brkBin m:val="before"/>
    <m:brkBinSub m:val="--"/>
    <m:smallFrac m:val="0"/>
    <m:dispDef/>
    <m:lMargin m:val="0"/>
    <m:rMargin m:val="0"/>
    <m:defJc m:val="centerGroup"/>
    <m:wrapIndent m:val="1440"/>
    <m:intLim m:val="subSup"/>
    <m:naryLim m:val="undOvr"/>
  </m:mathPr>
  <w:attachedSchema w:val="http://xbrl.sec.gov/dei/2021q4"/>
  <w:attachedSchema w:val="http://www.xbrl.org/2003/iso4217"/>
  <w:attachedSchema w:val="http://www.w3.org/1999/xlink"/>
  <w:attachedSchema w:val="http://www.sec.gov/inlineXBRL/transformation/2015-08-31"/>
  <w:attachedSchema w:val="http://www.xbrl.org/2013/inlineXBRL"/>
  <w:attachedSchema w:val="http://www.xbrl.org/2009/utr"/>
  <w:attachedSchema w:val="http://www.publicstorage.com/20220331"/>
  <w:attachedSchema w:val="http://fasb.org/us-gaap/2021-01-31"/>
  <w:attachedSchema w:val="http://xbrl.sec.gov/country/2021"/>
  <w:attachedSchema w:val="http://xbrl.org/2006/xbrldi"/>
  <w:attachedSchema w:val="http://www.xbrl.org/inlineXBRL/transformation/2020-02-12"/>
  <w:attachedSchema w:val="http://www.xbrl.org/2003/instance"/>
  <w:attachedSchema w:val="http://www.xbrl.org/2003/linkbase"/>
  <w:attachedSchema w:val="http://fasb.org/srt/2021-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705">
      <w:marLeft w:val="0"/>
      <w:marRight w:val="0"/>
      <w:marTop w:val="0"/>
      <w:marBottom w:val="0"/>
      <w:divBdr>
        <w:top w:val="none" w:sz="0" w:space="0" w:color="auto"/>
        <w:left w:val="none" w:sz="0" w:space="0" w:color="auto"/>
        <w:bottom w:val="none" w:sz="0" w:space="0" w:color="auto"/>
        <w:right w:val="none" w:sz="0" w:space="0" w:color="auto"/>
      </w:divBdr>
    </w:div>
    <w:div w:id="5527457">
      <w:marLeft w:val="0"/>
      <w:marRight w:val="0"/>
      <w:marTop w:val="240"/>
      <w:marBottom w:val="240"/>
      <w:divBdr>
        <w:top w:val="none" w:sz="0" w:space="0" w:color="auto"/>
        <w:left w:val="none" w:sz="0" w:space="0" w:color="auto"/>
        <w:bottom w:val="none" w:sz="0" w:space="0" w:color="auto"/>
        <w:right w:val="none" w:sz="0" w:space="0" w:color="auto"/>
      </w:divBdr>
    </w:div>
    <w:div w:id="10495145">
      <w:marLeft w:val="0"/>
      <w:marRight w:val="0"/>
      <w:marTop w:val="0"/>
      <w:marBottom w:val="0"/>
      <w:divBdr>
        <w:top w:val="none" w:sz="0" w:space="0" w:color="auto"/>
        <w:left w:val="none" w:sz="0" w:space="0" w:color="auto"/>
        <w:bottom w:val="none" w:sz="0" w:space="0" w:color="auto"/>
        <w:right w:val="none" w:sz="0" w:space="0" w:color="auto"/>
      </w:divBdr>
    </w:div>
    <w:div w:id="11959775">
      <w:marLeft w:val="0"/>
      <w:marRight w:val="0"/>
      <w:marTop w:val="0"/>
      <w:marBottom w:val="0"/>
      <w:divBdr>
        <w:top w:val="none" w:sz="0" w:space="0" w:color="auto"/>
        <w:left w:val="none" w:sz="0" w:space="0" w:color="auto"/>
        <w:bottom w:val="none" w:sz="0" w:space="0" w:color="auto"/>
        <w:right w:val="none" w:sz="0" w:space="0" w:color="auto"/>
      </w:divBdr>
    </w:div>
    <w:div w:id="21905312">
      <w:marLeft w:val="0"/>
      <w:marRight w:val="0"/>
      <w:marTop w:val="0"/>
      <w:marBottom w:val="240"/>
      <w:divBdr>
        <w:top w:val="none" w:sz="0" w:space="0" w:color="auto"/>
        <w:left w:val="none" w:sz="0" w:space="0" w:color="auto"/>
        <w:bottom w:val="none" w:sz="0" w:space="0" w:color="auto"/>
        <w:right w:val="none" w:sz="0" w:space="0" w:color="auto"/>
      </w:divBdr>
    </w:div>
    <w:div w:id="22171407">
      <w:marLeft w:val="0"/>
      <w:marRight w:val="0"/>
      <w:marTop w:val="0"/>
      <w:marBottom w:val="240"/>
      <w:divBdr>
        <w:top w:val="none" w:sz="0" w:space="0" w:color="auto"/>
        <w:left w:val="none" w:sz="0" w:space="0" w:color="auto"/>
        <w:bottom w:val="none" w:sz="0" w:space="0" w:color="auto"/>
        <w:right w:val="none" w:sz="0" w:space="0" w:color="auto"/>
      </w:divBdr>
    </w:div>
    <w:div w:id="22295488">
      <w:marLeft w:val="0"/>
      <w:marRight w:val="0"/>
      <w:marTop w:val="0"/>
      <w:marBottom w:val="240"/>
      <w:divBdr>
        <w:top w:val="none" w:sz="0" w:space="0" w:color="auto"/>
        <w:left w:val="none" w:sz="0" w:space="0" w:color="auto"/>
        <w:bottom w:val="none" w:sz="0" w:space="0" w:color="auto"/>
        <w:right w:val="none" w:sz="0" w:space="0" w:color="auto"/>
      </w:divBdr>
    </w:div>
    <w:div w:id="24717498">
      <w:marLeft w:val="0"/>
      <w:marRight w:val="0"/>
      <w:marTop w:val="0"/>
      <w:marBottom w:val="120"/>
      <w:divBdr>
        <w:top w:val="none" w:sz="0" w:space="0" w:color="auto"/>
        <w:left w:val="none" w:sz="0" w:space="0" w:color="auto"/>
        <w:bottom w:val="none" w:sz="0" w:space="0" w:color="auto"/>
        <w:right w:val="none" w:sz="0" w:space="0" w:color="auto"/>
      </w:divBdr>
    </w:div>
    <w:div w:id="33315526">
      <w:marLeft w:val="0"/>
      <w:marRight w:val="0"/>
      <w:marTop w:val="0"/>
      <w:marBottom w:val="240"/>
      <w:divBdr>
        <w:top w:val="none" w:sz="0" w:space="0" w:color="auto"/>
        <w:left w:val="none" w:sz="0" w:space="0" w:color="auto"/>
        <w:bottom w:val="none" w:sz="0" w:space="0" w:color="auto"/>
        <w:right w:val="none" w:sz="0" w:space="0" w:color="auto"/>
      </w:divBdr>
    </w:div>
    <w:div w:id="46496135">
      <w:marLeft w:val="0"/>
      <w:marRight w:val="0"/>
      <w:marTop w:val="0"/>
      <w:marBottom w:val="240"/>
      <w:divBdr>
        <w:top w:val="none" w:sz="0" w:space="0" w:color="auto"/>
        <w:left w:val="none" w:sz="0" w:space="0" w:color="auto"/>
        <w:bottom w:val="none" w:sz="0" w:space="0" w:color="auto"/>
        <w:right w:val="none" w:sz="0" w:space="0" w:color="auto"/>
      </w:divBdr>
    </w:div>
    <w:div w:id="52238978">
      <w:marLeft w:val="0"/>
      <w:marRight w:val="0"/>
      <w:marTop w:val="0"/>
      <w:marBottom w:val="0"/>
      <w:divBdr>
        <w:top w:val="none" w:sz="0" w:space="0" w:color="auto"/>
        <w:left w:val="none" w:sz="0" w:space="0" w:color="auto"/>
        <w:bottom w:val="none" w:sz="0" w:space="0" w:color="auto"/>
        <w:right w:val="none" w:sz="0" w:space="0" w:color="auto"/>
      </w:divBdr>
      <w:divsChild>
        <w:div w:id="1614559633">
          <w:marLeft w:val="0"/>
          <w:marRight w:val="0"/>
          <w:marTop w:val="0"/>
          <w:marBottom w:val="0"/>
          <w:divBdr>
            <w:top w:val="none" w:sz="0" w:space="0" w:color="auto"/>
            <w:left w:val="none" w:sz="0" w:space="0" w:color="auto"/>
            <w:bottom w:val="none" w:sz="0" w:space="0" w:color="auto"/>
            <w:right w:val="none" w:sz="0" w:space="0" w:color="auto"/>
          </w:divBdr>
        </w:div>
      </w:divsChild>
    </w:div>
    <w:div w:id="62922560">
      <w:marLeft w:val="0"/>
      <w:marRight w:val="0"/>
      <w:marTop w:val="0"/>
      <w:marBottom w:val="0"/>
      <w:divBdr>
        <w:top w:val="none" w:sz="0" w:space="0" w:color="auto"/>
        <w:left w:val="none" w:sz="0" w:space="0" w:color="auto"/>
        <w:bottom w:val="none" w:sz="0" w:space="0" w:color="auto"/>
        <w:right w:val="none" w:sz="0" w:space="0" w:color="auto"/>
      </w:divBdr>
      <w:divsChild>
        <w:div w:id="2076275753">
          <w:marLeft w:val="0"/>
          <w:marRight w:val="0"/>
          <w:marTop w:val="0"/>
          <w:marBottom w:val="0"/>
          <w:divBdr>
            <w:top w:val="none" w:sz="0" w:space="0" w:color="auto"/>
            <w:left w:val="none" w:sz="0" w:space="0" w:color="auto"/>
            <w:bottom w:val="none" w:sz="0" w:space="0" w:color="auto"/>
            <w:right w:val="none" w:sz="0" w:space="0" w:color="auto"/>
          </w:divBdr>
        </w:div>
      </w:divsChild>
    </w:div>
    <w:div w:id="77798880">
      <w:marLeft w:val="0"/>
      <w:marRight w:val="0"/>
      <w:marTop w:val="0"/>
      <w:marBottom w:val="240"/>
      <w:divBdr>
        <w:top w:val="none" w:sz="0" w:space="0" w:color="auto"/>
        <w:left w:val="none" w:sz="0" w:space="0" w:color="auto"/>
        <w:bottom w:val="none" w:sz="0" w:space="0" w:color="auto"/>
        <w:right w:val="none" w:sz="0" w:space="0" w:color="auto"/>
      </w:divBdr>
    </w:div>
    <w:div w:id="85468323">
      <w:marLeft w:val="0"/>
      <w:marRight w:val="0"/>
      <w:marTop w:val="240"/>
      <w:marBottom w:val="240"/>
      <w:divBdr>
        <w:top w:val="none" w:sz="0" w:space="0" w:color="auto"/>
        <w:left w:val="none" w:sz="0" w:space="0" w:color="auto"/>
        <w:bottom w:val="none" w:sz="0" w:space="0" w:color="auto"/>
        <w:right w:val="none" w:sz="0" w:space="0" w:color="auto"/>
      </w:divBdr>
    </w:div>
    <w:div w:id="95948546">
      <w:marLeft w:val="0"/>
      <w:marRight w:val="0"/>
      <w:marTop w:val="0"/>
      <w:marBottom w:val="240"/>
      <w:divBdr>
        <w:top w:val="none" w:sz="0" w:space="0" w:color="auto"/>
        <w:left w:val="none" w:sz="0" w:space="0" w:color="auto"/>
        <w:bottom w:val="none" w:sz="0" w:space="0" w:color="auto"/>
        <w:right w:val="none" w:sz="0" w:space="0" w:color="auto"/>
      </w:divBdr>
    </w:div>
    <w:div w:id="97869748">
      <w:marLeft w:val="0"/>
      <w:marRight w:val="0"/>
      <w:marTop w:val="0"/>
      <w:marBottom w:val="240"/>
      <w:divBdr>
        <w:top w:val="none" w:sz="0" w:space="0" w:color="auto"/>
        <w:left w:val="none" w:sz="0" w:space="0" w:color="auto"/>
        <w:bottom w:val="none" w:sz="0" w:space="0" w:color="auto"/>
        <w:right w:val="none" w:sz="0" w:space="0" w:color="auto"/>
      </w:divBdr>
    </w:div>
    <w:div w:id="98648078">
      <w:marLeft w:val="0"/>
      <w:marRight w:val="0"/>
      <w:marTop w:val="240"/>
      <w:marBottom w:val="240"/>
      <w:divBdr>
        <w:top w:val="none" w:sz="0" w:space="0" w:color="auto"/>
        <w:left w:val="none" w:sz="0" w:space="0" w:color="auto"/>
        <w:bottom w:val="none" w:sz="0" w:space="0" w:color="auto"/>
        <w:right w:val="none" w:sz="0" w:space="0" w:color="auto"/>
      </w:divBdr>
    </w:div>
    <w:div w:id="111871598">
      <w:marLeft w:val="0"/>
      <w:marRight w:val="0"/>
      <w:marTop w:val="0"/>
      <w:marBottom w:val="0"/>
      <w:divBdr>
        <w:top w:val="none" w:sz="0" w:space="0" w:color="auto"/>
        <w:left w:val="none" w:sz="0" w:space="0" w:color="auto"/>
        <w:bottom w:val="none" w:sz="0" w:space="0" w:color="auto"/>
        <w:right w:val="none" w:sz="0" w:space="0" w:color="auto"/>
      </w:divBdr>
    </w:div>
    <w:div w:id="119811271">
      <w:marLeft w:val="0"/>
      <w:marRight w:val="0"/>
      <w:marTop w:val="0"/>
      <w:marBottom w:val="120"/>
      <w:divBdr>
        <w:top w:val="none" w:sz="0" w:space="0" w:color="auto"/>
        <w:left w:val="none" w:sz="0" w:space="0" w:color="auto"/>
        <w:bottom w:val="none" w:sz="0" w:space="0" w:color="auto"/>
        <w:right w:val="none" w:sz="0" w:space="0" w:color="auto"/>
      </w:divBdr>
    </w:div>
    <w:div w:id="121386848">
      <w:marLeft w:val="0"/>
      <w:marRight w:val="0"/>
      <w:marTop w:val="0"/>
      <w:marBottom w:val="240"/>
      <w:divBdr>
        <w:top w:val="none" w:sz="0" w:space="0" w:color="auto"/>
        <w:left w:val="none" w:sz="0" w:space="0" w:color="auto"/>
        <w:bottom w:val="none" w:sz="0" w:space="0" w:color="auto"/>
        <w:right w:val="none" w:sz="0" w:space="0" w:color="auto"/>
      </w:divBdr>
    </w:div>
    <w:div w:id="122500943">
      <w:marLeft w:val="0"/>
      <w:marRight w:val="0"/>
      <w:marTop w:val="0"/>
      <w:marBottom w:val="120"/>
      <w:divBdr>
        <w:top w:val="none" w:sz="0" w:space="0" w:color="auto"/>
        <w:left w:val="none" w:sz="0" w:space="0" w:color="auto"/>
        <w:bottom w:val="none" w:sz="0" w:space="0" w:color="auto"/>
        <w:right w:val="none" w:sz="0" w:space="0" w:color="auto"/>
      </w:divBdr>
    </w:div>
    <w:div w:id="124277556">
      <w:marLeft w:val="0"/>
      <w:marRight w:val="0"/>
      <w:marTop w:val="0"/>
      <w:marBottom w:val="240"/>
      <w:divBdr>
        <w:top w:val="none" w:sz="0" w:space="0" w:color="auto"/>
        <w:left w:val="none" w:sz="0" w:space="0" w:color="auto"/>
        <w:bottom w:val="none" w:sz="0" w:space="0" w:color="auto"/>
        <w:right w:val="none" w:sz="0" w:space="0" w:color="auto"/>
      </w:divBdr>
    </w:div>
    <w:div w:id="125049077">
      <w:marLeft w:val="0"/>
      <w:marRight w:val="0"/>
      <w:marTop w:val="0"/>
      <w:marBottom w:val="0"/>
      <w:divBdr>
        <w:top w:val="none" w:sz="0" w:space="0" w:color="auto"/>
        <w:left w:val="none" w:sz="0" w:space="0" w:color="auto"/>
        <w:bottom w:val="none" w:sz="0" w:space="0" w:color="auto"/>
        <w:right w:val="none" w:sz="0" w:space="0" w:color="auto"/>
      </w:divBdr>
    </w:div>
    <w:div w:id="125586185">
      <w:marLeft w:val="0"/>
      <w:marRight w:val="0"/>
      <w:marTop w:val="0"/>
      <w:marBottom w:val="0"/>
      <w:divBdr>
        <w:top w:val="none" w:sz="0" w:space="0" w:color="auto"/>
        <w:left w:val="none" w:sz="0" w:space="0" w:color="auto"/>
        <w:bottom w:val="none" w:sz="0" w:space="0" w:color="auto"/>
        <w:right w:val="none" w:sz="0" w:space="0" w:color="auto"/>
      </w:divBdr>
    </w:div>
    <w:div w:id="130637951">
      <w:marLeft w:val="0"/>
      <w:marRight w:val="0"/>
      <w:marTop w:val="0"/>
      <w:marBottom w:val="240"/>
      <w:divBdr>
        <w:top w:val="none" w:sz="0" w:space="0" w:color="auto"/>
        <w:left w:val="none" w:sz="0" w:space="0" w:color="auto"/>
        <w:bottom w:val="none" w:sz="0" w:space="0" w:color="auto"/>
        <w:right w:val="none" w:sz="0" w:space="0" w:color="auto"/>
      </w:divBdr>
    </w:div>
    <w:div w:id="148132183">
      <w:marLeft w:val="0"/>
      <w:marRight w:val="0"/>
      <w:marTop w:val="0"/>
      <w:marBottom w:val="240"/>
      <w:divBdr>
        <w:top w:val="none" w:sz="0" w:space="0" w:color="auto"/>
        <w:left w:val="none" w:sz="0" w:space="0" w:color="auto"/>
        <w:bottom w:val="none" w:sz="0" w:space="0" w:color="auto"/>
        <w:right w:val="none" w:sz="0" w:space="0" w:color="auto"/>
      </w:divBdr>
    </w:div>
    <w:div w:id="149369182">
      <w:marLeft w:val="0"/>
      <w:marRight w:val="0"/>
      <w:marTop w:val="0"/>
      <w:marBottom w:val="240"/>
      <w:divBdr>
        <w:top w:val="none" w:sz="0" w:space="0" w:color="auto"/>
        <w:left w:val="none" w:sz="0" w:space="0" w:color="auto"/>
        <w:bottom w:val="none" w:sz="0" w:space="0" w:color="auto"/>
        <w:right w:val="none" w:sz="0" w:space="0" w:color="auto"/>
      </w:divBdr>
    </w:div>
    <w:div w:id="150759932">
      <w:marLeft w:val="0"/>
      <w:marRight w:val="0"/>
      <w:marTop w:val="240"/>
      <w:marBottom w:val="240"/>
      <w:divBdr>
        <w:top w:val="none" w:sz="0" w:space="0" w:color="auto"/>
        <w:left w:val="none" w:sz="0" w:space="0" w:color="auto"/>
        <w:bottom w:val="none" w:sz="0" w:space="0" w:color="auto"/>
        <w:right w:val="none" w:sz="0" w:space="0" w:color="auto"/>
      </w:divBdr>
    </w:div>
    <w:div w:id="152794926">
      <w:marLeft w:val="0"/>
      <w:marRight w:val="0"/>
      <w:marTop w:val="0"/>
      <w:marBottom w:val="200"/>
      <w:divBdr>
        <w:top w:val="none" w:sz="0" w:space="0" w:color="auto"/>
        <w:left w:val="none" w:sz="0" w:space="0" w:color="auto"/>
        <w:bottom w:val="none" w:sz="0" w:space="0" w:color="auto"/>
        <w:right w:val="none" w:sz="0" w:space="0" w:color="auto"/>
      </w:divBdr>
    </w:div>
    <w:div w:id="164784114">
      <w:marLeft w:val="0"/>
      <w:marRight w:val="0"/>
      <w:marTop w:val="0"/>
      <w:marBottom w:val="0"/>
      <w:divBdr>
        <w:top w:val="none" w:sz="0" w:space="0" w:color="auto"/>
        <w:left w:val="none" w:sz="0" w:space="0" w:color="auto"/>
        <w:bottom w:val="none" w:sz="0" w:space="0" w:color="auto"/>
        <w:right w:val="none" w:sz="0" w:space="0" w:color="auto"/>
      </w:divBdr>
    </w:div>
    <w:div w:id="165175350">
      <w:marLeft w:val="0"/>
      <w:marRight w:val="0"/>
      <w:marTop w:val="0"/>
      <w:marBottom w:val="120"/>
      <w:divBdr>
        <w:top w:val="none" w:sz="0" w:space="0" w:color="auto"/>
        <w:left w:val="none" w:sz="0" w:space="0" w:color="auto"/>
        <w:bottom w:val="none" w:sz="0" w:space="0" w:color="auto"/>
        <w:right w:val="none" w:sz="0" w:space="0" w:color="auto"/>
      </w:divBdr>
    </w:div>
    <w:div w:id="170535856">
      <w:marLeft w:val="0"/>
      <w:marRight w:val="0"/>
      <w:marTop w:val="0"/>
      <w:marBottom w:val="240"/>
      <w:divBdr>
        <w:top w:val="none" w:sz="0" w:space="0" w:color="auto"/>
        <w:left w:val="none" w:sz="0" w:space="0" w:color="auto"/>
        <w:bottom w:val="none" w:sz="0" w:space="0" w:color="auto"/>
        <w:right w:val="none" w:sz="0" w:space="0" w:color="auto"/>
      </w:divBdr>
    </w:div>
    <w:div w:id="179123671">
      <w:marLeft w:val="0"/>
      <w:marRight w:val="0"/>
      <w:marTop w:val="0"/>
      <w:marBottom w:val="240"/>
      <w:divBdr>
        <w:top w:val="none" w:sz="0" w:space="0" w:color="auto"/>
        <w:left w:val="none" w:sz="0" w:space="0" w:color="auto"/>
        <w:bottom w:val="none" w:sz="0" w:space="0" w:color="auto"/>
        <w:right w:val="none" w:sz="0" w:space="0" w:color="auto"/>
      </w:divBdr>
    </w:div>
    <w:div w:id="181088053">
      <w:marLeft w:val="0"/>
      <w:marRight w:val="0"/>
      <w:marTop w:val="0"/>
      <w:marBottom w:val="0"/>
      <w:divBdr>
        <w:top w:val="none" w:sz="0" w:space="0" w:color="auto"/>
        <w:left w:val="none" w:sz="0" w:space="0" w:color="auto"/>
        <w:bottom w:val="none" w:sz="0" w:space="0" w:color="auto"/>
        <w:right w:val="none" w:sz="0" w:space="0" w:color="auto"/>
      </w:divBdr>
      <w:divsChild>
        <w:div w:id="911308475">
          <w:marLeft w:val="0"/>
          <w:marRight w:val="0"/>
          <w:marTop w:val="0"/>
          <w:marBottom w:val="0"/>
          <w:divBdr>
            <w:top w:val="none" w:sz="0" w:space="0" w:color="auto"/>
            <w:left w:val="none" w:sz="0" w:space="0" w:color="auto"/>
            <w:bottom w:val="none" w:sz="0" w:space="0" w:color="auto"/>
            <w:right w:val="none" w:sz="0" w:space="0" w:color="auto"/>
          </w:divBdr>
        </w:div>
      </w:divsChild>
    </w:div>
    <w:div w:id="181940213">
      <w:marLeft w:val="0"/>
      <w:marRight w:val="0"/>
      <w:marTop w:val="0"/>
      <w:marBottom w:val="240"/>
      <w:divBdr>
        <w:top w:val="none" w:sz="0" w:space="0" w:color="auto"/>
        <w:left w:val="none" w:sz="0" w:space="0" w:color="auto"/>
        <w:bottom w:val="none" w:sz="0" w:space="0" w:color="auto"/>
        <w:right w:val="none" w:sz="0" w:space="0" w:color="auto"/>
      </w:divBdr>
    </w:div>
    <w:div w:id="183400466">
      <w:marLeft w:val="0"/>
      <w:marRight w:val="0"/>
      <w:marTop w:val="0"/>
      <w:marBottom w:val="120"/>
      <w:divBdr>
        <w:top w:val="none" w:sz="0" w:space="0" w:color="auto"/>
        <w:left w:val="none" w:sz="0" w:space="0" w:color="auto"/>
        <w:bottom w:val="none" w:sz="0" w:space="0" w:color="auto"/>
        <w:right w:val="none" w:sz="0" w:space="0" w:color="auto"/>
      </w:divBdr>
    </w:div>
    <w:div w:id="187108486">
      <w:marLeft w:val="0"/>
      <w:marRight w:val="0"/>
      <w:marTop w:val="0"/>
      <w:marBottom w:val="0"/>
      <w:divBdr>
        <w:top w:val="none" w:sz="0" w:space="0" w:color="auto"/>
        <w:left w:val="none" w:sz="0" w:space="0" w:color="auto"/>
        <w:bottom w:val="none" w:sz="0" w:space="0" w:color="auto"/>
        <w:right w:val="none" w:sz="0" w:space="0" w:color="auto"/>
      </w:divBdr>
      <w:divsChild>
        <w:div w:id="1391272088">
          <w:marLeft w:val="0"/>
          <w:marRight w:val="0"/>
          <w:marTop w:val="0"/>
          <w:marBottom w:val="0"/>
          <w:divBdr>
            <w:top w:val="none" w:sz="0" w:space="0" w:color="auto"/>
            <w:left w:val="none" w:sz="0" w:space="0" w:color="auto"/>
            <w:bottom w:val="none" w:sz="0" w:space="0" w:color="auto"/>
            <w:right w:val="none" w:sz="0" w:space="0" w:color="auto"/>
          </w:divBdr>
        </w:div>
      </w:divsChild>
    </w:div>
    <w:div w:id="187182929">
      <w:marLeft w:val="0"/>
      <w:marRight w:val="0"/>
      <w:marTop w:val="0"/>
      <w:marBottom w:val="240"/>
      <w:divBdr>
        <w:top w:val="none" w:sz="0" w:space="0" w:color="auto"/>
        <w:left w:val="none" w:sz="0" w:space="0" w:color="auto"/>
        <w:bottom w:val="none" w:sz="0" w:space="0" w:color="auto"/>
        <w:right w:val="none" w:sz="0" w:space="0" w:color="auto"/>
      </w:divBdr>
    </w:div>
    <w:div w:id="188759221">
      <w:marLeft w:val="0"/>
      <w:marRight w:val="0"/>
      <w:marTop w:val="0"/>
      <w:marBottom w:val="240"/>
      <w:divBdr>
        <w:top w:val="none" w:sz="0" w:space="0" w:color="auto"/>
        <w:left w:val="none" w:sz="0" w:space="0" w:color="auto"/>
        <w:bottom w:val="none" w:sz="0" w:space="0" w:color="auto"/>
        <w:right w:val="none" w:sz="0" w:space="0" w:color="auto"/>
      </w:divBdr>
    </w:div>
    <w:div w:id="190462398">
      <w:marLeft w:val="0"/>
      <w:marRight w:val="0"/>
      <w:marTop w:val="240"/>
      <w:marBottom w:val="240"/>
      <w:divBdr>
        <w:top w:val="none" w:sz="0" w:space="0" w:color="auto"/>
        <w:left w:val="none" w:sz="0" w:space="0" w:color="auto"/>
        <w:bottom w:val="none" w:sz="0" w:space="0" w:color="auto"/>
        <w:right w:val="none" w:sz="0" w:space="0" w:color="auto"/>
      </w:divBdr>
    </w:div>
    <w:div w:id="196165063">
      <w:marLeft w:val="0"/>
      <w:marRight w:val="0"/>
      <w:marTop w:val="0"/>
      <w:marBottom w:val="240"/>
      <w:divBdr>
        <w:top w:val="none" w:sz="0" w:space="0" w:color="auto"/>
        <w:left w:val="none" w:sz="0" w:space="0" w:color="auto"/>
        <w:bottom w:val="none" w:sz="0" w:space="0" w:color="auto"/>
        <w:right w:val="none" w:sz="0" w:space="0" w:color="auto"/>
      </w:divBdr>
    </w:div>
    <w:div w:id="200215621">
      <w:marLeft w:val="0"/>
      <w:marRight w:val="0"/>
      <w:marTop w:val="120"/>
      <w:marBottom w:val="240"/>
      <w:divBdr>
        <w:top w:val="none" w:sz="0" w:space="0" w:color="auto"/>
        <w:left w:val="none" w:sz="0" w:space="0" w:color="auto"/>
        <w:bottom w:val="none" w:sz="0" w:space="0" w:color="auto"/>
        <w:right w:val="none" w:sz="0" w:space="0" w:color="auto"/>
      </w:divBdr>
    </w:div>
    <w:div w:id="200439906">
      <w:marLeft w:val="0"/>
      <w:marRight w:val="0"/>
      <w:marTop w:val="0"/>
      <w:marBottom w:val="0"/>
      <w:divBdr>
        <w:top w:val="none" w:sz="0" w:space="0" w:color="auto"/>
        <w:left w:val="none" w:sz="0" w:space="0" w:color="auto"/>
        <w:bottom w:val="none" w:sz="0" w:space="0" w:color="auto"/>
        <w:right w:val="none" w:sz="0" w:space="0" w:color="auto"/>
      </w:divBdr>
      <w:divsChild>
        <w:div w:id="1778478158">
          <w:marLeft w:val="0"/>
          <w:marRight w:val="0"/>
          <w:marTop w:val="0"/>
          <w:marBottom w:val="0"/>
          <w:divBdr>
            <w:top w:val="none" w:sz="0" w:space="0" w:color="auto"/>
            <w:left w:val="none" w:sz="0" w:space="0" w:color="auto"/>
            <w:bottom w:val="none" w:sz="0" w:space="0" w:color="auto"/>
            <w:right w:val="none" w:sz="0" w:space="0" w:color="auto"/>
          </w:divBdr>
        </w:div>
      </w:divsChild>
    </w:div>
    <w:div w:id="205528003">
      <w:marLeft w:val="0"/>
      <w:marRight w:val="0"/>
      <w:marTop w:val="240"/>
      <w:marBottom w:val="0"/>
      <w:divBdr>
        <w:top w:val="none" w:sz="0" w:space="0" w:color="auto"/>
        <w:left w:val="none" w:sz="0" w:space="0" w:color="auto"/>
        <w:bottom w:val="none" w:sz="0" w:space="0" w:color="auto"/>
        <w:right w:val="none" w:sz="0" w:space="0" w:color="auto"/>
      </w:divBdr>
      <w:divsChild>
        <w:div w:id="570120792">
          <w:marLeft w:val="0"/>
          <w:marRight w:val="0"/>
          <w:marTop w:val="0"/>
          <w:marBottom w:val="0"/>
          <w:divBdr>
            <w:top w:val="none" w:sz="0" w:space="0" w:color="auto"/>
            <w:left w:val="none" w:sz="0" w:space="0" w:color="auto"/>
            <w:bottom w:val="none" w:sz="0" w:space="0" w:color="auto"/>
            <w:right w:val="none" w:sz="0" w:space="0" w:color="auto"/>
          </w:divBdr>
        </w:div>
        <w:div w:id="2131166900">
          <w:marLeft w:val="0"/>
          <w:marRight w:val="0"/>
          <w:marTop w:val="0"/>
          <w:marBottom w:val="0"/>
          <w:divBdr>
            <w:top w:val="none" w:sz="0" w:space="0" w:color="auto"/>
            <w:left w:val="none" w:sz="0" w:space="0" w:color="auto"/>
            <w:bottom w:val="none" w:sz="0" w:space="0" w:color="auto"/>
            <w:right w:val="none" w:sz="0" w:space="0" w:color="auto"/>
          </w:divBdr>
        </w:div>
        <w:div w:id="710497092">
          <w:marLeft w:val="0"/>
          <w:marRight w:val="0"/>
          <w:marTop w:val="0"/>
          <w:marBottom w:val="0"/>
          <w:divBdr>
            <w:top w:val="none" w:sz="0" w:space="0" w:color="auto"/>
            <w:left w:val="none" w:sz="0" w:space="0" w:color="auto"/>
            <w:bottom w:val="none" w:sz="0" w:space="0" w:color="auto"/>
            <w:right w:val="none" w:sz="0" w:space="0" w:color="auto"/>
          </w:divBdr>
        </w:div>
        <w:div w:id="14307579">
          <w:marLeft w:val="0"/>
          <w:marRight w:val="0"/>
          <w:marTop w:val="0"/>
          <w:marBottom w:val="0"/>
          <w:divBdr>
            <w:top w:val="none" w:sz="0" w:space="0" w:color="auto"/>
            <w:left w:val="none" w:sz="0" w:space="0" w:color="auto"/>
            <w:bottom w:val="none" w:sz="0" w:space="0" w:color="auto"/>
            <w:right w:val="none" w:sz="0" w:space="0" w:color="auto"/>
          </w:divBdr>
        </w:div>
        <w:div w:id="1220094349">
          <w:marLeft w:val="0"/>
          <w:marRight w:val="0"/>
          <w:marTop w:val="0"/>
          <w:marBottom w:val="0"/>
          <w:divBdr>
            <w:top w:val="none" w:sz="0" w:space="0" w:color="auto"/>
            <w:left w:val="none" w:sz="0" w:space="0" w:color="auto"/>
            <w:bottom w:val="none" w:sz="0" w:space="0" w:color="auto"/>
            <w:right w:val="none" w:sz="0" w:space="0" w:color="auto"/>
          </w:divBdr>
        </w:div>
      </w:divsChild>
    </w:div>
    <w:div w:id="206573887">
      <w:marLeft w:val="0"/>
      <w:marRight w:val="0"/>
      <w:marTop w:val="0"/>
      <w:marBottom w:val="120"/>
      <w:divBdr>
        <w:top w:val="none" w:sz="0" w:space="0" w:color="auto"/>
        <w:left w:val="none" w:sz="0" w:space="0" w:color="auto"/>
        <w:bottom w:val="none" w:sz="0" w:space="0" w:color="auto"/>
        <w:right w:val="none" w:sz="0" w:space="0" w:color="auto"/>
      </w:divBdr>
    </w:div>
    <w:div w:id="220410705">
      <w:marLeft w:val="0"/>
      <w:marRight w:val="0"/>
      <w:marTop w:val="240"/>
      <w:marBottom w:val="240"/>
      <w:divBdr>
        <w:top w:val="none" w:sz="0" w:space="0" w:color="auto"/>
        <w:left w:val="none" w:sz="0" w:space="0" w:color="auto"/>
        <w:bottom w:val="none" w:sz="0" w:space="0" w:color="auto"/>
        <w:right w:val="none" w:sz="0" w:space="0" w:color="auto"/>
      </w:divBdr>
    </w:div>
    <w:div w:id="221261323">
      <w:marLeft w:val="0"/>
      <w:marRight w:val="0"/>
      <w:marTop w:val="0"/>
      <w:marBottom w:val="240"/>
      <w:divBdr>
        <w:top w:val="none" w:sz="0" w:space="0" w:color="auto"/>
        <w:left w:val="none" w:sz="0" w:space="0" w:color="auto"/>
        <w:bottom w:val="none" w:sz="0" w:space="0" w:color="auto"/>
        <w:right w:val="none" w:sz="0" w:space="0" w:color="auto"/>
      </w:divBdr>
    </w:div>
    <w:div w:id="224731196">
      <w:marLeft w:val="0"/>
      <w:marRight w:val="0"/>
      <w:marTop w:val="0"/>
      <w:marBottom w:val="240"/>
      <w:divBdr>
        <w:top w:val="none" w:sz="0" w:space="0" w:color="auto"/>
        <w:left w:val="none" w:sz="0" w:space="0" w:color="auto"/>
        <w:bottom w:val="none" w:sz="0" w:space="0" w:color="auto"/>
        <w:right w:val="none" w:sz="0" w:space="0" w:color="auto"/>
      </w:divBdr>
    </w:div>
    <w:div w:id="226376652">
      <w:marLeft w:val="0"/>
      <w:marRight w:val="0"/>
      <w:marTop w:val="0"/>
      <w:marBottom w:val="240"/>
      <w:divBdr>
        <w:top w:val="none" w:sz="0" w:space="0" w:color="auto"/>
        <w:left w:val="none" w:sz="0" w:space="0" w:color="auto"/>
        <w:bottom w:val="none" w:sz="0" w:space="0" w:color="auto"/>
        <w:right w:val="none" w:sz="0" w:space="0" w:color="auto"/>
      </w:divBdr>
    </w:div>
    <w:div w:id="229006271">
      <w:marLeft w:val="0"/>
      <w:marRight w:val="0"/>
      <w:marTop w:val="240"/>
      <w:marBottom w:val="0"/>
      <w:divBdr>
        <w:top w:val="none" w:sz="0" w:space="0" w:color="auto"/>
        <w:left w:val="none" w:sz="0" w:space="0" w:color="auto"/>
        <w:bottom w:val="none" w:sz="0" w:space="0" w:color="auto"/>
        <w:right w:val="none" w:sz="0" w:space="0" w:color="auto"/>
      </w:divBdr>
    </w:div>
    <w:div w:id="229118586">
      <w:marLeft w:val="0"/>
      <w:marRight w:val="0"/>
      <w:marTop w:val="0"/>
      <w:marBottom w:val="240"/>
      <w:divBdr>
        <w:top w:val="none" w:sz="0" w:space="0" w:color="auto"/>
        <w:left w:val="none" w:sz="0" w:space="0" w:color="auto"/>
        <w:bottom w:val="none" w:sz="0" w:space="0" w:color="auto"/>
        <w:right w:val="none" w:sz="0" w:space="0" w:color="auto"/>
      </w:divBdr>
    </w:div>
    <w:div w:id="238368362">
      <w:marLeft w:val="0"/>
      <w:marRight w:val="0"/>
      <w:marTop w:val="120"/>
      <w:marBottom w:val="0"/>
      <w:divBdr>
        <w:top w:val="none" w:sz="0" w:space="0" w:color="auto"/>
        <w:left w:val="none" w:sz="0" w:space="0" w:color="auto"/>
        <w:bottom w:val="none" w:sz="0" w:space="0" w:color="auto"/>
        <w:right w:val="none" w:sz="0" w:space="0" w:color="auto"/>
      </w:divBdr>
    </w:div>
    <w:div w:id="242032954">
      <w:marLeft w:val="0"/>
      <w:marRight w:val="0"/>
      <w:marTop w:val="0"/>
      <w:marBottom w:val="240"/>
      <w:divBdr>
        <w:top w:val="none" w:sz="0" w:space="0" w:color="auto"/>
        <w:left w:val="none" w:sz="0" w:space="0" w:color="auto"/>
        <w:bottom w:val="none" w:sz="0" w:space="0" w:color="auto"/>
        <w:right w:val="none" w:sz="0" w:space="0" w:color="auto"/>
      </w:divBdr>
    </w:div>
    <w:div w:id="248543204">
      <w:marLeft w:val="0"/>
      <w:marRight w:val="0"/>
      <w:marTop w:val="0"/>
      <w:marBottom w:val="0"/>
      <w:divBdr>
        <w:top w:val="none" w:sz="0" w:space="0" w:color="auto"/>
        <w:left w:val="none" w:sz="0" w:space="0" w:color="auto"/>
        <w:bottom w:val="none" w:sz="0" w:space="0" w:color="auto"/>
        <w:right w:val="none" w:sz="0" w:space="0" w:color="auto"/>
      </w:divBdr>
    </w:div>
    <w:div w:id="252713854">
      <w:marLeft w:val="0"/>
      <w:marRight w:val="0"/>
      <w:marTop w:val="0"/>
      <w:marBottom w:val="0"/>
      <w:divBdr>
        <w:top w:val="none" w:sz="0" w:space="0" w:color="auto"/>
        <w:left w:val="none" w:sz="0" w:space="0" w:color="auto"/>
        <w:bottom w:val="none" w:sz="0" w:space="0" w:color="auto"/>
        <w:right w:val="none" w:sz="0" w:space="0" w:color="auto"/>
      </w:divBdr>
      <w:divsChild>
        <w:div w:id="662975622">
          <w:marLeft w:val="0"/>
          <w:marRight w:val="0"/>
          <w:marTop w:val="0"/>
          <w:marBottom w:val="0"/>
          <w:divBdr>
            <w:top w:val="none" w:sz="0" w:space="0" w:color="auto"/>
            <w:left w:val="none" w:sz="0" w:space="0" w:color="auto"/>
            <w:bottom w:val="none" w:sz="0" w:space="0" w:color="auto"/>
            <w:right w:val="none" w:sz="0" w:space="0" w:color="auto"/>
          </w:divBdr>
        </w:div>
      </w:divsChild>
    </w:div>
    <w:div w:id="255090338">
      <w:marLeft w:val="0"/>
      <w:marRight w:val="0"/>
      <w:marTop w:val="0"/>
      <w:marBottom w:val="0"/>
      <w:divBdr>
        <w:top w:val="none" w:sz="0" w:space="0" w:color="auto"/>
        <w:left w:val="none" w:sz="0" w:space="0" w:color="auto"/>
        <w:bottom w:val="none" w:sz="0" w:space="0" w:color="auto"/>
        <w:right w:val="none" w:sz="0" w:space="0" w:color="auto"/>
      </w:divBdr>
      <w:divsChild>
        <w:div w:id="1001589798">
          <w:marLeft w:val="0"/>
          <w:marRight w:val="0"/>
          <w:marTop w:val="0"/>
          <w:marBottom w:val="0"/>
          <w:divBdr>
            <w:top w:val="none" w:sz="0" w:space="0" w:color="auto"/>
            <w:left w:val="none" w:sz="0" w:space="0" w:color="auto"/>
            <w:bottom w:val="none" w:sz="0" w:space="0" w:color="auto"/>
            <w:right w:val="none" w:sz="0" w:space="0" w:color="auto"/>
          </w:divBdr>
        </w:div>
      </w:divsChild>
    </w:div>
    <w:div w:id="260187228">
      <w:marLeft w:val="0"/>
      <w:marRight w:val="0"/>
      <w:marTop w:val="0"/>
      <w:marBottom w:val="0"/>
      <w:divBdr>
        <w:top w:val="none" w:sz="0" w:space="0" w:color="auto"/>
        <w:left w:val="none" w:sz="0" w:space="0" w:color="auto"/>
        <w:bottom w:val="none" w:sz="0" w:space="0" w:color="auto"/>
        <w:right w:val="none" w:sz="0" w:space="0" w:color="auto"/>
      </w:divBdr>
    </w:div>
    <w:div w:id="272370430">
      <w:marLeft w:val="0"/>
      <w:marRight w:val="0"/>
      <w:marTop w:val="0"/>
      <w:marBottom w:val="240"/>
      <w:divBdr>
        <w:top w:val="none" w:sz="0" w:space="0" w:color="auto"/>
        <w:left w:val="none" w:sz="0" w:space="0" w:color="auto"/>
        <w:bottom w:val="none" w:sz="0" w:space="0" w:color="auto"/>
        <w:right w:val="none" w:sz="0" w:space="0" w:color="auto"/>
      </w:divBdr>
    </w:div>
    <w:div w:id="273219934">
      <w:marLeft w:val="0"/>
      <w:marRight w:val="0"/>
      <w:marTop w:val="0"/>
      <w:marBottom w:val="0"/>
      <w:divBdr>
        <w:top w:val="none" w:sz="0" w:space="0" w:color="auto"/>
        <w:left w:val="none" w:sz="0" w:space="0" w:color="auto"/>
        <w:bottom w:val="none" w:sz="0" w:space="0" w:color="auto"/>
        <w:right w:val="none" w:sz="0" w:space="0" w:color="auto"/>
      </w:divBdr>
    </w:div>
    <w:div w:id="275328364">
      <w:marLeft w:val="0"/>
      <w:marRight w:val="0"/>
      <w:marTop w:val="0"/>
      <w:marBottom w:val="0"/>
      <w:divBdr>
        <w:top w:val="none" w:sz="0" w:space="0" w:color="auto"/>
        <w:left w:val="none" w:sz="0" w:space="0" w:color="auto"/>
        <w:bottom w:val="none" w:sz="0" w:space="0" w:color="auto"/>
        <w:right w:val="none" w:sz="0" w:space="0" w:color="auto"/>
      </w:divBdr>
      <w:divsChild>
        <w:div w:id="1937012454">
          <w:marLeft w:val="0"/>
          <w:marRight w:val="0"/>
          <w:marTop w:val="0"/>
          <w:marBottom w:val="0"/>
          <w:divBdr>
            <w:top w:val="none" w:sz="0" w:space="0" w:color="auto"/>
            <w:left w:val="none" w:sz="0" w:space="0" w:color="auto"/>
            <w:bottom w:val="none" w:sz="0" w:space="0" w:color="auto"/>
            <w:right w:val="none" w:sz="0" w:space="0" w:color="auto"/>
          </w:divBdr>
        </w:div>
      </w:divsChild>
    </w:div>
    <w:div w:id="277954608">
      <w:marLeft w:val="0"/>
      <w:marRight w:val="0"/>
      <w:marTop w:val="0"/>
      <w:marBottom w:val="240"/>
      <w:divBdr>
        <w:top w:val="none" w:sz="0" w:space="0" w:color="auto"/>
        <w:left w:val="none" w:sz="0" w:space="0" w:color="auto"/>
        <w:bottom w:val="none" w:sz="0" w:space="0" w:color="auto"/>
        <w:right w:val="none" w:sz="0" w:space="0" w:color="auto"/>
      </w:divBdr>
    </w:div>
    <w:div w:id="290283986">
      <w:marLeft w:val="0"/>
      <w:marRight w:val="0"/>
      <w:marTop w:val="0"/>
      <w:marBottom w:val="240"/>
      <w:divBdr>
        <w:top w:val="none" w:sz="0" w:space="0" w:color="auto"/>
        <w:left w:val="none" w:sz="0" w:space="0" w:color="auto"/>
        <w:bottom w:val="none" w:sz="0" w:space="0" w:color="auto"/>
        <w:right w:val="none" w:sz="0" w:space="0" w:color="auto"/>
      </w:divBdr>
    </w:div>
    <w:div w:id="292834633">
      <w:marLeft w:val="0"/>
      <w:marRight w:val="0"/>
      <w:marTop w:val="240"/>
      <w:marBottom w:val="0"/>
      <w:divBdr>
        <w:top w:val="none" w:sz="0" w:space="0" w:color="auto"/>
        <w:left w:val="none" w:sz="0" w:space="0" w:color="auto"/>
        <w:bottom w:val="none" w:sz="0" w:space="0" w:color="auto"/>
        <w:right w:val="none" w:sz="0" w:space="0" w:color="auto"/>
      </w:divBdr>
    </w:div>
    <w:div w:id="293951173">
      <w:marLeft w:val="0"/>
      <w:marRight w:val="0"/>
      <w:marTop w:val="0"/>
      <w:marBottom w:val="120"/>
      <w:divBdr>
        <w:top w:val="none" w:sz="0" w:space="0" w:color="auto"/>
        <w:left w:val="none" w:sz="0" w:space="0" w:color="auto"/>
        <w:bottom w:val="none" w:sz="0" w:space="0" w:color="auto"/>
        <w:right w:val="none" w:sz="0" w:space="0" w:color="auto"/>
      </w:divBdr>
    </w:div>
    <w:div w:id="294988231">
      <w:marLeft w:val="0"/>
      <w:marRight w:val="0"/>
      <w:marTop w:val="0"/>
      <w:marBottom w:val="240"/>
      <w:divBdr>
        <w:top w:val="none" w:sz="0" w:space="0" w:color="auto"/>
        <w:left w:val="none" w:sz="0" w:space="0" w:color="auto"/>
        <w:bottom w:val="none" w:sz="0" w:space="0" w:color="auto"/>
        <w:right w:val="none" w:sz="0" w:space="0" w:color="auto"/>
      </w:divBdr>
    </w:div>
    <w:div w:id="301933761">
      <w:marLeft w:val="0"/>
      <w:marRight w:val="0"/>
      <w:marTop w:val="0"/>
      <w:marBottom w:val="0"/>
      <w:divBdr>
        <w:top w:val="none" w:sz="0" w:space="0" w:color="auto"/>
        <w:left w:val="none" w:sz="0" w:space="0" w:color="auto"/>
        <w:bottom w:val="none" w:sz="0" w:space="0" w:color="auto"/>
        <w:right w:val="none" w:sz="0" w:space="0" w:color="auto"/>
      </w:divBdr>
    </w:div>
    <w:div w:id="302200064">
      <w:marLeft w:val="0"/>
      <w:marRight w:val="0"/>
      <w:marTop w:val="0"/>
      <w:marBottom w:val="0"/>
      <w:divBdr>
        <w:top w:val="none" w:sz="0" w:space="0" w:color="auto"/>
        <w:left w:val="none" w:sz="0" w:space="0" w:color="auto"/>
        <w:bottom w:val="none" w:sz="0" w:space="0" w:color="auto"/>
        <w:right w:val="none" w:sz="0" w:space="0" w:color="auto"/>
      </w:divBdr>
      <w:divsChild>
        <w:div w:id="1383557054">
          <w:marLeft w:val="0"/>
          <w:marRight w:val="0"/>
          <w:marTop w:val="0"/>
          <w:marBottom w:val="0"/>
          <w:divBdr>
            <w:top w:val="none" w:sz="0" w:space="0" w:color="auto"/>
            <w:left w:val="none" w:sz="0" w:space="0" w:color="auto"/>
            <w:bottom w:val="none" w:sz="0" w:space="0" w:color="auto"/>
            <w:right w:val="none" w:sz="0" w:space="0" w:color="auto"/>
          </w:divBdr>
        </w:div>
      </w:divsChild>
    </w:div>
    <w:div w:id="306323735">
      <w:marLeft w:val="0"/>
      <w:marRight w:val="0"/>
      <w:marTop w:val="240"/>
      <w:marBottom w:val="240"/>
      <w:divBdr>
        <w:top w:val="none" w:sz="0" w:space="0" w:color="auto"/>
        <w:left w:val="none" w:sz="0" w:space="0" w:color="auto"/>
        <w:bottom w:val="none" w:sz="0" w:space="0" w:color="auto"/>
        <w:right w:val="none" w:sz="0" w:space="0" w:color="auto"/>
      </w:divBdr>
    </w:div>
    <w:div w:id="307714021">
      <w:marLeft w:val="0"/>
      <w:marRight w:val="0"/>
      <w:marTop w:val="240"/>
      <w:marBottom w:val="0"/>
      <w:divBdr>
        <w:top w:val="none" w:sz="0" w:space="0" w:color="auto"/>
        <w:left w:val="none" w:sz="0" w:space="0" w:color="auto"/>
        <w:bottom w:val="none" w:sz="0" w:space="0" w:color="auto"/>
        <w:right w:val="none" w:sz="0" w:space="0" w:color="auto"/>
      </w:divBdr>
    </w:div>
    <w:div w:id="309869690">
      <w:marLeft w:val="0"/>
      <w:marRight w:val="0"/>
      <w:marTop w:val="0"/>
      <w:marBottom w:val="0"/>
      <w:divBdr>
        <w:top w:val="none" w:sz="0" w:space="0" w:color="auto"/>
        <w:left w:val="none" w:sz="0" w:space="0" w:color="auto"/>
        <w:bottom w:val="none" w:sz="0" w:space="0" w:color="auto"/>
        <w:right w:val="none" w:sz="0" w:space="0" w:color="auto"/>
      </w:divBdr>
      <w:divsChild>
        <w:div w:id="89860036">
          <w:marLeft w:val="0"/>
          <w:marRight w:val="0"/>
          <w:marTop w:val="0"/>
          <w:marBottom w:val="0"/>
          <w:divBdr>
            <w:top w:val="none" w:sz="0" w:space="0" w:color="auto"/>
            <w:left w:val="none" w:sz="0" w:space="0" w:color="auto"/>
            <w:bottom w:val="none" w:sz="0" w:space="0" w:color="auto"/>
            <w:right w:val="none" w:sz="0" w:space="0" w:color="auto"/>
          </w:divBdr>
        </w:div>
      </w:divsChild>
    </w:div>
    <w:div w:id="314916884">
      <w:marLeft w:val="0"/>
      <w:marRight w:val="0"/>
      <w:marTop w:val="0"/>
      <w:marBottom w:val="240"/>
      <w:divBdr>
        <w:top w:val="none" w:sz="0" w:space="0" w:color="auto"/>
        <w:left w:val="none" w:sz="0" w:space="0" w:color="auto"/>
        <w:bottom w:val="none" w:sz="0" w:space="0" w:color="auto"/>
        <w:right w:val="none" w:sz="0" w:space="0" w:color="auto"/>
      </w:divBdr>
    </w:div>
    <w:div w:id="318770069">
      <w:marLeft w:val="0"/>
      <w:marRight w:val="0"/>
      <w:marTop w:val="0"/>
      <w:marBottom w:val="0"/>
      <w:divBdr>
        <w:top w:val="none" w:sz="0" w:space="0" w:color="auto"/>
        <w:left w:val="none" w:sz="0" w:space="0" w:color="auto"/>
        <w:bottom w:val="none" w:sz="0" w:space="0" w:color="auto"/>
        <w:right w:val="none" w:sz="0" w:space="0" w:color="auto"/>
      </w:divBdr>
      <w:divsChild>
        <w:div w:id="44722891">
          <w:marLeft w:val="0"/>
          <w:marRight w:val="0"/>
          <w:marTop w:val="0"/>
          <w:marBottom w:val="0"/>
          <w:divBdr>
            <w:top w:val="none" w:sz="0" w:space="0" w:color="auto"/>
            <w:left w:val="none" w:sz="0" w:space="0" w:color="auto"/>
            <w:bottom w:val="none" w:sz="0" w:space="0" w:color="auto"/>
            <w:right w:val="none" w:sz="0" w:space="0" w:color="auto"/>
          </w:divBdr>
        </w:div>
      </w:divsChild>
    </w:div>
    <w:div w:id="319231805">
      <w:marLeft w:val="0"/>
      <w:marRight w:val="0"/>
      <w:marTop w:val="0"/>
      <w:marBottom w:val="240"/>
      <w:divBdr>
        <w:top w:val="none" w:sz="0" w:space="0" w:color="auto"/>
        <w:left w:val="none" w:sz="0" w:space="0" w:color="auto"/>
        <w:bottom w:val="none" w:sz="0" w:space="0" w:color="auto"/>
        <w:right w:val="none" w:sz="0" w:space="0" w:color="auto"/>
      </w:divBdr>
    </w:div>
    <w:div w:id="320038405">
      <w:marLeft w:val="0"/>
      <w:marRight w:val="0"/>
      <w:marTop w:val="0"/>
      <w:marBottom w:val="0"/>
      <w:divBdr>
        <w:top w:val="none" w:sz="0" w:space="0" w:color="auto"/>
        <w:left w:val="none" w:sz="0" w:space="0" w:color="auto"/>
        <w:bottom w:val="none" w:sz="0" w:space="0" w:color="auto"/>
        <w:right w:val="none" w:sz="0" w:space="0" w:color="auto"/>
      </w:divBdr>
      <w:divsChild>
        <w:div w:id="1244409920">
          <w:marLeft w:val="0"/>
          <w:marRight w:val="0"/>
          <w:marTop w:val="0"/>
          <w:marBottom w:val="0"/>
          <w:divBdr>
            <w:top w:val="none" w:sz="0" w:space="0" w:color="auto"/>
            <w:left w:val="none" w:sz="0" w:space="0" w:color="auto"/>
            <w:bottom w:val="none" w:sz="0" w:space="0" w:color="auto"/>
            <w:right w:val="none" w:sz="0" w:space="0" w:color="auto"/>
          </w:divBdr>
        </w:div>
      </w:divsChild>
    </w:div>
    <w:div w:id="320738646">
      <w:marLeft w:val="0"/>
      <w:marRight w:val="0"/>
      <w:marTop w:val="0"/>
      <w:marBottom w:val="0"/>
      <w:divBdr>
        <w:top w:val="none" w:sz="0" w:space="0" w:color="auto"/>
        <w:left w:val="none" w:sz="0" w:space="0" w:color="auto"/>
        <w:bottom w:val="none" w:sz="0" w:space="0" w:color="auto"/>
        <w:right w:val="none" w:sz="0" w:space="0" w:color="auto"/>
      </w:divBdr>
      <w:divsChild>
        <w:div w:id="1230190243">
          <w:marLeft w:val="0"/>
          <w:marRight w:val="0"/>
          <w:marTop w:val="0"/>
          <w:marBottom w:val="0"/>
          <w:divBdr>
            <w:top w:val="none" w:sz="0" w:space="0" w:color="auto"/>
            <w:left w:val="none" w:sz="0" w:space="0" w:color="auto"/>
            <w:bottom w:val="none" w:sz="0" w:space="0" w:color="auto"/>
            <w:right w:val="none" w:sz="0" w:space="0" w:color="auto"/>
          </w:divBdr>
        </w:div>
      </w:divsChild>
    </w:div>
    <w:div w:id="322005864">
      <w:marLeft w:val="0"/>
      <w:marRight w:val="0"/>
      <w:marTop w:val="0"/>
      <w:marBottom w:val="0"/>
      <w:divBdr>
        <w:top w:val="none" w:sz="0" w:space="0" w:color="auto"/>
        <w:left w:val="none" w:sz="0" w:space="0" w:color="auto"/>
        <w:bottom w:val="none" w:sz="0" w:space="0" w:color="auto"/>
        <w:right w:val="none" w:sz="0" w:space="0" w:color="auto"/>
      </w:divBdr>
      <w:divsChild>
        <w:div w:id="1004091727">
          <w:marLeft w:val="0"/>
          <w:marRight w:val="0"/>
          <w:marTop w:val="0"/>
          <w:marBottom w:val="0"/>
          <w:divBdr>
            <w:top w:val="none" w:sz="0" w:space="0" w:color="auto"/>
            <w:left w:val="none" w:sz="0" w:space="0" w:color="auto"/>
            <w:bottom w:val="none" w:sz="0" w:space="0" w:color="auto"/>
            <w:right w:val="none" w:sz="0" w:space="0" w:color="auto"/>
          </w:divBdr>
        </w:div>
      </w:divsChild>
    </w:div>
    <w:div w:id="323514032">
      <w:marLeft w:val="0"/>
      <w:marRight w:val="0"/>
      <w:marTop w:val="0"/>
      <w:marBottom w:val="240"/>
      <w:divBdr>
        <w:top w:val="none" w:sz="0" w:space="0" w:color="auto"/>
        <w:left w:val="none" w:sz="0" w:space="0" w:color="auto"/>
        <w:bottom w:val="none" w:sz="0" w:space="0" w:color="auto"/>
        <w:right w:val="none" w:sz="0" w:space="0" w:color="auto"/>
      </w:divBdr>
    </w:div>
    <w:div w:id="327944705">
      <w:marLeft w:val="0"/>
      <w:marRight w:val="0"/>
      <w:marTop w:val="0"/>
      <w:marBottom w:val="0"/>
      <w:divBdr>
        <w:top w:val="none" w:sz="0" w:space="0" w:color="auto"/>
        <w:left w:val="none" w:sz="0" w:space="0" w:color="auto"/>
        <w:bottom w:val="none" w:sz="0" w:space="0" w:color="auto"/>
        <w:right w:val="none" w:sz="0" w:space="0" w:color="auto"/>
      </w:divBdr>
      <w:divsChild>
        <w:div w:id="1590844209">
          <w:marLeft w:val="0"/>
          <w:marRight w:val="0"/>
          <w:marTop w:val="0"/>
          <w:marBottom w:val="0"/>
          <w:divBdr>
            <w:top w:val="none" w:sz="0" w:space="0" w:color="auto"/>
            <w:left w:val="none" w:sz="0" w:space="0" w:color="auto"/>
            <w:bottom w:val="none" w:sz="0" w:space="0" w:color="auto"/>
            <w:right w:val="none" w:sz="0" w:space="0" w:color="auto"/>
          </w:divBdr>
        </w:div>
      </w:divsChild>
    </w:div>
    <w:div w:id="331183328">
      <w:marLeft w:val="0"/>
      <w:marRight w:val="0"/>
      <w:marTop w:val="240"/>
      <w:marBottom w:val="0"/>
      <w:divBdr>
        <w:top w:val="none" w:sz="0" w:space="0" w:color="auto"/>
        <w:left w:val="none" w:sz="0" w:space="0" w:color="auto"/>
        <w:bottom w:val="none" w:sz="0" w:space="0" w:color="auto"/>
        <w:right w:val="none" w:sz="0" w:space="0" w:color="auto"/>
      </w:divBdr>
    </w:div>
    <w:div w:id="332756745">
      <w:marLeft w:val="0"/>
      <w:marRight w:val="0"/>
      <w:marTop w:val="0"/>
      <w:marBottom w:val="0"/>
      <w:divBdr>
        <w:top w:val="none" w:sz="0" w:space="0" w:color="auto"/>
        <w:left w:val="none" w:sz="0" w:space="0" w:color="auto"/>
        <w:bottom w:val="none" w:sz="0" w:space="0" w:color="auto"/>
        <w:right w:val="none" w:sz="0" w:space="0" w:color="auto"/>
      </w:divBdr>
    </w:div>
    <w:div w:id="334038513">
      <w:marLeft w:val="0"/>
      <w:marRight w:val="0"/>
      <w:marTop w:val="120"/>
      <w:marBottom w:val="0"/>
      <w:divBdr>
        <w:top w:val="none" w:sz="0" w:space="0" w:color="auto"/>
        <w:left w:val="none" w:sz="0" w:space="0" w:color="auto"/>
        <w:bottom w:val="none" w:sz="0" w:space="0" w:color="auto"/>
        <w:right w:val="none" w:sz="0" w:space="0" w:color="auto"/>
      </w:divBdr>
    </w:div>
    <w:div w:id="342823117">
      <w:marLeft w:val="0"/>
      <w:marRight w:val="0"/>
      <w:marTop w:val="0"/>
      <w:marBottom w:val="0"/>
      <w:divBdr>
        <w:top w:val="none" w:sz="0" w:space="0" w:color="auto"/>
        <w:left w:val="none" w:sz="0" w:space="0" w:color="auto"/>
        <w:bottom w:val="none" w:sz="0" w:space="0" w:color="auto"/>
        <w:right w:val="none" w:sz="0" w:space="0" w:color="auto"/>
      </w:divBdr>
    </w:div>
    <w:div w:id="349139899">
      <w:marLeft w:val="0"/>
      <w:marRight w:val="0"/>
      <w:marTop w:val="0"/>
      <w:marBottom w:val="60"/>
      <w:divBdr>
        <w:top w:val="none" w:sz="0" w:space="0" w:color="auto"/>
        <w:left w:val="none" w:sz="0" w:space="0" w:color="auto"/>
        <w:bottom w:val="none" w:sz="0" w:space="0" w:color="auto"/>
        <w:right w:val="none" w:sz="0" w:space="0" w:color="auto"/>
      </w:divBdr>
    </w:div>
    <w:div w:id="350180401">
      <w:marLeft w:val="0"/>
      <w:marRight w:val="0"/>
      <w:marTop w:val="0"/>
      <w:marBottom w:val="0"/>
      <w:divBdr>
        <w:top w:val="none" w:sz="0" w:space="0" w:color="auto"/>
        <w:left w:val="none" w:sz="0" w:space="0" w:color="auto"/>
        <w:bottom w:val="none" w:sz="0" w:space="0" w:color="auto"/>
        <w:right w:val="none" w:sz="0" w:space="0" w:color="auto"/>
      </w:divBdr>
    </w:div>
    <w:div w:id="352194719">
      <w:marLeft w:val="0"/>
      <w:marRight w:val="0"/>
      <w:marTop w:val="240"/>
      <w:marBottom w:val="240"/>
      <w:divBdr>
        <w:top w:val="none" w:sz="0" w:space="0" w:color="auto"/>
        <w:left w:val="none" w:sz="0" w:space="0" w:color="auto"/>
        <w:bottom w:val="none" w:sz="0" w:space="0" w:color="auto"/>
        <w:right w:val="none" w:sz="0" w:space="0" w:color="auto"/>
      </w:divBdr>
    </w:div>
    <w:div w:id="353926928">
      <w:marLeft w:val="0"/>
      <w:marRight w:val="0"/>
      <w:marTop w:val="0"/>
      <w:marBottom w:val="240"/>
      <w:divBdr>
        <w:top w:val="none" w:sz="0" w:space="0" w:color="auto"/>
        <w:left w:val="none" w:sz="0" w:space="0" w:color="auto"/>
        <w:bottom w:val="none" w:sz="0" w:space="0" w:color="auto"/>
        <w:right w:val="none" w:sz="0" w:space="0" w:color="auto"/>
      </w:divBdr>
    </w:div>
    <w:div w:id="362245287">
      <w:marLeft w:val="0"/>
      <w:marRight w:val="0"/>
      <w:marTop w:val="0"/>
      <w:marBottom w:val="0"/>
      <w:divBdr>
        <w:top w:val="none" w:sz="0" w:space="0" w:color="auto"/>
        <w:left w:val="none" w:sz="0" w:space="0" w:color="auto"/>
        <w:bottom w:val="none" w:sz="0" w:space="0" w:color="auto"/>
        <w:right w:val="none" w:sz="0" w:space="0" w:color="auto"/>
      </w:divBdr>
      <w:divsChild>
        <w:div w:id="126362907">
          <w:marLeft w:val="0"/>
          <w:marRight w:val="0"/>
          <w:marTop w:val="0"/>
          <w:marBottom w:val="0"/>
          <w:divBdr>
            <w:top w:val="none" w:sz="0" w:space="0" w:color="auto"/>
            <w:left w:val="none" w:sz="0" w:space="0" w:color="auto"/>
            <w:bottom w:val="none" w:sz="0" w:space="0" w:color="auto"/>
            <w:right w:val="none" w:sz="0" w:space="0" w:color="auto"/>
          </w:divBdr>
        </w:div>
      </w:divsChild>
    </w:div>
    <w:div w:id="365983493">
      <w:marLeft w:val="0"/>
      <w:marRight w:val="0"/>
      <w:marTop w:val="240"/>
      <w:marBottom w:val="0"/>
      <w:divBdr>
        <w:top w:val="none" w:sz="0" w:space="0" w:color="auto"/>
        <w:left w:val="none" w:sz="0" w:space="0" w:color="auto"/>
        <w:bottom w:val="none" w:sz="0" w:space="0" w:color="auto"/>
        <w:right w:val="none" w:sz="0" w:space="0" w:color="auto"/>
      </w:divBdr>
    </w:div>
    <w:div w:id="367220318">
      <w:marLeft w:val="0"/>
      <w:marRight w:val="0"/>
      <w:marTop w:val="0"/>
      <w:marBottom w:val="0"/>
      <w:divBdr>
        <w:top w:val="none" w:sz="0" w:space="0" w:color="auto"/>
        <w:left w:val="none" w:sz="0" w:space="0" w:color="auto"/>
        <w:bottom w:val="none" w:sz="0" w:space="0" w:color="auto"/>
        <w:right w:val="none" w:sz="0" w:space="0" w:color="auto"/>
      </w:divBdr>
    </w:div>
    <w:div w:id="371541260">
      <w:marLeft w:val="0"/>
      <w:marRight w:val="0"/>
      <w:marTop w:val="0"/>
      <w:marBottom w:val="200"/>
      <w:divBdr>
        <w:top w:val="none" w:sz="0" w:space="0" w:color="auto"/>
        <w:left w:val="none" w:sz="0" w:space="0" w:color="auto"/>
        <w:bottom w:val="none" w:sz="0" w:space="0" w:color="auto"/>
        <w:right w:val="none" w:sz="0" w:space="0" w:color="auto"/>
      </w:divBdr>
    </w:div>
    <w:div w:id="371807845">
      <w:marLeft w:val="0"/>
      <w:marRight w:val="0"/>
      <w:marTop w:val="240"/>
      <w:marBottom w:val="240"/>
      <w:divBdr>
        <w:top w:val="none" w:sz="0" w:space="0" w:color="auto"/>
        <w:left w:val="none" w:sz="0" w:space="0" w:color="auto"/>
        <w:bottom w:val="none" w:sz="0" w:space="0" w:color="auto"/>
        <w:right w:val="none" w:sz="0" w:space="0" w:color="auto"/>
      </w:divBdr>
    </w:div>
    <w:div w:id="372580078">
      <w:marLeft w:val="0"/>
      <w:marRight w:val="0"/>
      <w:marTop w:val="0"/>
      <w:marBottom w:val="240"/>
      <w:divBdr>
        <w:top w:val="none" w:sz="0" w:space="0" w:color="auto"/>
        <w:left w:val="none" w:sz="0" w:space="0" w:color="auto"/>
        <w:bottom w:val="none" w:sz="0" w:space="0" w:color="auto"/>
        <w:right w:val="none" w:sz="0" w:space="0" w:color="auto"/>
      </w:divBdr>
    </w:div>
    <w:div w:id="374740361">
      <w:marLeft w:val="0"/>
      <w:marRight w:val="0"/>
      <w:marTop w:val="0"/>
      <w:marBottom w:val="0"/>
      <w:divBdr>
        <w:top w:val="none" w:sz="0" w:space="0" w:color="auto"/>
        <w:left w:val="none" w:sz="0" w:space="0" w:color="auto"/>
        <w:bottom w:val="none" w:sz="0" w:space="0" w:color="auto"/>
        <w:right w:val="none" w:sz="0" w:space="0" w:color="auto"/>
      </w:divBdr>
    </w:div>
    <w:div w:id="375472459">
      <w:marLeft w:val="0"/>
      <w:marRight w:val="0"/>
      <w:marTop w:val="240"/>
      <w:marBottom w:val="240"/>
      <w:divBdr>
        <w:top w:val="none" w:sz="0" w:space="0" w:color="auto"/>
        <w:left w:val="none" w:sz="0" w:space="0" w:color="auto"/>
        <w:bottom w:val="none" w:sz="0" w:space="0" w:color="auto"/>
        <w:right w:val="none" w:sz="0" w:space="0" w:color="auto"/>
      </w:divBdr>
    </w:div>
    <w:div w:id="375590779">
      <w:marLeft w:val="0"/>
      <w:marRight w:val="0"/>
      <w:marTop w:val="0"/>
      <w:marBottom w:val="120"/>
      <w:divBdr>
        <w:top w:val="none" w:sz="0" w:space="0" w:color="auto"/>
        <w:left w:val="none" w:sz="0" w:space="0" w:color="auto"/>
        <w:bottom w:val="none" w:sz="0" w:space="0" w:color="auto"/>
        <w:right w:val="none" w:sz="0" w:space="0" w:color="auto"/>
      </w:divBdr>
    </w:div>
    <w:div w:id="376319559">
      <w:marLeft w:val="0"/>
      <w:marRight w:val="0"/>
      <w:marTop w:val="0"/>
      <w:marBottom w:val="240"/>
      <w:divBdr>
        <w:top w:val="none" w:sz="0" w:space="0" w:color="auto"/>
        <w:left w:val="none" w:sz="0" w:space="0" w:color="auto"/>
        <w:bottom w:val="none" w:sz="0" w:space="0" w:color="auto"/>
        <w:right w:val="none" w:sz="0" w:space="0" w:color="auto"/>
      </w:divBdr>
    </w:div>
    <w:div w:id="377703423">
      <w:marLeft w:val="0"/>
      <w:marRight w:val="0"/>
      <w:marTop w:val="240"/>
      <w:marBottom w:val="240"/>
      <w:divBdr>
        <w:top w:val="none" w:sz="0" w:space="0" w:color="auto"/>
        <w:left w:val="none" w:sz="0" w:space="0" w:color="auto"/>
        <w:bottom w:val="none" w:sz="0" w:space="0" w:color="auto"/>
        <w:right w:val="none" w:sz="0" w:space="0" w:color="auto"/>
      </w:divBdr>
    </w:div>
    <w:div w:id="379018444">
      <w:marLeft w:val="0"/>
      <w:marRight w:val="0"/>
      <w:marTop w:val="0"/>
      <w:marBottom w:val="0"/>
      <w:divBdr>
        <w:top w:val="none" w:sz="0" w:space="0" w:color="auto"/>
        <w:left w:val="none" w:sz="0" w:space="0" w:color="auto"/>
        <w:bottom w:val="none" w:sz="0" w:space="0" w:color="auto"/>
        <w:right w:val="none" w:sz="0" w:space="0" w:color="auto"/>
      </w:divBdr>
    </w:div>
    <w:div w:id="379984936">
      <w:marLeft w:val="0"/>
      <w:marRight w:val="0"/>
      <w:marTop w:val="0"/>
      <w:marBottom w:val="0"/>
      <w:divBdr>
        <w:top w:val="none" w:sz="0" w:space="0" w:color="auto"/>
        <w:left w:val="none" w:sz="0" w:space="0" w:color="auto"/>
        <w:bottom w:val="none" w:sz="0" w:space="0" w:color="auto"/>
        <w:right w:val="none" w:sz="0" w:space="0" w:color="auto"/>
      </w:divBdr>
    </w:div>
    <w:div w:id="386417888">
      <w:marLeft w:val="0"/>
      <w:marRight w:val="0"/>
      <w:marTop w:val="0"/>
      <w:marBottom w:val="0"/>
      <w:divBdr>
        <w:top w:val="none" w:sz="0" w:space="0" w:color="auto"/>
        <w:left w:val="none" w:sz="0" w:space="0" w:color="auto"/>
        <w:bottom w:val="none" w:sz="0" w:space="0" w:color="auto"/>
        <w:right w:val="none" w:sz="0" w:space="0" w:color="auto"/>
      </w:divBdr>
      <w:divsChild>
        <w:div w:id="1450851610">
          <w:marLeft w:val="0"/>
          <w:marRight w:val="0"/>
          <w:marTop w:val="0"/>
          <w:marBottom w:val="0"/>
          <w:divBdr>
            <w:top w:val="none" w:sz="0" w:space="0" w:color="auto"/>
            <w:left w:val="none" w:sz="0" w:space="0" w:color="auto"/>
            <w:bottom w:val="none" w:sz="0" w:space="0" w:color="auto"/>
            <w:right w:val="none" w:sz="0" w:space="0" w:color="auto"/>
          </w:divBdr>
        </w:div>
      </w:divsChild>
    </w:div>
    <w:div w:id="388186759">
      <w:marLeft w:val="0"/>
      <w:marRight w:val="0"/>
      <w:marTop w:val="0"/>
      <w:marBottom w:val="0"/>
      <w:divBdr>
        <w:top w:val="none" w:sz="0" w:space="0" w:color="auto"/>
        <w:left w:val="none" w:sz="0" w:space="0" w:color="auto"/>
        <w:bottom w:val="none" w:sz="0" w:space="0" w:color="auto"/>
        <w:right w:val="none" w:sz="0" w:space="0" w:color="auto"/>
      </w:divBdr>
      <w:divsChild>
        <w:div w:id="1815098769">
          <w:marLeft w:val="0"/>
          <w:marRight w:val="0"/>
          <w:marTop w:val="0"/>
          <w:marBottom w:val="0"/>
          <w:divBdr>
            <w:top w:val="none" w:sz="0" w:space="0" w:color="auto"/>
            <w:left w:val="none" w:sz="0" w:space="0" w:color="auto"/>
            <w:bottom w:val="none" w:sz="0" w:space="0" w:color="auto"/>
            <w:right w:val="none" w:sz="0" w:space="0" w:color="auto"/>
          </w:divBdr>
        </w:div>
      </w:divsChild>
    </w:div>
    <w:div w:id="392629432">
      <w:marLeft w:val="0"/>
      <w:marRight w:val="0"/>
      <w:marTop w:val="0"/>
      <w:marBottom w:val="240"/>
      <w:divBdr>
        <w:top w:val="none" w:sz="0" w:space="0" w:color="auto"/>
        <w:left w:val="none" w:sz="0" w:space="0" w:color="auto"/>
        <w:bottom w:val="none" w:sz="0" w:space="0" w:color="auto"/>
        <w:right w:val="none" w:sz="0" w:space="0" w:color="auto"/>
      </w:divBdr>
    </w:div>
    <w:div w:id="396441156">
      <w:marLeft w:val="0"/>
      <w:marRight w:val="0"/>
      <w:marTop w:val="120"/>
      <w:marBottom w:val="0"/>
      <w:divBdr>
        <w:top w:val="none" w:sz="0" w:space="0" w:color="auto"/>
        <w:left w:val="none" w:sz="0" w:space="0" w:color="auto"/>
        <w:bottom w:val="none" w:sz="0" w:space="0" w:color="auto"/>
        <w:right w:val="none" w:sz="0" w:space="0" w:color="auto"/>
      </w:divBdr>
    </w:div>
    <w:div w:id="396822392">
      <w:marLeft w:val="0"/>
      <w:marRight w:val="0"/>
      <w:marTop w:val="240"/>
      <w:marBottom w:val="240"/>
      <w:divBdr>
        <w:top w:val="none" w:sz="0" w:space="0" w:color="auto"/>
        <w:left w:val="none" w:sz="0" w:space="0" w:color="auto"/>
        <w:bottom w:val="none" w:sz="0" w:space="0" w:color="auto"/>
        <w:right w:val="none" w:sz="0" w:space="0" w:color="auto"/>
      </w:divBdr>
    </w:div>
    <w:div w:id="397823421">
      <w:marLeft w:val="0"/>
      <w:marRight w:val="0"/>
      <w:marTop w:val="0"/>
      <w:marBottom w:val="240"/>
      <w:divBdr>
        <w:top w:val="none" w:sz="0" w:space="0" w:color="auto"/>
        <w:left w:val="none" w:sz="0" w:space="0" w:color="auto"/>
        <w:bottom w:val="none" w:sz="0" w:space="0" w:color="auto"/>
        <w:right w:val="none" w:sz="0" w:space="0" w:color="auto"/>
      </w:divBdr>
    </w:div>
    <w:div w:id="399668791">
      <w:marLeft w:val="0"/>
      <w:marRight w:val="0"/>
      <w:marTop w:val="0"/>
      <w:marBottom w:val="240"/>
      <w:divBdr>
        <w:top w:val="none" w:sz="0" w:space="0" w:color="auto"/>
        <w:left w:val="none" w:sz="0" w:space="0" w:color="auto"/>
        <w:bottom w:val="none" w:sz="0" w:space="0" w:color="auto"/>
        <w:right w:val="none" w:sz="0" w:space="0" w:color="auto"/>
      </w:divBdr>
    </w:div>
    <w:div w:id="400560663">
      <w:marLeft w:val="0"/>
      <w:marRight w:val="0"/>
      <w:marTop w:val="240"/>
      <w:marBottom w:val="240"/>
      <w:divBdr>
        <w:top w:val="none" w:sz="0" w:space="0" w:color="auto"/>
        <w:left w:val="none" w:sz="0" w:space="0" w:color="auto"/>
        <w:bottom w:val="none" w:sz="0" w:space="0" w:color="auto"/>
        <w:right w:val="none" w:sz="0" w:space="0" w:color="auto"/>
      </w:divBdr>
    </w:div>
    <w:div w:id="406995803">
      <w:marLeft w:val="0"/>
      <w:marRight w:val="0"/>
      <w:marTop w:val="0"/>
      <w:marBottom w:val="120"/>
      <w:divBdr>
        <w:top w:val="none" w:sz="0" w:space="0" w:color="auto"/>
        <w:left w:val="none" w:sz="0" w:space="0" w:color="auto"/>
        <w:bottom w:val="none" w:sz="0" w:space="0" w:color="auto"/>
        <w:right w:val="none" w:sz="0" w:space="0" w:color="auto"/>
      </w:divBdr>
    </w:div>
    <w:div w:id="410003127">
      <w:marLeft w:val="0"/>
      <w:marRight w:val="0"/>
      <w:marTop w:val="0"/>
      <w:marBottom w:val="120"/>
      <w:divBdr>
        <w:top w:val="none" w:sz="0" w:space="0" w:color="auto"/>
        <w:left w:val="none" w:sz="0" w:space="0" w:color="auto"/>
        <w:bottom w:val="none" w:sz="0" w:space="0" w:color="auto"/>
        <w:right w:val="none" w:sz="0" w:space="0" w:color="auto"/>
      </w:divBdr>
    </w:div>
    <w:div w:id="410347226">
      <w:marLeft w:val="0"/>
      <w:marRight w:val="0"/>
      <w:marTop w:val="0"/>
      <w:marBottom w:val="0"/>
      <w:divBdr>
        <w:top w:val="none" w:sz="0" w:space="0" w:color="auto"/>
        <w:left w:val="none" w:sz="0" w:space="0" w:color="auto"/>
        <w:bottom w:val="none" w:sz="0" w:space="0" w:color="auto"/>
        <w:right w:val="none" w:sz="0" w:space="0" w:color="auto"/>
      </w:divBdr>
      <w:divsChild>
        <w:div w:id="440103377">
          <w:marLeft w:val="0"/>
          <w:marRight w:val="0"/>
          <w:marTop w:val="0"/>
          <w:marBottom w:val="0"/>
          <w:divBdr>
            <w:top w:val="none" w:sz="0" w:space="0" w:color="auto"/>
            <w:left w:val="none" w:sz="0" w:space="0" w:color="auto"/>
            <w:bottom w:val="none" w:sz="0" w:space="0" w:color="auto"/>
            <w:right w:val="none" w:sz="0" w:space="0" w:color="auto"/>
          </w:divBdr>
        </w:div>
      </w:divsChild>
    </w:div>
    <w:div w:id="412775384">
      <w:marLeft w:val="0"/>
      <w:marRight w:val="0"/>
      <w:marTop w:val="0"/>
      <w:marBottom w:val="1"/>
      <w:divBdr>
        <w:top w:val="none" w:sz="0" w:space="0" w:color="auto"/>
        <w:left w:val="none" w:sz="0" w:space="0" w:color="auto"/>
        <w:bottom w:val="none" w:sz="0" w:space="0" w:color="auto"/>
        <w:right w:val="none" w:sz="0" w:space="0" w:color="auto"/>
      </w:divBdr>
    </w:div>
    <w:div w:id="419299582">
      <w:marLeft w:val="0"/>
      <w:marRight w:val="0"/>
      <w:marTop w:val="0"/>
      <w:marBottom w:val="0"/>
      <w:divBdr>
        <w:top w:val="none" w:sz="0" w:space="0" w:color="auto"/>
        <w:left w:val="none" w:sz="0" w:space="0" w:color="auto"/>
        <w:bottom w:val="none" w:sz="0" w:space="0" w:color="auto"/>
        <w:right w:val="none" w:sz="0" w:space="0" w:color="auto"/>
      </w:divBdr>
    </w:div>
    <w:div w:id="420223963">
      <w:marLeft w:val="0"/>
      <w:marRight w:val="0"/>
      <w:marTop w:val="0"/>
      <w:marBottom w:val="0"/>
      <w:divBdr>
        <w:top w:val="none" w:sz="0" w:space="0" w:color="auto"/>
        <w:left w:val="none" w:sz="0" w:space="0" w:color="auto"/>
        <w:bottom w:val="none" w:sz="0" w:space="0" w:color="auto"/>
        <w:right w:val="none" w:sz="0" w:space="0" w:color="auto"/>
      </w:divBdr>
      <w:divsChild>
        <w:div w:id="171265544">
          <w:marLeft w:val="0"/>
          <w:marRight w:val="0"/>
          <w:marTop w:val="0"/>
          <w:marBottom w:val="0"/>
          <w:divBdr>
            <w:top w:val="none" w:sz="0" w:space="0" w:color="auto"/>
            <w:left w:val="none" w:sz="0" w:space="0" w:color="auto"/>
            <w:bottom w:val="none" w:sz="0" w:space="0" w:color="auto"/>
            <w:right w:val="none" w:sz="0" w:space="0" w:color="auto"/>
          </w:divBdr>
        </w:div>
      </w:divsChild>
    </w:div>
    <w:div w:id="422919683">
      <w:marLeft w:val="0"/>
      <w:marRight w:val="0"/>
      <w:marTop w:val="0"/>
      <w:marBottom w:val="0"/>
      <w:divBdr>
        <w:top w:val="none" w:sz="0" w:space="0" w:color="auto"/>
        <w:left w:val="none" w:sz="0" w:space="0" w:color="auto"/>
        <w:bottom w:val="none" w:sz="0" w:space="0" w:color="auto"/>
        <w:right w:val="none" w:sz="0" w:space="0" w:color="auto"/>
      </w:divBdr>
    </w:div>
    <w:div w:id="424107528">
      <w:marLeft w:val="0"/>
      <w:marRight w:val="0"/>
      <w:marTop w:val="240"/>
      <w:marBottom w:val="240"/>
      <w:divBdr>
        <w:top w:val="none" w:sz="0" w:space="0" w:color="auto"/>
        <w:left w:val="none" w:sz="0" w:space="0" w:color="auto"/>
        <w:bottom w:val="none" w:sz="0" w:space="0" w:color="auto"/>
        <w:right w:val="none" w:sz="0" w:space="0" w:color="auto"/>
      </w:divBdr>
    </w:div>
    <w:div w:id="438140721">
      <w:marLeft w:val="0"/>
      <w:marRight w:val="0"/>
      <w:marTop w:val="0"/>
      <w:marBottom w:val="0"/>
      <w:divBdr>
        <w:top w:val="none" w:sz="0" w:space="0" w:color="auto"/>
        <w:left w:val="none" w:sz="0" w:space="0" w:color="auto"/>
        <w:bottom w:val="none" w:sz="0" w:space="0" w:color="auto"/>
        <w:right w:val="none" w:sz="0" w:space="0" w:color="auto"/>
      </w:divBdr>
      <w:divsChild>
        <w:div w:id="1058672902">
          <w:marLeft w:val="0"/>
          <w:marRight w:val="0"/>
          <w:marTop w:val="0"/>
          <w:marBottom w:val="0"/>
          <w:divBdr>
            <w:top w:val="none" w:sz="0" w:space="0" w:color="auto"/>
            <w:left w:val="none" w:sz="0" w:space="0" w:color="auto"/>
            <w:bottom w:val="none" w:sz="0" w:space="0" w:color="auto"/>
            <w:right w:val="none" w:sz="0" w:space="0" w:color="auto"/>
          </w:divBdr>
        </w:div>
      </w:divsChild>
    </w:div>
    <w:div w:id="443186846">
      <w:marLeft w:val="0"/>
      <w:marRight w:val="0"/>
      <w:marTop w:val="0"/>
      <w:marBottom w:val="0"/>
      <w:divBdr>
        <w:top w:val="none" w:sz="0" w:space="0" w:color="auto"/>
        <w:left w:val="none" w:sz="0" w:space="0" w:color="auto"/>
        <w:bottom w:val="none" w:sz="0" w:space="0" w:color="auto"/>
        <w:right w:val="none" w:sz="0" w:space="0" w:color="auto"/>
      </w:divBdr>
    </w:div>
    <w:div w:id="447505102">
      <w:marLeft w:val="0"/>
      <w:marRight w:val="0"/>
      <w:marTop w:val="0"/>
      <w:marBottom w:val="240"/>
      <w:divBdr>
        <w:top w:val="none" w:sz="0" w:space="0" w:color="auto"/>
        <w:left w:val="none" w:sz="0" w:space="0" w:color="auto"/>
        <w:bottom w:val="none" w:sz="0" w:space="0" w:color="auto"/>
        <w:right w:val="none" w:sz="0" w:space="0" w:color="auto"/>
      </w:divBdr>
    </w:div>
    <w:div w:id="450704862">
      <w:marLeft w:val="0"/>
      <w:marRight w:val="0"/>
      <w:marTop w:val="0"/>
      <w:marBottom w:val="240"/>
      <w:divBdr>
        <w:top w:val="none" w:sz="0" w:space="0" w:color="auto"/>
        <w:left w:val="none" w:sz="0" w:space="0" w:color="auto"/>
        <w:bottom w:val="none" w:sz="0" w:space="0" w:color="auto"/>
        <w:right w:val="none" w:sz="0" w:space="0" w:color="auto"/>
      </w:divBdr>
    </w:div>
    <w:div w:id="456684729">
      <w:marLeft w:val="0"/>
      <w:marRight w:val="0"/>
      <w:marTop w:val="0"/>
      <w:marBottom w:val="120"/>
      <w:divBdr>
        <w:top w:val="none" w:sz="0" w:space="0" w:color="auto"/>
        <w:left w:val="none" w:sz="0" w:space="0" w:color="auto"/>
        <w:bottom w:val="none" w:sz="0" w:space="0" w:color="auto"/>
        <w:right w:val="none" w:sz="0" w:space="0" w:color="auto"/>
      </w:divBdr>
    </w:div>
    <w:div w:id="469253843">
      <w:marLeft w:val="0"/>
      <w:marRight w:val="0"/>
      <w:marTop w:val="0"/>
      <w:marBottom w:val="0"/>
      <w:divBdr>
        <w:top w:val="none" w:sz="0" w:space="0" w:color="auto"/>
        <w:left w:val="none" w:sz="0" w:space="0" w:color="auto"/>
        <w:bottom w:val="none" w:sz="0" w:space="0" w:color="auto"/>
        <w:right w:val="none" w:sz="0" w:space="0" w:color="auto"/>
      </w:divBdr>
    </w:div>
    <w:div w:id="474611827">
      <w:marLeft w:val="0"/>
      <w:marRight w:val="0"/>
      <w:marTop w:val="0"/>
      <w:marBottom w:val="240"/>
      <w:divBdr>
        <w:top w:val="none" w:sz="0" w:space="0" w:color="auto"/>
        <w:left w:val="none" w:sz="0" w:space="0" w:color="auto"/>
        <w:bottom w:val="none" w:sz="0" w:space="0" w:color="auto"/>
        <w:right w:val="none" w:sz="0" w:space="0" w:color="auto"/>
      </w:divBdr>
    </w:div>
    <w:div w:id="476841058">
      <w:marLeft w:val="0"/>
      <w:marRight w:val="0"/>
      <w:marTop w:val="0"/>
      <w:marBottom w:val="240"/>
      <w:divBdr>
        <w:top w:val="none" w:sz="0" w:space="0" w:color="auto"/>
        <w:left w:val="none" w:sz="0" w:space="0" w:color="auto"/>
        <w:bottom w:val="none" w:sz="0" w:space="0" w:color="auto"/>
        <w:right w:val="none" w:sz="0" w:space="0" w:color="auto"/>
      </w:divBdr>
    </w:div>
    <w:div w:id="480007524">
      <w:marLeft w:val="0"/>
      <w:marRight w:val="0"/>
      <w:marTop w:val="0"/>
      <w:marBottom w:val="240"/>
      <w:divBdr>
        <w:top w:val="none" w:sz="0" w:space="0" w:color="auto"/>
        <w:left w:val="none" w:sz="0" w:space="0" w:color="auto"/>
        <w:bottom w:val="none" w:sz="0" w:space="0" w:color="auto"/>
        <w:right w:val="none" w:sz="0" w:space="0" w:color="auto"/>
      </w:divBdr>
    </w:div>
    <w:div w:id="482890000">
      <w:marLeft w:val="0"/>
      <w:marRight w:val="0"/>
      <w:marTop w:val="0"/>
      <w:marBottom w:val="0"/>
      <w:divBdr>
        <w:top w:val="none" w:sz="0" w:space="0" w:color="auto"/>
        <w:left w:val="none" w:sz="0" w:space="0" w:color="auto"/>
        <w:bottom w:val="none" w:sz="0" w:space="0" w:color="auto"/>
        <w:right w:val="none" w:sz="0" w:space="0" w:color="auto"/>
      </w:divBdr>
      <w:divsChild>
        <w:div w:id="1124885732">
          <w:marLeft w:val="0"/>
          <w:marRight w:val="0"/>
          <w:marTop w:val="0"/>
          <w:marBottom w:val="0"/>
          <w:divBdr>
            <w:top w:val="none" w:sz="0" w:space="0" w:color="auto"/>
            <w:left w:val="none" w:sz="0" w:space="0" w:color="auto"/>
            <w:bottom w:val="none" w:sz="0" w:space="0" w:color="auto"/>
            <w:right w:val="none" w:sz="0" w:space="0" w:color="auto"/>
          </w:divBdr>
        </w:div>
      </w:divsChild>
    </w:div>
    <w:div w:id="483812633">
      <w:marLeft w:val="0"/>
      <w:marRight w:val="0"/>
      <w:marTop w:val="0"/>
      <w:marBottom w:val="120"/>
      <w:divBdr>
        <w:top w:val="none" w:sz="0" w:space="0" w:color="auto"/>
        <w:left w:val="none" w:sz="0" w:space="0" w:color="auto"/>
        <w:bottom w:val="none" w:sz="0" w:space="0" w:color="auto"/>
        <w:right w:val="none" w:sz="0" w:space="0" w:color="auto"/>
      </w:divBdr>
    </w:div>
    <w:div w:id="485633337">
      <w:marLeft w:val="0"/>
      <w:marRight w:val="0"/>
      <w:marTop w:val="0"/>
      <w:marBottom w:val="240"/>
      <w:divBdr>
        <w:top w:val="none" w:sz="0" w:space="0" w:color="auto"/>
        <w:left w:val="none" w:sz="0" w:space="0" w:color="auto"/>
        <w:bottom w:val="none" w:sz="0" w:space="0" w:color="auto"/>
        <w:right w:val="none" w:sz="0" w:space="0" w:color="auto"/>
      </w:divBdr>
    </w:div>
    <w:div w:id="495414277">
      <w:marLeft w:val="0"/>
      <w:marRight w:val="0"/>
      <w:marTop w:val="0"/>
      <w:marBottom w:val="0"/>
      <w:divBdr>
        <w:top w:val="none" w:sz="0" w:space="0" w:color="auto"/>
        <w:left w:val="none" w:sz="0" w:space="0" w:color="auto"/>
        <w:bottom w:val="none" w:sz="0" w:space="0" w:color="auto"/>
        <w:right w:val="none" w:sz="0" w:space="0" w:color="auto"/>
      </w:divBdr>
      <w:divsChild>
        <w:div w:id="644313957">
          <w:marLeft w:val="0"/>
          <w:marRight w:val="0"/>
          <w:marTop w:val="0"/>
          <w:marBottom w:val="0"/>
          <w:divBdr>
            <w:top w:val="none" w:sz="0" w:space="0" w:color="auto"/>
            <w:left w:val="none" w:sz="0" w:space="0" w:color="auto"/>
            <w:bottom w:val="none" w:sz="0" w:space="0" w:color="auto"/>
            <w:right w:val="none" w:sz="0" w:space="0" w:color="auto"/>
          </w:divBdr>
        </w:div>
      </w:divsChild>
    </w:div>
    <w:div w:id="506015664">
      <w:marLeft w:val="0"/>
      <w:marRight w:val="0"/>
      <w:marTop w:val="240"/>
      <w:marBottom w:val="240"/>
      <w:divBdr>
        <w:top w:val="none" w:sz="0" w:space="0" w:color="auto"/>
        <w:left w:val="none" w:sz="0" w:space="0" w:color="auto"/>
        <w:bottom w:val="none" w:sz="0" w:space="0" w:color="auto"/>
        <w:right w:val="none" w:sz="0" w:space="0" w:color="auto"/>
      </w:divBdr>
    </w:div>
    <w:div w:id="514461549">
      <w:marLeft w:val="0"/>
      <w:marRight w:val="0"/>
      <w:marTop w:val="120"/>
      <w:marBottom w:val="240"/>
      <w:divBdr>
        <w:top w:val="none" w:sz="0" w:space="0" w:color="auto"/>
        <w:left w:val="none" w:sz="0" w:space="0" w:color="auto"/>
        <w:bottom w:val="none" w:sz="0" w:space="0" w:color="auto"/>
        <w:right w:val="none" w:sz="0" w:space="0" w:color="auto"/>
      </w:divBdr>
    </w:div>
    <w:div w:id="516122416">
      <w:marLeft w:val="0"/>
      <w:marRight w:val="0"/>
      <w:marTop w:val="0"/>
      <w:marBottom w:val="0"/>
      <w:divBdr>
        <w:top w:val="none" w:sz="0" w:space="0" w:color="auto"/>
        <w:left w:val="none" w:sz="0" w:space="0" w:color="auto"/>
        <w:bottom w:val="none" w:sz="0" w:space="0" w:color="auto"/>
        <w:right w:val="none" w:sz="0" w:space="0" w:color="auto"/>
      </w:divBdr>
    </w:div>
    <w:div w:id="525219191">
      <w:marLeft w:val="0"/>
      <w:marRight w:val="0"/>
      <w:marTop w:val="0"/>
      <w:marBottom w:val="0"/>
      <w:divBdr>
        <w:top w:val="none" w:sz="0" w:space="0" w:color="auto"/>
        <w:left w:val="none" w:sz="0" w:space="0" w:color="auto"/>
        <w:bottom w:val="none" w:sz="0" w:space="0" w:color="auto"/>
        <w:right w:val="none" w:sz="0" w:space="0" w:color="auto"/>
      </w:divBdr>
    </w:div>
    <w:div w:id="529807355">
      <w:marLeft w:val="0"/>
      <w:marRight w:val="0"/>
      <w:marTop w:val="0"/>
      <w:marBottom w:val="0"/>
      <w:divBdr>
        <w:top w:val="none" w:sz="0" w:space="0" w:color="auto"/>
        <w:left w:val="none" w:sz="0" w:space="0" w:color="auto"/>
        <w:bottom w:val="none" w:sz="0" w:space="0" w:color="auto"/>
        <w:right w:val="none" w:sz="0" w:space="0" w:color="auto"/>
      </w:divBdr>
    </w:div>
    <w:div w:id="530340702">
      <w:marLeft w:val="0"/>
      <w:marRight w:val="0"/>
      <w:marTop w:val="240"/>
      <w:marBottom w:val="0"/>
      <w:divBdr>
        <w:top w:val="none" w:sz="0" w:space="0" w:color="auto"/>
        <w:left w:val="none" w:sz="0" w:space="0" w:color="auto"/>
        <w:bottom w:val="none" w:sz="0" w:space="0" w:color="auto"/>
        <w:right w:val="none" w:sz="0" w:space="0" w:color="auto"/>
      </w:divBdr>
    </w:div>
    <w:div w:id="534538114">
      <w:marLeft w:val="0"/>
      <w:marRight w:val="0"/>
      <w:marTop w:val="240"/>
      <w:marBottom w:val="240"/>
      <w:divBdr>
        <w:top w:val="none" w:sz="0" w:space="0" w:color="auto"/>
        <w:left w:val="none" w:sz="0" w:space="0" w:color="auto"/>
        <w:bottom w:val="none" w:sz="0" w:space="0" w:color="auto"/>
        <w:right w:val="none" w:sz="0" w:space="0" w:color="auto"/>
      </w:divBdr>
    </w:div>
    <w:div w:id="546989010">
      <w:marLeft w:val="0"/>
      <w:marRight w:val="0"/>
      <w:marTop w:val="0"/>
      <w:marBottom w:val="0"/>
      <w:divBdr>
        <w:top w:val="none" w:sz="0" w:space="0" w:color="auto"/>
        <w:left w:val="none" w:sz="0" w:space="0" w:color="auto"/>
        <w:bottom w:val="none" w:sz="0" w:space="0" w:color="auto"/>
        <w:right w:val="none" w:sz="0" w:space="0" w:color="auto"/>
      </w:divBdr>
      <w:divsChild>
        <w:div w:id="986662874">
          <w:marLeft w:val="0"/>
          <w:marRight w:val="0"/>
          <w:marTop w:val="0"/>
          <w:marBottom w:val="0"/>
          <w:divBdr>
            <w:top w:val="none" w:sz="0" w:space="0" w:color="auto"/>
            <w:left w:val="none" w:sz="0" w:space="0" w:color="auto"/>
            <w:bottom w:val="none" w:sz="0" w:space="0" w:color="auto"/>
            <w:right w:val="none" w:sz="0" w:space="0" w:color="auto"/>
          </w:divBdr>
        </w:div>
      </w:divsChild>
    </w:div>
    <w:div w:id="547764517">
      <w:marLeft w:val="0"/>
      <w:marRight w:val="0"/>
      <w:marTop w:val="0"/>
      <w:marBottom w:val="0"/>
      <w:divBdr>
        <w:top w:val="none" w:sz="0" w:space="0" w:color="auto"/>
        <w:left w:val="none" w:sz="0" w:space="0" w:color="auto"/>
        <w:bottom w:val="none" w:sz="0" w:space="0" w:color="auto"/>
        <w:right w:val="none" w:sz="0" w:space="0" w:color="auto"/>
      </w:divBdr>
      <w:divsChild>
        <w:div w:id="630599067">
          <w:marLeft w:val="0"/>
          <w:marRight w:val="0"/>
          <w:marTop w:val="0"/>
          <w:marBottom w:val="0"/>
          <w:divBdr>
            <w:top w:val="none" w:sz="0" w:space="0" w:color="auto"/>
            <w:left w:val="none" w:sz="0" w:space="0" w:color="auto"/>
            <w:bottom w:val="none" w:sz="0" w:space="0" w:color="auto"/>
            <w:right w:val="none" w:sz="0" w:space="0" w:color="auto"/>
          </w:divBdr>
        </w:div>
      </w:divsChild>
    </w:div>
    <w:div w:id="548300467">
      <w:marLeft w:val="0"/>
      <w:marRight w:val="0"/>
      <w:marTop w:val="0"/>
      <w:marBottom w:val="0"/>
      <w:divBdr>
        <w:top w:val="none" w:sz="0" w:space="0" w:color="auto"/>
        <w:left w:val="none" w:sz="0" w:space="0" w:color="auto"/>
        <w:bottom w:val="none" w:sz="0" w:space="0" w:color="auto"/>
        <w:right w:val="none" w:sz="0" w:space="0" w:color="auto"/>
      </w:divBdr>
      <w:divsChild>
        <w:div w:id="496850942">
          <w:marLeft w:val="0"/>
          <w:marRight w:val="0"/>
          <w:marTop w:val="0"/>
          <w:marBottom w:val="0"/>
          <w:divBdr>
            <w:top w:val="none" w:sz="0" w:space="0" w:color="auto"/>
            <w:left w:val="none" w:sz="0" w:space="0" w:color="auto"/>
            <w:bottom w:val="none" w:sz="0" w:space="0" w:color="auto"/>
            <w:right w:val="none" w:sz="0" w:space="0" w:color="auto"/>
          </w:divBdr>
        </w:div>
        <w:div w:id="1133447878">
          <w:marLeft w:val="0"/>
          <w:marRight w:val="0"/>
          <w:marTop w:val="0"/>
          <w:marBottom w:val="0"/>
          <w:divBdr>
            <w:top w:val="none" w:sz="0" w:space="0" w:color="auto"/>
            <w:left w:val="none" w:sz="0" w:space="0" w:color="auto"/>
            <w:bottom w:val="none" w:sz="0" w:space="0" w:color="auto"/>
            <w:right w:val="none" w:sz="0" w:space="0" w:color="auto"/>
          </w:divBdr>
        </w:div>
        <w:div w:id="1443188784">
          <w:marLeft w:val="0"/>
          <w:marRight w:val="0"/>
          <w:marTop w:val="0"/>
          <w:marBottom w:val="0"/>
          <w:divBdr>
            <w:top w:val="none" w:sz="0" w:space="0" w:color="auto"/>
            <w:left w:val="none" w:sz="0" w:space="0" w:color="auto"/>
            <w:bottom w:val="none" w:sz="0" w:space="0" w:color="auto"/>
            <w:right w:val="none" w:sz="0" w:space="0" w:color="auto"/>
          </w:divBdr>
        </w:div>
        <w:div w:id="1458521196">
          <w:marLeft w:val="0"/>
          <w:marRight w:val="0"/>
          <w:marTop w:val="0"/>
          <w:marBottom w:val="0"/>
          <w:divBdr>
            <w:top w:val="none" w:sz="0" w:space="0" w:color="auto"/>
            <w:left w:val="none" w:sz="0" w:space="0" w:color="auto"/>
            <w:bottom w:val="none" w:sz="0" w:space="0" w:color="auto"/>
            <w:right w:val="none" w:sz="0" w:space="0" w:color="auto"/>
          </w:divBdr>
        </w:div>
        <w:div w:id="153880259">
          <w:marLeft w:val="0"/>
          <w:marRight w:val="0"/>
          <w:marTop w:val="0"/>
          <w:marBottom w:val="0"/>
          <w:divBdr>
            <w:top w:val="none" w:sz="0" w:space="0" w:color="auto"/>
            <w:left w:val="none" w:sz="0" w:space="0" w:color="auto"/>
            <w:bottom w:val="none" w:sz="0" w:space="0" w:color="auto"/>
            <w:right w:val="none" w:sz="0" w:space="0" w:color="auto"/>
          </w:divBdr>
        </w:div>
        <w:div w:id="2083484916">
          <w:marLeft w:val="0"/>
          <w:marRight w:val="0"/>
          <w:marTop w:val="0"/>
          <w:marBottom w:val="0"/>
          <w:divBdr>
            <w:top w:val="none" w:sz="0" w:space="0" w:color="auto"/>
            <w:left w:val="none" w:sz="0" w:space="0" w:color="auto"/>
            <w:bottom w:val="none" w:sz="0" w:space="0" w:color="auto"/>
            <w:right w:val="none" w:sz="0" w:space="0" w:color="auto"/>
          </w:divBdr>
        </w:div>
        <w:div w:id="1520585294">
          <w:marLeft w:val="0"/>
          <w:marRight w:val="0"/>
          <w:marTop w:val="0"/>
          <w:marBottom w:val="0"/>
          <w:divBdr>
            <w:top w:val="none" w:sz="0" w:space="0" w:color="auto"/>
            <w:left w:val="none" w:sz="0" w:space="0" w:color="auto"/>
            <w:bottom w:val="none" w:sz="0" w:space="0" w:color="auto"/>
            <w:right w:val="none" w:sz="0" w:space="0" w:color="auto"/>
          </w:divBdr>
        </w:div>
        <w:div w:id="859733095">
          <w:marLeft w:val="0"/>
          <w:marRight w:val="0"/>
          <w:marTop w:val="0"/>
          <w:marBottom w:val="0"/>
          <w:divBdr>
            <w:top w:val="none" w:sz="0" w:space="0" w:color="auto"/>
            <w:left w:val="none" w:sz="0" w:space="0" w:color="auto"/>
            <w:bottom w:val="none" w:sz="0" w:space="0" w:color="auto"/>
            <w:right w:val="none" w:sz="0" w:space="0" w:color="auto"/>
          </w:divBdr>
        </w:div>
        <w:div w:id="543450310">
          <w:marLeft w:val="0"/>
          <w:marRight w:val="0"/>
          <w:marTop w:val="0"/>
          <w:marBottom w:val="0"/>
          <w:divBdr>
            <w:top w:val="none" w:sz="0" w:space="0" w:color="auto"/>
            <w:left w:val="none" w:sz="0" w:space="0" w:color="auto"/>
            <w:bottom w:val="none" w:sz="0" w:space="0" w:color="auto"/>
            <w:right w:val="none" w:sz="0" w:space="0" w:color="auto"/>
          </w:divBdr>
        </w:div>
        <w:div w:id="399520616">
          <w:marLeft w:val="0"/>
          <w:marRight w:val="0"/>
          <w:marTop w:val="0"/>
          <w:marBottom w:val="0"/>
          <w:divBdr>
            <w:top w:val="none" w:sz="0" w:space="0" w:color="auto"/>
            <w:left w:val="none" w:sz="0" w:space="0" w:color="auto"/>
            <w:bottom w:val="none" w:sz="0" w:space="0" w:color="auto"/>
            <w:right w:val="none" w:sz="0" w:space="0" w:color="auto"/>
          </w:divBdr>
        </w:div>
        <w:div w:id="756243907">
          <w:marLeft w:val="0"/>
          <w:marRight w:val="0"/>
          <w:marTop w:val="0"/>
          <w:marBottom w:val="0"/>
          <w:divBdr>
            <w:top w:val="none" w:sz="0" w:space="0" w:color="auto"/>
            <w:left w:val="none" w:sz="0" w:space="0" w:color="auto"/>
            <w:bottom w:val="none" w:sz="0" w:space="0" w:color="auto"/>
            <w:right w:val="none" w:sz="0" w:space="0" w:color="auto"/>
          </w:divBdr>
        </w:div>
      </w:divsChild>
    </w:div>
    <w:div w:id="555900370">
      <w:marLeft w:val="0"/>
      <w:marRight w:val="0"/>
      <w:marTop w:val="0"/>
      <w:marBottom w:val="240"/>
      <w:divBdr>
        <w:top w:val="none" w:sz="0" w:space="0" w:color="auto"/>
        <w:left w:val="none" w:sz="0" w:space="0" w:color="auto"/>
        <w:bottom w:val="none" w:sz="0" w:space="0" w:color="auto"/>
        <w:right w:val="none" w:sz="0" w:space="0" w:color="auto"/>
      </w:divBdr>
    </w:div>
    <w:div w:id="565073732">
      <w:marLeft w:val="0"/>
      <w:marRight w:val="0"/>
      <w:marTop w:val="0"/>
      <w:marBottom w:val="0"/>
      <w:divBdr>
        <w:top w:val="none" w:sz="0" w:space="0" w:color="auto"/>
        <w:left w:val="none" w:sz="0" w:space="0" w:color="auto"/>
        <w:bottom w:val="none" w:sz="0" w:space="0" w:color="auto"/>
        <w:right w:val="none" w:sz="0" w:space="0" w:color="auto"/>
      </w:divBdr>
      <w:divsChild>
        <w:div w:id="1453092956">
          <w:marLeft w:val="0"/>
          <w:marRight w:val="0"/>
          <w:marTop w:val="0"/>
          <w:marBottom w:val="0"/>
          <w:divBdr>
            <w:top w:val="none" w:sz="0" w:space="0" w:color="auto"/>
            <w:left w:val="none" w:sz="0" w:space="0" w:color="auto"/>
            <w:bottom w:val="none" w:sz="0" w:space="0" w:color="auto"/>
            <w:right w:val="none" w:sz="0" w:space="0" w:color="auto"/>
          </w:divBdr>
        </w:div>
      </w:divsChild>
    </w:div>
    <w:div w:id="569922151">
      <w:marLeft w:val="0"/>
      <w:marRight w:val="0"/>
      <w:marTop w:val="0"/>
      <w:marBottom w:val="0"/>
      <w:divBdr>
        <w:top w:val="none" w:sz="0" w:space="0" w:color="auto"/>
        <w:left w:val="none" w:sz="0" w:space="0" w:color="auto"/>
        <w:bottom w:val="none" w:sz="0" w:space="0" w:color="auto"/>
        <w:right w:val="none" w:sz="0" w:space="0" w:color="auto"/>
      </w:divBdr>
    </w:div>
    <w:div w:id="582300818">
      <w:marLeft w:val="0"/>
      <w:marRight w:val="0"/>
      <w:marTop w:val="0"/>
      <w:marBottom w:val="0"/>
      <w:divBdr>
        <w:top w:val="none" w:sz="0" w:space="0" w:color="auto"/>
        <w:left w:val="none" w:sz="0" w:space="0" w:color="auto"/>
        <w:bottom w:val="none" w:sz="0" w:space="0" w:color="auto"/>
        <w:right w:val="none" w:sz="0" w:space="0" w:color="auto"/>
      </w:divBdr>
    </w:div>
    <w:div w:id="583222178">
      <w:marLeft w:val="0"/>
      <w:marRight w:val="0"/>
      <w:marTop w:val="0"/>
      <w:marBottom w:val="240"/>
      <w:divBdr>
        <w:top w:val="none" w:sz="0" w:space="0" w:color="auto"/>
        <w:left w:val="none" w:sz="0" w:space="0" w:color="auto"/>
        <w:bottom w:val="none" w:sz="0" w:space="0" w:color="auto"/>
        <w:right w:val="none" w:sz="0" w:space="0" w:color="auto"/>
      </w:divBdr>
    </w:div>
    <w:div w:id="588853206">
      <w:marLeft w:val="0"/>
      <w:marRight w:val="0"/>
      <w:marTop w:val="0"/>
      <w:marBottom w:val="240"/>
      <w:divBdr>
        <w:top w:val="none" w:sz="0" w:space="0" w:color="auto"/>
        <w:left w:val="none" w:sz="0" w:space="0" w:color="auto"/>
        <w:bottom w:val="none" w:sz="0" w:space="0" w:color="auto"/>
        <w:right w:val="none" w:sz="0" w:space="0" w:color="auto"/>
      </w:divBdr>
    </w:div>
    <w:div w:id="591625625">
      <w:marLeft w:val="0"/>
      <w:marRight w:val="0"/>
      <w:marTop w:val="0"/>
      <w:marBottom w:val="0"/>
      <w:divBdr>
        <w:top w:val="none" w:sz="0" w:space="0" w:color="auto"/>
        <w:left w:val="none" w:sz="0" w:space="0" w:color="auto"/>
        <w:bottom w:val="none" w:sz="0" w:space="0" w:color="auto"/>
        <w:right w:val="none" w:sz="0" w:space="0" w:color="auto"/>
      </w:divBdr>
    </w:div>
    <w:div w:id="592787660">
      <w:marLeft w:val="0"/>
      <w:marRight w:val="0"/>
      <w:marTop w:val="0"/>
      <w:marBottom w:val="0"/>
      <w:divBdr>
        <w:top w:val="none" w:sz="0" w:space="0" w:color="auto"/>
        <w:left w:val="none" w:sz="0" w:space="0" w:color="auto"/>
        <w:bottom w:val="none" w:sz="0" w:space="0" w:color="auto"/>
        <w:right w:val="none" w:sz="0" w:space="0" w:color="auto"/>
      </w:divBdr>
    </w:div>
    <w:div w:id="594634355">
      <w:marLeft w:val="0"/>
      <w:marRight w:val="0"/>
      <w:marTop w:val="0"/>
      <w:marBottom w:val="0"/>
      <w:divBdr>
        <w:top w:val="none" w:sz="0" w:space="0" w:color="auto"/>
        <w:left w:val="none" w:sz="0" w:space="0" w:color="auto"/>
        <w:bottom w:val="none" w:sz="0" w:space="0" w:color="auto"/>
        <w:right w:val="none" w:sz="0" w:space="0" w:color="auto"/>
      </w:divBdr>
    </w:div>
    <w:div w:id="596133574">
      <w:marLeft w:val="0"/>
      <w:marRight w:val="0"/>
      <w:marTop w:val="0"/>
      <w:marBottom w:val="0"/>
      <w:divBdr>
        <w:top w:val="none" w:sz="0" w:space="0" w:color="auto"/>
        <w:left w:val="none" w:sz="0" w:space="0" w:color="auto"/>
        <w:bottom w:val="none" w:sz="0" w:space="0" w:color="auto"/>
        <w:right w:val="none" w:sz="0" w:space="0" w:color="auto"/>
      </w:divBdr>
    </w:div>
    <w:div w:id="605889172">
      <w:marLeft w:val="0"/>
      <w:marRight w:val="0"/>
      <w:marTop w:val="0"/>
      <w:marBottom w:val="240"/>
      <w:divBdr>
        <w:top w:val="none" w:sz="0" w:space="0" w:color="auto"/>
        <w:left w:val="none" w:sz="0" w:space="0" w:color="auto"/>
        <w:bottom w:val="none" w:sz="0" w:space="0" w:color="auto"/>
        <w:right w:val="none" w:sz="0" w:space="0" w:color="auto"/>
      </w:divBdr>
    </w:div>
    <w:div w:id="614866530">
      <w:marLeft w:val="0"/>
      <w:marRight w:val="0"/>
      <w:marTop w:val="0"/>
      <w:marBottom w:val="0"/>
      <w:divBdr>
        <w:top w:val="none" w:sz="0" w:space="0" w:color="auto"/>
        <w:left w:val="none" w:sz="0" w:space="0" w:color="auto"/>
        <w:bottom w:val="none" w:sz="0" w:space="0" w:color="auto"/>
        <w:right w:val="none" w:sz="0" w:space="0" w:color="auto"/>
      </w:divBdr>
    </w:div>
    <w:div w:id="614942181">
      <w:marLeft w:val="0"/>
      <w:marRight w:val="0"/>
      <w:marTop w:val="0"/>
      <w:marBottom w:val="0"/>
      <w:divBdr>
        <w:top w:val="none" w:sz="0" w:space="0" w:color="auto"/>
        <w:left w:val="none" w:sz="0" w:space="0" w:color="auto"/>
        <w:bottom w:val="none" w:sz="0" w:space="0" w:color="auto"/>
        <w:right w:val="none" w:sz="0" w:space="0" w:color="auto"/>
      </w:divBdr>
      <w:divsChild>
        <w:div w:id="1951274196">
          <w:marLeft w:val="0"/>
          <w:marRight w:val="0"/>
          <w:marTop w:val="0"/>
          <w:marBottom w:val="0"/>
          <w:divBdr>
            <w:top w:val="none" w:sz="0" w:space="0" w:color="auto"/>
            <w:left w:val="none" w:sz="0" w:space="0" w:color="auto"/>
            <w:bottom w:val="none" w:sz="0" w:space="0" w:color="auto"/>
            <w:right w:val="none" w:sz="0" w:space="0" w:color="auto"/>
          </w:divBdr>
        </w:div>
      </w:divsChild>
    </w:div>
    <w:div w:id="615598907">
      <w:marLeft w:val="0"/>
      <w:marRight w:val="0"/>
      <w:marTop w:val="0"/>
      <w:marBottom w:val="120"/>
      <w:divBdr>
        <w:top w:val="none" w:sz="0" w:space="0" w:color="auto"/>
        <w:left w:val="none" w:sz="0" w:space="0" w:color="auto"/>
        <w:bottom w:val="none" w:sz="0" w:space="0" w:color="auto"/>
        <w:right w:val="none" w:sz="0" w:space="0" w:color="auto"/>
      </w:divBdr>
    </w:div>
    <w:div w:id="618952175">
      <w:marLeft w:val="0"/>
      <w:marRight w:val="0"/>
      <w:marTop w:val="0"/>
      <w:marBottom w:val="0"/>
      <w:divBdr>
        <w:top w:val="none" w:sz="0" w:space="0" w:color="auto"/>
        <w:left w:val="none" w:sz="0" w:space="0" w:color="auto"/>
        <w:bottom w:val="none" w:sz="0" w:space="0" w:color="auto"/>
        <w:right w:val="none" w:sz="0" w:space="0" w:color="auto"/>
      </w:divBdr>
    </w:div>
    <w:div w:id="622425730">
      <w:marLeft w:val="0"/>
      <w:marRight w:val="0"/>
      <w:marTop w:val="240"/>
      <w:marBottom w:val="0"/>
      <w:divBdr>
        <w:top w:val="none" w:sz="0" w:space="0" w:color="auto"/>
        <w:left w:val="none" w:sz="0" w:space="0" w:color="auto"/>
        <w:bottom w:val="none" w:sz="0" w:space="0" w:color="auto"/>
        <w:right w:val="none" w:sz="0" w:space="0" w:color="auto"/>
      </w:divBdr>
    </w:div>
    <w:div w:id="629745607">
      <w:marLeft w:val="0"/>
      <w:marRight w:val="0"/>
      <w:marTop w:val="240"/>
      <w:marBottom w:val="240"/>
      <w:divBdr>
        <w:top w:val="none" w:sz="0" w:space="0" w:color="auto"/>
        <w:left w:val="none" w:sz="0" w:space="0" w:color="auto"/>
        <w:bottom w:val="none" w:sz="0" w:space="0" w:color="auto"/>
        <w:right w:val="none" w:sz="0" w:space="0" w:color="auto"/>
      </w:divBdr>
    </w:div>
    <w:div w:id="635529799">
      <w:marLeft w:val="0"/>
      <w:marRight w:val="0"/>
      <w:marTop w:val="0"/>
      <w:marBottom w:val="240"/>
      <w:divBdr>
        <w:top w:val="none" w:sz="0" w:space="0" w:color="auto"/>
        <w:left w:val="none" w:sz="0" w:space="0" w:color="auto"/>
        <w:bottom w:val="none" w:sz="0" w:space="0" w:color="auto"/>
        <w:right w:val="none" w:sz="0" w:space="0" w:color="auto"/>
      </w:divBdr>
    </w:div>
    <w:div w:id="637414653">
      <w:marLeft w:val="0"/>
      <w:marRight w:val="0"/>
      <w:marTop w:val="0"/>
      <w:marBottom w:val="240"/>
      <w:divBdr>
        <w:top w:val="none" w:sz="0" w:space="0" w:color="auto"/>
        <w:left w:val="none" w:sz="0" w:space="0" w:color="auto"/>
        <w:bottom w:val="none" w:sz="0" w:space="0" w:color="auto"/>
        <w:right w:val="none" w:sz="0" w:space="0" w:color="auto"/>
      </w:divBdr>
    </w:div>
    <w:div w:id="643391231">
      <w:marLeft w:val="0"/>
      <w:marRight w:val="0"/>
      <w:marTop w:val="0"/>
      <w:marBottom w:val="240"/>
      <w:divBdr>
        <w:top w:val="none" w:sz="0" w:space="0" w:color="auto"/>
        <w:left w:val="none" w:sz="0" w:space="0" w:color="auto"/>
        <w:bottom w:val="none" w:sz="0" w:space="0" w:color="auto"/>
        <w:right w:val="none" w:sz="0" w:space="0" w:color="auto"/>
      </w:divBdr>
    </w:div>
    <w:div w:id="646202992">
      <w:marLeft w:val="0"/>
      <w:marRight w:val="0"/>
      <w:marTop w:val="0"/>
      <w:marBottom w:val="0"/>
      <w:divBdr>
        <w:top w:val="none" w:sz="0" w:space="0" w:color="auto"/>
        <w:left w:val="none" w:sz="0" w:space="0" w:color="auto"/>
        <w:bottom w:val="none" w:sz="0" w:space="0" w:color="auto"/>
        <w:right w:val="none" w:sz="0" w:space="0" w:color="auto"/>
      </w:divBdr>
      <w:divsChild>
        <w:div w:id="882055361">
          <w:marLeft w:val="0"/>
          <w:marRight w:val="0"/>
          <w:marTop w:val="0"/>
          <w:marBottom w:val="0"/>
          <w:divBdr>
            <w:top w:val="none" w:sz="0" w:space="0" w:color="auto"/>
            <w:left w:val="none" w:sz="0" w:space="0" w:color="auto"/>
            <w:bottom w:val="none" w:sz="0" w:space="0" w:color="auto"/>
            <w:right w:val="none" w:sz="0" w:space="0" w:color="auto"/>
          </w:divBdr>
        </w:div>
      </w:divsChild>
    </w:div>
    <w:div w:id="651644407">
      <w:marLeft w:val="0"/>
      <w:marRight w:val="0"/>
      <w:marTop w:val="0"/>
      <w:marBottom w:val="0"/>
      <w:divBdr>
        <w:top w:val="none" w:sz="0" w:space="0" w:color="auto"/>
        <w:left w:val="none" w:sz="0" w:space="0" w:color="auto"/>
        <w:bottom w:val="none" w:sz="0" w:space="0" w:color="auto"/>
        <w:right w:val="none" w:sz="0" w:space="0" w:color="auto"/>
      </w:divBdr>
    </w:div>
    <w:div w:id="656300795">
      <w:marLeft w:val="0"/>
      <w:marRight w:val="0"/>
      <w:marTop w:val="240"/>
      <w:marBottom w:val="240"/>
      <w:divBdr>
        <w:top w:val="none" w:sz="0" w:space="0" w:color="auto"/>
        <w:left w:val="none" w:sz="0" w:space="0" w:color="auto"/>
        <w:bottom w:val="none" w:sz="0" w:space="0" w:color="auto"/>
        <w:right w:val="none" w:sz="0" w:space="0" w:color="auto"/>
      </w:divBdr>
    </w:div>
    <w:div w:id="678822489">
      <w:marLeft w:val="0"/>
      <w:marRight w:val="0"/>
      <w:marTop w:val="0"/>
      <w:marBottom w:val="240"/>
      <w:divBdr>
        <w:top w:val="none" w:sz="0" w:space="0" w:color="auto"/>
        <w:left w:val="none" w:sz="0" w:space="0" w:color="auto"/>
        <w:bottom w:val="none" w:sz="0" w:space="0" w:color="auto"/>
        <w:right w:val="none" w:sz="0" w:space="0" w:color="auto"/>
      </w:divBdr>
    </w:div>
    <w:div w:id="684401194">
      <w:marLeft w:val="0"/>
      <w:marRight w:val="0"/>
      <w:marTop w:val="0"/>
      <w:marBottom w:val="0"/>
      <w:divBdr>
        <w:top w:val="none" w:sz="0" w:space="0" w:color="auto"/>
        <w:left w:val="none" w:sz="0" w:space="0" w:color="auto"/>
        <w:bottom w:val="none" w:sz="0" w:space="0" w:color="auto"/>
        <w:right w:val="none" w:sz="0" w:space="0" w:color="auto"/>
      </w:divBdr>
      <w:divsChild>
        <w:div w:id="520826737">
          <w:marLeft w:val="0"/>
          <w:marRight w:val="0"/>
          <w:marTop w:val="0"/>
          <w:marBottom w:val="0"/>
          <w:divBdr>
            <w:top w:val="none" w:sz="0" w:space="0" w:color="auto"/>
            <w:left w:val="none" w:sz="0" w:space="0" w:color="auto"/>
            <w:bottom w:val="none" w:sz="0" w:space="0" w:color="auto"/>
            <w:right w:val="none" w:sz="0" w:space="0" w:color="auto"/>
          </w:divBdr>
        </w:div>
      </w:divsChild>
    </w:div>
    <w:div w:id="688528034">
      <w:marLeft w:val="0"/>
      <w:marRight w:val="0"/>
      <w:marTop w:val="0"/>
      <w:marBottom w:val="120"/>
      <w:divBdr>
        <w:top w:val="none" w:sz="0" w:space="0" w:color="auto"/>
        <w:left w:val="none" w:sz="0" w:space="0" w:color="auto"/>
        <w:bottom w:val="none" w:sz="0" w:space="0" w:color="auto"/>
        <w:right w:val="none" w:sz="0" w:space="0" w:color="auto"/>
      </w:divBdr>
    </w:div>
    <w:div w:id="688796044">
      <w:marLeft w:val="0"/>
      <w:marRight w:val="0"/>
      <w:marTop w:val="0"/>
      <w:marBottom w:val="240"/>
      <w:divBdr>
        <w:top w:val="none" w:sz="0" w:space="0" w:color="auto"/>
        <w:left w:val="none" w:sz="0" w:space="0" w:color="auto"/>
        <w:bottom w:val="none" w:sz="0" w:space="0" w:color="auto"/>
        <w:right w:val="none" w:sz="0" w:space="0" w:color="auto"/>
      </w:divBdr>
    </w:div>
    <w:div w:id="689334687">
      <w:marLeft w:val="0"/>
      <w:marRight w:val="0"/>
      <w:marTop w:val="0"/>
      <w:marBottom w:val="0"/>
      <w:divBdr>
        <w:top w:val="none" w:sz="0" w:space="0" w:color="auto"/>
        <w:left w:val="none" w:sz="0" w:space="0" w:color="auto"/>
        <w:bottom w:val="none" w:sz="0" w:space="0" w:color="auto"/>
        <w:right w:val="none" w:sz="0" w:space="0" w:color="auto"/>
      </w:divBdr>
    </w:div>
    <w:div w:id="691732486">
      <w:marLeft w:val="0"/>
      <w:marRight w:val="0"/>
      <w:marTop w:val="240"/>
      <w:marBottom w:val="240"/>
      <w:divBdr>
        <w:top w:val="none" w:sz="0" w:space="0" w:color="auto"/>
        <w:left w:val="none" w:sz="0" w:space="0" w:color="auto"/>
        <w:bottom w:val="none" w:sz="0" w:space="0" w:color="auto"/>
        <w:right w:val="none" w:sz="0" w:space="0" w:color="auto"/>
      </w:divBdr>
    </w:div>
    <w:div w:id="699361047">
      <w:marLeft w:val="0"/>
      <w:marRight w:val="0"/>
      <w:marTop w:val="0"/>
      <w:marBottom w:val="0"/>
      <w:divBdr>
        <w:top w:val="none" w:sz="0" w:space="0" w:color="auto"/>
        <w:left w:val="none" w:sz="0" w:space="0" w:color="auto"/>
        <w:bottom w:val="none" w:sz="0" w:space="0" w:color="auto"/>
        <w:right w:val="none" w:sz="0" w:space="0" w:color="auto"/>
      </w:divBdr>
      <w:divsChild>
        <w:div w:id="1694455228">
          <w:marLeft w:val="0"/>
          <w:marRight w:val="0"/>
          <w:marTop w:val="0"/>
          <w:marBottom w:val="0"/>
          <w:divBdr>
            <w:top w:val="none" w:sz="0" w:space="0" w:color="auto"/>
            <w:left w:val="none" w:sz="0" w:space="0" w:color="auto"/>
            <w:bottom w:val="none" w:sz="0" w:space="0" w:color="auto"/>
            <w:right w:val="none" w:sz="0" w:space="0" w:color="auto"/>
          </w:divBdr>
        </w:div>
      </w:divsChild>
    </w:div>
    <w:div w:id="700402793">
      <w:marLeft w:val="0"/>
      <w:marRight w:val="0"/>
      <w:marTop w:val="0"/>
      <w:marBottom w:val="240"/>
      <w:divBdr>
        <w:top w:val="none" w:sz="0" w:space="0" w:color="auto"/>
        <w:left w:val="none" w:sz="0" w:space="0" w:color="auto"/>
        <w:bottom w:val="none" w:sz="0" w:space="0" w:color="auto"/>
        <w:right w:val="none" w:sz="0" w:space="0" w:color="auto"/>
      </w:divBdr>
    </w:div>
    <w:div w:id="712341118">
      <w:marLeft w:val="0"/>
      <w:marRight w:val="0"/>
      <w:marTop w:val="0"/>
      <w:marBottom w:val="0"/>
      <w:divBdr>
        <w:top w:val="none" w:sz="0" w:space="0" w:color="auto"/>
        <w:left w:val="none" w:sz="0" w:space="0" w:color="auto"/>
        <w:bottom w:val="none" w:sz="0" w:space="0" w:color="auto"/>
        <w:right w:val="none" w:sz="0" w:space="0" w:color="auto"/>
      </w:divBdr>
      <w:divsChild>
        <w:div w:id="1352873538">
          <w:marLeft w:val="0"/>
          <w:marRight w:val="0"/>
          <w:marTop w:val="0"/>
          <w:marBottom w:val="0"/>
          <w:divBdr>
            <w:top w:val="none" w:sz="0" w:space="0" w:color="auto"/>
            <w:left w:val="none" w:sz="0" w:space="0" w:color="auto"/>
            <w:bottom w:val="none" w:sz="0" w:space="0" w:color="auto"/>
            <w:right w:val="none" w:sz="0" w:space="0" w:color="auto"/>
          </w:divBdr>
        </w:div>
      </w:divsChild>
    </w:div>
    <w:div w:id="714693416">
      <w:marLeft w:val="0"/>
      <w:marRight w:val="0"/>
      <w:marTop w:val="0"/>
      <w:marBottom w:val="0"/>
      <w:divBdr>
        <w:top w:val="none" w:sz="0" w:space="0" w:color="auto"/>
        <w:left w:val="none" w:sz="0" w:space="0" w:color="auto"/>
        <w:bottom w:val="none" w:sz="0" w:space="0" w:color="auto"/>
        <w:right w:val="none" w:sz="0" w:space="0" w:color="auto"/>
      </w:divBdr>
      <w:divsChild>
        <w:div w:id="1675494571">
          <w:marLeft w:val="0"/>
          <w:marRight w:val="0"/>
          <w:marTop w:val="0"/>
          <w:marBottom w:val="0"/>
          <w:divBdr>
            <w:top w:val="none" w:sz="0" w:space="0" w:color="auto"/>
            <w:left w:val="none" w:sz="0" w:space="0" w:color="auto"/>
            <w:bottom w:val="none" w:sz="0" w:space="0" w:color="auto"/>
            <w:right w:val="none" w:sz="0" w:space="0" w:color="auto"/>
          </w:divBdr>
        </w:div>
      </w:divsChild>
    </w:div>
    <w:div w:id="723986085">
      <w:marLeft w:val="0"/>
      <w:marRight w:val="0"/>
      <w:marTop w:val="0"/>
      <w:marBottom w:val="240"/>
      <w:divBdr>
        <w:top w:val="none" w:sz="0" w:space="0" w:color="auto"/>
        <w:left w:val="none" w:sz="0" w:space="0" w:color="auto"/>
        <w:bottom w:val="none" w:sz="0" w:space="0" w:color="auto"/>
        <w:right w:val="none" w:sz="0" w:space="0" w:color="auto"/>
      </w:divBdr>
    </w:div>
    <w:div w:id="730540638">
      <w:marLeft w:val="0"/>
      <w:marRight w:val="0"/>
      <w:marTop w:val="0"/>
      <w:marBottom w:val="120"/>
      <w:divBdr>
        <w:top w:val="none" w:sz="0" w:space="0" w:color="auto"/>
        <w:left w:val="none" w:sz="0" w:space="0" w:color="auto"/>
        <w:bottom w:val="none" w:sz="0" w:space="0" w:color="auto"/>
        <w:right w:val="none" w:sz="0" w:space="0" w:color="auto"/>
      </w:divBdr>
    </w:div>
    <w:div w:id="738097779">
      <w:marLeft w:val="0"/>
      <w:marRight w:val="0"/>
      <w:marTop w:val="0"/>
      <w:marBottom w:val="240"/>
      <w:divBdr>
        <w:top w:val="none" w:sz="0" w:space="0" w:color="auto"/>
        <w:left w:val="none" w:sz="0" w:space="0" w:color="auto"/>
        <w:bottom w:val="none" w:sz="0" w:space="0" w:color="auto"/>
        <w:right w:val="none" w:sz="0" w:space="0" w:color="auto"/>
      </w:divBdr>
    </w:div>
    <w:div w:id="748191627">
      <w:marLeft w:val="0"/>
      <w:marRight w:val="0"/>
      <w:marTop w:val="120"/>
      <w:marBottom w:val="240"/>
      <w:divBdr>
        <w:top w:val="none" w:sz="0" w:space="0" w:color="auto"/>
        <w:left w:val="none" w:sz="0" w:space="0" w:color="auto"/>
        <w:bottom w:val="none" w:sz="0" w:space="0" w:color="auto"/>
        <w:right w:val="none" w:sz="0" w:space="0" w:color="auto"/>
      </w:divBdr>
    </w:div>
    <w:div w:id="752051401">
      <w:marLeft w:val="0"/>
      <w:marRight w:val="0"/>
      <w:marTop w:val="0"/>
      <w:marBottom w:val="0"/>
      <w:divBdr>
        <w:top w:val="none" w:sz="0" w:space="0" w:color="auto"/>
        <w:left w:val="none" w:sz="0" w:space="0" w:color="auto"/>
        <w:bottom w:val="none" w:sz="0" w:space="0" w:color="auto"/>
        <w:right w:val="none" w:sz="0" w:space="0" w:color="auto"/>
      </w:divBdr>
    </w:div>
    <w:div w:id="765613210">
      <w:marLeft w:val="0"/>
      <w:marRight w:val="0"/>
      <w:marTop w:val="0"/>
      <w:marBottom w:val="0"/>
      <w:divBdr>
        <w:top w:val="none" w:sz="0" w:space="0" w:color="auto"/>
        <w:left w:val="none" w:sz="0" w:space="0" w:color="auto"/>
        <w:bottom w:val="none" w:sz="0" w:space="0" w:color="auto"/>
        <w:right w:val="none" w:sz="0" w:space="0" w:color="auto"/>
      </w:divBdr>
      <w:divsChild>
        <w:div w:id="263005641">
          <w:marLeft w:val="0"/>
          <w:marRight w:val="0"/>
          <w:marTop w:val="0"/>
          <w:marBottom w:val="0"/>
          <w:divBdr>
            <w:top w:val="none" w:sz="0" w:space="0" w:color="auto"/>
            <w:left w:val="none" w:sz="0" w:space="0" w:color="auto"/>
            <w:bottom w:val="none" w:sz="0" w:space="0" w:color="auto"/>
            <w:right w:val="none" w:sz="0" w:space="0" w:color="auto"/>
          </w:divBdr>
        </w:div>
      </w:divsChild>
    </w:div>
    <w:div w:id="766776945">
      <w:marLeft w:val="0"/>
      <w:marRight w:val="0"/>
      <w:marTop w:val="0"/>
      <w:marBottom w:val="240"/>
      <w:divBdr>
        <w:top w:val="none" w:sz="0" w:space="0" w:color="auto"/>
        <w:left w:val="none" w:sz="0" w:space="0" w:color="auto"/>
        <w:bottom w:val="none" w:sz="0" w:space="0" w:color="auto"/>
        <w:right w:val="none" w:sz="0" w:space="0" w:color="auto"/>
      </w:divBdr>
    </w:div>
    <w:div w:id="770659416">
      <w:marLeft w:val="0"/>
      <w:marRight w:val="0"/>
      <w:marTop w:val="240"/>
      <w:marBottom w:val="240"/>
      <w:divBdr>
        <w:top w:val="none" w:sz="0" w:space="0" w:color="auto"/>
        <w:left w:val="none" w:sz="0" w:space="0" w:color="auto"/>
        <w:bottom w:val="none" w:sz="0" w:space="0" w:color="auto"/>
        <w:right w:val="none" w:sz="0" w:space="0" w:color="auto"/>
      </w:divBdr>
    </w:div>
    <w:div w:id="771628998">
      <w:marLeft w:val="0"/>
      <w:marRight w:val="0"/>
      <w:marTop w:val="0"/>
      <w:marBottom w:val="240"/>
      <w:divBdr>
        <w:top w:val="none" w:sz="0" w:space="0" w:color="auto"/>
        <w:left w:val="none" w:sz="0" w:space="0" w:color="auto"/>
        <w:bottom w:val="none" w:sz="0" w:space="0" w:color="auto"/>
        <w:right w:val="none" w:sz="0" w:space="0" w:color="auto"/>
      </w:divBdr>
    </w:div>
    <w:div w:id="773088115">
      <w:marLeft w:val="0"/>
      <w:marRight w:val="0"/>
      <w:marTop w:val="0"/>
      <w:marBottom w:val="240"/>
      <w:divBdr>
        <w:top w:val="none" w:sz="0" w:space="0" w:color="auto"/>
        <w:left w:val="none" w:sz="0" w:space="0" w:color="auto"/>
        <w:bottom w:val="none" w:sz="0" w:space="0" w:color="auto"/>
        <w:right w:val="none" w:sz="0" w:space="0" w:color="auto"/>
      </w:divBdr>
    </w:div>
    <w:div w:id="780026388">
      <w:marLeft w:val="0"/>
      <w:marRight w:val="0"/>
      <w:marTop w:val="120"/>
      <w:marBottom w:val="0"/>
      <w:divBdr>
        <w:top w:val="none" w:sz="0" w:space="0" w:color="auto"/>
        <w:left w:val="none" w:sz="0" w:space="0" w:color="auto"/>
        <w:bottom w:val="none" w:sz="0" w:space="0" w:color="auto"/>
        <w:right w:val="none" w:sz="0" w:space="0" w:color="auto"/>
      </w:divBdr>
    </w:div>
    <w:div w:id="781070083">
      <w:marLeft w:val="0"/>
      <w:marRight w:val="0"/>
      <w:marTop w:val="0"/>
      <w:marBottom w:val="240"/>
      <w:divBdr>
        <w:top w:val="none" w:sz="0" w:space="0" w:color="auto"/>
        <w:left w:val="none" w:sz="0" w:space="0" w:color="auto"/>
        <w:bottom w:val="none" w:sz="0" w:space="0" w:color="auto"/>
        <w:right w:val="none" w:sz="0" w:space="0" w:color="auto"/>
      </w:divBdr>
    </w:div>
    <w:div w:id="781341338">
      <w:marLeft w:val="0"/>
      <w:marRight w:val="0"/>
      <w:marTop w:val="0"/>
      <w:marBottom w:val="240"/>
      <w:divBdr>
        <w:top w:val="none" w:sz="0" w:space="0" w:color="auto"/>
        <w:left w:val="none" w:sz="0" w:space="0" w:color="auto"/>
        <w:bottom w:val="none" w:sz="0" w:space="0" w:color="auto"/>
        <w:right w:val="none" w:sz="0" w:space="0" w:color="auto"/>
      </w:divBdr>
    </w:div>
    <w:div w:id="785855488">
      <w:marLeft w:val="0"/>
      <w:marRight w:val="0"/>
      <w:marTop w:val="0"/>
      <w:marBottom w:val="240"/>
      <w:divBdr>
        <w:top w:val="none" w:sz="0" w:space="0" w:color="auto"/>
        <w:left w:val="none" w:sz="0" w:space="0" w:color="auto"/>
        <w:bottom w:val="none" w:sz="0" w:space="0" w:color="auto"/>
        <w:right w:val="none" w:sz="0" w:space="0" w:color="auto"/>
      </w:divBdr>
    </w:div>
    <w:div w:id="788357856">
      <w:marLeft w:val="0"/>
      <w:marRight w:val="0"/>
      <w:marTop w:val="0"/>
      <w:marBottom w:val="0"/>
      <w:divBdr>
        <w:top w:val="none" w:sz="0" w:space="0" w:color="auto"/>
        <w:left w:val="none" w:sz="0" w:space="0" w:color="auto"/>
        <w:bottom w:val="none" w:sz="0" w:space="0" w:color="auto"/>
        <w:right w:val="none" w:sz="0" w:space="0" w:color="auto"/>
      </w:divBdr>
    </w:div>
    <w:div w:id="809982863">
      <w:marLeft w:val="0"/>
      <w:marRight w:val="0"/>
      <w:marTop w:val="0"/>
      <w:marBottom w:val="0"/>
      <w:divBdr>
        <w:top w:val="none" w:sz="0" w:space="0" w:color="auto"/>
        <w:left w:val="none" w:sz="0" w:space="0" w:color="auto"/>
        <w:bottom w:val="none" w:sz="0" w:space="0" w:color="auto"/>
        <w:right w:val="none" w:sz="0" w:space="0" w:color="auto"/>
      </w:divBdr>
      <w:divsChild>
        <w:div w:id="1330326162">
          <w:marLeft w:val="0"/>
          <w:marRight w:val="0"/>
          <w:marTop w:val="0"/>
          <w:marBottom w:val="0"/>
          <w:divBdr>
            <w:top w:val="none" w:sz="0" w:space="0" w:color="auto"/>
            <w:left w:val="none" w:sz="0" w:space="0" w:color="auto"/>
            <w:bottom w:val="none" w:sz="0" w:space="0" w:color="auto"/>
            <w:right w:val="none" w:sz="0" w:space="0" w:color="auto"/>
          </w:divBdr>
        </w:div>
      </w:divsChild>
    </w:div>
    <w:div w:id="810484440">
      <w:marLeft w:val="0"/>
      <w:marRight w:val="0"/>
      <w:marTop w:val="0"/>
      <w:marBottom w:val="0"/>
      <w:divBdr>
        <w:top w:val="none" w:sz="0" w:space="0" w:color="auto"/>
        <w:left w:val="none" w:sz="0" w:space="0" w:color="auto"/>
        <w:bottom w:val="none" w:sz="0" w:space="0" w:color="auto"/>
        <w:right w:val="none" w:sz="0" w:space="0" w:color="auto"/>
      </w:divBdr>
      <w:divsChild>
        <w:div w:id="1618563496">
          <w:marLeft w:val="0"/>
          <w:marRight w:val="0"/>
          <w:marTop w:val="0"/>
          <w:marBottom w:val="0"/>
          <w:divBdr>
            <w:top w:val="none" w:sz="0" w:space="0" w:color="auto"/>
            <w:left w:val="none" w:sz="0" w:space="0" w:color="auto"/>
            <w:bottom w:val="none" w:sz="0" w:space="0" w:color="auto"/>
            <w:right w:val="none" w:sz="0" w:space="0" w:color="auto"/>
          </w:divBdr>
        </w:div>
      </w:divsChild>
    </w:div>
    <w:div w:id="810826029">
      <w:marLeft w:val="0"/>
      <w:marRight w:val="0"/>
      <w:marTop w:val="0"/>
      <w:marBottom w:val="240"/>
      <w:divBdr>
        <w:top w:val="none" w:sz="0" w:space="0" w:color="auto"/>
        <w:left w:val="none" w:sz="0" w:space="0" w:color="auto"/>
        <w:bottom w:val="none" w:sz="0" w:space="0" w:color="auto"/>
        <w:right w:val="none" w:sz="0" w:space="0" w:color="auto"/>
      </w:divBdr>
    </w:div>
    <w:div w:id="812796313">
      <w:marLeft w:val="0"/>
      <w:marRight w:val="0"/>
      <w:marTop w:val="0"/>
      <w:marBottom w:val="240"/>
      <w:divBdr>
        <w:top w:val="none" w:sz="0" w:space="0" w:color="auto"/>
        <w:left w:val="none" w:sz="0" w:space="0" w:color="auto"/>
        <w:bottom w:val="none" w:sz="0" w:space="0" w:color="auto"/>
        <w:right w:val="none" w:sz="0" w:space="0" w:color="auto"/>
      </w:divBdr>
    </w:div>
    <w:div w:id="840856499">
      <w:marLeft w:val="0"/>
      <w:marRight w:val="0"/>
      <w:marTop w:val="240"/>
      <w:marBottom w:val="240"/>
      <w:divBdr>
        <w:top w:val="none" w:sz="0" w:space="0" w:color="auto"/>
        <w:left w:val="none" w:sz="0" w:space="0" w:color="auto"/>
        <w:bottom w:val="none" w:sz="0" w:space="0" w:color="auto"/>
        <w:right w:val="none" w:sz="0" w:space="0" w:color="auto"/>
      </w:divBdr>
    </w:div>
    <w:div w:id="848105387">
      <w:marLeft w:val="0"/>
      <w:marRight w:val="0"/>
      <w:marTop w:val="0"/>
      <w:marBottom w:val="0"/>
      <w:divBdr>
        <w:top w:val="none" w:sz="0" w:space="0" w:color="auto"/>
        <w:left w:val="none" w:sz="0" w:space="0" w:color="auto"/>
        <w:bottom w:val="none" w:sz="0" w:space="0" w:color="auto"/>
        <w:right w:val="none" w:sz="0" w:space="0" w:color="auto"/>
      </w:divBdr>
    </w:div>
    <w:div w:id="856235655">
      <w:marLeft w:val="0"/>
      <w:marRight w:val="0"/>
      <w:marTop w:val="0"/>
      <w:marBottom w:val="0"/>
      <w:divBdr>
        <w:top w:val="none" w:sz="0" w:space="0" w:color="auto"/>
        <w:left w:val="none" w:sz="0" w:space="0" w:color="auto"/>
        <w:bottom w:val="none" w:sz="0" w:space="0" w:color="auto"/>
        <w:right w:val="none" w:sz="0" w:space="0" w:color="auto"/>
      </w:divBdr>
    </w:div>
    <w:div w:id="857277955">
      <w:marLeft w:val="0"/>
      <w:marRight w:val="0"/>
      <w:marTop w:val="0"/>
      <w:marBottom w:val="240"/>
      <w:divBdr>
        <w:top w:val="none" w:sz="0" w:space="0" w:color="auto"/>
        <w:left w:val="none" w:sz="0" w:space="0" w:color="auto"/>
        <w:bottom w:val="none" w:sz="0" w:space="0" w:color="auto"/>
        <w:right w:val="none" w:sz="0" w:space="0" w:color="auto"/>
      </w:divBdr>
    </w:div>
    <w:div w:id="864097893">
      <w:marLeft w:val="0"/>
      <w:marRight w:val="0"/>
      <w:marTop w:val="240"/>
      <w:marBottom w:val="240"/>
      <w:divBdr>
        <w:top w:val="none" w:sz="0" w:space="0" w:color="auto"/>
        <w:left w:val="none" w:sz="0" w:space="0" w:color="auto"/>
        <w:bottom w:val="none" w:sz="0" w:space="0" w:color="auto"/>
        <w:right w:val="none" w:sz="0" w:space="0" w:color="auto"/>
      </w:divBdr>
    </w:div>
    <w:div w:id="866409858">
      <w:marLeft w:val="0"/>
      <w:marRight w:val="0"/>
      <w:marTop w:val="240"/>
      <w:marBottom w:val="0"/>
      <w:divBdr>
        <w:top w:val="none" w:sz="0" w:space="0" w:color="auto"/>
        <w:left w:val="none" w:sz="0" w:space="0" w:color="auto"/>
        <w:bottom w:val="none" w:sz="0" w:space="0" w:color="auto"/>
        <w:right w:val="none" w:sz="0" w:space="0" w:color="auto"/>
      </w:divBdr>
    </w:div>
    <w:div w:id="870147583">
      <w:marLeft w:val="0"/>
      <w:marRight w:val="0"/>
      <w:marTop w:val="0"/>
      <w:marBottom w:val="240"/>
      <w:divBdr>
        <w:top w:val="none" w:sz="0" w:space="0" w:color="auto"/>
        <w:left w:val="none" w:sz="0" w:space="0" w:color="auto"/>
        <w:bottom w:val="none" w:sz="0" w:space="0" w:color="auto"/>
        <w:right w:val="none" w:sz="0" w:space="0" w:color="auto"/>
      </w:divBdr>
    </w:div>
    <w:div w:id="871694594">
      <w:marLeft w:val="0"/>
      <w:marRight w:val="0"/>
      <w:marTop w:val="0"/>
      <w:marBottom w:val="0"/>
      <w:divBdr>
        <w:top w:val="none" w:sz="0" w:space="0" w:color="auto"/>
        <w:left w:val="none" w:sz="0" w:space="0" w:color="auto"/>
        <w:bottom w:val="none" w:sz="0" w:space="0" w:color="auto"/>
        <w:right w:val="none" w:sz="0" w:space="0" w:color="auto"/>
      </w:divBdr>
    </w:div>
    <w:div w:id="878781484">
      <w:marLeft w:val="0"/>
      <w:marRight w:val="0"/>
      <w:marTop w:val="0"/>
      <w:marBottom w:val="240"/>
      <w:divBdr>
        <w:top w:val="none" w:sz="0" w:space="0" w:color="auto"/>
        <w:left w:val="none" w:sz="0" w:space="0" w:color="auto"/>
        <w:bottom w:val="none" w:sz="0" w:space="0" w:color="auto"/>
        <w:right w:val="none" w:sz="0" w:space="0" w:color="auto"/>
      </w:divBdr>
    </w:div>
    <w:div w:id="883442485">
      <w:marLeft w:val="0"/>
      <w:marRight w:val="0"/>
      <w:marTop w:val="240"/>
      <w:marBottom w:val="240"/>
      <w:divBdr>
        <w:top w:val="none" w:sz="0" w:space="0" w:color="auto"/>
        <w:left w:val="none" w:sz="0" w:space="0" w:color="auto"/>
        <w:bottom w:val="none" w:sz="0" w:space="0" w:color="auto"/>
        <w:right w:val="none" w:sz="0" w:space="0" w:color="auto"/>
      </w:divBdr>
    </w:div>
    <w:div w:id="887447957">
      <w:marLeft w:val="0"/>
      <w:marRight w:val="0"/>
      <w:marTop w:val="0"/>
      <w:marBottom w:val="0"/>
      <w:divBdr>
        <w:top w:val="none" w:sz="0" w:space="0" w:color="auto"/>
        <w:left w:val="none" w:sz="0" w:space="0" w:color="auto"/>
        <w:bottom w:val="none" w:sz="0" w:space="0" w:color="auto"/>
        <w:right w:val="none" w:sz="0" w:space="0" w:color="auto"/>
      </w:divBdr>
      <w:divsChild>
        <w:div w:id="771625846">
          <w:marLeft w:val="0"/>
          <w:marRight w:val="0"/>
          <w:marTop w:val="0"/>
          <w:marBottom w:val="0"/>
          <w:divBdr>
            <w:top w:val="none" w:sz="0" w:space="0" w:color="auto"/>
            <w:left w:val="none" w:sz="0" w:space="0" w:color="auto"/>
            <w:bottom w:val="none" w:sz="0" w:space="0" w:color="auto"/>
            <w:right w:val="none" w:sz="0" w:space="0" w:color="auto"/>
          </w:divBdr>
        </w:div>
      </w:divsChild>
    </w:div>
    <w:div w:id="898981633">
      <w:marLeft w:val="0"/>
      <w:marRight w:val="0"/>
      <w:marTop w:val="0"/>
      <w:marBottom w:val="240"/>
      <w:divBdr>
        <w:top w:val="none" w:sz="0" w:space="0" w:color="auto"/>
        <w:left w:val="none" w:sz="0" w:space="0" w:color="auto"/>
        <w:bottom w:val="none" w:sz="0" w:space="0" w:color="auto"/>
        <w:right w:val="none" w:sz="0" w:space="0" w:color="auto"/>
      </w:divBdr>
    </w:div>
    <w:div w:id="899830895">
      <w:marLeft w:val="0"/>
      <w:marRight w:val="0"/>
      <w:marTop w:val="0"/>
      <w:marBottom w:val="0"/>
      <w:divBdr>
        <w:top w:val="none" w:sz="0" w:space="0" w:color="auto"/>
        <w:left w:val="none" w:sz="0" w:space="0" w:color="auto"/>
        <w:bottom w:val="none" w:sz="0" w:space="0" w:color="auto"/>
        <w:right w:val="none" w:sz="0" w:space="0" w:color="auto"/>
      </w:divBdr>
      <w:divsChild>
        <w:div w:id="42872416">
          <w:marLeft w:val="0"/>
          <w:marRight w:val="0"/>
          <w:marTop w:val="0"/>
          <w:marBottom w:val="0"/>
          <w:divBdr>
            <w:top w:val="none" w:sz="0" w:space="0" w:color="auto"/>
            <w:left w:val="none" w:sz="0" w:space="0" w:color="auto"/>
            <w:bottom w:val="none" w:sz="0" w:space="0" w:color="auto"/>
            <w:right w:val="none" w:sz="0" w:space="0" w:color="auto"/>
          </w:divBdr>
        </w:div>
      </w:divsChild>
    </w:div>
    <w:div w:id="900142870">
      <w:marLeft w:val="0"/>
      <w:marRight w:val="0"/>
      <w:marTop w:val="0"/>
      <w:marBottom w:val="0"/>
      <w:divBdr>
        <w:top w:val="none" w:sz="0" w:space="0" w:color="auto"/>
        <w:left w:val="none" w:sz="0" w:space="0" w:color="auto"/>
        <w:bottom w:val="none" w:sz="0" w:space="0" w:color="auto"/>
        <w:right w:val="none" w:sz="0" w:space="0" w:color="auto"/>
      </w:divBdr>
    </w:div>
    <w:div w:id="904026259">
      <w:marLeft w:val="0"/>
      <w:marRight w:val="0"/>
      <w:marTop w:val="0"/>
      <w:marBottom w:val="0"/>
      <w:divBdr>
        <w:top w:val="none" w:sz="0" w:space="0" w:color="auto"/>
        <w:left w:val="none" w:sz="0" w:space="0" w:color="auto"/>
        <w:bottom w:val="none" w:sz="0" w:space="0" w:color="auto"/>
        <w:right w:val="none" w:sz="0" w:space="0" w:color="auto"/>
      </w:divBdr>
      <w:divsChild>
        <w:div w:id="1117875382">
          <w:marLeft w:val="0"/>
          <w:marRight w:val="0"/>
          <w:marTop w:val="0"/>
          <w:marBottom w:val="0"/>
          <w:divBdr>
            <w:top w:val="none" w:sz="0" w:space="0" w:color="auto"/>
            <w:left w:val="none" w:sz="0" w:space="0" w:color="auto"/>
            <w:bottom w:val="none" w:sz="0" w:space="0" w:color="auto"/>
            <w:right w:val="none" w:sz="0" w:space="0" w:color="auto"/>
          </w:divBdr>
        </w:div>
      </w:divsChild>
    </w:div>
    <w:div w:id="904147659">
      <w:marLeft w:val="0"/>
      <w:marRight w:val="0"/>
      <w:marTop w:val="0"/>
      <w:marBottom w:val="0"/>
      <w:divBdr>
        <w:top w:val="none" w:sz="0" w:space="0" w:color="auto"/>
        <w:left w:val="none" w:sz="0" w:space="0" w:color="auto"/>
        <w:bottom w:val="none" w:sz="0" w:space="0" w:color="auto"/>
        <w:right w:val="none" w:sz="0" w:space="0" w:color="auto"/>
      </w:divBdr>
      <w:divsChild>
        <w:div w:id="1431662057">
          <w:marLeft w:val="0"/>
          <w:marRight w:val="0"/>
          <w:marTop w:val="0"/>
          <w:marBottom w:val="0"/>
          <w:divBdr>
            <w:top w:val="none" w:sz="0" w:space="0" w:color="auto"/>
            <w:left w:val="none" w:sz="0" w:space="0" w:color="auto"/>
            <w:bottom w:val="none" w:sz="0" w:space="0" w:color="auto"/>
            <w:right w:val="none" w:sz="0" w:space="0" w:color="auto"/>
          </w:divBdr>
        </w:div>
      </w:divsChild>
    </w:div>
    <w:div w:id="909458974">
      <w:marLeft w:val="0"/>
      <w:marRight w:val="0"/>
      <w:marTop w:val="0"/>
      <w:marBottom w:val="0"/>
      <w:divBdr>
        <w:top w:val="none" w:sz="0" w:space="0" w:color="auto"/>
        <w:left w:val="none" w:sz="0" w:space="0" w:color="auto"/>
        <w:bottom w:val="none" w:sz="0" w:space="0" w:color="auto"/>
        <w:right w:val="none" w:sz="0" w:space="0" w:color="auto"/>
      </w:divBdr>
      <w:divsChild>
        <w:div w:id="361177822">
          <w:marLeft w:val="0"/>
          <w:marRight w:val="0"/>
          <w:marTop w:val="0"/>
          <w:marBottom w:val="0"/>
          <w:divBdr>
            <w:top w:val="none" w:sz="0" w:space="0" w:color="auto"/>
            <w:left w:val="none" w:sz="0" w:space="0" w:color="auto"/>
            <w:bottom w:val="none" w:sz="0" w:space="0" w:color="auto"/>
            <w:right w:val="none" w:sz="0" w:space="0" w:color="auto"/>
          </w:divBdr>
        </w:div>
      </w:divsChild>
    </w:div>
    <w:div w:id="925068158">
      <w:marLeft w:val="0"/>
      <w:marRight w:val="0"/>
      <w:marTop w:val="0"/>
      <w:marBottom w:val="0"/>
      <w:divBdr>
        <w:top w:val="none" w:sz="0" w:space="0" w:color="auto"/>
        <w:left w:val="none" w:sz="0" w:space="0" w:color="auto"/>
        <w:bottom w:val="none" w:sz="0" w:space="0" w:color="auto"/>
        <w:right w:val="none" w:sz="0" w:space="0" w:color="auto"/>
      </w:divBdr>
    </w:div>
    <w:div w:id="932981482">
      <w:marLeft w:val="0"/>
      <w:marRight w:val="0"/>
      <w:marTop w:val="120"/>
      <w:marBottom w:val="240"/>
      <w:divBdr>
        <w:top w:val="none" w:sz="0" w:space="0" w:color="auto"/>
        <w:left w:val="none" w:sz="0" w:space="0" w:color="auto"/>
        <w:bottom w:val="none" w:sz="0" w:space="0" w:color="auto"/>
        <w:right w:val="none" w:sz="0" w:space="0" w:color="auto"/>
      </w:divBdr>
    </w:div>
    <w:div w:id="936131707">
      <w:marLeft w:val="0"/>
      <w:marRight w:val="0"/>
      <w:marTop w:val="0"/>
      <w:marBottom w:val="0"/>
      <w:divBdr>
        <w:top w:val="none" w:sz="0" w:space="0" w:color="auto"/>
        <w:left w:val="none" w:sz="0" w:space="0" w:color="auto"/>
        <w:bottom w:val="none" w:sz="0" w:space="0" w:color="auto"/>
        <w:right w:val="none" w:sz="0" w:space="0" w:color="auto"/>
      </w:divBdr>
      <w:divsChild>
        <w:div w:id="2110538354">
          <w:marLeft w:val="0"/>
          <w:marRight w:val="0"/>
          <w:marTop w:val="0"/>
          <w:marBottom w:val="0"/>
          <w:divBdr>
            <w:top w:val="none" w:sz="0" w:space="0" w:color="auto"/>
            <w:left w:val="none" w:sz="0" w:space="0" w:color="auto"/>
            <w:bottom w:val="none" w:sz="0" w:space="0" w:color="auto"/>
            <w:right w:val="none" w:sz="0" w:space="0" w:color="auto"/>
          </w:divBdr>
        </w:div>
      </w:divsChild>
    </w:div>
    <w:div w:id="936671313">
      <w:marLeft w:val="0"/>
      <w:marRight w:val="0"/>
      <w:marTop w:val="0"/>
      <w:marBottom w:val="240"/>
      <w:divBdr>
        <w:top w:val="none" w:sz="0" w:space="0" w:color="auto"/>
        <w:left w:val="none" w:sz="0" w:space="0" w:color="auto"/>
        <w:bottom w:val="none" w:sz="0" w:space="0" w:color="auto"/>
        <w:right w:val="none" w:sz="0" w:space="0" w:color="auto"/>
      </w:divBdr>
    </w:div>
    <w:div w:id="938831769">
      <w:marLeft w:val="0"/>
      <w:marRight w:val="0"/>
      <w:marTop w:val="0"/>
      <w:marBottom w:val="240"/>
      <w:divBdr>
        <w:top w:val="none" w:sz="0" w:space="0" w:color="auto"/>
        <w:left w:val="none" w:sz="0" w:space="0" w:color="auto"/>
        <w:bottom w:val="none" w:sz="0" w:space="0" w:color="auto"/>
        <w:right w:val="none" w:sz="0" w:space="0" w:color="auto"/>
      </w:divBdr>
    </w:div>
    <w:div w:id="949556062">
      <w:marLeft w:val="0"/>
      <w:marRight w:val="0"/>
      <w:marTop w:val="0"/>
      <w:marBottom w:val="240"/>
      <w:divBdr>
        <w:top w:val="none" w:sz="0" w:space="0" w:color="auto"/>
        <w:left w:val="none" w:sz="0" w:space="0" w:color="auto"/>
        <w:bottom w:val="none" w:sz="0" w:space="0" w:color="auto"/>
        <w:right w:val="none" w:sz="0" w:space="0" w:color="auto"/>
      </w:divBdr>
    </w:div>
    <w:div w:id="951715513">
      <w:marLeft w:val="0"/>
      <w:marRight w:val="0"/>
      <w:marTop w:val="0"/>
      <w:marBottom w:val="0"/>
      <w:divBdr>
        <w:top w:val="none" w:sz="0" w:space="0" w:color="auto"/>
        <w:left w:val="none" w:sz="0" w:space="0" w:color="auto"/>
        <w:bottom w:val="none" w:sz="0" w:space="0" w:color="auto"/>
        <w:right w:val="none" w:sz="0" w:space="0" w:color="auto"/>
      </w:divBdr>
      <w:divsChild>
        <w:div w:id="1838305764">
          <w:marLeft w:val="0"/>
          <w:marRight w:val="0"/>
          <w:marTop w:val="0"/>
          <w:marBottom w:val="0"/>
          <w:divBdr>
            <w:top w:val="none" w:sz="0" w:space="0" w:color="auto"/>
            <w:left w:val="none" w:sz="0" w:space="0" w:color="auto"/>
            <w:bottom w:val="none" w:sz="0" w:space="0" w:color="auto"/>
            <w:right w:val="none" w:sz="0" w:space="0" w:color="auto"/>
          </w:divBdr>
        </w:div>
      </w:divsChild>
    </w:div>
    <w:div w:id="954216917">
      <w:marLeft w:val="0"/>
      <w:marRight w:val="0"/>
      <w:marTop w:val="0"/>
      <w:marBottom w:val="0"/>
      <w:divBdr>
        <w:top w:val="none" w:sz="0" w:space="0" w:color="auto"/>
        <w:left w:val="none" w:sz="0" w:space="0" w:color="auto"/>
        <w:bottom w:val="none" w:sz="0" w:space="0" w:color="auto"/>
        <w:right w:val="none" w:sz="0" w:space="0" w:color="auto"/>
      </w:divBdr>
      <w:divsChild>
        <w:div w:id="31005616">
          <w:marLeft w:val="0"/>
          <w:marRight w:val="0"/>
          <w:marTop w:val="0"/>
          <w:marBottom w:val="0"/>
          <w:divBdr>
            <w:top w:val="none" w:sz="0" w:space="0" w:color="auto"/>
            <w:left w:val="none" w:sz="0" w:space="0" w:color="auto"/>
            <w:bottom w:val="none" w:sz="0" w:space="0" w:color="auto"/>
            <w:right w:val="none" w:sz="0" w:space="0" w:color="auto"/>
          </w:divBdr>
        </w:div>
      </w:divsChild>
    </w:div>
    <w:div w:id="957759122">
      <w:marLeft w:val="0"/>
      <w:marRight w:val="0"/>
      <w:marTop w:val="240"/>
      <w:marBottom w:val="0"/>
      <w:divBdr>
        <w:top w:val="none" w:sz="0" w:space="0" w:color="auto"/>
        <w:left w:val="none" w:sz="0" w:space="0" w:color="auto"/>
        <w:bottom w:val="none" w:sz="0" w:space="0" w:color="auto"/>
        <w:right w:val="none" w:sz="0" w:space="0" w:color="auto"/>
      </w:divBdr>
    </w:div>
    <w:div w:id="958103205">
      <w:marLeft w:val="0"/>
      <w:marRight w:val="0"/>
      <w:marTop w:val="240"/>
      <w:marBottom w:val="0"/>
      <w:divBdr>
        <w:top w:val="none" w:sz="0" w:space="0" w:color="auto"/>
        <w:left w:val="none" w:sz="0" w:space="0" w:color="auto"/>
        <w:bottom w:val="none" w:sz="0" w:space="0" w:color="auto"/>
        <w:right w:val="none" w:sz="0" w:space="0" w:color="auto"/>
      </w:divBdr>
    </w:div>
    <w:div w:id="972566300">
      <w:marLeft w:val="0"/>
      <w:marRight w:val="0"/>
      <w:marTop w:val="0"/>
      <w:marBottom w:val="0"/>
      <w:divBdr>
        <w:top w:val="none" w:sz="0" w:space="0" w:color="auto"/>
        <w:left w:val="none" w:sz="0" w:space="0" w:color="auto"/>
        <w:bottom w:val="none" w:sz="0" w:space="0" w:color="auto"/>
        <w:right w:val="none" w:sz="0" w:space="0" w:color="auto"/>
      </w:divBdr>
      <w:divsChild>
        <w:div w:id="1783498877">
          <w:marLeft w:val="0"/>
          <w:marRight w:val="0"/>
          <w:marTop w:val="0"/>
          <w:marBottom w:val="0"/>
          <w:divBdr>
            <w:top w:val="none" w:sz="0" w:space="0" w:color="auto"/>
            <w:left w:val="none" w:sz="0" w:space="0" w:color="auto"/>
            <w:bottom w:val="none" w:sz="0" w:space="0" w:color="auto"/>
            <w:right w:val="none" w:sz="0" w:space="0" w:color="auto"/>
          </w:divBdr>
        </w:div>
      </w:divsChild>
    </w:div>
    <w:div w:id="974143743">
      <w:marLeft w:val="0"/>
      <w:marRight w:val="0"/>
      <w:marTop w:val="240"/>
      <w:marBottom w:val="0"/>
      <w:divBdr>
        <w:top w:val="none" w:sz="0" w:space="0" w:color="auto"/>
        <w:left w:val="none" w:sz="0" w:space="0" w:color="auto"/>
        <w:bottom w:val="none" w:sz="0" w:space="0" w:color="auto"/>
        <w:right w:val="none" w:sz="0" w:space="0" w:color="auto"/>
      </w:divBdr>
    </w:div>
    <w:div w:id="975915415">
      <w:marLeft w:val="0"/>
      <w:marRight w:val="0"/>
      <w:marTop w:val="0"/>
      <w:marBottom w:val="0"/>
      <w:divBdr>
        <w:top w:val="none" w:sz="0" w:space="0" w:color="auto"/>
        <w:left w:val="none" w:sz="0" w:space="0" w:color="auto"/>
        <w:bottom w:val="none" w:sz="0" w:space="0" w:color="auto"/>
        <w:right w:val="none" w:sz="0" w:space="0" w:color="auto"/>
      </w:divBdr>
    </w:div>
    <w:div w:id="978195746">
      <w:marLeft w:val="0"/>
      <w:marRight w:val="0"/>
      <w:marTop w:val="0"/>
      <w:marBottom w:val="120"/>
      <w:divBdr>
        <w:top w:val="none" w:sz="0" w:space="0" w:color="auto"/>
        <w:left w:val="none" w:sz="0" w:space="0" w:color="auto"/>
        <w:bottom w:val="none" w:sz="0" w:space="0" w:color="auto"/>
        <w:right w:val="none" w:sz="0" w:space="0" w:color="auto"/>
      </w:divBdr>
    </w:div>
    <w:div w:id="978728402">
      <w:marLeft w:val="0"/>
      <w:marRight w:val="0"/>
      <w:marTop w:val="0"/>
      <w:marBottom w:val="0"/>
      <w:divBdr>
        <w:top w:val="none" w:sz="0" w:space="0" w:color="auto"/>
        <w:left w:val="none" w:sz="0" w:space="0" w:color="auto"/>
        <w:bottom w:val="none" w:sz="0" w:space="0" w:color="auto"/>
        <w:right w:val="none" w:sz="0" w:space="0" w:color="auto"/>
      </w:divBdr>
      <w:divsChild>
        <w:div w:id="157041600">
          <w:marLeft w:val="0"/>
          <w:marRight w:val="0"/>
          <w:marTop w:val="0"/>
          <w:marBottom w:val="0"/>
          <w:divBdr>
            <w:top w:val="none" w:sz="0" w:space="0" w:color="auto"/>
            <w:left w:val="none" w:sz="0" w:space="0" w:color="auto"/>
            <w:bottom w:val="none" w:sz="0" w:space="0" w:color="auto"/>
            <w:right w:val="none" w:sz="0" w:space="0" w:color="auto"/>
          </w:divBdr>
        </w:div>
      </w:divsChild>
    </w:div>
    <w:div w:id="984436107">
      <w:marLeft w:val="0"/>
      <w:marRight w:val="0"/>
      <w:marTop w:val="0"/>
      <w:marBottom w:val="240"/>
      <w:divBdr>
        <w:top w:val="none" w:sz="0" w:space="0" w:color="auto"/>
        <w:left w:val="none" w:sz="0" w:space="0" w:color="auto"/>
        <w:bottom w:val="none" w:sz="0" w:space="0" w:color="auto"/>
        <w:right w:val="none" w:sz="0" w:space="0" w:color="auto"/>
      </w:divBdr>
    </w:div>
    <w:div w:id="997226200">
      <w:marLeft w:val="0"/>
      <w:marRight w:val="0"/>
      <w:marTop w:val="240"/>
      <w:marBottom w:val="0"/>
      <w:divBdr>
        <w:top w:val="none" w:sz="0" w:space="0" w:color="auto"/>
        <w:left w:val="none" w:sz="0" w:space="0" w:color="auto"/>
        <w:bottom w:val="none" w:sz="0" w:space="0" w:color="auto"/>
        <w:right w:val="none" w:sz="0" w:space="0" w:color="auto"/>
      </w:divBdr>
    </w:div>
    <w:div w:id="1006857440">
      <w:marLeft w:val="0"/>
      <w:marRight w:val="0"/>
      <w:marTop w:val="0"/>
      <w:marBottom w:val="0"/>
      <w:divBdr>
        <w:top w:val="none" w:sz="0" w:space="0" w:color="auto"/>
        <w:left w:val="none" w:sz="0" w:space="0" w:color="auto"/>
        <w:bottom w:val="none" w:sz="0" w:space="0" w:color="auto"/>
        <w:right w:val="none" w:sz="0" w:space="0" w:color="auto"/>
      </w:divBdr>
      <w:divsChild>
        <w:div w:id="355885882">
          <w:marLeft w:val="0"/>
          <w:marRight w:val="0"/>
          <w:marTop w:val="0"/>
          <w:marBottom w:val="0"/>
          <w:divBdr>
            <w:top w:val="none" w:sz="0" w:space="0" w:color="auto"/>
            <w:left w:val="none" w:sz="0" w:space="0" w:color="auto"/>
            <w:bottom w:val="none" w:sz="0" w:space="0" w:color="auto"/>
            <w:right w:val="none" w:sz="0" w:space="0" w:color="auto"/>
          </w:divBdr>
        </w:div>
      </w:divsChild>
    </w:div>
    <w:div w:id="1010370403">
      <w:marLeft w:val="0"/>
      <w:marRight w:val="0"/>
      <w:marTop w:val="0"/>
      <w:marBottom w:val="240"/>
      <w:divBdr>
        <w:top w:val="none" w:sz="0" w:space="0" w:color="auto"/>
        <w:left w:val="none" w:sz="0" w:space="0" w:color="auto"/>
        <w:bottom w:val="none" w:sz="0" w:space="0" w:color="auto"/>
        <w:right w:val="none" w:sz="0" w:space="0" w:color="auto"/>
      </w:divBdr>
    </w:div>
    <w:div w:id="1026178085">
      <w:marLeft w:val="0"/>
      <w:marRight w:val="0"/>
      <w:marTop w:val="0"/>
      <w:marBottom w:val="0"/>
      <w:divBdr>
        <w:top w:val="none" w:sz="0" w:space="0" w:color="auto"/>
        <w:left w:val="none" w:sz="0" w:space="0" w:color="auto"/>
        <w:bottom w:val="none" w:sz="0" w:space="0" w:color="auto"/>
        <w:right w:val="none" w:sz="0" w:space="0" w:color="auto"/>
      </w:divBdr>
    </w:div>
    <w:div w:id="1030644479">
      <w:marLeft w:val="0"/>
      <w:marRight w:val="0"/>
      <w:marTop w:val="0"/>
      <w:marBottom w:val="120"/>
      <w:divBdr>
        <w:top w:val="none" w:sz="0" w:space="0" w:color="auto"/>
        <w:left w:val="none" w:sz="0" w:space="0" w:color="auto"/>
        <w:bottom w:val="none" w:sz="0" w:space="0" w:color="auto"/>
        <w:right w:val="none" w:sz="0" w:space="0" w:color="auto"/>
      </w:divBdr>
    </w:div>
    <w:div w:id="1034960684">
      <w:marLeft w:val="0"/>
      <w:marRight w:val="0"/>
      <w:marTop w:val="0"/>
      <w:marBottom w:val="0"/>
      <w:divBdr>
        <w:top w:val="none" w:sz="0" w:space="0" w:color="auto"/>
        <w:left w:val="none" w:sz="0" w:space="0" w:color="auto"/>
        <w:bottom w:val="none" w:sz="0" w:space="0" w:color="auto"/>
        <w:right w:val="none" w:sz="0" w:space="0" w:color="auto"/>
      </w:divBdr>
      <w:divsChild>
        <w:div w:id="1518542511">
          <w:marLeft w:val="0"/>
          <w:marRight w:val="0"/>
          <w:marTop w:val="0"/>
          <w:marBottom w:val="0"/>
          <w:divBdr>
            <w:top w:val="none" w:sz="0" w:space="0" w:color="auto"/>
            <w:left w:val="none" w:sz="0" w:space="0" w:color="auto"/>
            <w:bottom w:val="none" w:sz="0" w:space="0" w:color="auto"/>
            <w:right w:val="none" w:sz="0" w:space="0" w:color="auto"/>
          </w:divBdr>
        </w:div>
      </w:divsChild>
    </w:div>
    <w:div w:id="1039823323">
      <w:marLeft w:val="0"/>
      <w:marRight w:val="0"/>
      <w:marTop w:val="240"/>
      <w:marBottom w:val="240"/>
      <w:divBdr>
        <w:top w:val="none" w:sz="0" w:space="0" w:color="auto"/>
        <w:left w:val="none" w:sz="0" w:space="0" w:color="auto"/>
        <w:bottom w:val="none" w:sz="0" w:space="0" w:color="auto"/>
        <w:right w:val="none" w:sz="0" w:space="0" w:color="auto"/>
      </w:divBdr>
    </w:div>
    <w:div w:id="1043821241">
      <w:marLeft w:val="0"/>
      <w:marRight w:val="0"/>
      <w:marTop w:val="0"/>
      <w:marBottom w:val="0"/>
      <w:divBdr>
        <w:top w:val="none" w:sz="0" w:space="0" w:color="auto"/>
        <w:left w:val="none" w:sz="0" w:space="0" w:color="auto"/>
        <w:bottom w:val="none" w:sz="0" w:space="0" w:color="auto"/>
        <w:right w:val="none" w:sz="0" w:space="0" w:color="auto"/>
      </w:divBdr>
    </w:div>
    <w:div w:id="1054743820">
      <w:marLeft w:val="0"/>
      <w:marRight w:val="0"/>
      <w:marTop w:val="240"/>
      <w:marBottom w:val="240"/>
      <w:divBdr>
        <w:top w:val="none" w:sz="0" w:space="0" w:color="auto"/>
        <w:left w:val="none" w:sz="0" w:space="0" w:color="auto"/>
        <w:bottom w:val="none" w:sz="0" w:space="0" w:color="auto"/>
        <w:right w:val="none" w:sz="0" w:space="0" w:color="auto"/>
      </w:divBdr>
    </w:div>
    <w:div w:id="1055275815">
      <w:marLeft w:val="0"/>
      <w:marRight w:val="0"/>
      <w:marTop w:val="240"/>
      <w:marBottom w:val="240"/>
      <w:divBdr>
        <w:top w:val="none" w:sz="0" w:space="0" w:color="auto"/>
        <w:left w:val="none" w:sz="0" w:space="0" w:color="auto"/>
        <w:bottom w:val="none" w:sz="0" w:space="0" w:color="auto"/>
        <w:right w:val="none" w:sz="0" w:space="0" w:color="auto"/>
      </w:divBdr>
    </w:div>
    <w:div w:id="1056782528">
      <w:marLeft w:val="0"/>
      <w:marRight w:val="0"/>
      <w:marTop w:val="0"/>
      <w:marBottom w:val="0"/>
      <w:divBdr>
        <w:top w:val="none" w:sz="0" w:space="0" w:color="auto"/>
        <w:left w:val="none" w:sz="0" w:space="0" w:color="auto"/>
        <w:bottom w:val="none" w:sz="0" w:space="0" w:color="auto"/>
        <w:right w:val="none" w:sz="0" w:space="0" w:color="auto"/>
      </w:divBdr>
    </w:div>
    <w:div w:id="1062604035">
      <w:marLeft w:val="0"/>
      <w:marRight w:val="0"/>
      <w:marTop w:val="0"/>
      <w:marBottom w:val="0"/>
      <w:divBdr>
        <w:top w:val="none" w:sz="0" w:space="0" w:color="auto"/>
        <w:left w:val="none" w:sz="0" w:space="0" w:color="auto"/>
        <w:bottom w:val="none" w:sz="0" w:space="0" w:color="auto"/>
        <w:right w:val="none" w:sz="0" w:space="0" w:color="auto"/>
      </w:divBdr>
      <w:divsChild>
        <w:div w:id="1030716046">
          <w:marLeft w:val="0"/>
          <w:marRight w:val="0"/>
          <w:marTop w:val="0"/>
          <w:marBottom w:val="0"/>
          <w:divBdr>
            <w:top w:val="none" w:sz="0" w:space="0" w:color="auto"/>
            <w:left w:val="none" w:sz="0" w:space="0" w:color="auto"/>
            <w:bottom w:val="none" w:sz="0" w:space="0" w:color="auto"/>
            <w:right w:val="none" w:sz="0" w:space="0" w:color="auto"/>
          </w:divBdr>
        </w:div>
      </w:divsChild>
    </w:div>
    <w:div w:id="1064377139">
      <w:marLeft w:val="0"/>
      <w:marRight w:val="0"/>
      <w:marTop w:val="0"/>
      <w:marBottom w:val="240"/>
      <w:divBdr>
        <w:top w:val="none" w:sz="0" w:space="0" w:color="auto"/>
        <w:left w:val="none" w:sz="0" w:space="0" w:color="auto"/>
        <w:bottom w:val="none" w:sz="0" w:space="0" w:color="auto"/>
        <w:right w:val="none" w:sz="0" w:space="0" w:color="auto"/>
      </w:divBdr>
    </w:div>
    <w:div w:id="1078134582">
      <w:marLeft w:val="0"/>
      <w:marRight w:val="0"/>
      <w:marTop w:val="0"/>
      <w:marBottom w:val="0"/>
      <w:divBdr>
        <w:top w:val="none" w:sz="0" w:space="0" w:color="auto"/>
        <w:left w:val="none" w:sz="0" w:space="0" w:color="auto"/>
        <w:bottom w:val="none" w:sz="0" w:space="0" w:color="auto"/>
        <w:right w:val="none" w:sz="0" w:space="0" w:color="auto"/>
      </w:divBdr>
    </w:div>
    <w:div w:id="1079251755">
      <w:marLeft w:val="0"/>
      <w:marRight w:val="0"/>
      <w:marTop w:val="0"/>
      <w:marBottom w:val="0"/>
      <w:divBdr>
        <w:top w:val="none" w:sz="0" w:space="0" w:color="auto"/>
        <w:left w:val="none" w:sz="0" w:space="0" w:color="auto"/>
        <w:bottom w:val="none" w:sz="0" w:space="0" w:color="auto"/>
        <w:right w:val="none" w:sz="0" w:space="0" w:color="auto"/>
      </w:divBdr>
      <w:divsChild>
        <w:div w:id="985670817">
          <w:marLeft w:val="0"/>
          <w:marRight w:val="0"/>
          <w:marTop w:val="0"/>
          <w:marBottom w:val="0"/>
          <w:divBdr>
            <w:top w:val="none" w:sz="0" w:space="0" w:color="auto"/>
            <w:left w:val="none" w:sz="0" w:space="0" w:color="auto"/>
            <w:bottom w:val="none" w:sz="0" w:space="0" w:color="auto"/>
            <w:right w:val="none" w:sz="0" w:space="0" w:color="auto"/>
          </w:divBdr>
        </w:div>
      </w:divsChild>
    </w:div>
    <w:div w:id="1083406141">
      <w:marLeft w:val="0"/>
      <w:marRight w:val="0"/>
      <w:marTop w:val="0"/>
      <w:marBottom w:val="240"/>
      <w:divBdr>
        <w:top w:val="none" w:sz="0" w:space="0" w:color="auto"/>
        <w:left w:val="none" w:sz="0" w:space="0" w:color="auto"/>
        <w:bottom w:val="none" w:sz="0" w:space="0" w:color="auto"/>
        <w:right w:val="none" w:sz="0" w:space="0" w:color="auto"/>
      </w:divBdr>
    </w:div>
    <w:div w:id="1094208933">
      <w:marLeft w:val="0"/>
      <w:marRight w:val="0"/>
      <w:marTop w:val="0"/>
      <w:marBottom w:val="0"/>
      <w:divBdr>
        <w:top w:val="none" w:sz="0" w:space="0" w:color="auto"/>
        <w:left w:val="none" w:sz="0" w:space="0" w:color="auto"/>
        <w:bottom w:val="none" w:sz="0" w:space="0" w:color="auto"/>
        <w:right w:val="none" w:sz="0" w:space="0" w:color="auto"/>
      </w:divBdr>
      <w:divsChild>
        <w:div w:id="1604923130">
          <w:marLeft w:val="0"/>
          <w:marRight w:val="0"/>
          <w:marTop w:val="0"/>
          <w:marBottom w:val="0"/>
          <w:divBdr>
            <w:top w:val="none" w:sz="0" w:space="0" w:color="auto"/>
            <w:left w:val="none" w:sz="0" w:space="0" w:color="auto"/>
            <w:bottom w:val="none" w:sz="0" w:space="0" w:color="auto"/>
            <w:right w:val="none" w:sz="0" w:space="0" w:color="auto"/>
          </w:divBdr>
        </w:div>
      </w:divsChild>
    </w:div>
    <w:div w:id="1094277964">
      <w:marLeft w:val="0"/>
      <w:marRight w:val="0"/>
      <w:marTop w:val="0"/>
      <w:marBottom w:val="240"/>
      <w:divBdr>
        <w:top w:val="none" w:sz="0" w:space="0" w:color="auto"/>
        <w:left w:val="none" w:sz="0" w:space="0" w:color="auto"/>
        <w:bottom w:val="none" w:sz="0" w:space="0" w:color="auto"/>
        <w:right w:val="none" w:sz="0" w:space="0" w:color="auto"/>
      </w:divBdr>
    </w:div>
    <w:div w:id="1096748969">
      <w:marLeft w:val="0"/>
      <w:marRight w:val="0"/>
      <w:marTop w:val="0"/>
      <w:marBottom w:val="0"/>
      <w:divBdr>
        <w:top w:val="none" w:sz="0" w:space="0" w:color="auto"/>
        <w:left w:val="none" w:sz="0" w:space="0" w:color="auto"/>
        <w:bottom w:val="none" w:sz="0" w:space="0" w:color="auto"/>
        <w:right w:val="none" w:sz="0" w:space="0" w:color="auto"/>
      </w:divBdr>
    </w:div>
    <w:div w:id="1096824033">
      <w:marLeft w:val="0"/>
      <w:marRight w:val="0"/>
      <w:marTop w:val="0"/>
      <w:marBottom w:val="0"/>
      <w:divBdr>
        <w:top w:val="none" w:sz="0" w:space="0" w:color="auto"/>
        <w:left w:val="none" w:sz="0" w:space="0" w:color="auto"/>
        <w:bottom w:val="none" w:sz="0" w:space="0" w:color="auto"/>
        <w:right w:val="none" w:sz="0" w:space="0" w:color="auto"/>
      </w:divBdr>
      <w:divsChild>
        <w:div w:id="1356468023">
          <w:marLeft w:val="0"/>
          <w:marRight w:val="0"/>
          <w:marTop w:val="0"/>
          <w:marBottom w:val="0"/>
          <w:divBdr>
            <w:top w:val="none" w:sz="0" w:space="0" w:color="auto"/>
            <w:left w:val="none" w:sz="0" w:space="0" w:color="auto"/>
            <w:bottom w:val="none" w:sz="0" w:space="0" w:color="auto"/>
            <w:right w:val="none" w:sz="0" w:space="0" w:color="auto"/>
          </w:divBdr>
        </w:div>
      </w:divsChild>
    </w:div>
    <w:div w:id="1097364868">
      <w:marLeft w:val="0"/>
      <w:marRight w:val="0"/>
      <w:marTop w:val="0"/>
      <w:marBottom w:val="120"/>
      <w:divBdr>
        <w:top w:val="none" w:sz="0" w:space="0" w:color="auto"/>
        <w:left w:val="none" w:sz="0" w:space="0" w:color="auto"/>
        <w:bottom w:val="none" w:sz="0" w:space="0" w:color="auto"/>
        <w:right w:val="none" w:sz="0" w:space="0" w:color="auto"/>
      </w:divBdr>
    </w:div>
    <w:div w:id="1098405522">
      <w:marLeft w:val="0"/>
      <w:marRight w:val="0"/>
      <w:marTop w:val="0"/>
      <w:marBottom w:val="120"/>
      <w:divBdr>
        <w:top w:val="none" w:sz="0" w:space="0" w:color="auto"/>
        <w:left w:val="none" w:sz="0" w:space="0" w:color="auto"/>
        <w:bottom w:val="none" w:sz="0" w:space="0" w:color="auto"/>
        <w:right w:val="none" w:sz="0" w:space="0" w:color="auto"/>
      </w:divBdr>
    </w:div>
    <w:div w:id="1104115143">
      <w:marLeft w:val="0"/>
      <w:marRight w:val="0"/>
      <w:marTop w:val="0"/>
      <w:marBottom w:val="0"/>
      <w:divBdr>
        <w:top w:val="none" w:sz="0" w:space="0" w:color="auto"/>
        <w:left w:val="none" w:sz="0" w:space="0" w:color="auto"/>
        <w:bottom w:val="none" w:sz="0" w:space="0" w:color="auto"/>
        <w:right w:val="none" w:sz="0" w:space="0" w:color="auto"/>
      </w:divBdr>
      <w:divsChild>
        <w:div w:id="1153526339">
          <w:marLeft w:val="0"/>
          <w:marRight w:val="0"/>
          <w:marTop w:val="0"/>
          <w:marBottom w:val="0"/>
          <w:divBdr>
            <w:top w:val="none" w:sz="0" w:space="0" w:color="auto"/>
            <w:left w:val="none" w:sz="0" w:space="0" w:color="auto"/>
            <w:bottom w:val="none" w:sz="0" w:space="0" w:color="auto"/>
            <w:right w:val="none" w:sz="0" w:space="0" w:color="auto"/>
          </w:divBdr>
        </w:div>
      </w:divsChild>
    </w:div>
    <w:div w:id="1113283670">
      <w:marLeft w:val="0"/>
      <w:marRight w:val="0"/>
      <w:marTop w:val="0"/>
      <w:marBottom w:val="1"/>
      <w:divBdr>
        <w:top w:val="none" w:sz="0" w:space="0" w:color="auto"/>
        <w:left w:val="none" w:sz="0" w:space="0" w:color="auto"/>
        <w:bottom w:val="none" w:sz="0" w:space="0" w:color="auto"/>
        <w:right w:val="none" w:sz="0" w:space="0" w:color="auto"/>
      </w:divBdr>
    </w:div>
    <w:div w:id="1118524054">
      <w:marLeft w:val="0"/>
      <w:marRight w:val="0"/>
      <w:marTop w:val="0"/>
      <w:marBottom w:val="240"/>
      <w:divBdr>
        <w:top w:val="none" w:sz="0" w:space="0" w:color="auto"/>
        <w:left w:val="none" w:sz="0" w:space="0" w:color="auto"/>
        <w:bottom w:val="none" w:sz="0" w:space="0" w:color="auto"/>
        <w:right w:val="none" w:sz="0" w:space="0" w:color="auto"/>
      </w:divBdr>
    </w:div>
    <w:div w:id="1120534817">
      <w:marLeft w:val="0"/>
      <w:marRight w:val="0"/>
      <w:marTop w:val="0"/>
      <w:marBottom w:val="240"/>
      <w:divBdr>
        <w:top w:val="none" w:sz="0" w:space="0" w:color="auto"/>
        <w:left w:val="none" w:sz="0" w:space="0" w:color="auto"/>
        <w:bottom w:val="none" w:sz="0" w:space="0" w:color="auto"/>
        <w:right w:val="none" w:sz="0" w:space="0" w:color="auto"/>
      </w:divBdr>
    </w:div>
    <w:div w:id="1125462363">
      <w:marLeft w:val="0"/>
      <w:marRight w:val="0"/>
      <w:marTop w:val="0"/>
      <w:marBottom w:val="240"/>
      <w:divBdr>
        <w:top w:val="none" w:sz="0" w:space="0" w:color="auto"/>
        <w:left w:val="none" w:sz="0" w:space="0" w:color="auto"/>
        <w:bottom w:val="none" w:sz="0" w:space="0" w:color="auto"/>
        <w:right w:val="none" w:sz="0" w:space="0" w:color="auto"/>
      </w:divBdr>
    </w:div>
    <w:div w:id="1127625498">
      <w:marLeft w:val="0"/>
      <w:marRight w:val="0"/>
      <w:marTop w:val="0"/>
      <w:marBottom w:val="240"/>
      <w:divBdr>
        <w:top w:val="none" w:sz="0" w:space="0" w:color="auto"/>
        <w:left w:val="none" w:sz="0" w:space="0" w:color="auto"/>
        <w:bottom w:val="none" w:sz="0" w:space="0" w:color="auto"/>
        <w:right w:val="none" w:sz="0" w:space="0" w:color="auto"/>
      </w:divBdr>
    </w:div>
    <w:div w:id="1128007187">
      <w:marLeft w:val="0"/>
      <w:marRight w:val="0"/>
      <w:marTop w:val="0"/>
      <w:marBottom w:val="240"/>
      <w:divBdr>
        <w:top w:val="none" w:sz="0" w:space="0" w:color="auto"/>
        <w:left w:val="none" w:sz="0" w:space="0" w:color="auto"/>
        <w:bottom w:val="none" w:sz="0" w:space="0" w:color="auto"/>
        <w:right w:val="none" w:sz="0" w:space="0" w:color="auto"/>
      </w:divBdr>
    </w:div>
    <w:div w:id="1129741251">
      <w:marLeft w:val="0"/>
      <w:marRight w:val="0"/>
      <w:marTop w:val="240"/>
      <w:marBottom w:val="0"/>
      <w:divBdr>
        <w:top w:val="none" w:sz="0" w:space="0" w:color="auto"/>
        <w:left w:val="none" w:sz="0" w:space="0" w:color="auto"/>
        <w:bottom w:val="none" w:sz="0" w:space="0" w:color="auto"/>
        <w:right w:val="none" w:sz="0" w:space="0" w:color="auto"/>
      </w:divBdr>
    </w:div>
    <w:div w:id="1141968130">
      <w:marLeft w:val="0"/>
      <w:marRight w:val="0"/>
      <w:marTop w:val="0"/>
      <w:marBottom w:val="0"/>
      <w:divBdr>
        <w:top w:val="none" w:sz="0" w:space="0" w:color="auto"/>
        <w:left w:val="none" w:sz="0" w:space="0" w:color="auto"/>
        <w:bottom w:val="none" w:sz="0" w:space="0" w:color="auto"/>
        <w:right w:val="none" w:sz="0" w:space="0" w:color="auto"/>
      </w:divBdr>
      <w:divsChild>
        <w:div w:id="353533275">
          <w:marLeft w:val="0"/>
          <w:marRight w:val="0"/>
          <w:marTop w:val="0"/>
          <w:marBottom w:val="0"/>
          <w:divBdr>
            <w:top w:val="none" w:sz="0" w:space="0" w:color="auto"/>
            <w:left w:val="none" w:sz="0" w:space="0" w:color="auto"/>
            <w:bottom w:val="none" w:sz="0" w:space="0" w:color="auto"/>
            <w:right w:val="none" w:sz="0" w:space="0" w:color="auto"/>
          </w:divBdr>
        </w:div>
      </w:divsChild>
    </w:div>
    <w:div w:id="1142773477">
      <w:marLeft w:val="0"/>
      <w:marRight w:val="0"/>
      <w:marTop w:val="0"/>
      <w:marBottom w:val="240"/>
      <w:divBdr>
        <w:top w:val="none" w:sz="0" w:space="0" w:color="auto"/>
        <w:left w:val="none" w:sz="0" w:space="0" w:color="auto"/>
        <w:bottom w:val="none" w:sz="0" w:space="0" w:color="auto"/>
        <w:right w:val="none" w:sz="0" w:space="0" w:color="auto"/>
      </w:divBdr>
    </w:div>
    <w:div w:id="1148282613">
      <w:marLeft w:val="0"/>
      <w:marRight w:val="0"/>
      <w:marTop w:val="0"/>
      <w:marBottom w:val="0"/>
      <w:divBdr>
        <w:top w:val="none" w:sz="0" w:space="0" w:color="auto"/>
        <w:left w:val="none" w:sz="0" w:space="0" w:color="auto"/>
        <w:bottom w:val="none" w:sz="0" w:space="0" w:color="auto"/>
        <w:right w:val="none" w:sz="0" w:space="0" w:color="auto"/>
      </w:divBdr>
    </w:div>
    <w:div w:id="1155949972">
      <w:marLeft w:val="0"/>
      <w:marRight w:val="0"/>
      <w:marTop w:val="120"/>
      <w:marBottom w:val="240"/>
      <w:divBdr>
        <w:top w:val="none" w:sz="0" w:space="0" w:color="auto"/>
        <w:left w:val="none" w:sz="0" w:space="0" w:color="auto"/>
        <w:bottom w:val="none" w:sz="0" w:space="0" w:color="auto"/>
        <w:right w:val="none" w:sz="0" w:space="0" w:color="auto"/>
      </w:divBdr>
    </w:div>
    <w:div w:id="1157453479">
      <w:marLeft w:val="0"/>
      <w:marRight w:val="0"/>
      <w:marTop w:val="0"/>
      <w:marBottom w:val="240"/>
      <w:divBdr>
        <w:top w:val="none" w:sz="0" w:space="0" w:color="auto"/>
        <w:left w:val="none" w:sz="0" w:space="0" w:color="auto"/>
        <w:bottom w:val="none" w:sz="0" w:space="0" w:color="auto"/>
        <w:right w:val="none" w:sz="0" w:space="0" w:color="auto"/>
      </w:divBdr>
    </w:div>
    <w:div w:id="1165823124">
      <w:marLeft w:val="0"/>
      <w:marRight w:val="0"/>
      <w:marTop w:val="0"/>
      <w:marBottom w:val="0"/>
      <w:divBdr>
        <w:top w:val="none" w:sz="0" w:space="0" w:color="auto"/>
        <w:left w:val="none" w:sz="0" w:space="0" w:color="auto"/>
        <w:bottom w:val="none" w:sz="0" w:space="0" w:color="auto"/>
        <w:right w:val="none" w:sz="0" w:space="0" w:color="auto"/>
      </w:divBdr>
      <w:divsChild>
        <w:div w:id="387265511">
          <w:marLeft w:val="0"/>
          <w:marRight w:val="0"/>
          <w:marTop w:val="0"/>
          <w:marBottom w:val="0"/>
          <w:divBdr>
            <w:top w:val="none" w:sz="0" w:space="0" w:color="auto"/>
            <w:left w:val="none" w:sz="0" w:space="0" w:color="auto"/>
            <w:bottom w:val="none" w:sz="0" w:space="0" w:color="auto"/>
            <w:right w:val="none" w:sz="0" w:space="0" w:color="auto"/>
          </w:divBdr>
        </w:div>
      </w:divsChild>
    </w:div>
    <w:div w:id="1171221459">
      <w:marLeft w:val="0"/>
      <w:marRight w:val="0"/>
      <w:marTop w:val="120"/>
      <w:marBottom w:val="240"/>
      <w:divBdr>
        <w:top w:val="none" w:sz="0" w:space="0" w:color="auto"/>
        <w:left w:val="none" w:sz="0" w:space="0" w:color="auto"/>
        <w:bottom w:val="none" w:sz="0" w:space="0" w:color="auto"/>
        <w:right w:val="none" w:sz="0" w:space="0" w:color="auto"/>
      </w:divBdr>
    </w:div>
    <w:div w:id="1177423790">
      <w:marLeft w:val="0"/>
      <w:marRight w:val="0"/>
      <w:marTop w:val="0"/>
      <w:marBottom w:val="240"/>
      <w:divBdr>
        <w:top w:val="none" w:sz="0" w:space="0" w:color="auto"/>
        <w:left w:val="none" w:sz="0" w:space="0" w:color="auto"/>
        <w:bottom w:val="none" w:sz="0" w:space="0" w:color="auto"/>
        <w:right w:val="none" w:sz="0" w:space="0" w:color="auto"/>
      </w:divBdr>
    </w:div>
    <w:div w:id="1180390018">
      <w:marLeft w:val="0"/>
      <w:marRight w:val="0"/>
      <w:marTop w:val="0"/>
      <w:marBottom w:val="240"/>
      <w:divBdr>
        <w:top w:val="none" w:sz="0" w:space="0" w:color="auto"/>
        <w:left w:val="none" w:sz="0" w:space="0" w:color="auto"/>
        <w:bottom w:val="none" w:sz="0" w:space="0" w:color="auto"/>
        <w:right w:val="none" w:sz="0" w:space="0" w:color="auto"/>
      </w:divBdr>
    </w:div>
    <w:div w:id="1188060386">
      <w:marLeft w:val="0"/>
      <w:marRight w:val="0"/>
      <w:marTop w:val="0"/>
      <w:marBottom w:val="240"/>
      <w:divBdr>
        <w:top w:val="none" w:sz="0" w:space="0" w:color="auto"/>
        <w:left w:val="none" w:sz="0" w:space="0" w:color="auto"/>
        <w:bottom w:val="none" w:sz="0" w:space="0" w:color="auto"/>
        <w:right w:val="none" w:sz="0" w:space="0" w:color="auto"/>
      </w:divBdr>
    </w:div>
    <w:div w:id="1194001361">
      <w:marLeft w:val="0"/>
      <w:marRight w:val="0"/>
      <w:marTop w:val="0"/>
      <w:marBottom w:val="120"/>
      <w:divBdr>
        <w:top w:val="none" w:sz="0" w:space="0" w:color="auto"/>
        <w:left w:val="none" w:sz="0" w:space="0" w:color="auto"/>
        <w:bottom w:val="none" w:sz="0" w:space="0" w:color="auto"/>
        <w:right w:val="none" w:sz="0" w:space="0" w:color="auto"/>
      </w:divBdr>
    </w:div>
    <w:div w:id="1199662337">
      <w:marLeft w:val="0"/>
      <w:marRight w:val="0"/>
      <w:marTop w:val="0"/>
      <w:marBottom w:val="240"/>
      <w:divBdr>
        <w:top w:val="none" w:sz="0" w:space="0" w:color="auto"/>
        <w:left w:val="none" w:sz="0" w:space="0" w:color="auto"/>
        <w:bottom w:val="none" w:sz="0" w:space="0" w:color="auto"/>
        <w:right w:val="none" w:sz="0" w:space="0" w:color="auto"/>
      </w:divBdr>
    </w:div>
    <w:div w:id="1200970121">
      <w:marLeft w:val="0"/>
      <w:marRight w:val="0"/>
      <w:marTop w:val="0"/>
      <w:marBottom w:val="0"/>
      <w:divBdr>
        <w:top w:val="none" w:sz="0" w:space="0" w:color="auto"/>
        <w:left w:val="none" w:sz="0" w:space="0" w:color="auto"/>
        <w:bottom w:val="none" w:sz="0" w:space="0" w:color="auto"/>
        <w:right w:val="none" w:sz="0" w:space="0" w:color="auto"/>
      </w:divBdr>
      <w:divsChild>
        <w:div w:id="1681851484">
          <w:marLeft w:val="0"/>
          <w:marRight w:val="0"/>
          <w:marTop w:val="0"/>
          <w:marBottom w:val="0"/>
          <w:divBdr>
            <w:top w:val="none" w:sz="0" w:space="0" w:color="auto"/>
            <w:left w:val="none" w:sz="0" w:space="0" w:color="auto"/>
            <w:bottom w:val="none" w:sz="0" w:space="0" w:color="auto"/>
            <w:right w:val="none" w:sz="0" w:space="0" w:color="auto"/>
          </w:divBdr>
        </w:div>
      </w:divsChild>
    </w:div>
    <w:div w:id="1208491882">
      <w:marLeft w:val="0"/>
      <w:marRight w:val="0"/>
      <w:marTop w:val="0"/>
      <w:marBottom w:val="0"/>
      <w:divBdr>
        <w:top w:val="none" w:sz="0" w:space="0" w:color="auto"/>
        <w:left w:val="none" w:sz="0" w:space="0" w:color="auto"/>
        <w:bottom w:val="none" w:sz="0" w:space="0" w:color="auto"/>
        <w:right w:val="none" w:sz="0" w:space="0" w:color="auto"/>
      </w:divBdr>
    </w:div>
    <w:div w:id="1211380331">
      <w:marLeft w:val="0"/>
      <w:marRight w:val="0"/>
      <w:marTop w:val="0"/>
      <w:marBottom w:val="240"/>
      <w:divBdr>
        <w:top w:val="none" w:sz="0" w:space="0" w:color="auto"/>
        <w:left w:val="none" w:sz="0" w:space="0" w:color="auto"/>
        <w:bottom w:val="none" w:sz="0" w:space="0" w:color="auto"/>
        <w:right w:val="none" w:sz="0" w:space="0" w:color="auto"/>
      </w:divBdr>
    </w:div>
    <w:div w:id="1218859367">
      <w:marLeft w:val="0"/>
      <w:marRight w:val="0"/>
      <w:marTop w:val="0"/>
      <w:marBottom w:val="120"/>
      <w:divBdr>
        <w:top w:val="none" w:sz="0" w:space="0" w:color="auto"/>
        <w:left w:val="none" w:sz="0" w:space="0" w:color="auto"/>
        <w:bottom w:val="none" w:sz="0" w:space="0" w:color="auto"/>
        <w:right w:val="none" w:sz="0" w:space="0" w:color="auto"/>
      </w:divBdr>
    </w:div>
    <w:div w:id="1219975566">
      <w:marLeft w:val="0"/>
      <w:marRight w:val="0"/>
      <w:marTop w:val="0"/>
      <w:marBottom w:val="0"/>
      <w:divBdr>
        <w:top w:val="none" w:sz="0" w:space="0" w:color="auto"/>
        <w:left w:val="none" w:sz="0" w:space="0" w:color="auto"/>
        <w:bottom w:val="none" w:sz="0" w:space="0" w:color="auto"/>
        <w:right w:val="none" w:sz="0" w:space="0" w:color="auto"/>
      </w:divBdr>
      <w:divsChild>
        <w:div w:id="507791207">
          <w:marLeft w:val="0"/>
          <w:marRight w:val="0"/>
          <w:marTop w:val="0"/>
          <w:marBottom w:val="0"/>
          <w:divBdr>
            <w:top w:val="none" w:sz="0" w:space="0" w:color="auto"/>
            <w:left w:val="none" w:sz="0" w:space="0" w:color="auto"/>
            <w:bottom w:val="none" w:sz="0" w:space="0" w:color="auto"/>
            <w:right w:val="none" w:sz="0" w:space="0" w:color="auto"/>
          </w:divBdr>
        </w:div>
      </w:divsChild>
    </w:div>
    <w:div w:id="1226987365">
      <w:marLeft w:val="0"/>
      <w:marRight w:val="0"/>
      <w:marTop w:val="0"/>
      <w:marBottom w:val="240"/>
      <w:divBdr>
        <w:top w:val="none" w:sz="0" w:space="0" w:color="auto"/>
        <w:left w:val="none" w:sz="0" w:space="0" w:color="auto"/>
        <w:bottom w:val="none" w:sz="0" w:space="0" w:color="auto"/>
        <w:right w:val="none" w:sz="0" w:space="0" w:color="auto"/>
      </w:divBdr>
    </w:div>
    <w:div w:id="1237279649">
      <w:marLeft w:val="0"/>
      <w:marRight w:val="0"/>
      <w:marTop w:val="0"/>
      <w:marBottom w:val="0"/>
      <w:divBdr>
        <w:top w:val="none" w:sz="0" w:space="0" w:color="auto"/>
        <w:left w:val="none" w:sz="0" w:space="0" w:color="auto"/>
        <w:bottom w:val="none" w:sz="0" w:space="0" w:color="auto"/>
        <w:right w:val="none" w:sz="0" w:space="0" w:color="auto"/>
      </w:divBdr>
      <w:divsChild>
        <w:div w:id="981807726">
          <w:marLeft w:val="0"/>
          <w:marRight w:val="0"/>
          <w:marTop w:val="0"/>
          <w:marBottom w:val="0"/>
          <w:divBdr>
            <w:top w:val="none" w:sz="0" w:space="0" w:color="auto"/>
            <w:left w:val="none" w:sz="0" w:space="0" w:color="auto"/>
            <w:bottom w:val="none" w:sz="0" w:space="0" w:color="auto"/>
            <w:right w:val="none" w:sz="0" w:space="0" w:color="auto"/>
          </w:divBdr>
        </w:div>
      </w:divsChild>
    </w:div>
    <w:div w:id="1241058454">
      <w:marLeft w:val="0"/>
      <w:marRight w:val="0"/>
      <w:marTop w:val="0"/>
      <w:marBottom w:val="240"/>
      <w:divBdr>
        <w:top w:val="none" w:sz="0" w:space="0" w:color="auto"/>
        <w:left w:val="none" w:sz="0" w:space="0" w:color="auto"/>
        <w:bottom w:val="none" w:sz="0" w:space="0" w:color="auto"/>
        <w:right w:val="none" w:sz="0" w:space="0" w:color="auto"/>
      </w:divBdr>
    </w:div>
    <w:div w:id="1251697450">
      <w:marLeft w:val="0"/>
      <w:marRight w:val="0"/>
      <w:marTop w:val="0"/>
      <w:marBottom w:val="120"/>
      <w:divBdr>
        <w:top w:val="none" w:sz="0" w:space="0" w:color="auto"/>
        <w:left w:val="none" w:sz="0" w:space="0" w:color="auto"/>
        <w:bottom w:val="none" w:sz="0" w:space="0" w:color="auto"/>
        <w:right w:val="none" w:sz="0" w:space="0" w:color="auto"/>
      </w:divBdr>
    </w:div>
    <w:div w:id="1261062842">
      <w:marLeft w:val="0"/>
      <w:marRight w:val="0"/>
      <w:marTop w:val="0"/>
      <w:marBottom w:val="240"/>
      <w:divBdr>
        <w:top w:val="none" w:sz="0" w:space="0" w:color="auto"/>
        <w:left w:val="none" w:sz="0" w:space="0" w:color="auto"/>
        <w:bottom w:val="none" w:sz="0" w:space="0" w:color="auto"/>
        <w:right w:val="none" w:sz="0" w:space="0" w:color="auto"/>
      </w:divBdr>
    </w:div>
    <w:div w:id="1265922118">
      <w:marLeft w:val="0"/>
      <w:marRight w:val="0"/>
      <w:marTop w:val="120"/>
      <w:marBottom w:val="0"/>
      <w:divBdr>
        <w:top w:val="none" w:sz="0" w:space="0" w:color="auto"/>
        <w:left w:val="none" w:sz="0" w:space="0" w:color="auto"/>
        <w:bottom w:val="none" w:sz="0" w:space="0" w:color="auto"/>
        <w:right w:val="none" w:sz="0" w:space="0" w:color="auto"/>
      </w:divBdr>
    </w:div>
    <w:div w:id="1268542150">
      <w:marLeft w:val="0"/>
      <w:marRight w:val="0"/>
      <w:marTop w:val="0"/>
      <w:marBottom w:val="0"/>
      <w:divBdr>
        <w:top w:val="none" w:sz="0" w:space="0" w:color="auto"/>
        <w:left w:val="none" w:sz="0" w:space="0" w:color="auto"/>
        <w:bottom w:val="none" w:sz="0" w:space="0" w:color="auto"/>
        <w:right w:val="none" w:sz="0" w:space="0" w:color="auto"/>
      </w:divBdr>
    </w:div>
    <w:div w:id="1271012384">
      <w:marLeft w:val="0"/>
      <w:marRight w:val="0"/>
      <w:marTop w:val="0"/>
      <w:marBottom w:val="0"/>
      <w:divBdr>
        <w:top w:val="none" w:sz="0" w:space="0" w:color="auto"/>
        <w:left w:val="none" w:sz="0" w:space="0" w:color="auto"/>
        <w:bottom w:val="none" w:sz="0" w:space="0" w:color="auto"/>
        <w:right w:val="none" w:sz="0" w:space="0" w:color="auto"/>
      </w:divBdr>
      <w:divsChild>
        <w:div w:id="1175917331">
          <w:marLeft w:val="0"/>
          <w:marRight w:val="0"/>
          <w:marTop w:val="0"/>
          <w:marBottom w:val="0"/>
          <w:divBdr>
            <w:top w:val="none" w:sz="0" w:space="0" w:color="auto"/>
            <w:left w:val="none" w:sz="0" w:space="0" w:color="auto"/>
            <w:bottom w:val="none" w:sz="0" w:space="0" w:color="auto"/>
            <w:right w:val="none" w:sz="0" w:space="0" w:color="auto"/>
          </w:divBdr>
        </w:div>
      </w:divsChild>
    </w:div>
    <w:div w:id="1273442546">
      <w:marLeft w:val="0"/>
      <w:marRight w:val="0"/>
      <w:marTop w:val="0"/>
      <w:marBottom w:val="240"/>
      <w:divBdr>
        <w:top w:val="none" w:sz="0" w:space="0" w:color="auto"/>
        <w:left w:val="none" w:sz="0" w:space="0" w:color="auto"/>
        <w:bottom w:val="none" w:sz="0" w:space="0" w:color="auto"/>
        <w:right w:val="none" w:sz="0" w:space="0" w:color="auto"/>
      </w:divBdr>
    </w:div>
    <w:div w:id="1274483287">
      <w:marLeft w:val="0"/>
      <w:marRight w:val="0"/>
      <w:marTop w:val="0"/>
      <w:marBottom w:val="0"/>
      <w:divBdr>
        <w:top w:val="none" w:sz="0" w:space="0" w:color="auto"/>
        <w:left w:val="none" w:sz="0" w:space="0" w:color="auto"/>
        <w:bottom w:val="none" w:sz="0" w:space="0" w:color="auto"/>
        <w:right w:val="none" w:sz="0" w:space="0" w:color="auto"/>
      </w:divBdr>
      <w:divsChild>
        <w:div w:id="960495835">
          <w:marLeft w:val="0"/>
          <w:marRight w:val="0"/>
          <w:marTop w:val="0"/>
          <w:marBottom w:val="0"/>
          <w:divBdr>
            <w:top w:val="none" w:sz="0" w:space="0" w:color="auto"/>
            <w:left w:val="none" w:sz="0" w:space="0" w:color="auto"/>
            <w:bottom w:val="none" w:sz="0" w:space="0" w:color="auto"/>
            <w:right w:val="none" w:sz="0" w:space="0" w:color="auto"/>
          </w:divBdr>
        </w:div>
      </w:divsChild>
    </w:div>
    <w:div w:id="1288396498">
      <w:marLeft w:val="0"/>
      <w:marRight w:val="0"/>
      <w:marTop w:val="0"/>
      <w:marBottom w:val="0"/>
      <w:divBdr>
        <w:top w:val="none" w:sz="0" w:space="0" w:color="auto"/>
        <w:left w:val="none" w:sz="0" w:space="0" w:color="auto"/>
        <w:bottom w:val="none" w:sz="0" w:space="0" w:color="auto"/>
        <w:right w:val="none" w:sz="0" w:space="0" w:color="auto"/>
      </w:divBdr>
    </w:div>
    <w:div w:id="1288467019">
      <w:marLeft w:val="0"/>
      <w:marRight w:val="0"/>
      <w:marTop w:val="240"/>
      <w:marBottom w:val="240"/>
      <w:divBdr>
        <w:top w:val="none" w:sz="0" w:space="0" w:color="auto"/>
        <w:left w:val="none" w:sz="0" w:space="0" w:color="auto"/>
        <w:bottom w:val="none" w:sz="0" w:space="0" w:color="auto"/>
        <w:right w:val="none" w:sz="0" w:space="0" w:color="auto"/>
      </w:divBdr>
    </w:div>
    <w:div w:id="1292131335">
      <w:marLeft w:val="0"/>
      <w:marRight w:val="0"/>
      <w:marTop w:val="0"/>
      <w:marBottom w:val="0"/>
      <w:divBdr>
        <w:top w:val="none" w:sz="0" w:space="0" w:color="auto"/>
        <w:left w:val="none" w:sz="0" w:space="0" w:color="auto"/>
        <w:bottom w:val="none" w:sz="0" w:space="0" w:color="auto"/>
        <w:right w:val="none" w:sz="0" w:space="0" w:color="auto"/>
      </w:divBdr>
    </w:div>
    <w:div w:id="1298606394">
      <w:marLeft w:val="0"/>
      <w:marRight w:val="0"/>
      <w:marTop w:val="0"/>
      <w:marBottom w:val="0"/>
      <w:divBdr>
        <w:top w:val="none" w:sz="0" w:space="0" w:color="auto"/>
        <w:left w:val="none" w:sz="0" w:space="0" w:color="auto"/>
        <w:bottom w:val="none" w:sz="0" w:space="0" w:color="auto"/>
        <w:right w:val="none" w:sz="0" w:space="0" w:color="auto"/>
      </w:divBdr>
      <w:divsChild>
        <w:div w:id="825055447">
          <w:marLeft w:val="0"/>
          <w:marRight w:val="0"/>
          <w:marTop w:val="0"/>
          <w:marBottom w:val="0"/>
          <w:divBdr>
            <w:top w:val="none" w:sz="0" w:space="0" w:color="auto"/>
            <w:left w:val="none" w:sz="0" w:space="0" w:color="auto"/>
            <w:bottom w:val="none" w:sz="0" w:space="0" w:color="auto"/>
            <w:right w:val="none" w:sz="0" w:space="0" w:color="auto"/>
          </w:divBdr>
        </w:div>
      </w:divsChild>
    </w:div>
    <w:div w:id="1304042917">
      <w:marLeft w:val="0"/>
      <w:marRight w:val="0"/>
      <w:marTop w:val="0"/>
      <w:marBottom w:val="0"/>
      <w:divBdr>
        <w:top w:val="none" w:sz="0" w:space="0" w:color="auto"/>
        <w:left w:val="none" w:sz="0" w:space="0" w:color="auto"/>
        <w:bottom w:val="none" w:sz="0" w:space="0" w:color="auto"/>
        <w:right w:val="none" w:sz="0" w:space="0" w:color="auto"/>
      </w:divBdr>
      <w:divsChild>
        <w:div w:id="129440401">
          <w:marLeft w:val="0"/>
          <w:marRight w:val="0"/>
          <w:marTop w:val="0"/>
          <w:marBottom w:val="0"/>
          <w:divBdr>
            <w:top w:val="none" w:sz="0" w:space="0" w:color="auto"/>
            <w:left w:val="none" w:sz="0" w:space="0" w:color="auto"/>
            <w:bottom w:val="none" w:sz="0" w:space="0" w:color="auto"/>
            <w:right w:val="none" w:sz="0" w:space="0" w:color="auto"/>
          </w:divBdr>
        </w:div>
      </w:divsChild>
    </w:div>
    <w:div w:id="1309550056">
      <w:marLeft w:val="0"/>
      <w:marRight w:val="0"/>
      <w:marTop w:val="0"/>
      <w:marBottom w:val="240"/>
      <w:divBdr>
        <w:top w:val="none" w:sz="0" w:space="0" w:color="auto"/>
        <w:left w:val="none" w:sz="0" w:space="0" w:color="auto"/>
        <w:bottom w:val="none" w:sz="0" w:space="0" w:color="auto"/>
        <w:right w:val="none" w:sz="0" w:space="0" w:color="auto"/>
      </w:divBdr>
    </w:div>
    <w:div w:id="1310330183">
      <w:marLeft w:val="0"/>
      <w:marRight w:val="0"/>
      <w:marTop w:val="240"/>
      <w:marBottom w:val="240"/>
      <w:divBdr>
        <w:top w:val="none" w:sz="0" w:space="0" w:color="auto"/>
        <w:left w:val="none" w:sz="0" w:space="0" w:color="auto"/>
        <w:bottom w:val="none" w:sz="0" w:space="0" w:color="auto"/>
        <w:right w:val="none" w:sz="0" w:space="0" w:color="auto"/>
      </w:divBdr>
    </w:div>
    <w:div w:id="1310789213">
      <w:marLeft w:val="0"/>
      <w:marRight w:val="0"/>
      <w:marTop w:val="240"/>
      <w:marBottom w:val="240"/>
      <w:divBdr>
        <w:top w:val="none" w:sz="0" w:space="0" w:color="auto"/>
        <w:left w:val="none" w:sz="0" w:space="0" w:color="auto"/>
        <w:bottom w:val="none" w:sz="0" w:space="0" w:color="auto"/>
        <w:right w:val="none" w:sz="0" w:space="0" w:color="auto"/>
      </w:divBdr>
    </w:div>
    <w:div w:id="1311404831">
      <w:marLeft w:val="0"/>
      <w:marRight w:val="0"/>
      <w:marTop w:val="0"/>
      <w:marBottom w:val="0"/>
      <w:divBdr>
        <w:top w:val="none" w:sz="0" w:space="0" w:color="auto"/>
        <w:left w:val="none" w:sz="0" w:space="0" w:color="auto"/>
        <w:bottom w:val="none" w:sz="0" w:space="0" w:color="auto"/>
        <w:right w:val="none" w:sz="0" w:space="0" w:color="auto"/>
      </w:divBdr>
    </w:div>
    <w:div w:id="1315141679">
      <w:marLeft w:val="0"/>
      <w:marRight w:val="0"/>
      <w:marTop w:val="0"/>
      <w:marBottom w:val="1"/>
      <w:divBdr>
        <w:top w:val="none" w:sz="0" w:space="0" w:color="auto"/>
        <w:left w:val="none" w:sz="0" w:space="0" w:color="auto"/>
        <w:bottom w:val="none" w:sz="0" w:space="0" w:color="auto"/>
        <w:right w:val="none" w:sz="0" w:space="0" w:color="auto"/>
      </w:divBdr>
    </w:div>
    <w:div w:id="1316225751">
      <w:marLeft w:val="0"/>
      <w:marRight w:val="0"/>
      <w:marTop w:val="0"/>
      <w:marBottom w:val="200"/>
      <w:divBdr>
        <w:top w:val="none" w:sz="0" w:space="0" w:color="auto"/>
        <w:left w:val="none" w:sz="0" w:space="0" w:color="auto"/>
        <w:bottom w:val="none" w:sz="0" w:space="0" w:color="auto"/>
        <w:right w:val="none" w:sz="0" w:space="0" w:color="auto"/>
      </w:divBdr>
    </w:div>
    <w:div w:id="1320385872">
      <w:marLeft w:val="0"/>
      <w:marRight w:val="0"/>
      <w:marTop w:val="0"/>
      <w:marBottom w:val="0"/>
      <w:divBdr>
        <w:top w:val="none" w:sz="0" w:space="0" w:color="auto"/>
        <w:left w:val="none" w:sz="0" w:space="0" w:color="auto"/>
        <w:bottom w:val="none" w:sz="0" w:space="0" w:color="auto"/>
        <w:right w:val="none" w:sz="0" w:space="0" w:color="auto"/>
      </w:divBdr>
      <w:divsChild>
        <w:div w:id="1349212972">
          <w:marLeft w:val="0"/>
          <w:marRight w:val="0"/>
          <w:marTop w:val="0"/>
          <w:marBottom w:val="0"/>
          <w:divBdr>
            <w:top w:val="none" w:sz="0" w:space="0" w:color="auto"/>
            <w:left w:val="none" w:sz="0" w:space="0" w:color="auto"/>
            <w:bottom w:val="none" w:sz="0" w:space="0" w:color="auto"/>
            <w:right w:val="none" w:sz="0" w:space="0" w:color="auto"/>
          </w:divBdr>
        </w:div>
      </w:divsChild>
    </w:div>
    <w:div w:id="1321887057">
      <w:marLeft w:val="0"/>
      <w:marRight w:val="0"/>
      <w:marTop w:val="0"/>
      <w:marBottom w:val="0"/>
      <w:divBdr>
        <w:top w:val="none" w:sz="0" w:space="0" w:color="auto"/>
        <w:left w:val="none" w:sz="0" w:space="0" w:color="auto"/>
        <w:bottom w:val="none" w:sz="0" w:space="0" w:color="auto"/>
        <w:right w:val="none" w:sz="0" w:space="0" w:color="auto"/>
      </w:divBdr>
    </w:div>
    <w:div w:id="1348020605">
      <w:marLeft w:val="0"/>
      <w:marRight w:val="0"/>
      <w:marTop w:val="0"/>
      <w:marBottom w:val="240"/>
      <w:divBdr>
        <w:top w:val="none" w:sz="0" w:space="0" w:color="auto"/>
        <w:left w:val="none" w:sz="0" w:space="0" w:color="auto"/>
        <w:bottom w:val="none" w:sz="0" w:space="0" w:color="auto"/>
        <w:right w:val="none" w:sz="0" w:space="0" w:color="auto"/>
      </w:divBdr>
    </w:div>
    <w:div w:id="1349941067">
      <w:marLeft w:val="0"/>
      <w:marRight w:val="0"/>
      <w:marTop w:val="240"/>
      <w:marBottom w:val="0"/>
      <w:divBdr>
        <w:top w:val="none" w:sz="0" w:space="0" w:color="auto"/>
        <w:left w:val="none" w:sz="0" w:space="0" w:color="auto"/>
        <w:bottom w:val="none" w:sz="0" w:space="0" w:color="auto"/>
        <w:right w:val="none" w:sz="0" w:space="0" w:color="auto"/>
      </w:divBdr>
    </w:div>
    <w:div w:id="1350178096">
      <w:marLeft w:val="0"/>
      <w:marRight w:val="0"/>
      <w:marTop w:val="0"/>
      <w:marBottom w:val="0"/>
      <w:divBdr>
        <w:top w:val="none" w:sz="0" w:space="0" w:color="auto"/>
        <w:left w:val="none" w:sz="0" w:space="0" w:color="auto"/>
        <w:bottom w:val="none" w:sz="0" w:space="0" w:color="auto"/>
        <w:right w:val="none" w:sz="0" w:space="0" w:color="auto"/>
      </w:divBdr>
      <w:divsChild>
        <w:div w:id="612833771">
          <w:marLeft w:val="0"/>
          <w:marRight w:val="0"/>
          <w:marTop w:val="0"/>
          <w:marBottom w:val="0"/>
          <w:divBdr>
            <w:top w:val="none" w:sz="0" w:space="0" w:color="auto"/>
            <w:left w:val="none" w:sz="0" w:space="0" w:color="auto"/>
            <w:bottom w:val="none" w:sz="0" w:space="0" w:color="auto"/>
            <w:right w:val="none" w:sz="0" w:space="0" w:color="auto"/>
          </w:divBdr>
        </w:div>
        <w:div w:id="1668512544">
          <w:marLeft w:val="0"/>
          <w:marRight w:val="0"/>
          <w:marTop w:val="0"/>
          <w:marBottom w:val="0"/>
          <w:divBdr>
            <w:top w:val="none" w:sz="0" w:space="0" w:color="auto"/>
            <w:left w:val="none" w:sz="0" w:space="0" w:color="auto"/>
            <w:bottom w:val="none" w:sz="0" w:space="0" w:color="auto"/>
            <w:right w:val="none" w:sz="0" w:space="0" w:color="auto"/>
          </w:divBdr>
        </w:div>
        <w:div w:id="548421738">
          <w:marLeft w:val="0"/>
          <w:marRight w:val="0"/>
          <w:marTop w:val="0"/>
          <w:marBottom w:val="0"/>
          <w:divBdr>
            <w:top w:val="none" w:sz="0" w:space="0" w:color="auto"/>
            <w:left w:val="none" w:sz="0" w:space="0" w:color="auto"/>
            <w:bottom w:val="none" w:sz="0" w:space="0" w:color="auto"/>
            <w:right w:val="none" w:sz="0" w:space="0" w:color="auto"/>
          </w:divBdr>
        </w:div>
        <w:div w:id="1337686951">
          <w:marLeft w:val="0"/>
          <w:marRight w:val="0"/>
          <w:marTop w:val="0"/>
          <w:marBottom w:val="0"/>
          <w:divBdr>
            <w:top w:val="none" w:sz="0" w:space="0" w:color="auto"/>
            <w:left w:val="none" w:sz="0" w:space="0" w:color="auto"/>
            <w:bottom w:val="none" w:sz="0" w:space="0" w:color="auto"/>
            <w:right w:val="none" w:sz="0" w:space="0" w:color="auto"/>
          </w:divBdr>
        </w:div>
      </w:divsChild>
    </w:div>
    <w:div w:id="1354964263">
      <w:marLeft w:val="0"/>
      <w:marRight w:val="0"/>
      <w:marTop w:val="0"/>
      <w:marBottom w:val="240"/>
      <w:divBdr>
        <w:top w:val="none" w:sz="0" w:space="0" w:color="auto"/>
        <w:left w:val="none" w:sz="0" w:space="0" w:color="auto"/>
        <w:bottom w:val="none" w:sz="0" w:space="0" w:color="auto"/>
        <w:right w:val="none" w:sz="0" w:space="0" w:color="auto"/>
      </w:divBdr>
    </w:div>
    <w:div w:id="1355422743">
      <w:marLeft w:val="0"/>
      <w:marRight w:val="0"/>
      <w:marTop w:val="0"/>
      <w:marBottom w:val="0"/>
      <w:divBdr>
        <w:top w:val="none" w:sz="0" w:space="0" w:color="auto"/>
        <w:left w:val="none" w:sz="0" w:space="0" w:color="auto"/>
        <w:bottom w:val="none" w:sz="0" w:space="0" w:color="auto"/>
        <w:right w:val="none" w:sz="0" w:space="0" w:color="auto"/>
      </w:divBdr>
    </w:div>
    <w:div w:id="1358964641">
      <w:marLeft w:val="0"/>
      <w:marRight w:val="0"/>
      <w:marTop w:val="0"/>
      <w:marBottom w:val="240"/>
      <w:divBdr>
        <w:top w:val="none" w:sz="0" w:space="0" w:color="auto"/>
        <w:left w:val="none" w:sz="0" w:space="0" w:color="auto"/>
        <w:bottom w:val="none" w:sz="0" w:space="0" w:color="auto"/>
        <w:right w:val="none" w:sz="0" w:space="0" w:color="auto"/>
      </w:divBdr>
    </w:div>
    <w:div w:id="1364477312">
      <w:marLeft w:val="0"/>
      <w:marRight w:val="0"/>
      <w:marTop w:val="0"/>
      <w:marBottom w:val="240"/>
      <w:divBdr>
        <w:top w:val="none" w:sz="0" w:space="0" w:color="auto"/>
        <w:left w:val="none" w:sz="0" w:space="0" w:color="auto"/>
        <w:bottom w:val="none" w:sz="0" w:space="0" w:color="auto"/>
        <w:right w:val="none" w:sz="0" w:space="0" w:color="auto"/>
      </w:divBdr>
    </w:div>
    <w:div w:id="1371297096">
      <w:marLeft w:val="0"/>
      <w:marRight w:val="0"/>
      <w:marTop w:val="0"/>
      <w:marBottom w:val="0"/>
      <w:divBdr>
        <w:top w:val="none" w:sz="0" w:space="0" w:color="auto"/>
        <w:left w:val="none" w:sz="0" w:space="0" w:color="auto"/>
        <w:bottom w:val="none" w:sz="0" w:space="0" w:color="auto"/>
        <w:right w:val="none" w:sz="0" w:space="0" w:color="auto"/>
      </w:divBdr>
      <w:divsChild>
        <w:div w:id="1952324272">
          <w:marLeft w:val="0"/>
          <w:marRight w:val="0"/>
          <w:marTop w:val="0"/>
          <w:marBottom w:val="0"/>
          <w:divBdr>
            <w:top w:val="none" w:sz="0" w:space="0" w:color="auto"/>
            <w:left w:val="none" w:sz="0" w:space="0" w:color="auto"/>
            <w:bottom w:val="none" w:sz="0" w:space="0" w:color="auto"/>
            <w:right w:val="none" w:sz="0" w:space="0" w:color="auto"/>
          </w:divBdr>
        </w:div>
      </w:divsChild>
    </w:div>
    <w:div w:id="1384870326">
      <w:marLeft w:val="0"/>
      <w:marRight w:val="0"/>
      <w:marTop w:val="240"/>
      <w:marBottom w:val="240"/>
      <w:divBdr>
        <w:top w:val="none" w:sz="0" w:space="0" w:color="auto"/>
        <w:left w:val="none" w:sz="0" w:space="0" w:color="auto"/>
        <w:bottom w:val="none" w:sz="0" w:space="0" w:color="auto"/>
        <w:right w:val="none" w:sz="0" w:space="0" w:color="auto"/>
      </w:divBdr>
    </w:div>
    <w:div w:id="1390618326">
      <w:marLeft w:val="0"/>
      <w:marRight w:val="0"/>
      <w:marTop w:val="0"/>
      <w:marBottom w:val="0"/>
      <w:divBdr>
        <w:top w:val="none" w:sz="0" w:space="0" w:color="auto"/>
        <w:left w:val="none" w:sz="0" w:space="0" w:color="auto"/>
        <w:bottom w:val="none" w:sz="0" w:space="0" w:color="auto"/>
        <w:right w:val="none" w:sz="0" w:space="0" w:color="auto"/>
      </w:divBdr>
    </w:div>
    <w:div w:id="1423641160">
      <w:marLeft w:val="0"/>
      <w:marRight w:val="0"/>
      <w:marTop w:val="0"/>
      <w:marBottom w:val="120"/>
      <w:divBdr>
        <w:top w:val="none" w:sz="0" w:space="0" w:color="auto"/>
        <w:left w:val="none" w:sz="0" w:space="0" w:color="auto"/>
        <w:bottom w:val="none" w:sz="0" w:space="0" w:color="auto"/>
        <w:right w:val="none" w:sz="0" w:space="0" w:color="auto"/>
      </w:divBdr>
    </w:div>
    <w:div w:id="1427576629">
      <w:marLeft w:val="0"/>
      <w:marRight w:val="0"/>
      <w:marTop w:val="0"/>
      <w:marBottom w:val="240"/>
      <w:divBdr>
        <w:top w:val="none" w:sz="0" w:space="0" w:color="auto"/>
        <w:left w:val="none" w:sz="0" w:space="0" w:color="auto"/>
        <w:bottom w:val="none" w:sz="0" w:space="0" w:color="auto"/>
        <w:right w:val="none" w:sz="0" w:space="0" w:color="auto"/>
      </w:divBdr>
    </w:div>
    <w:div w:id="1429497024">
      <w:marLeft w:val="0"/>
      <w:marRight w:val="0"/>
      <w:marTop w:val="0"/>
      <w:marBottom w:val="240"/>
      <w:divBdr>
        <w:top w:val="none" w:sz="0" w:space="0" w:color="auto"/>
        <w:left w:val="none" w:sz="0" w:space="0" w:color="auto"/>
        <w:bottom w:val="none" w:sz="0" w:space="0" w:color="auto"/>
        <w:right w:val="none" w:sz="0" w:space="0" w:color="auto"/>
      </w:divBdr>
    </w:div>
    <w:div w:id="1432892230">
      <w:marLeft w:val="0"/>
      <w:marRight w:val="0"/>
      <w:marTop w:val="0"/>
      <w:marBottom w:val="0"/>
      <w:divBdr>
        <w:top w:val="none" w:sz="0" w:space="0" w:color="auto"/>
        <w:left w:val="none" w:sz="0" w:space="0" w:color="auto"/>
        <w:bottom w:val="none" w:sz="0" w:space="0" w:color="auto"/>
        <w:right w:val="none" w:sz="0" w:space="0" w:color="auto"/>
      </w:divBdr>
    </w:div>
    <w:div w:id="1433010443">
      <w:marLeft w:val="0"/>
      <w:marRight w:val="0"/>
      <w:marTop w:val="240"/>
      <w:marBottom w:val="240"/>
      <w:divBdr>
        <w:top w:val="none" w:sz="0" w:space="0" w:color="auto"/>
        <w:left w:val="none" w:sz="0" w:space="0" w:color="auto"/>
        <w:bottom w:val="none" w:sz="0" w:space="0" w:color="auto"/>
        <w:right w:val="none" w:sz="0" w:space="0" w:color="auto"/>
      </w:divBdr>
    </w:div>
    <w:div w:id="1447431141">
      <w:marLeft w:val="0"/>
      <w:marRight w:val="0"/>
      <w:marTop w:val="0"/>
      <w:marBottom w:val="0"/>
      <w:divBdr>
        <w:top w:val="none" w:sz="0" w:space="0" w:color="auto"/>
        <w:left w:val="none" w:sz="0" w:space="0" w:color="auto"/>
        <w:bottom w:val="none" w:sz="0" w:space="0" w:color="auto"/>
        <w:right w:val="none" w:sz="0" w:space="0" w:color="auto"/>
      </w:divBdr>
    </w:div>
    <w:div w:id="1458794129">
      <w:marLeft w:val="0"/>
      <w:marRight w:val="0"/>
      <w:marTop w:val="0"/>
      <w:marBottom w:val="120"/>
      <w:divBdr>
        <w:top w:val="none" w:sz="0" w:space="0" w:color="auto"/>
        <w:left w:val="none" w:sz="0" w:space="0" w:color="auto"/>
        <w:bottom w:val="none" w:sz="0" w:space="0" w:color="auto"/>
        <w:right w:val="none" w:sz="0" w:space="0" w:color="auto"/>
      </w:divBdr>
    </w:div>
    <w:div w:id="1468469934">
      <w:marLeft w:val="0"/>
      <w:marRight w:val="0"/>
      <w:marTop w:val="0"/>
      <w:marBottom w:val="0"/>
      <w:divBdr>
        <w:top w:val="none" w:sz="0" w:space="0" w:color="auto"/>
        <w:left w:val="none" w:sz="0" w:space="0" w:color="auto"/>
        <w:bottom w:val="none" w:sz="0" w:space="0" w:color="auto"/>
        <w:right w:val="none" w:sz="0" w:space="0" w:color="auto"/>
      </w:divBdr>
      <w:divsChild>
        <w:div w:id="632180971">
          <w:marLeft w:val="0"/>
          <w:marRight w:val="0"/>
          <w:marTop w:val="0"/>
          <w:marBottom w:val="0"/>
          <w:divBdr>
            <w:top w:val="none" w:sz="0" w:space="0" w:color="auto"/>
            <w:left w:val="none" w:sz="0" w:space="0" w:color="auto"/>
            <w:bottom w:val="none" w:sz="0" w:space="0" w:color="auto"/>
            <w:right w:val="none" w:sz="0" w:space="0" w:color="auto"/>
          </w:divBdr>
        </w:div>
      </w:divsChild>
    </w:div>
    <w:div w:id="1474101750">
      <w:marLeft w:val="0"/>
      <w:marRight w:val="0"/>
      <w:marTop w:val="0"/>
      <w:marBottom w:val="0"/>
      <w:divBdr>
        <w:top w:val="none" w:sz="0" w:space="0" w:color="auto"/>
        <w:left w:val="none" w:sz="0" w:space="0" w:color="auto"/>
        <w:bottom w:val="none" w:sz="0" w:space="0" w:color="auto"/>
        <w:right w:val="none" w:sz="0" w:space="0" w:color="auto"/>
      </w:divBdr>
    </w:div>
    <w:div w:id="1476070605">
      <w:marLeft w:val="0"/>
      <w:marRight w:val="0"/>
      <w:marTop w:val="0"/>
      <w:marBottom w:val="0"/>
      <w:divBdr>
        <w:top w:val="none" w:sz="0" w:space="0" w:color="auto"/>
        <w:left w:val="none" w:sz="0" w:space="0" w:color="auto"/>
        <w:bottom w:val="none" w:sz="0" w:space="0" w:color="auto"/>
        <w:right w:val="none" w:sz="0" w:space="0" w:color="auto"/>
      </w:divBdr>
    </w:div>
    <w:div w:id="1478760918">
      <w:marLeft w:val="0"/>
      <w:marRight w:val="0"/>
      <w:marTop w:val="0"/>
      <w:marBottom w:val="0"/>
      <w:divBdr>
        <w:top w:val="none" w:sz="0" w:space="0" w:color="auto"/>
        <w:left w:val="none" w:sz="0" w:space="0" w:color="auto"/>
        <w:bottom w:val="none" w:sz="0" w:space="0" w:color="auto"/>
        <w:right w:val="none" w:sz="0" w:space="0" w:color="auto"/>
      </w:divBdr>
    </w:div>
    <w:div w:id="1482574758">
      <w:marLeft w:val="0"/>
      <w:marRight w:val="0"/>
      <w:marTop w:val="0"/>
      <w:marBottom w:val="0"/>
      <w:divBdr>
        <w:top w:val="none" w:sz="0" w:space="0" w:color="auto"/>
        <w:left w:val="none" w:sz="0" w:space="0" w:color="auto"/>
        <w:bottom w:val="none" w:sz="0" w:space="0" w:color="auto"/>
        <w:right w:val="none" w:sz="0" w:space="0" w:color="auto"/>
      </w:divBdr>
    </w:div>
    <w:div w:id="1502309372">
      <w:marLeft w:val="0"/>
      <w:marRight w:val="0"/>
      <w:marTop w:val="0"/>
      <w:marBottom w:val="240"/>
      <w:divBdr>
        <w:top w:val="none" w:sz="0" w:space="0" w:color="auto"/>
        <w:left w:val="none" w:sz="0" w:space="0" w:color="auto"/>
        <w:bottom w:val="none" w:sz="0" w:space="0" w:color="auto"/>
        <w:right w:val="none" w:sz="0" w:space="0" w:color="auto"/>
      </w:divBdr>
    </w:div>
    <w:div w:id="1505165459">
      <w:marLeft w:val="0"/>
      <w:marRight w:val="0"/>
      <w:marTop w:val="0"/>
      <w:marBottom w:val="240"/>
      <w:divBdr>
        <w:top w:val="none" w:sz="0" w:space="0" w:color="auto"/>
        <w:left w:val="none" w:sz="0" w:space="0" w:color="auto"/>
        <w:bottom w:val="none" w:sz="0" w:space="0" w:color="auto"/>
        <w:right w:val="none" w:sz="0" w:space="0" w:color="auto"/>
      </w:divBdr>
    </w:div>
    <w:div w:id="1520971008">
      <w:marLeft w:val="0"/>
      <w:marRight w:val="0"/>
      <w:marTop w:val="240"/>
      <w:marBottom w:val="240"/>
      <w:divBdr>
        <w:top w:val="none" w:sz="0" w:space="0" w:color="auto"/>
        <w:left w:val="none" w:sz="0" w:space="0" w:color="auto"/>
        <w:bottom w:val="none" w:sz="0" w:space="0" w:color="auto"/>
        <w:right w:val="none" w:sz="0" w:space="0" w:color="auto"/>
      </w:divBdr>
    </w:div>
    <w:div w:id="1525291143">
      <w:marLeft w:val="0"/>
      <w:marRight w:val="0"/>
      <w:marTop w:val="0"/>
      <w:marBottom w:val="240"/>
      <w:divBdr>
        <w:top w:val="none" w:sz="0" w:space="0" w:color="auto"/>
        <w:left w:val="none" w:sz="0" w:space="0" w:color="auto"/>
        <w:bottom w:val="none" w:sz="0" w:space="0" w:color="auto"/>
        <w:right w:val="none" w:sz="0" w:space="0" w:color="auto"/>
      </w:divBdr>
    </w:div>
    <w:div w:id="1532918303">
      <w:marLeft w:val="0"/>
      <w:marRight w:val="0"/>
      <w:marTop w:val="0"/>
      <w:marBottom w:val="0"/>
      <w:divBdr>
        <w:top w:val="none" w:sz="0" w:space="0" w:color="auto"/>
        <w:left w:val="none" w:sz="0" w:space="0" w:color="auto"/>
        <w:bottom w:val="none" w:sz="0" w:space="0" w:color="auto"/>
        <w:right w:val="none" w:sz="0" w:space="0" w:color="auto"/>
      </w:divBdr>
      <w:divsChild>
        <w:div w:id="1587573250">
          <w:marLeft w:val="0"/>
          <w:marRight w:val="0"/>
          <w:marTop w:val="0"/>
          <w:marBottom w:val="0"/>
          <w:divBdr>
            <w:top w:val="none" w:sz="0" w:space="0" w:color="auto"/>
            <w:left w:val="none" w:sz="0" w:space="0" w:color="auto"/>
            <w:bottom w:val="none" w:sz="0" w:space="0" w:color="auto"/>
            <w:right w:val="none" w:sz="0" w:space="0" w:color="auto"/>
          </w:divBdr>
        </w:div>
      </w:divsChild>
    </w:div>
    <w:div w:id="1541934370">
      <w:marLeft w:val="0"/>
      <w:marRight w:val="0"/>
      <w:marTop w:val="0"/>
      <w:marBottom w:val="240"/>
      <w:divBdr>
        <w:top w:val="none" w:sz="0" w:space="0" w:color="auto"/>
        <w:left w:val="none" w:sz="0" w:space="0" w:color="auto"/>
        <w:bottom w:val="none" w:sz="0" w:space="0" w:color="auto"/>
        <w:right w:val="none" w:sz="0" w:space="0" w:color="auto"/>
      </w:divBdr>
    </w:div>
    <w:div w:id="1545680742">
      <w:marLeft w:val="0"/>
      <w:marRight w:val="0"/>
      <w:marTop w:val="0"/>
      <w:marBottom w:val="240"/>
      <w:divBdr>
        <w:top w:val="none" w:sz="0" w:space="0" w:color="auto"/>
        <w:left w:val="none" w:sz="0" w:space="0" w:color="auto"/>
        <w:bottom w:val="none" w:sz="0" w:space="0" w:color="auto"/>
        <w:right w:val="none" w:sz="0" w:space="0" w:color="auto"/>
      </w:divBdr>
    </w:div>
    <w:div w:id="1548566144">
      <w:marLeft w:val="0"/>
      <w:marRight w:val="0"/>
      <w:marTop w:val="0"/>
      <w:marBottom w:val="0"/>
      <w:divBdr>
        <w:top w:val="none" w:sz="0" w:space="0" w:color="auto"/>
        <w:left w:val="none" w:sz="0" w:space="0" w:color="auto"/>
        <w:bottom w:val="none" w:sz="0" w:space="0" w:color="auto"/>
        <w:right w:val="none" w:sz="0" w:space="0" w:color="auto"/>
      </w:divBdr>
      <w:divsChild>
        <w:div w:id="857233129">
          <w:marLeft w:val="0"/>
          <w:marRight w:val="0"/>
          <w:marTop w:val="0"/>
          <w:marBottom w:val="0"/>
          <w:divBdr>
            <w:top w:val="none" w:sz="0" w:space="0" w:color="auto"/>
            <w:left w:val="none" w:sz="0" w:space="0" w:color="auto"/>
            <w:bottom w:val="none" w:sz="0" w:space="0" w:color="auto"/>
            <w:right w:val="none" w:sz="0" w:space="0" w:color="auto"/>
          </w:divBdr>
        </w:div>
      </w:divsChild>
    </w:div>
    <w:div w:id="1554925068">
      <w:marLeft w:val="0"/>
      <w:marRight w:val="0"/>
      <w:marTop w:val="0"/>
      <w:marBottom w:val="0"/>
      <w:divBdr>
        <w:top w:val="none" w:sz="0" w:space="0" w:color="auto"/>
        <w:left w:val="none" w:sz="0" w:space="0" w:color="auto"/>
        <w:bottom w:val="none" w:sz="0" w:space="0" w:color="auto"/>
        <w:right w:val="none" w:sz="0" w:space="0" w:color="auto"/>
      </w:divBdr>
    </w:div>
    <w:div w:id="1558470456">
      <w:marLeft w:val="0"/>
      <w:marRight w:val="0"/>
      <w:marTop w:val="0"/>
      <w:marBottom w:val="0"/>
      <w:divBdr>
        <w:top w:val="none" w:sz="0" w:space="0" w:color="auto"/>
        <w:left w:val="none" w:sz="0" w:space="0" w:color="auto"/>
        <w:bottom w:val="none" w:sz="0" w:space="0" w:color="auto"/>
        <w:right w:val="none" w:sz="0" w:space="0" w:color="auto"/>
      </w:divBdr>
      <w:divsChild>
        <w:div w:id="1988125779">
          <w:marLeft w:val="0"/>
          <w:marRight w:val="0"/>
          <w:marTop w:val="0"/>
          <w:marBottom w:val="0"/>
          <w:divBdr>
            <w:top w:val="none" w:sz="0" w:space="0" w:color="auto"/>
            <w:left w:val="none" w:sz="0" w:space="0" w:color="auto"/>
            <w:bottom w:val="none" w:sz="0" w:space="0" w:color="auto"/>
            <w:right w:val="none" w:sz="0" w:space="0" w:color="auto"/>
          </w:divBdr>
        </w:div>
      </w:divsChild>
    </w:div>
    <w:div w:id="1559129191">
      <w:marLeft w:val="0"/>
      <w:marRight w:val="0"/>
      <w:marTop w:val="0"/>
      <w:marBottom w:val="240"/>
      <w:divBdr>
        <w:top w:val="none" w:sz="0" w:space="0" w:color="auto"/>
        <w:left w:val="none" w:sz="0" w:space="0" w:color="auto"/>
        <w:bottom w:val="none" w:sz="0" w:space="0" w:color="auto"/>
        <w:right w:val="none" w:sz="0" w:space="0" w:color="auto"/>
      </w:divBdr>
    </w:div>
    <w:div w:id="1560700594">
      <w:marLeft w:val="0"/>
      <w:marRight w:val="0"/>
      <w:marTop w:val="240"/>
      <w:marBottom w:val="240"/>
      <w:divBdr>
        <w:top w:val="none" w:sz="0" w:space="0" w:color="auto"/>
        <w:left w:val="none" w:sz="0" w:space="0" w:color="auto"/>
        <w:bottom w:val="none" w:sz="0" w:space="0" w:color="auto"/>
        <w:right w:val="none" w:sz="0" w:space="0" w:color="auto"/>
      </w:divBdr>
    </w:div>
    <w:div w:id="1567690818">
      <w:marLeft w:val="0"/>
      <w:marRight w:val="0"/>
      <w:marTop w:val="0"/>
      <w:marBottom w:val="240"/>
      <w:divBdr>
        <w:top w:val="none" w:sz="0" w:space="0" w:color="auto"/>
        <w:left w:val="none" w:sz="0" w:space="0" w:color="auto"/>
        <w:bottom w:val="none" w:sz="0" w:space="0" w:color="auto"/>
        <w:right w:val="none" w:sz="0" w:space="0" w:color="auto"/>
      </w:divBdr>
    </w:div>
    <w:div w:id="1570194685">
      <w:marLeft w:val="0"/>
      <w:marRight w:val="0"/>
      <w:marTop w:val="120"/>
      <w:marBottom w:val="120"/>
      <w:divBdr>
        <w:top w:val="none" w:sz="0" w:space="0" w:color="auto"/>
        <w:left w:val="none" w:sz="0" w:space="0" w:color="auto"/>
        <w:bottom w:val="none" w:sz="0" w:space="0" w:color="auto"/>
        <w:right w:val="none" w:sz="0" w:space="0" w:color="auto"/>
      </w:divBdr>
    </w:div>
    <w:div w:id="1573850695">
      <w:marLeft w:val="0"/>
      <w:marRight w:val="0"/>
      <w:marTop w:val="0"/>
      <w:marBottom w:val="0"/>
      <w:divBdr>
        <w:top w:val="none" w:sz="0" w:space="0" w:color="auto"/>
        <w:left w:val="none" w:sz="0" w:space="0" w:color="auto"/>
        <w:bottom w:val="none" w:sz="0" w:space="0" w:color="auto"/>
        <w:right w:val="none" w:sz="0" w:space="0" w:color="auto"/>
      </w:divBdr>
      <w:divsChild>
        <w:div w:id="1308588903">
          <w:marLeft w:val="0"/>
          <w:marRight w:val="0"/>
          <w:marTop w:val="0"/>
          <w:marBottom w:val="0"/>
          <w:divBdr>
            <w:top w:val="none" w:sz="0" w:space="0" w:color="auto"/>
            <w:left w:val="none" w:sz="0" w:space="0" w:color="auto"/>
            <w:bottom w:val="none" w:sz="0" w:space="0" w:color="auto"/>
            <w:right w:val="none" w:sz="0" w:space="0" w:color="auto"/>
          </w:divBdr>
        </w:div>
      </w:divsChild>
    </w:div>
    <w:div w:id="1578249127">
      <w:marLeft w:val="0"/>
      <w:marRight w:val="0"/>
      <w:marTop w:val="120"/>
      <w:marBottom w:val="240"/>
      <w:divBdr>
        <w:top w:val="none" w:sz="0" w:space="0" w:color="auto"/>
        <w:left w:val="none" w:sz="0" w:space="0" w:color="auto"/>
        <w:bottom w:val="none" w:sz="0" w:space="0" w:color="auto"/>
        <w:right w:val="none" w:sz="0" w:space="0" w:color="auto"/>
      </w:divBdr>
    </w:div>
    <w:div w:id="1592618306">
      <w:marLeft w:val="0"/>
      <w:marRight w:val="0"/>
      <w:marTop w:val="240"/>
      <w:marBottom w:val="0"/>
      <w:divBdr>
        <w:top w:val="none" w:sz="0" w:space="0" w:color="auto"/>
        <w:left w:val="none" w:sz="0" w:space="0" w:color="auto"/>
        <w:bottom w:val="none" w:sz="0" w:space="0" w:color="auto"/>
        <w:right w:val="none" w:sz="0" w:space="0" w:color="auto"/>
      </w:divBdr>
    </w:div>
    <w:div w:id="1596403640">
      <w:marLeft w:val="0"/>
      <w:marRight w:val="0"/>
      <w:marTop w:val="240"/>
      <w:marBottom w:val="240"/>
      <w:divBdr>
        <w:top w:val="none" w:sz="0" w:space="0" w:color="auto"/>
        <w:left w:val="none" w:sz="0" w:space="0" w:color="auto"/>
        <w:bottom w:val="none" w:sz="0" w:space="0" w:color="auto"/>
        <w:right w:val="none" w:sz="0" w:space="0" w:color="auto"/>
      </w:divBdr>
    </w:div>
    <w:div w:id="1597054168">
      <w:marLeft w:val="0"/>
      <w:marRight w:val="0"/>
      <w:marTop w:val="0"/>
      <w:marBottom w:val="240"/>
      <w:divBdr>
        <w:top w:val="none" w:sz="0" w:space="0" w:color="auto"/>
        <w:left w:val="none" w:sz="0" w:space="0" w:color="auto"/>
        <w:bottom w:val="none" w:sz="0" w:space="0" w:color="auto"/>
        <w:right w:val="none" w:sz="0" w:space="0" w:color="auto"/>
      </w:divBdr>
    </w:div>
    <w:div w:id="1602109545">
      <w:marLeft w:val="0"/>
      <w:marRight w:val="0"/>
      <w:marTop w:val="240"/>
      <w:marBottom w:val="0"/>
      <w:divBdr>
        <w:top w:val="none" w:sz="0" w:space="0" w:color="auto"/>
        <w:left w:val="none" w:sz="0" w:space="0" w:color="auto"/>
        <w:bottom w:val="none" w:sz="0" w:space="0" w:color="auto"/>
        <w:right w:val="none" w:sz="0" w:space="0" w:color="auto"/>
      </w:divBdr>
    </w:div>
    <w:div w:id="1603679820">
      <w:marLeft w:val="0"/>
      <w:marRight w:val="0"/>
      <w:marTop w:val="0"/>
      <w:marBottom w:val="0"/>
      <w:divBdr>
        <w:top w:val="none" w:sz="0" w:space="0" w:color="auto"/>
        <w:left w:val="none" w:sz="0" w:space="0" w:color="auto"/>
        <w:bottom w:val="none" w:sz="0" w:space="0" w:color="auto"/>
        <w:right w:val="none" w:sz="0" w:space="0" w:color="auto"/>
      </w:divBdr>
    </w:div>
    <w:div w:id="1606041041">
      <w:marLeft w:val="0"/>
      <w:marRight w:val="0"/>
      <w:marTop w:val="240"/>
      <w:marBottom w:val="240"/>
      <w:divBdr>
        <w:top w:val="none" w:sz="0" w:space="0" w:color="auto"/>
        <w:left w:val="none" w:sz="0" w:space="0" w:color="auto"/>
        <w:bottom w:val="none" w:sz="0" w:space="0" w:color="auto"/>
        <w:right w:val="none" w:sz="0" w:space="0" w:color="auto"/>
      </w:divBdr>
    </w:div>
    <w:div w:id="1614358153">
      <w:marLeft w:val="0"/>
      <w:marRight w:val="0"/>
      <w:marTop w:val="0"/>
      <w:marBottom w:val="240"/>
      <w:divBdr>
        <w:top w:val="none" w:sz="0" w:space="0" w:color="auto"/>
        <w:left w:val="none" w:sz="0" w:space="0" w:color="auto"/>
        <w:bottom w:val="none" w:sz="0" w:space="0" w:color="auto"/>
        <w:right w:val="none" w:sz="0" w:space="0" w:color="auto"/>
      </w:divBdr>
    </w:div>
    <w:div w:id="1616330977">
      <w:marLeft w:val="0"/>
      <w:marRight w:val="0"/>
      <w:marTop w:val="0"/>
      <w:marBottom w:val="0"/>
      <w:divBdr>
        <w:top w:val="none" w:sz="0" w:space="0" w:color="auto"/>
        <w:left w:val="none" w:sz="0" w:space="0" w:color="auto"/>
        <w:bottom w:val="none" w:sz="0" w:space="0" w:color="auto"/>
        <w:right w:val="none" w:sz="0" w:space="0" w:color="auto"/>
      </w:divBdr>
      <w:divsChild>
        <w:div w:id="1325623896">
          <w:marLeft w:val="0"/>
          <w:marRight w:val="0"/>
          <w:marTop w:val="0"/>
          <w:marBottom w:val="0"/>
          <w:divBdr>
            <w:top w:val="none" w:sz="0" w:space="0" w:color="auto"/>
            <w:left w:val="none" w:sz="0" w:space="0" w:color="auto"/>
            <w:bottom w:val="none" w:sz="0" w:space="0" w:color="auto"/>
            <w:right w:val="none" w:sz="0" w:space="0" w:color="auto"/>
          </w:divBdr>
        </w:div>
      </w:divsChild>
    </w:div>
    <w:div w:id="1619483215">
      <w:marLeft w:val="0"/>
      <w:marRight w:val="0"/>
      <w:marTop w:val="0"/>
      <w:marBottom w:val="240"/>
      <w:divBdr>
        <w:top w:val="none" w:sz="0" w:space="0" w:color="auto"/>
        <w:left w:val="none" w:sz="0" w:space="0" w:color="auto"/>
        <w:bottom w:val="none" w:sz="0" w:space="0" w:color="auto"/>
        <w:right w:val="none" w:sz="0" w:space="0" w:color="auto"/>
      </w:divBdr>
    </w:div>
    <w:div w:id="1622763073">
      <w:marLeft w:val="0"/>
      <w:marRight w:val="0"/>
      <w:marTop w:val="0"/>
      <w:marBottom w:val="240"/>
      <w:divBdr>
        <w:top w:val="none" w:sz="0" w:space="0" w:color="auto"/>
        <w:left w:val="none" w:sz="0" w:space="0" w:color="auto"/>
        <w:bottom w:val="none" w:sz="0" w:space="0" w:color="auto"/>
        <w:right w:val="none" w:sz="0" w:space="0" w:color="auto"/>
      </w:divBdr>
    </w:div>
    <w:div w:id="1625621455">
      <w:marLeft w:val="0"/>
      <w:marRight w:val="0"/>
      <w:marTop w:val="0"/>
      <w:marBottom w:val="240"/>
      <w:divBdr>
        <w:top w:val="none" w:sz="0" w:space="0" w:color="auto"/>
        <w:left w:val="none" w:sz="0" w:space="0" w:color="auto"/>
        <w:bottom w:val="none" w:sz="0" w:space="0" w:color="auto"/>
        <w:right w:val="none" w:sz="0" w:space="0" w:color="auto"/>
      </w:divBdr>
    </w:div>
    <w:div w:id="1628582108">
      <w:marLeft w:val="0"/>
      <w:marRight w:val="0"/>
      <w:marTop w:val="0"/>
      <w:marBottom w:val="240"/>
      <w:divBdr>
        <w:top w:val="none" w:sz="0" w:space="0" w:color="auto"/>
        <w:left w:val="none" w:sz="0" w:space="0" w:color="auto"/>
        <w:bottom w:val="none" w:sz="0" w:space="0" w:color="auto"/>
        <w:right w:val="none" w:sz="0" w:space="0" w:color="auto"/>
      </w:divBdr>
    </w:div>
    <w:div w:id="1633634316">
      <w:marLeft w:val="0"/>
      <w:marRight w:val="0"/>
      <w:marTop w:val="0"/>
      <w:marBottom w:val="0"/>
      <w:divBdr>
        <w:top w:val="none" w:sz="0" w:space="0" w:color="auto"/>
        <w:left w:val="none" w:sz="0" w:space="0" w:color="auto"/>
        <w:bottom w:val="none" w:sz="0" w:space="0" w:color="auto"/>
        <w:right w:val="none" w:sz="0" w:space="0" w:color="auto"/>
      </w:divBdr>
      <w:divsChild>
        <w:div w:id="893854228">
          <w:marLeft w:val="0"/>
          <w:marRight w:val="0"/>
          <w:marTop w:val="0"/>
          <w:marBottom w:val="0"/>
          <w:divBdr>
            <w:top w:val="none" w:sz="0" w:space="0" w:color="auto"/>
            <w:left w:val="none" w:sz="0" w:space="0" w:color="auto"/>
            <w:bottom w:val="none" w:sz="0" w:space="0" w:color="auto"/>
            <w:right w:val="none" w:sz="0" w:space="0" w:color="auto"/>
          </w:divBdr>
        </w:div>
      </w:divsChild>
    </w:div>
    <w:div w:id="1633750582">
      <w:marLeft w:val="0"/>
      <w:marRight w:val="0"/>
      <w:marTop w:val="0"/>
      <w:marBottom w:val="0"/>
      <w:divBdr>
        <w:top w:val="none" w:sz="0" w:space="0" w:color="auto"/>
        <w:left w:val="none" w:sz="0" w:space="0" w:color="auto"/>
        <w:bottom w:val="none" w:sz="0" w:space="0" w:color="auto"/>
        <w:right w:val="none" w:sz="0" w:space="0" w:color="auto"/>
      </w:divBdr>
      <w:divsChild>
        <w:div w:id="1179270114">
          <w:marLeft w:val="0"/>
          <w:marRight w:val="0"/>
          <w:marTop w:val="0"/>
          <w:marBottom w:val="0"/>
          <w:divBdr>
            <w:top w:val="none" w:sz="0" w:space="0" w:color="auto"/>
            <w:left w:val="none" w:sz="0" w:space="0" w:color="auto"/>
            <w:bottom w:val="none" w:sz="0" w:space="0" w:color="auto"/>
            <w:right w:val="none" w:sz="0" w:space="0" w:color="auto"/>
          </w:divBdr>
        </w:div>
      </w:divsChild>
    </w:div>
    <w:div w:id="1639065870">
      <w:marLeft w:val="0"/>
      <w:marRight w:val="0"/>
      <w:marTop w:val="0"/>
      <w:marBottom w:val="240"/>
      <w:divBdr>
        <w:top w:val="none" w:sz="0" w:space="0" w:color="auto"/>
        <w:left w:val="none" w:sz="0" w:space="0" w:color="auto"/>
        <w:bottom w:val="none" w:sz="0" w:space="0" w:color="auto"/>
        <w:right w:val="none" w:sz="0" w:space="0" w:color="auto"/>
      </w:divBdr>
    </w:div>
    <w:div w:id="1639988734">
      <w:marLeft w:val="0"/>
      <w:marRight w:val="0"/>
      <w:marTop w:val="0"/>
      <w:marBottom w:val="240"/>
      <w:divBdr>
        <w:top w:val="none" w:sz="0" w:space="0" w:color="auto"/>
        <w:left w:val="none" w:sz="0" w:space="0" w:color="auto"/>
        <w:bottom w:val="none" w:sz="0" w:space="0" w:color="auto"/>
        <w:right w:val="none" w:sz="0" w:space="0" w:color="auto"/>
      </w:divBdr>
    </w:div>
    <w:div w:id="1643387228">
      <w:marLeft w:val="0"/>
      <w:marRight w:val="0"/>
      <w:marTop w:val="240"/>
      <w:marBottom w:val="0"/>
      <w:divBdr>
        <w:top w:val="none" w:sz="0" w:space="0" w:color="auto"/>
        <w:left w:val="none" w:sz="0" w:space="0" w:color="auto"/>
        <w:bottom w:val="none" w:sz="0" w:space="0" w:color="auto"/>
        <w:right w:val="none" w:sz="0" w:space="0" w:color="auto"/>
      </w:divBdr>
    </w:div>
    <w:div w:id="1650286621">
      <w:marLeft w:val="0"/>
      <w:marRight w:val="0"/>
      <w:marTop w:val="0"/>
      <w:marBottom w:val="240"/>
      <w:divBdr>
        <w:top w:val="none" w:sz="0" w:space="0" w:color="auto"/>
        <w:left w:val="none" w:sz="0" w:space="0" w:color="auto"/>
        <w:bottom w:val="none" w:sz="0" w:space="0" w:color="auto"/>
        <w:right w:val="none" w:sz="0" w:space="0" w:color="auto"/>
      </w:divBdr>
    </w:div>
    <w:div w:id="1650668685">
      <w:marLeft w:val="0"/>
      <w:marRight w:val="0"/>
      <w:marTop w:val="0"/>
      <w:marBottom w:val="120"/>
      <w:divBdr>
        <w:top w:val="none" w:sz="0" w:space="0" w:color="auto"/>
        <w:left w:val="none" w:sz="0" w:space="0" w:color="auto"/>
        <w:bottom w:val="none" w:sz="0" w:space="0" w:color="auto"/>
        <w:right w:val="none" w:sz="0" w:space="0" w:color="auto"/>
      </w:divBdr>
    </w:div>
    <w:div w:id="1651013557">
      <w:marLeft w:val="0"/>
      <w:marRight w:val="0"/>
      <w:marTop w:val="0"/>
      <w:marBottom w:val="0"/>
      <w:divBdr>
        <w:top w:val="none" w:sz="0" w:space="0" w:color="auto"/>
        <w:left w:val="none" w:sz="0" w:space="0" w:color="auto"/>
        <w:bottom w:val="none" w:sz="0" w:space="0" w:color="auto"/>
        <w:right w:val="none" w:sz="0" w:space="0" w:color="auto"/>
      </w:divBdr>
    </w:div>
    <w:div w:id="1655453536">
      <w:marLeft w:val="0"/>
      <w:marRight w:val="0"/>
      <w:marTop w:val="0"/>
      <w:marBottom w:val="0"/>
      <w:divBdr>
        <w:top w:val="none" w:sz="0" w:space="0" w:color="auto"/>
        <w:left w:val="none" w:sz="0" w:space="0" w:color="auto"/>
        <w:bottom w:val="none" w:sz="0" w:space="0" w:color="auto"/>
        <w:right w:val="none" w:sz="0" w:space="0" w:color="auto"/>
      </w:divBdr>
    </w:div>
    <w:div w:id="1655723750">
      <w:marLeft w:val="0"/>
      <w:marRight w:val="0"/>
      <w:marTop w:val="0"/>
      <w:marBottom w:val="0"/>
      <w:divBdr>
        <w:top w:val="none" w:sz="0" w:space="0" w:color="auto"/>
        <w:left w:val="none" w:sz="0" w:space="0" w:color="auto"/>
        <w:bottom w:val="none" w:sz="0" w:space="0" w:color="auto"/>
        <w:right w:val="none" w:sz="0" w:space="0" w:color="auto"/>
      </w:divBdr>
      <w:divsChild>
        <w:div w:id="1831823697">
          <w:marLeft w:val="0"/>
          <w:marRight w:val="0"/>
          <w:marTop w:val="0"/>
          <w:marBottom w:val="0"/>
          <w:divBdr>
            <w:top w:val="none" w:sz="0" w:space="0" w:color="auto"/>
            <w:left w:val="none" w:sz="0" w:space="0" w:color="auto"/>
            <w:bottom w:val="none" w:sz="0" w:space="0" w:color="auto"/>
            <w:right w:val="none" w:sz="0" w:space="0" w:color="auto"/>
          </w:divBdr>
        </w:div>
      </w:divsChild>
    </w:div>
    <w:div w:id="1661693830">
      <w:marLeft w:val="0"/>
      <w:marRight w:val="0"/>
      <w:marTop w:val="240"/>
      <w:marBottom w:val="0"/>
      <w:divBdr>
        <w:top w:val="none" w:sz="0" w:space="0" w:color="auto"/>
        <w:left w:val="none" w:sz="0" w:space="0" w:color="auto"/>
        <w:bottom w:val="none" w:sz="0" w:space="0" w:color="auto"/>
        <w:right w:val="none" w:sz="0" w:space="0" w:color="auto"/>
      </w:divBdr>
    </w:div>
    <w:div w:id="1683389491">
      <w:marLeft w:val="0"/>
      <w:marRight w:val="0"/>
      <w:marTop w:val="0"/>
      <w:marBottom w:val="240"/>
      <w:divBdr>
        <w:top w:val="none" w:sz="0" w:space="0" w:color="auto"/>
        <w:left w:val="none" w:sz="0" w:space="0" w:color="auto"/>
        <w:bottom w:val="none" w:sz="0" w:space="0" w:color="auto"/>
        <w:right w:val="none" w:sz="0" w:space="0" w:color="auto"/>
      </w:divBdr>
    </w:div>
    <w:div w:id="1687445652">
      <w:marLeft w:val="0"/>
      <w:marRight w:val="0"/>
      <w:marTop w:val="0"/>
      <w:marBottom w:val="240"/>
      <w:divBdr>
        <w:top w:val="none" w:sz="0" w:space="0" w:color="auto"/>
        <w:left w:val="none" w:sz="0" w:space="0" w:color="auto"/>
        <w:bottom w:val="none" w:sz="0" w:space="0" w:color="auto"/>
        <w:right w:val="none" w:sz="0" w:space="0" w:color="auto"/>
      </w:divBdr>
    </w:div>
    <w:div w:id="1702853509">
      <w:marLeft w:val="0"/>
      <w:marRight w:val="0"/>
      <w:marTop w:val="240"/>
      <w:marBottom w:val="240"/>
      <w:divBdr>
        <w:top w:val="none" w:sz="0" w:space="0" w:color="auto"/>
        <w:left w:val="none" w:sz="0" w:space="0" w:color="auto"/>
        <w:bottom w:val="none" w:sz="0" w:space="0" w:color="auto"/>
        <w:right w:val="none" w:sz="0" w:space="0" w:color="auto"/>
      </w:divBdr>
    </w:div>
    <w:div w:id="1709640573">
      <w:marLeft w:val="0"/>
      <w:marRight w:val="0"/>
      <w:marTop w:val="0"/>
      <w:marBottom w:val="0"/>
      <w:divBdr>
        <w:top w:val="none" w:sz="0" w:space="0" w:color="auto"/>
        <w:left w:val="none" w:sz="0" w:space="0" w:color="auto"/>
        <w:bottom w:val="none" w:sz="0" w:space="0" w:color="auto"/>
        <w:right w:val="none" w:sz="0" w:space="0" w:color="auto"/>
      </w:divBdr>
    </w:div>
    <w:div w:id="1712457498">
      <w:marLeft w:val="0"/>
      <w:marRight w:val="0"/>
      <w:marTop w:val="0"/>
      <w:marBottom w:val="240"/>
      <w:divBdr>
        <w:top w:val="none" w:sz="0" w:space="0" w:color="auto"/>
        <w:left w:val="none" w:sz="0" w:space="0" w:color="auto"/>
        <w:bottom w:val="none" w:sz="0" w:space="0" w:color="auto"/>
        <w:right w:val="none" w:sz="0" w:space="0" w:color="auto"/>
      </w:divBdr>
    </w:div>
    <w:div w:id="1713340383">
      <w:marLeft w:val="0"/>
      <w:marRight w:val="0"/>
      <w:marTop w:val="0"/>
      <w:marBottom w:val="0"/>
      <w:divBdr>
        <w:top w:val="none" w:sz="0" w:space="0" w:color="auto"/>
        <w:left w:val="none" w:sz="0" w:space="0" w:color="auto"/>
        <w:bottom w:val="none" w:sz="0" w:space="0" w:color="auto"/>
        <w:right w:val="none" w:sz="0" w:space="0" w:color="auto"/>
      </w:divBdr>
      <w:divsChild>
        <w:div w:id="933548">
          <w:marLeft w:val="0"/>
          <w:marRight w:val="0"/>
          <w:marTop w:val="0"/>
          <w:marBottom w:val="0"/>
          <w:divBdr>
            <w:top w:val="none" w:sz="0" w:space="0" w:color="auto"/>
            <w:left w:val="none" w:sz="0" w:space="0" w:color="auto"/>
            <w:bottom w:val="none" w:sz="0" w:space="0" w:color="auto"/>
            <w:right w:val="none" w:sz="0" w:space="0" w:color="auto"/>
          </w:divBdr>
        </w:div>
      </w:divsChild>
    </w:div>
    <w:div w:id="1716125959">
      <w:marLeft w:val="0"/>
      <w:marRight w:val="0"/>
      <w:marTop w:val="0"/>
      <w:marBottom w:val="240"/>
      <w:divBdr>
        <w:top w:val="none" w:sz="0" w:space="0" w:color="auto"/>
        <w:left w:val="none" w:sz="0" w:space="0" w:color="auto"/>
        <w:bottom w:val="none" w:sz="0" w:space="0" w:color="auto"/>
        <w:right w:val="none" w:sz="0" w:space="0" w:color="auto"/>
      </w:divBdr>
    </w:div>
    <w:div w:id="1716199466">
      <w:marLeft w:val="0"/>
      <w:marRight w:val="0"/>
      <w:marTop w:val="0"/>
      <w:marBottom w:val="0"/>
      <w:divBdr>
        <w:top w:val="none" w:sz="0" w:space="0" w:color="auto"/>
        <w:left w:val="none" w:sz="0" w:space="0" w:color="auto"/>
        <w:bottom w:val="none" w:sz="0" w:space="0" w:color="auto"/>
        <w:right w:val="none" w:sz="0" w:space="0" w:color="auto"/>
      </w:divBdr>
      <w:divsChild>
        <w:div w:id="579557445">
          <w:marLeft w:val="0"/>
          <w:marRight w:val="0"/>
          <w:marTop w:val="0"/>
          <w:marBottom w:val="0"/>
          <w:divBdr>
            <w:top w:val="none" w:sz="0" w:space="0" w:color="auto"/>
            <w:left w:val="none" w:sz="0" w:space="0" w:color="auto"/>
            <w:bottom w:val="none" w:sz="0" w:space="0" w:color="auto"/>
            <w:right w:val="none" w:sz="0" w:space="0" w:color="auto"/>
          </w:divBdr>
        </w:div>
      </w:divsChild>
    </w:div>
    <w:div w:id="1720738399">
      <w:marLeft w:val="0"/>
      <w:marRight w:val="0"/>
      <w:marTop w:val="240"/>
      <w:marBottom w:val="240"/>
      <w:divBdr>
        <w:top w:val="none" w:sz="0" w:space="0" w:color="auto"/>
        <w:left w:val="none" w:sz="0" w:space="0" w:color="auto"/>
        <w:bottom w:val="none" w:sz="0" w:space="0" w:color="auto"/>
        <w:right w:val="none" w:sz="0" w:space="0" w:color="auto"/>
      </w:divBdr>
    </w:div>
    <w:div w:id="1727754293">
      <w:marLeft w:val="0"/>
      <w:marRight w:val="0"/>
      <w:marTop w:val="180"/>
      <w:marBottom w:val="120"/>
      <w:divBdr>
        <w:top w:val="none" w:sz="0" w:space="0" w:color="auto"/>
        <w:left w:val="none" w:sz="0" w:space="0" w:color="auto"/>
        <w:bottom w:val="none" w:sz="0" w:space="0" w:color="auto"/>
        <w:right w:val="none" w:sz="0" w:space="0" w:color="auto"/>
      </w:divBdr>
    </w:div>
    <w:div w:id="1728190354">
      <w:marLeft w:val="0"/>
      <w:marRight w:val="0"/>
      <w:marTop w:val="0"/>
      <w:marBottom w:val="0"/>
      <w:divBdr>
        <w:top w:val="none" w:sz="0" w:space="0" w:color="auto"/>
        <w:left w:val="none" w:sz="0" w:space="0" w:color="auto"/>
        <w:bottom w:val="none" w:sz="0" w:space="0" w:color="auto"/>
        <w:right w:val="none" w:sz="0" w:space="0" w:color="auto"/>
      </w:divBdr>
    </w:div>
    <w:div w:id="1730566701">
      <w:marLeft w:val="0"/>
      <w:marRight w:val="0"/>
      <w:marTop w:val="0"/>
      <w:marBottom w:val="240"/>
      <w:divBdr>
        <w:top w:val="none" w:sz="0" w:space="0" w:color="auto"/>
        <w:left w:val="none" w:sz="0" w:space="0" w:color="auto"/>
        <w:bottom w:val="none" w:sz="0" w:space="0" w:color="auto"/>
        <w:right w:val="none" w:sz="0" w:space="0" w:color="auto"/>
      </w:divBdr>
    </w:div>
    <w:div w:id="1734500088">
      <w:marLeft w:val="0"/>
      <w:marRight w:val="0"/>
      <w:marTop w:val="0"/>
      <w:marBottom w:val="0"/>
      <w:divBdr>
        <w:top w:val="none" w:sz="0" w:space="0" w:color="auto"/>
        <w:left w:val="none" w:sz="0" w:space="0" w:color="auto"/>
        <w:bottom w:val="none" w:sz="0" w:space="0" w:color="auto"/>
        <w:right w:val="none" w:sz="0" w:space="0" w:color="auto"/>
      </w:divBdr>
      <w:divsChild>
        <w:div w:id="1496216033">
          <w:marLeft w:val="0"/>
          <w:marRight w:val="0"/>
          <w:marTop w:val="0"/>
          <w:marBottom w:val="0"/>
          <w:divBdr>
            <w:top w:val="none" w:sz="0" w:space="0" w:color="auto"/>
            <w:left w:val="none" w:sz="0" w:space="0" w:color="auto"/>
            <w:bottom w:val="none" w:sz="0" w:space="0" w:color="auto"/>
            <w:right w:val="none" w:sz="0" w:space="0" w:color="auto"/>
          </w:divBdr>
        </w:div>
      </w:divsChild>
    </w:div>
    <w:div w:id="1738504858">
      <w:marLeft w:val="0"/>
      <w:marRight w:val="0"/>
      <w:marTop w:val="0"/>
      <w:marBottom w:val="0"/>
      <w:divBdr>
        <w:top w:val="none" w:sz="0" w:space="0" w:color="auto"/>
        <w:left w:val="none" w:sz="0" w:space="0" w:color="auto"/>
        <w:bottom w:val="none" w:sz="0" w:space="0" w:color="auto"/>
        <w:right w:val="none" w:sz="0" w:space="0" w:color="auto"/>
      </w:divBdr>
      <w:divsChild>
        <w:div w:id="2041466771">
          <w:marLeft w:val="0"/>
          <w:marRight w:val="0"/>
          <w:marTop w:val="0"/>
          <w:marBottom w:val="0"/>
          <w:divBdr>
            <w:top w:val="none" w:sz="0" w:space="0" w:color="auto"/>
            <w:left w:val="none" w:sz="0" w:space="0" w:color="auto"/>
            <w:bottom w:val="none" w:sz="0" w:space="0" w:color="auto"/>
            <w:right w:val="none" w:sz="0" w:space="0" w:color="auto"/>
          </w:divBdr>
        </w:div>
      </w:divsChild>
    </w:div>
    <w:div w:id="1739547060">
      <w:marLeft w:val="0"/>
      <w:marRight w:val="0"/>
      <w:marTop w:val="120"/>
      <w:marBottom w:val="240"/>
      <w:divBdr>
        <w:top w:val="none" w:sz="0" w:space="0" w:color="auto"/>
        <w:left w:val="none" w:sz="0" w:space="0" w:color="auto"/>
        <w:bottom w:val="none" w:sz="0" w:space="0" w:color="auto"/>
        <w:right w:val="none" w:sz="0" w:space="0" w:color="auto"/>
      </w:divBdr>
    </w:div>
    <w:div w:id="1739669876">
      <w:marLeft w:val="0"/>
      <w:marRight w:val="0"/>
      <w:marTop w:val="240"/>
      <w:marBottom w:val="240"/>
      <w:divBdr>
        <w:top w:val="none" w:sz="0" w:space="0" w:color="auto"/>
        <w:left w:val="none" w:sz="0" w:space="0" w:color="auto"/>
        <w:bottom w:val="none" w:sz="0" w:space="0" w:color="auto"/>
        <w:right w:val="none" w:sz="0" w:space="0" w:color="auto"/>
      </w:divBdr>
    </w:div>
    <w:div w:id="1749384874">
      <w:marLeft w:val="0"/>
      <w:marRight w:val="0"/>
      <w:marTop w:val="0"/>
      <w:marBottom w:val="0"/>
      <w:divBdr>
        <w:top w:val="none" w:sz="0" w:space="0" w:color="auto"/>
        <w:left w:val="none" w:sz="0" w:space="0" w:color="auto"/>
        <w:bottom w:val="none" w:sz="0" w:space="0" w:color="auto"/>
        <w:right w:val="none" w:sz="0" w:space="0" w:color="auto"/>
      </w:divBdr>
      <w:divsChild>
        <w:div w:id="1304042390">
          <w:marLeft w:val="0"/>
          <w:marRight w:val="0"/>
          <w:marTop w:val="0"/>
          <w:marBottom w:val="0"/>
          <w:divBdr>
            <w:top w:val="none" w:sz="0" w:space="0" w:color="auto"/>
            <w:left w:val="none" w:sz="0" w:space="0" w:color="auto"/>
            <w:bottom w:val="none" w:sz="0" w:space="0" w:color="auto"/>
            <w:right w:val="none" w:sz="0" w:space="0" w:color="auto"/>
          </w:divBdr>
        </w:div>
      </w:divsChild>
    </w:div>
    <w:div w:id="1755474272">
      <w:marLeft w:val="0"/>
      <w:marRight w:val="0"/>
      <w:marTop w:val="0"/>
      <w:marBottom w:val="240"/>
      <w:divBdr>
        <w:top w:val="none" w:sz="0" w:space="0" w:color="auto"/>
        <w:left w:val="none" w:sz="0" w:space="0" w:color="auto"/>
        <w:bottom w:val="none" w:sz="0" w:space="0" w:color="auto"/>
        <w:right w:val="none" w:sz="0" w:space="0" w:color="auto"/>
      </w:divBdr>
    </w:div>
    <w:div w:id="1756971121">
      <w:marLeft w:val="0"/>
      <w:marRight w:val="0"/>
      <w:marTop w:val="0"/>
      <w:marBottom w:val="240"/>
      <w:divBdr>
        <w:top w:val="none" w:sz="0" w:space="0" w:color="auto"/>
        <w:left w:val="none" w:sz="0" w:space="0" w:color="auto"/>
        <w:bottom w:val="none" w:sz="0" w:space="0" w:color="auto"/>
        <w:right w:val="none" w:sz="0" w:space="0" w:color="auto"/>
      </w:divBdr>
    </w:div>
    <w:div w:id="1764064237">
      <w:marLeft w:val="0"/>
      <w:marRight w:val="0"/>
      <w:marTop w:val="0"/>
      <w:marBottom w:val="0"/>
      <w:divBdr>
        <w:top w:val="none" w:sz="0" w:space="0" w:color="auto"/>
        <w:left w:val="none" w:sz="0" w:space="0" w:color="auto"/>
        <w:bottom w:val="none" w:sz="0" w:space="0" w:color="auto"/>
        <w:right w:val="none" w:sz="0" w:space="0" w:color="auto"/>
      </w:divBdr>
      <w:divsChild>
        <w:div w:id="809786724">
          <w:marLeft w:val="0"/>
          <w:marRight w:val="0"/>
          <w:marTop w:val="0"/>
          <w:marBottom w:val="0"/>
          <w:divBdr>
            <w:top w:val="none" w:sz="0" w:space="0" w:color="auto"/>
            <w:left w:val="none" w:sz="0" w:space="0" w:color="auto"/>
            <w:bottom w:val="none" w:sz="0" w:space="0" w:color="auto"/>
            <w:right w:val="none" w:sz="0" w:space="0" w:color="auto"/>
          </w:divBdr>
        </w:div>
      </w:divsChild>
    </w:div>
    <w:div w:id="1764371973">
      <w:marLeft w:val="0"/>
      <w:marRight w:val="0"/>
      <w:marTop w:val="0"/>
      <w:marBottom w:val="0"/>
      <w:divBdr>
        <w:top w:val="none" w:sz="0" w:space="0" w:color="auto"/>
        <w:left w:val="none" w:sz="0" w:space="0" w:color="auto"/>
        <w:bottom w:val="none" w:sz="0" w:space="0" w:color="auto"/>
        <w:right w:val="none" w:sz="0" w:space="0" w:color="auto"/>
      </w:divBdr>
      <w:divsChild>
        <w:div w:id="192692675">
          <w:marLeft w:val="0"/>
          <w:marRight w:val="0"/>
          <w:marTop w:val="0"/>
          <w:marBottom w:val="0"/>
          <w:divBdr>
            <w:top w:val="none" w:sz="0" w:space="0" w:color="auto"/>
            <w:left w:val="none" w:sz="0" w:space="0" w:color="auto"/>
            <w:bottom w:val="none" w:sz="0" w:space="0" w:color="auto"/>
            <w:right w:val="none" w:sz="0" w:space="0" w:color="auto"/>
          </w:divBdr>
        </w:div>
      </w:divsChild>
    </w:div>
    <w:div w:id="1767068680">
      <w:marLeft w:val="0"/>
      <w:marRight w:val="0"/>
      <w:marTop w:val="0"/>
      <w:marBottom w:val="240"/>
      <w:divBdr>
        <w:top w:val="none" w:sz="0" w:space="0" w:color="auto"/>
        <w:left w:val="none" w:sz="0" w:space="0" w:color="auto"/>
        <w:bottom w:val="none" w:sz="0" w:space="0" w:color="auto"/>
        <w:right w:val="none" w:sz="0" w:space="0" w:color="auto"/>
      </w:divBdr>
    </w:div>
    <w:div w:id="1780636990">
      <w:marLeft w:val="0"/>
      <w:marRight w:val="0"/>
      <w:marTop w:val="0"/>
      <w:marBottom w:val="0"/>
      <w:divBdr>
        <w:top w:val="none" w:sz="0" w:space="0" w:color="auto"/>
        <w:left w:val="none" w:sz="0" w:space="0" w:color="auto"/>
        <w:bottom w:val="none" w:sz="0" w:space="0" w:color="auto"/>
        <w:right w:val="none" w:sz="0" w:space="0" w:color="auto"/>
      </w:divBdr>
    </w:div>
    <w:div w:id="1786386254">
      <w:marLeft w:val="0"/>
      <w:marRight w:val="0"/>
      <w:marTop w:val="0"/>
      <w:marBottom w:val="1"/>
      <w:divBdr>
        <w:top w:val="none" w:sz="0" w:space="0" w:color="auto"/>
        <w:left w:val="none" w:sz="0" w:space="0" w:color="auto"/>
        <w:bottom w:val="none" w:sz="0" w:space="0" w:color="auto"/>
        <w:right w:val="none" w:sz="0" w:space="0" w:color="auto"/>
      </w:divBdr>
    </w:div>
    <w:div w:id="1794473814">
      <w:marLeft w:val="0"/>
      <w:marRight w:val="0"/>
      <w:marTop w:val="0"/>
      <w:marBottom w:val="240"/>
      <w:divBdr>
        <w:top w:val="none" w:sz="0" w:space="0" w:color="auto"/>
        <w:left w:val="none" w:sz="0" w:space="0" w:color="auto"/>
        <w:bottom w:val="none" w:sz="0" w:space="0" w:color="auto"/>
        <w:right w:val="none" w:sz="0" w:space="0" w:color="auto"/>
      </w:divBdr>
    </w:div>
    <w:div w:id="1794904438">
      <w:marLeft w:val="0"/>
      <w:marRight w:val="0"/>
      <w:marTop w:val="0"/>
      <w:marBottom w:val="0"/>
      <w:divBdr>
        <w:top w:val="none" w:sz="0" w:space="0" w:color="auto"/>
        <w:left w:val="none" w:sz="0" w:space="0" w:color="auto"/>
        <w:bottom w:val="none" w:sz="0" w:space="0" w:color="auto"/>
        <w:right w:val="none" w:sz="0" w:space="0" w:color="auto"/>
      </w:divBdr>
    </w:div>
    <w:div w:id="1796874125">
      <w:marLeft w:val="0"/>
      <w:marRight w:val="0"/>
      <w:marTop w:val="0"/>
      <w:marBottom w:val="0"/>
      <w:divBdr>
        <w:top w:val="none" w:sz="0" w:space="0" w:color="auto"/>
        <w:left w:val="none" w:sz="0" w:space="0" w:color="auto"/>
        <w:bottom w:val="none" w:sz="0" w:space="0" w:color="auto"/>
        <w:right w:val="none" w:sz="0" w:space="0" w:color="auto"/>
      </w:divBdr>
    </w:div>
    <w:div w:id="1796950113">
      <w:marLeft w:val="0"/>
      <w:marRight w:val="0"/>
      <w:marTop w:val="0"/>
      <w:marBottom w:val="0"/>
      <w:divBdr>
        <w:top w:val="none" w:sz="0" w:space="0" w:color="auto"/>
        <w:left w:val="none" w:sz="0" w:space="0" w:color="auto"/>
        <w:bottom w:val="none" w:sz="0" w:space="0" w:color="auto"/>
        <w:right w:val="none" w:sz="0" w:space="0" w:color="auto"/>
      </w:divBdr>
      <w:divsChild>
        <w:div w:id="207499707">
          <w:marLeft w:val="0"/>
          <w:marRight w:val="0"/>
          <w:marTop w:val="0"/>
          <w:marBottom w:val="0"/>
          <w:divBdr>
            <w:top w:val="none" w:sz="0" w:space="0" w:color="auto"/>
            <w:left w:val="none" w:sz="0" w:space="0" w:color="auto"/>
            <w:bottom w:val="none" w:sz="0" w:space="0" w:color="auto"/>
            <w:right w:val="none" w:sz="0" w:space="0" w:color="auto"/>
          </w:divBdr>
        </w:div>
      </w:divsChild>
    </w:div>
    <w:div w:id="1798137562">
      <w:marLeft w:val="0"/>
      <w:marRight w:val="0"/>
      <w:marTop w:val="240"/>
      <w:marBottom w:val="0"/>
      <w:divBdr>
        <w:top w:val="none" w:sz="0" w:space="0" w:color="auto"/>
        <w:left w:val="none" w:sz="0" w:space="0" w:color="auto"/>
        <w:bottom w:val="none" w:sz="0" w:space="0" w:color="auto"/>
        <w:right w:val="none" w:sz="0" w:space="0" w:color="auto"/>
      </w:divBdr>
    </w:div>
    <w:div w:id="1800875801">
      <w:marLeft w:val="0"/>
      <w:marRight w:val="0"/>
      <w:marTop w:val="120"/>
      <w:marBottom w:val="240"/>
      <w:divBdr>
        <w:top w:val="none" w:sz="0" w:space="0" w:color="auto"/>
        <w:left w:val="none" w:sz="0" w:space="0" w:color="auto"/>
        <w:bottom w:val="none" w:sz="0" w:space="0" w:color="auto"/>
        <w:right w:val="none" w:sz="0" w:space="0" w:color="auto"/>
      </w:divBdr>
    </w:div>
    <w:div w:id="1803379687">
      <w:marLeft w:val="0"/>
      <w:marRight w:val="0"/>
      <w:marTop w:val="240"/>
      <w:marBottom w:val="0"/>
      <w:divBdr>
        <w:top w:val="none" w:sz="0" w:space="0" w:color="auto"/>
        <w:left w:val="none" w:sz="0" w:space="0" w:color="auto"/>
        <w:bottom w:val="none" w:sz="0" w:space="0" w:color="auto"/>
        <w:right w:val="none" w:sz="0" w:space="0" w:color="auto"/>
      </w:divBdr>
    </w:div>
    <w:div w:id="1804615132">
      <w:marLeft w:val="0"/>
      <w:marRight w:val="0"/>
      <w:marTop w:val="0"/>
      <w:marBottom w:val="120"/>
      <w:divBdr>
        <w:top w:val="none" w:sz="0" w:space="0" w:color="auto"/>
        <w:left w:val="none" w:sz="0" w:space="0" w:color="auto"/>
        <w:bottom w:val="none" w:sz="0" w:space="0" w:color="auto"/>
        <w:right w:val="none" w:sz="0" w:space="0" w:color="auto"/>
      </w:divBdr>
    </w:div>
    <w:div w:id="1806697502">
      <w:marLeft w:val="0"/>
      <w:marRight w:val="0"/>
      <w:marTop w:val="0"/>
      <w:marBottom w:val="240"/>
      <w:divBdr>
        <w:top w:val="none" w:sz="0" w:space="0" w:color="auto"/>
        <w:left w:val="none" w:sz="0" w:space="0" w:color="auto"/>
        <w:bottom w:val="none" w:sz="0" w:space="0" w:color="auto"/>
        <w:right w:val="none" w:sz="0" w:space="0" w:color="auto"/>
      </w:divBdr>
    </w:div>
    <w:div w:id="1810323917">
      <w:marLeft w:val="0"/>
      <w:marRight w:val="0"/>
      <w:marTop w:val="120"/>
      <w:marBottom w:val="0"/>
      <w:divBdr>
        <w:top w:val="none" w:sz="0" w:space="0" w:color="auto"/>
        <w:left w:val="none" w:sz="0" w:space="0" w:color="auto"/>
        <w:bottom w:val="none" w:sz="0" w:space="0" w:color="auto"/>
        <w:right w:val="none" w:sz="0" w:space="0" w:color="auto"/>
      </w:divBdr>
    </w:div>
    <w:div w:id="1825270632">
      <w:marLeft w:val="0"/>
      <w:marRight w:val="0"/>
      <w:marTop w:val="0"/>
      <w:marBottom w:val="240"/>
      <w:divBdr>
        <w:top w:val="none" w:sz="0" w:space="0" w:color="auto"/>
        <w:left w:val="none" w:sz="0" w:space="0" w:color="auto"/>
        <w:bottom w:val="none" w:sz="0" w:space="0" w:color="auto"/>
        <w:right w:val="none" w:sz="0" w:space="0" w:color="auto"/>
      </w:divBdr>
    </w:div>
    <w:div w:id="1827629972">
      <w:marLeft w:val="0"/>
      <w:marRight w:val="0"/>
      <w:marTop w:val="0"/>
      <w:marBottom w:val="200"/>
      <w:divBdr>
        <w:top w:val="none" w:sz="0" w:space="0" w:color="auto"/>
        <w:left w:val="none" w:sz="0" w:space="0" w:color="auto"/>
        <w:bottom w:val="none" w:sz="0" w:space="0" w:color="auto"/>
        <w:right w:val="none" w:sz="0" w:space="0" w:color="auto"/>
      </w:divBdr>
    </w:div>
    <w:div w:id="1833829680">
      <w:marLeft w:val="0"/>
      <w:marRight w:val="0"/>
      <w:marTop w:val="0"/>
      <w:marBottom w:val="0"/>
      <w:divBdr>
        <w:top w:val="none" w:sz="0" w:space="0" w:color="auto"/>
        <w:left w:val="none" w:sz="0" w:space="0" w:color="auto"/>
        <w:bottom w:val="none" w:sz="0" w:space="0" w:color="auto"/>
        <w:right w:val="none" w:sz="0" w:space="0" w:color="auto"/>
      </w:divBdr>
    </w:div>
    <w:div w:id="1834103633">
      <w:marLeft w:val="0"/>
      <w:marRight w:val="0"/>
      <w:marTop w:val="240"/>
      <w:marBottom w:val="240"/>
      <w:divBdr>
        <w:top w:val="none" w:sz="0" w:space="0" w:color="auto"/>
        <w:left w:val="none" w:sz="0" w:space="0" w:color="auto"/>
        <w:bottom w:val="none" w:sz="0" w:space="0" w:color="auto"/>
        <w:right w:val="none" w:sz="0" w:space="0" w:color="auto"/>
      </w:divBdr>
    </w:div>
    <w:div w:id="1834756231">
      <w:marLeft w:val="0"/>
      <w:marRight w:val="0"/>
      <w:marTop w:val="0"/>
      <w:marBottom w:val="240"/>
      <w:divBdr>
        <w:top w:val="none" w:sz="0" w:space="0" w:color="auto"/>
        <w:left w:val="none" w:sz="0" w:space="0" w:color="auto"/>
        <w:bottom w:val="none" w:sz="0" w:space="0" w:color="auto"/>
        <w:right w:val="none" w:sz="0" w:space="0" w:color="auto"/>
      </w:divBdr>
    </w:div>
    <w:div w:id="1839923669">
      <w:marLeft w:val="0"/>
      <w:marRight w:val="0"/>
      <w:marTop w:val="0"/>
      <w:marBottom w:val="120"/>
      <w:divBdr>
        <w:top w:val="none" w:sz="0" w:space="0" w:color="auto"/>
        <w:left w:val="none" w:sz="0" w:space="0" w:color="auto"/>
        <w:bottom w:val="none" w:sz="0" w:space="0" w:color="auto"/>
        <w:right w:val="none" w:sz="0" w:space="0" w:color="auto"/>
      </w:divBdr>
    </w:div>
    <w:div w:id="1842042918">
      <w:marLeft w:val="0"/>
      <w:marRight w:val="0"/>
      <w:marTop w:val="0"/>
      <w:marBottom w:val="0"/>
      <w:divBdr>
        <w:top w:val="none" w:sz="0" w:space="0" w:color="auto"/>
        <w:left w:val="none" w:sz="0" w:space="0" w:color="auto"/>
        <w:bottom w:val="none" w:sz="0" w:space="0" w:color="auto"/>
        <w:right w:val="none" w:sz="0" w:space="0" w:color="auto"/>
      </w:divBdr>
      <w:divsChild>
        <w:div w:id="624232646">
          <w:marLeft w:val="0"/>
          <w:marRight w:val="0"/>
          <w:marTop w:val="0"/>
          <w:marBottom w:val="0"/>
          <w:divBdr>
            <w:top w:val="none" w:sz="0" w:space="0" w:color="auto"/>
            <w:left w:val="none" w:sz="0" w:space="0" w:color="auto"/>
            <w:bottom w:val="none" w:sz="0" w:space="0" w:color="auto"/>
            <w:right w:val="none" w:sz="0" w:space="0" w:color="auto"/>
          </w:divBdr>
        </w:div>
        <w:div w:id="642320594">
          <w:marLeft w:val="0"/>
          <w:marRight w:val="0"/>
          <w:marTop w:val="0"/>
          <w:marBottom w:val="0"/>
          <w:divBdr>
            <w:top w:val="none" w:sz="0" w:space="0" w:color="auto"/>
            <w:left w:val="none" w:sz="0" w:space="0" w:color="auto"/>
            <w:bottom w:val="none" w:sz="0" w:space="0" w:color="auto"/>
            <w:right w:val="none" w:sz="0" w:space="0" w:color="auto"/>
          </w:divBdr>
        </w:div>
        <w:div w:id="2022661714">
          <w:marLeft w:val="0"/>
          <w:marRight w:val="0"/>
          <w:marTop w:val="0"/>
          <w:marBottom w:val="0"/>
          <w:divBdr>
            <w:top w:val="none" w:sz="0" w:space="0" w:color="auto"/>
            <w:left w:val="none" w:sz="0" w:space="0" w:color="auto"/>
            <w:bottom w:val="none" w:sz="0" w:space="0" w:color="auto"/>
            <w:right w:val="none" w:sz="0" w:space="0" w:color="auto"/>
          </w:divBdr>
        </w:div>
      </w:divsChild>
    </w:div>
    <w:div w:id="1844513734">
      <w:marLeft w:val="0"/>
      <w:marRight w:val="0"/>
      <w:marTop w:val="120"/>
      <w:marBottom w:val="0"/>
      <w:divBdr>
        <w:top w:val="none" w:sz="0" w:space="0" w:color="auto"/>
        <w:left w:val="none" w:sz="0" w:space="0" w:color="auto"/>
        <w:bottom w:val="none" w:sz="0" w:space="0" w:color="auto"/>
        <w:right w:val="none" w:sz="0" w:space="0" w:color="auto"/>
      </w:divBdr>
    </w:div>
    <w:div w:id="1849636973">
      <w:marLeft w:val="0"/>
      <w:marRight w:val="0"/>
      <w:marTop w:val="0"/>
      <w:marBottom w:val="240"/>
      <w:divBdr>
        <w:top w:val="none" w:sz="0" w:space="0" w:color="auto"/>
        <w:left w:val="none" w:sz="0" w:space="0" w:color="auto"/>
        <w:bottom w:val="none" w:sz="0" w:space="0" w:color="auto"/>
        <w:right w:val="none" w:sz="0" w:space="0" w:color="auto"/>
      </w:divBdr>
    </w:div>
    <w:div w:id="1856728046">
      <w:marLeft w:val="0"/>
      <w:marRight w:val="0"/>
      <w:marTop w:val="120"/>
      <w:marBottom w:val="240"/>
      <w:divBdr>
        <w:top w:val="none" w:sz="0" w:space="0" w:color="auto"/>
        <w:left w:val="none" w:sz="0" w:space="0" w:color="auto"/>
        <w:bottom w:val="none" w:sz="0" w:space="0" w:color="auto"/>
        <w:right w:val="none" w:sz="0" w:space="0" w:color="auto"/>
      </w:divBdr>
    </w:div>
    <w:div w:id="1859345359">
      <w:marLeft w:val="0"/>
      <w:marRight w:val="0"/>
      <w:marTop w:val="0"/>
      <w:marBottom w:val="0"/>
      <w:divBdr>
        <w:top w:val="none" w:sz="0" w:space="0" w:color="auto"/>
        <w:left w:val="none" w:sz="0" w:space="0" w:color="auto"/>
        <w:bottom w:val="none" w:sz="0" w:space="0" w:color="auto"/>
        <w:right w:val="none" w:sz="0" w:space="0" w:color="auto"/>
      </w:divBdr>
      <w:divsChild>
        <w:div w:id="971054979">
          <w:marLeft w:val="0"/>
          <w:marRight w:val="0"/>
          <w:marTop w:val="0"/>
          <w:marBottom w:val="0"/>
          <w:divBdr>
            <w:top w:val="none" w:sz="0" w:space="0" w:color="auto"/>
            <w:left w:val="none" w:sz="0" w:space="0" w:color="auto"/>
            <w:bottom w:val="none" w:sz="0" w:space="0" w:color="auto"/>
            <w:right w:val="none" w:sz="0" w:space="0" w:color="auto"/>
          </w:divBdr>
        </w:div>
      </w:divsChild>
    </w:div>
    <w:div w:id="1861891100">
      <w:marLeft w:val="0"/>
      <w:marRight w:val="0"/>
      <w:marTop w:val="0"/>
      <w:marBottom w:val="240"/>
      <w:divBdr>
        <w:top w:val="none" w:sz="0" w:space="0" w:color="auto"/>
        <w:left w:val="none" w:sz="0" w:space="0" w:color="auto"/>
        <w:bottom w:val="none" w:sz="0" w:space="0" w:color="auto"/>
        <w:right w:val="none" w:sz="0" w:space="0" w:color="auto"/>
      </w:divBdr>
    </w:div>
    <w:div w:id="1861969197">
      <w:marLeft w:val="0"/>
      <w:marRight w:val="0"/>
      <w:marTop w:val="0"/>
      <w:marBottom w:val="0"/>
      <w:divBdr>
        <w:top w:val="none" w:sz="0" w:space="0" w:color="auto"/>
        <w:left w:val="none" w:sz="0" w:space="0" w:color="auto"/>
        <w:bottom w:val="none" w:sz="0" w:space="0" w:color="auto"/>
        <w:right w:val="none" w:sz="0" w:space="0" w:color="auto"/>
      </w:divBdr>
      <w:divsChild>
        <w:div w:id="354889601">
          <w:marLeft w:val="0"/>
          <w:marRight w:val="0"/>
          <w:marTop w:val="0"/>
          <w:marBottom w:val="0"/>
          <w:divBdr>
            <w:top w:val="none" w:sz="0" w:space="0" w:color="auto"/>
            <w:left w:val="none" w:sz="0" w:space="0" w:color="auto"/>
            <w:bottom w:val="none" w:sz="0" w:space="0" w:color="auto"/>
            <w:right w:val="none" w:sz="0" w:space="0" w:color="auto"/>
          </w:divBdr>
        </w:div>
      </w:divsChild>
    </w:div>
    <w:div w:id="1865751319">
      <w:marLeft w:val="0"/>
      <w:marRight w:val="0"/>
      <w:marTop w:val="0"/>
      <w:marBottom w:val="240"/>
      <w:divBdr>
        <w:top w:val="none" w:sz="0" w:space="0" w:color="auto"/>
        <w:left w:val="none" w:sz="0" w:space="0" w:color="auto"/>
        <w:bottom w:val="none" w:sz="0" w:space="0" w:color="auto"/>
        <w:right w:val="none" w:sz="0" w:space="0" w:color="auto"/>
      </w:divBdr>
    </w:div>
    <w:div w:id="1866553112">
      <w:marLeft w:val="0"/>
      <w:marRight w:val="0"/>
      <w:marTop w:val="0"/>
      <w:marBottom w:val="240"/>
      <w:divBdr>
        <w:top w:val="none" w:sz="0" w:space="0" w:color="auto"/>
        <w:left w:val="none" w:sz="0" w:space="0" w:color="auto"/>
        <w:bottom w:val="none" w:sz="0" w:space="0" w:color="auto"/>
        <w:right w:val="none" w:sz="0" w:space="0" w:color="auto"/>
      </w:divBdr>
    </w:div>
    <w:div w:id="1867671632">
      <w:marLeft w:val="0"/>
      <w:marRight w:val="0"/>
      <w:marTop w:val="0"/>
      <w:marBottom w:val="240"/>
      <w:divBdr>
        <w:top w:val="none" w:sz="0" w:space="0" w:color="auto"/>
        <w:left w:val="none" w:sz="0" w:space="0" w:color="auto"/>
        <w:bottom w:val="none" w:sz="0" w:space="0" w:color="auto"/>
        <w:right w:val="none" w:sz="0" w:space="0" w:color="auto"/>
      </w:divBdr>
    </w:div>
    <w:div w:id="1869950862">
      <w:marLeft w:val="0"/>
      <w:marRight w:val="0"/>
      <w:marTop w:val="0"/>
      <w:marBottom w:val="240"/>
      <w:divBdr>
        <w:top w:val="none" w:sz="0" w:space="0" w:color="auto"/>
        <w:left w:val="none" w:sz="0" w:space="0" w:color="auto"/>
        <w:bottom w:val="none" w:sz="0" w:space="0" w:color="auto"/>
        <w:right w:val="none" w:sz="0" w:space="0" w:color="auto"/>
      </w:divBdr>
    </w:div>
    <w:div w:id="1873881400">
      <w:marLeft w:val="0"/>
      <w:marRight w:val="0"/>
      <w:marTop w:val="240"/>
      <w:marBottom w:val="240"/>
      <w:divBdr>
        <w:top w:val="none" w:sz="0" w:space="0" w:color="auto"/>
        <w:left w:val="none" w:sz="0" w:space="0" w:color="auto"/>
        <w:bottom w:val="none" w:sz="0" w:space="0" w:color="auto"/>
        <w:right w:val="none" w:sz="0" w:space="0" w:color="auto"/>
      </w:divBdr>
    </w:div>
    <w:div w:id="1880167977">
      <w:marLeft w:val="0"/>
      <w:marRight w:val="0"/>
      <w:marTop w:val="0"/>
      <w:marBottom w:val="0"/>
      <w:divBdr>
        <w:top w:val="none" w:sz="0" w:space="0" w:color="auto"/>
        <w:left w:val="none" w:sz="0" w:space="0" w:color="auto"/>
        <w:bottom w:val="none" w:sz="0" w:space="0" w:color="auto"/>
        <w:right w:val="none" w:sz="0" w:space="0" w:color="auto"/>
      </w:divBdr>
    </w:div>
    <w:div w:id="1880822870">
      <w:marLeft w:val="0"/>
      <w:marRight w:val="0"/>
      <w:marTop w:val="0"/>
      <w:marBottom w:val="240"/>
      <w:divBdr>
        <w:top w:val="none" w:sz="0" w:space="0" w:color="auto"/>
        <w:left w:val="none" w:sz="0" w:space="0" w:color="auto"/>
        <w:bottom w:val="none" w:sz="0" w:space="0" w:color="auto"/>
        <w:right w:val="none" w:sz="0" w:space="0" w:color="auto"/>
      </w:divBdr>
    </w:div>
    <w:div w:id="1884556055">
      <w:marLeft w:val="0"/>
      <w:marRight w:val="0"/>
      <w:marTop w:val="0"/>
      <w:marBottom w:val="0"/>
      <w:divBdr>
        <w:top w:val="none" w:sz="0" w:space="0" w:color="auto"/>
        <w:left w:val="none" w:sz="0" w:space="0" w:color="auto"/>
        <w:bottom w:val="none" w:sz="0" w:space="0" w:color="auto"/>
        <w:right w:val="none" w:sz="0" w:space="0" w:color="auto"/>
      </w:divBdr>
    </w:div>
    <w:div w:id="1890532745">
      <w:marLeft w:val="0"/>
      <w:marRight w:val="0"/>
      <w:marTop w:val="0"/>
      <w:marBottom w:val="0"/>
      <w:divBdr>
        <w:top w:val="none" w:sz="0" w:space="0" w:color="auto"/>
        <w:left w:val="none" w:sz="0" w:space="0" w:color="auto"/>
        <w:bottom w:val="none" w:sz="0" w:space="0" w:color="auto"/>
        <w:right w:val="none" w:sz="0" w:space="0" w:color="auto"/>
      </w:divBdr>
      <w:divsChild>
        <w:div w:id="1745713223">
          <w:marLeft w:val="0"/>
          <w:marRight w:val="0"/>
          <w:marTop w:val="0"/>
          <w:marBottom w:val="0"/>
          <w:divBdr>
            <w:top w:val="none" w:sz="0" w:space="0" w:color="auto"/>
            <w:left w:val="none" w:sz="0" w:space="0" w:color="auto"/>
            <w:bottom w:val="none" w:sz="0" w:space="0" w:color="auto"/>
            <w:right w:val="none" w:sz="0" w:space="0" w:color="auto"/>
          </w:divBdr>
        </w:div>
      </w:divsChild>
    </w:div>
    <w:div w:id="1901938893">
      <w:marLeft w:val="0"/>
      <w:marRight w:val="0"/>
      <w:marTop w:val="0"/>
      <w:marBottom w:val="240"/>
      <w:divBdr>
        <w:top w:val="none" w:sz="0" w:space="0" w:color="auto"/>
        <w:left w:val="none" w:sz="0" w:space="0" w:color="auto"/>
        <w:bottom w:val="none" w:sz="0" w:space="0" w:color="auto"/>
        <w:right w:val="none" w:sz="0" w:space="0" w:color="auto"/>
      </w:divBdr>
    </w:div>
    <w:div w:id="1905336864">
      <w:marLeft w:val="0"/>
      <w:marRight w:val="0"/>
      <w:marTop w:val="240"/>
      <w:marBottom w:val="240"/>
      <w:divBdr>
        <w:top w:val="none" w:sz="0" w:space="0" w:color="auto"/>
        <w:left w:val="none" w:sz="0" w:space="0" w:color="auto"/>
        <w:bottom w:val="none" w:sz="0" w:space="0" w:color="auto"/>
        <w:right w:val="none" w:sz="0" w:space="0" w:color="auto"/>
      </w:divBdr>
    </w:div>
    <w:div w:id="1910194680">
      <w:marLeft w:val="0"/>
      <w:marRight w:val="0"/>
      <w:marTop w:val="0"/>
      <w:marBottom w:val="240"/>
      <w:divBdr>
        <w:top w:val="none" w:sz="0" w:space="0" w:color="auto"/>
        <w:left w:val="none" w:sz="0" w:space="0" w:color="auto"/>
        <w:bottom w:val="none" w:sz="0" w:space="0" w:color="auto"/>
        <w:right w:val="none" w:sz="0" w:space="0" w:color="auto"/>
      </w:divBdr>
    </w:div>
    <w:div w:id="1910263690">
      <w:marLeft w:val="0"/>
      <w:marRight w:val="0"/>
      <w:marTop w:val="240"/>
      <w:marBottom w:val="240"/>
      <w:divBdr>
        <w:top w:val="none" w:sz="0" w:space="0" w:color="auto"/>
        <w:left w:val="none" w:sz="0" w:space="0" w:color="auto"/>
        <w:bottom w:val="none" w:sz="0" w:space="0" w:color="auto"/>
        <w:right w:val="none" w:sz="0" w:space="0" w:color="auto"/>
      </w:divBdr>
    </w:div>
    <w:div w:id="1918709213">
      <w:marLeft w:val="0"/>
      <w:marRight w:val="0"/>
      <w:marTop w:val="0"/>
      <w:marBottom w:val="0"/>
      <w:divBdr>
        <w:top w:val="none" w:sz="0" w:space="0" w:color="auto"/>
        <w:left w:val="none" w:sz="0" w:space="0" w:color="auto"/>
        <w:bottom w:val="none" w:sz="0" w:space="0" w:color="auto"/>
        <w:right w:val="none" w:sz="0" w:space="0" w:color="auto"/>
      </w:divBdr>
    </w:div>
    <w:div w:id="1923761268">
      <w:marLeft w:val="0"/>
      <w:marRight w:val="0"/>
      <w:marTop w:val="0"/>
      <w:marBottom w:val="0"/>
      <w:divBdr>
        <w:top w:val="none" w:sz="0" w:space="0" w:color="auto"/>
        <w:left w:val="none" w:sz="0" w:space="0" w:color="auto"/>
        <w:bottom w:val="none" w:sz="0" w:space="0" w:color="auto"/>
        <w:right w:val="none" w:sz="0" w:space="0" w:color="auto"/>
      </w:divBdr>
      <w:divsChild>
        <w:div w:id="1317495738">
          <w:marLeft w:val="0"/>
          <w:marRight w:val="0"/>
          <w:marTop w:val="0"/>
          <w:marBottom w:val="0"/>
          <w:divBdr>
            <w:top w:val="none" w:sz="0" w:space="0" w:color="auto"/>
            <w:left w:val="none" w:sz="0" w:space="0" w:color="auto"/>
            <w:bottom w:val="none" w:sz="0" w:space="0" w:color="auto"/>
            <w:right w:val="none" w:sz="0" w:space="0" w:color="auto"/>
          </w:divBdr>
        </w:div>
      </w:divsChild>
    </w:div>
    <w:div w:id="1927034407">
      <w:marLeft w:val="0"/>
      <w:marRight w:val="0"/>
      <w:marTop w:val="0"/>
      <w:marBottom w:val="0"/>
      <w:divBdr>
        <w:top w:val="none" w:sz="0" w:space="0" w:color="auto"/>
        <w:left w:val="none" w:sz="0" w:space="0" w:color="auto"/>
        <w:bottom w:val="none" w:sz="0" w:space="0" w:color="auto"/>
        <w:right w:val="none" w:sz="0" w:space="0" w:color="auto"/>
      </w:divBdr>
      <w:divsChild>
        <w:div w:id="829255918">
          <w:marLeft w:val="0"/>
          <w:marRight w:val="0"/>
          <w:marTop w:val="0"/>
          <w:marBottom w:val="0"/>
          <w:divBdr>
            <w:top w:val="none" w:sz="0" w:space="0" w:color="auto"/>
            <w:left w:val="none" w:sz="0" w:space="0" w:color="auto"/>
            <w:bottom w:val="none" w:sz="0" w:space="0" w:color="auto"/>
            <w:right w:val="none" w:sz="0" w:space="0" w:color="auto"/>
          </w:divBdr>
        </w:div>
      </w:divsChild>
    </w:div>
    <w:div w:id="1927491715">
      <w:marLeft w:val="0"/>
      <w:marRight w:val="0"/>
      <w:marTop w:val="0"/>
      <w:marBottom w:val="240"/>
      <w:divBdr>
        <w:top w:val="none" w:sz="0" w:space="0" w:color="auto"/>
        <w:left w:val="none" w:sz="0" w:space="0" w:color="auto"/>
        <w:bottom w:val="none" w:sz="0" w:space="0" w:color="auto"/>
        <w:right w:val="none" w:sz="0" w:space="0" w:color="auto"/>
      </w:divBdr>
    </w:div>
    <w:div w:id="1928490706">
      <w:marLeft w:val="0"/>
      <w:marRight w:val="0"/>
      <w:marTop w:val="0"/>
      <w:marBottom w:val="120"/>
      <w:divBdr>
        <w:top w:val="none" w:sz="0" w:space="0" w:color="auto"/>
        <w:left w:val="none" w:sz="0" w:space="0" w:color="auto"/>
        <w:bottom w:val="none" w:sz="0" w:space="0" w:color="auto"/>
        <w:right w:val="none" w:sz="0" w:space="0" w:color="auto"/>
      </w:divBdr>
    </w:div>
    <w:div w:id="1930192174">
      <w:marLeft w:val="0"/>
      <w:marRight w:val="0"/>
      <w:marTop w:val="120"/>
      <w:marBottom w:val="240"/>
      <w:divBdr>
        <w:top w:val="none" w:sz="0" w:space="0" w:color="auto"/>
        <w:left w:val="none" w:sz="0" w:space="0" w:color="auto"/>
        <w:bottom w:val="none" w:sz="0" w:space="0" w:color="auto"/>
        <w:right w:val="none" w:sz="0" w:space="0" w:color="auto"/>
      </w:divBdr>
    </w:div>
    <w:div w:id="1930893861">
      <w:marLeft w:val="0"/>
      <w:marRight w:val="0"/>
      <w:marTop w:val="0"/>
      <w:marBottom w:val="240"/>
      <w:divBdr>
        <w:top w:val="none" w:sz="0" w:space="0" w:color="auto"/>
        <w:left w:val="none" w:sz="0" w:space="0" w:color="auto"/>
        <w:bottom w:val="none" w:sz="0" w:space="0" w:color="auto"/>
        <w:right w:val="none" w:sz="0" w:space="0" w:color="auto"/>
      </w:divBdr>
    </w:div>
    <w:div w:id="1932472780">
      <w:marLeft w:val="0"/>
      <w:marRight w:val="0"/>
      <w:marTop w:val="0"/>
      <w:marBottom w:val="240"/>
      <w:divBdr>
        <w:top w:val="none" w:sz="0" w:space="0" w:color="auto"/>
        <w:left w:val="none" w:sz="0" w:space="0" w:color="auto"/>
        <w:bottom w:val="none" w:sz="0" w:space="0" w:color="auto"/>
        <w:right w:val="none" w:sz="0" w:space="0" w:color="auto"/>
      </w:divBdr>
    </w:div>
    <w:div w:id="1949267902">
      <w:marLeft w:val="0"/>
      <w:marRight w:val="0"/>
      <w:marTop w:val="0"/>
      <w:marBottom w:val="0"/>
      <w:divBdr>
        <w:top w:val="none" w:sz="0" w:space="0" w:color="auto"/>
        <w:left w:val="none" w:sz="0" w:space="0" w:color="auto"/>
        <w:bottom w:val="none" w:sz="0" w:space="0" w:color="auto"/>
        <w:right w:val="none" w:sz="0" w:space="0" w:color="auto"/>
      </w:divBdr>
      <w:divsChild>
        <w:div w:id="972754861">
          <w:marLeft w:val="0"/>
          <w:marRight w:val="0"/>
          <w:marTop w:val="0"/>
          <w:marBottom w:val="0"/>
          <w:divBdr>
            <w:top w:val="none" w:sz="0" w:space="0" w:color="auto"/>
            <w:left w:val="none" w:sz="0" w:space="0" w:color="auto"/>
            <w:bottom w:val="none" w:sz="0" w:space="0" w:color="auto"/>
            <w:right w:val="none" w:sz="0" w:space="0" w:color="auto"/>
          </w:divBdr>
        </w:div>
      </w:divsChild>
    </w:div>
    <w:div w:id="1953049029">
      <w:marLeft w:val="0"/>
      <w:marRight w:val="0"/>
      <w:marTop w:val="0"/>
      <w:marBottom w:val="120"/>
      <w:divBdr>
        <w:top w:val="none" w:sz="0" w:space="0" w:color="auto"/>
        <w:left w:val="none" w:sz="0" w:space="0" w:color="auto"/>
        <w:bottom w:val="none" w:sz="0" w:space="0" w:color="auto"/>
        <w:right w:val="none" w:sz="0" w:space="0" w:color="auto"/>
      </w:divBdr>
    </w:div>
    <w:div w:id="1953394295">
      <w:marLeft w:val="0"/>
      <w:marRight w:val="0"/>
      <w:marTop w:val="0"/>
      <w:marBottom w:val="120"/>
      <w:divBdr>
        <w:top w:val="none" w:sz="0" w:space="0" w:color="auto"/>
        <w:left w:val="none" w:sz="0" w:space="0" w:color="auto"/>
        <w:bottom w:val="none" w:sz="0" w:space="0" w:color="auto"/>
        <w:right w:val="none" w:sz="0" w:space="0" w:color="auto"/>
      </w:divBdr>
    </w:div>
    <w:div w:id="1955136912">
      <w:marLeft w:val="0"/>
      <w:marRight w:val="0"/>
      <w:marTop w:val="0"/>
      <w:marBottom w:val="120"/>
      <w:divBdr>
        <w:top w:val="none" w:sz="0" w:space="0" w:color="auto"/>
        <w:left w:val="none" w:sz="0" w:space="0" w:color="auto"/>
        <w:bottom w:val="none" w:sz="0" w:space="0" w:color="auto"/>
        <w:right w:val="none" w:sz="0" w:space="0" w:color="auto"/>
      </w:divBdr>
    </w:div>
    <w:div w:id="1956329964">
      <w:marLeft w:val="0"/>
      <w:marRight w:val="0"/>
      <w:marTop w:val="0"/>
      <w:marBottom w:val="240"/>
      <w:divBdr>
        <w:top w:val="none" w:sz="0" w:space="0" w:color="auto"/>
        <w:left w:val="none" w:sz="0" w:space="0" w:color="auto"/>
        <w:bottom w:val="none" w:sz="0" w:space="0" w:color="auto"/>
        <w:right w:val="none" w:sz="0" w:space="0" w:color="auto"/>
      </w:divBdr>
    </w:div>
    <w:div w:id="1956670603">
      <w:marLeft w:val="0"/>
      <w:marRight w:val="0"/>
      <w:marTop w:val="0"/>
      <w:marBottom w:val="240"/>
      <w:divBdr>
        <w:top w:val="none" w:sz="0" w:space="0" w:color="auto"/>
        <w:left w:val="none" w:sz="0" w:space="0" w:color="auto"/>
        <w:bottom w:val="none" w:sz="0" w:space="0" w:color="auto"/>
        <w:right w:val="none" w:sz="0" w:space="0" w:color="auto"/>
      </w:divBdr>
    </w:div>
    <w:div w:id="1958828141">
      <w:marLeft w:val="0"/>
      <w:marRight w:val="0"/>
      <w:marTop w:val="0"/>
      <w:marBottom w:val="240"/>
      <w:divBdr>
        <w:top w:val="none" w:sz="0" w:space="0" w:color="auto"/>
        <w:left w:val="none" w:sz="0" w:space="0" w:color="auto"/>
        <w:bottom w:val="none" w:sz="0" w:space="0" w:color="auto"/>
        <w:right w:val="none" w:sz="0" w:space="0" w:color="auto"/>
      </w:divBdr>
    </w:div>
    <w:div w:id="1960527934">
      <w:marLeft w:val="0"/>
      <w:marRight w:val="0"/>
      <w:marTop w:val="0"/>
      <w:marBottom w:val="120"/>
      <w:divBdr>
        <w:top w:val="none" w:sz="0" w:space="0" w:color="auto"/>
        <w:left w:val="none" w:sz="0" w:space="0" w:color="auto"/>
        <w:bottom w:val="none" w:sz="0" w:space="0" w:color="auto"/>
        <w:right w:val="none" w:sz="0" w:space="0" w:color="auto"/>
      </w:divBdr>
    </w:div>
    <w:div w:id="1966345769">
      <w:marLeft w:val="0"/>
      <w:marRight w:val="0"/>
      <w:marTop w:val="0"/>
      <w:marBottom w:val="120"/>
      <w:divBdr>
        <w:top w:val="none" w:sz="0" w:space="0" w:color="auto"/>
        <w:left w:val="none" w:sz="0" w:space="0" w:color="auto"/>
        <w:bottom w:val="none" w:sz="0" w:space="0" w:color="auto"/>
        <w:right w:val="none" w:sz="0" w:space="0" w:color="auto"/>
      </w:divBdr>
    </w:div>
    <w:div w:id="1968656969">
      <w:marLeft w:val="0"/>
      <w:marRight w:val="0"/>
      <w:marTop w:val="0"/>
      <w:marBottom w:val="0"/>
      <w:divBdr>
        <w:top w:val="none" w:sz="0" w:space="0" w:color="auto"/>
        <w:left w:val="none" w:sz="0" w:space="0" w:color="auto"/>
        <w:bottom w:val="none" w:sz="0" w:space="0" w:color="auto"/>
        <w:right w:val="none" w:sz="0" w:space="0" w:color="auto"/>
      </w:divBdr>
      <w:divsChild>
        <w:div w:id="509174907">
          <w:marLeft w:val="0"/>
          <w:marRight w:val="0"/>
          <w:marTop w:val="0"/>
          <w:marBottom w:val="0"/>
          <w:divBdr>
            <w:top w:val="none" w:sz="0" w:space="0" w:color="auto"/>
            <w:left w:val="none" w:sz="0" w:space="0" w:color="auto"/>
            <w:bottom w:val="none" w:sz="0" w:space="0" w:color="auto"/>
            <w:right w:val="none" w:sz="0" w:space="0" w:color="auto"/>
          </w:divBdr>
        </w:div>
      </w:divsChild>
    </w:div>
    <w:div w:id="1972587187">
      <w:marLeft w:val="0"/>
      <w:marRight w:val="0"/>
      <w:marTop w:val="0"/>
      <w:marBottom w:val="240"/>
      <w:divBdr>
        <w:top w:val="none" w:sz="0" w:space="0" w:color="auto"/>
        <w:left w:val="none" w:sz="0" w:space="0" w:color="auto"/>
        <w:bottom w:val="none" w:sz="0" w:space="0" w:color="auto"/>
        <w:right w:val="none" w:sz="0" w:space="0" w:color="auto"/>
      </w:divBdr>
    </w:div>
    <w:div w:id="1978140087">
      <w:marLeft w:val="0"/>
      <w:marRight w:val="0"/>
      <w:marTop w:val="0"/>
      <w:marBottom w:val="120"/>
      <w:divBdr>
        <w:top w:val="none" w:sz="0" w:space="0" w:color="auto"/>
        <w:left w:val="none" w:sz="0" w:space="0" w:color="auto"/>
        <w:bottom w:val="none" w:sz="0" w:space="0" w:color="auto"/>
        <w:right w:val="none" w:sz="0" w:space="0" w:color="auto"/>
      </w:divBdr>
    </w:div>
    <w:div w:id="1985770597">
      <w:marLeft w:val="0"/>
      <w:marRight w:val="0"/>
      <w:marTop w:val="0"/>
      <w:marBottom w:val="180"/>
      <w:divBdr>
        <w:top w:val="none" w:sz="0" w:space="0" w:color="auto"/>
        <w:left w:val="none" w:sz="0" w:space="0" w:color="auto"/>
        <w:bottom w:val="none" w:sz="0" w:space="0" w:color="auto"/>
        <w:right w:val="none" w:sz="0" w:space="0" w:color="auto"/>
      </w:divBdr>
    </w:div>
    <w:div w:id="1986086372">
      <w:marLeft w:val="0"/>
      <w:marRight w:val="0"/>
      <w:marTop w:val="0"/>
      <w:marBottom w:val="240"/>
      <w:divBdr>
        <w:top w:val="none" w:sz="0" w:space="0" w:color="auto"/>
        <w:left w:val="none" w:sz="0" w:space="0" w:color="auto"/>
        <w:bottom w:val="none" w:sz="0" w:space="0" w:color="auto"/>
        <w:right w:val="none" w:sz="0" w:space="0" w:color="auto"/>
      </w:divBdr>
    </w:div>
    <w:div w:id="1987397793">
      <w:marLeft w:val="0"/>
      <w:marRight w:val="0"/>
      <w:marTop w:val="0"/>
      <w:marBottom w:val="240"/>
      <w:divBdr>
        <w:top w:val="none" w:sz="0" w:space="0" w:color="auto"/>
        <w:left w:val="none" w:sz="0" w:space="0" w:color="auto"/>
        <w:bottom w:val="none" w:sz="0" w:space="0" w:color="auto"/>
        <w:right w:val="none" w:sz="0" w:space="0" w:color="auto"/>
      </w:divBdr>
    </w:div>
    <w:div w:id="1989048183">
      <w:marLeft w:val="0"/>
      <w:marRight w:val="0"/>
      <w:marTop w:val="240"/>
      <w:marBottom w:val="0"/>
      <w:divBdr>
        <w:top w:val="none" w:sz="0" w:space="0" w:color="auto"/>
        <w:left w:val="none" w:sz="0" w:space="0" w:color="auto"/>
        <w:bottom w:val="none" w:sz="0" w:space="0" w:color="auto"/>
        <w:right w:val="none" w:sz="0" w:space="0" w:color="auto"/>
      </w:divBdr>
    </w:div>
    <w:div w:id="1992783187">
      <w:marLeft w:val="0"/>
      <w:marRight w:val="0"/>
      <w:marTop w:val="240"/>
      <w:marBottom w:val="240"/>
      <w:divBdr>
        <w:top w:val="none" w:sz="0" w:space="0" w:color="auto"/>
        <w:left w:val="none" w:sz="0" w:space="0" w:color="auto"/>
        <w:bottom w:val="none" w:sz="0" w:space="0" w:color="auto"/>
        <w:right w:val="none" w:sz="0" w:space="0" w:color="auto"/>
      </w:divBdr>
    </w:div>
    <w:div w:id="1998875332">
      <w:marLeft w:val="0"/>
      <w:marRight w:val="0"/>
      <w:marTop w:val="0"/>
      <w:marBottom w:val="0"/>
      <w:divBdr>
        <w:top w:val="none" w:sz="0" w:space="0" w:color="auto"/>
        <w:left w:val="none" w:sz="0" w:space="0" w:color="auto"/>
        <w:bottom w:val="none" w:sz="0" w:space="0" w:color="auto"/>
        <w:right w:val="none" w:sz="0" w:space="0" w:color="auto"/>
      </w:divBdr>
    </w:div>
    <w:div w:id="2014212364">
      <w:marLeft w:val="0"/>
      <w:marRight w:val="0"/>
      <w:marTop w:val="0"/>
      <w:marBottom w:val="120"/>
      <w:divBdr>
        <w:top w:val="none" w:sz="0" w:space="0" w:color="auto"/>
        <w:left w:val="none" w:sz="0" w:space="0" w:color="auto"/>
        <w:bottom w:val="none" w:sz="0" w:space="0" w:color="auto"/>
        <w:right w:val="none" w:sz="0" w:space="0" w:color="auto"/>
      </w:divBdr>
    </w:div>
    <w:div w:id="2020110519">
      <w:marLeft w:val="0"/>
      <w:marRight w:val="0"/>
      <w:marTop w:val="240"/>
      <w:marBottom w:val="240"/>
      <w:divBdr>
        <w:top w:val="none" w:sz="0" w:space="0" w:color="auto"/>
        <w:left w:val="none" w:sz="0" w:space="0" w:color="auto"/>
        <w:bottom w:val="none" w:sz="0" w:space="0" w:color="auto"/>
        <w:right w:val="none" w:sz="0" w:space="0" w:color="auto"/>
      </w:divBdr>
    </w:div>
    <w:div w:id="2021076834">
      <w:marLeft w:val="0"/>
      <w:marRight w:val="0"/>
      <w:marTop w:val="0"/>
      <w:marBottom w:val="0"/>
      <w:divBdr>
        <w:top w:val="none" w:sz="0" w:space="0" w:color="auto"/>
        <w:left w:val="none" w:sz="0" w:space="0" w:color="auto"/>
        <w:bottom w:val="none" w:sz="0" w:space="0" w:color="auto"/>
        <w:right w:val="none" w:sz="0" w:space="0" w:color="auto"/>
      </w:divBdr>
      <w:divsChild>
        <w:div w:id="1496455430">
          <w:marLeft w:val="0"/>
          <w:marRight w:val="0"/>
          <w:marTop w:val="0"/>
          <w:marBottom w:val="0"/>
          <w:divBdr>
            <w:top w:val="none" w:sz="0" w:space="0" w:color="auto"/>
            <w:left w:val="none" w:sz="0" w:space="0" w:color="auto"/>
            <w:bottom w:val="none" w:sz="0" w:space="0" w:color="auto"/>
            <w:right w:val="none" w:sz="0" w:space="0" w:color="auto"/>
          </w:divBdr>
        </w:div>
      </w:divsChild>
    </w:div>
    <w:div w:id="2024433490">
      <w:marLeft w:val="0"/>
      <w:marRight w:val="0"/>
      <w:marTop w:val="0"/>
      <w:marBottom w:val="120"/>
      <w:divBdr>
        <w:top w:val="none" w:sz="0" w:space="0" w:color="auto"/>
        <w:left w:val="none" w:sz="0" w:space="0" w:color="auto"/>
        <w:bottom w:val="none" w:sz="0" w:space="0" w:color="auto"/>
        <w:right w:val="none" w:sz="0" w:space="0" w:color="auto"/>
      </w:divBdr>
    </w:div>
    <w:div w:id="2024699306">
      <w:marLeft w:val="0"/>
      <w:marRight w:val="0"/>
      <w:marTop w:val="0"/>
      <w:marBottom w:val="0"/>
      <w:divBdr>
        <w:top w:val="none" w:sz="0" w:space="0" w:color="auto"/>
        <w:left w:val="none" w:sz="0" w:space="0" w:color="auto"/>
        <w:bottom w:val="none" w:sz="0" w:space="0" w:color="auto"/>
        <w:right w:val="none" w:sz="0" w:space="0" w:color="auto"/>
      </w:divBdr>
    </w:div>
    <w:div w:id="2027560770">
      <w:marLeft w:val="0"/>
      <w:marRight w:val="0"/>
      <w:marTop w:val="0"/>
      <w:marBottom w:val="120"/>
      <w:divBdr>
        <w:top w:val="none" w:sz="0" w:space="0" w:color="auto"/>
        <w:left w:val="none" w:sz="0" w:space="0" w:color="auto"/>
        <w:bottom w:val="none" w:sz="0" w:space="0" w:color="auto"/>
        <w:right w:val="none" w:sz="0" w:space="0" w:color="auto"/>
      </w:divBdr>
    </w:div>
    <w:div w:id="2028754766">
      <w:marLeft w:val="0"/>
      <w:marRight w:val="0"/>
      <w:marTop w:val="0"/>
      <w:marBottom w:val="0"/>
      <w:divBdr>
        <w:top w:val="none" w:sz="0" w:space="0" w:color="auto"/>
        <w:left w:val="none" w:sz="0" w:space="0" w:color="auto"/>
        <w:bottom w:val="none" w:sz="0" w:space="0" w:color="auto"/>
        <w:right w:val="none" w:sz="0" w:space="0" w:color="auto"/>
      </w:divBdr>
    </w:div>
    <w:div w:id="2029482519">
      <w:marLeft w:val="0"/>
      <w:marRight w:val="0"/>
      <w:marTop w:val="0"/>
      <w:marBottom w:val="240"/>
      <w:divBdr>
        <w:top w:val="none" w:sz="0" w:space="0" w:color="auto"/>
        <w:left w:val="none" w:sz="0" w:space="0" w:color="auto"/>
        <w:bottom w:val="none" w:sz="0" w:space="0" w:color="auto"/>
        <w:right w:val="none" w:sz="0" w:space="0" w:color="auto"/>
      </w:divBdr>
    </w:div>
    <w:div w:id="2041469418">
      <w:marLeft w:val="0"/>
      <w:marRight w:val="0"/>
      <w:marTop w:val="0"/>
      <w:marBottom w:val="120"/>
      <w:divBdr>
        <w:top w:val="none" w:sz="0" w:space="0" w:color="auto"/>
        <w:left w:val="none" w:sz="0" w:space="0" w:color="auto"/>
        <w:bottom w:val="none" w:sz="0" w:space="0" w:color="auto"/>
        <w:right w:val="none" w:sz="0" w:space="0" w:color="auto"/>
      </w:divBdr>
    </w:div>
    <w:div w:id="2057463442">
      <w:marLeft w:val="0"/>
      <w:marRight w:val="0"/>
      <w:marTop w:val="240"/>
      <w:marBottom w:val="240"/>
      <w:divBdr>
        <w:top w:val="none" w:sz="0" w:space="0" w:color="auto"/>
        <w:left w:val="none" w:sz="0" w:space="0" w:color="auto"/>
        <w:bottom w:val="none" w:sz="0" w:space="0" w:color="auto"/>
        <w:right w:val="none" w:sz="0" w:space="0" w:color="auto"/>
      </w:divBdr>
    </w:div>
    <w:div w:id="2058310975">
      <w:marLeft w:val="0"/>
      <w:marRight w:val="0"/>
      <w:marTop w:val="240"/>
      <w:marBottom w:val="240"/>
      <w:divBdr>
        <w:top w:val="none" w:sz="0" w:space="0" w:color="auto"/>
        <w:left w:val="none" w:sz="0" w:space="0" w:color="auto"/>
        <w:bottom w:val="none" w:sz="0" w:space="0" w:color="auto"/>
        <w:right w:val="none" w:sz="0" w:space="0" w:color="auto"/>
      </w:divBdr>
    </w:div>
    <w:div w:id="2060549460">
      <w:marLeft w:val="0"/>
      <w:marRight w:val="0"/>
      <w:marTop w:val="0"/>
      <w:marBottom w:val="0"/>
      <w:divBdr>
        <w:top w:val="none" w:sz="0" w:space="0" w:color="auto"/>
        <w:left w:val="none" w:sz="0" w:space="0" w:color="auto"/>
        <w:bottom w:val="none" w:sz="0" w:space="0" w:color="auto"/>
        <w:right w:val="none" w:sz="0" w:space="0" w:color="auto"/>
      </w:divBdr>
    </w:div>
    <w:div w:id="2060592753">
      <w:marLeft w:val="0"/>
      <w:marRight w:val="0"/>
      <w:marTop w:val="0"/>
      <w:marBottom w:val="240"/>
      <w:divBdr>
        <w:top w:val="none" w:sz="0" w:space="0" w:color="auto"/>
        <w:left w:val="none" w:sz="0" w:space="0" w:color="auto"/>
        <w:bottom w:val="none" w:sz="0" w:space="0" w:color="auto"/>
        <w:right w:val="none" w:sz="0" w:space="0" w:color="auto"/>
      </w:divBdr>
    </w:div>
    <w:div w:id="2065521490">
      <w:marLeft w:val="0"/>
      <w:marRight w:val="0"/>
      <w:marTop w:val="240"/>
      <w:marBottom w:val="240"/>
      <w:divBdr>
        <w:top w:val="none" w:sz="0" w:space="0" w:color="auto"/>
        <w:left w:val="none" w:sz="0" w:space="0" w:color="auto"/>
        <w:bottom w:val="none" w:sz="0" w:space="0" w:color="auto"/>
        <w:right w:val="none" w:sz="0" w:space="0" w:color="auto"/>
      </w:divBdr>
    </w:div>
    <w:div w:id="2073195282">
      <w:marLeft w:val="0"/>
      <w:marRight w:val="0"/>
      <w:marTop w:val="240"/>
      <w:marBottom w:val="240"/>
      <w:divBdr>
        <w:top w:val="none" w:sz="0" w:space="0" w:color="auto"/>
        <w:left w:val="none" w:sz="0" w:space="0" w:color="auto"/>
        <w:bottom w:val="none" w:sz="0" w:space="0" w:color="auto"/>
        <w:right w:val="none" w:sz="0" w:space="0" w:color="auto"/>
      </w:divBdr>
    </w:div>
    <w:div w:id="2079742414">
      <w:marLeft w:val="0"/>
      <w:marRight w:val="0"/>
      <w:marTop w:val="0"/>
      <w:marBottom w:val="240"/>
      <w:divBdr>
        <w:top w:val="none" w:sz="0" w:space="0" w:color="auto"/>
        <w:left w:val="none" w:sz="0" w:space="0" w:color="auto"/>
        <w:bottom w:val="none" w:sz="0" w:space="0" w:color="auto"/>
        <w:right w:val="none" w:sz="0" w:space="0" w:color="auto"/>
      </w:divBdr>
    </w:div>
    <w:div w:id="2089844382">
      <w:marLeft w:val="0"/>
      <w:marRight w:val="0"/>
      <w:marTop w:val="0"/>
      <w:marBottom w:val="0"/>
      <w:divBdr>
        <w:top w:val="none" w:sz="0" w:space="0" w:color="auto"/>
        <w:left w:val="none" w:sz="0" w:space="0" w:color="auto"/>
        <w:bottom w:val="none" w:sz="0" w:space="0" w:color="auto"/>
        <w:right w:val="none" w:sz="0" w:space="0" w:color="auto"/>
      </w:divBdr>
      <w:divsChild>
        <w:div w:id="1700471723">
          <w:marLeft w:val="0"/>
          <w:marRight w:val="0"/>
          <w:marTop w:val="0"/>
          <w:marBottom w:val="0"/>
          <w:divBdr>
            <w:top w:val="none" w:sz="0" w:space="0" w:color="auto"/>
            <w:left w:val="none" w:sz="0" w:space="0" w:color="auto"/>
            <w:bottom w:val="none" w:sz="0" w:space="0" w:color="auto"/>
            <w:right w:val="none" w:sz="0" w:space="0" w:color="auto"/>
          </w:divBdr>
        </w:div>
      </w:divsChild>
    </w:div>
    <w:div w:id="2091539752">
      <w:marLeft w:val="0"/>
      <w:marRight w:val="0"/>
      <w:marTop w:val="0"/>
      <w:marBottom w:val="240"/>
      <w:divBdr>
        <w:top w:val="none" w:sz="0" w:space="0" w:color="auto"/>
        <w:left w:val="none" w:sz="0" w:space="0" w:color="auto"/>
        <w:bottom w:val="none" w:sz="0" w:space="0" w:color="auto"/>
        <w:right w:val="none" w:sz="0" w:space="0" w:color="auto"/>
      </w:divBdr>
    </w:div>
    <w:div w:id="2091730205">
      <w:marLeft w:val="0"/>
      <w:marRight w:val="0"/>
      <w:marTop w:val="240"/>
      <w:marBottom w:val="0"/>
      <w:divBdr>
        <w:top w:val="none" w:sz="0" w:space="0" w:color="auto"/>
        <w:left w:val="none" w:sz="0" w:space="0" w:color="auto"/>
        <w:bottom w:val="none" w:sz="0" w:space="0" w:color="auto"/>
        <w:right w:val="none" w:sz="0" w:space="0" w:color="auto"/>
      </w:divBdr>
    </w:div>
    <w:div w:id="2092005080">
      <w:marLeft w:val="0"/>
      <w:marRight w:val="0"/>
      <w:marTop w:val="0"/>
      <w:marBottom w:val="0"/>
      <w:divBdr>
        <w:top w:val="none" w:sz="0" w:space="0" w:color="auto"/>
        <w:left w:val="none" w:sz="0" w:space="0" w:color="auto"/>
        <w:bottom w:val="none" w:sz="0" w:space="0" w:color="auto"/>
        <w:right w:val="none" w:sz="0" w:space="0" w:color="auto"/>
      </w:divBdr>
    </w:div>
    <w:div w:id="2093962656">
      <w:marLeft w:val="0"/>
      <w:marRight w:val="0"/>
      <w:marTop w:val="0"/>
      <w:marBottom w:val="240"/>
      <w:divBdr>
        <w:top w:val="none" w:sz="0" w:space="0" w:color="auto"/>
        <w:left w:val="none" w:sz="0" w:space="0" w:color="auto"/>
        <w:bottom w:val="none" w:sz="0" w:space="0" w:color="auto"/>
        <w:right w:val="none" w:sz="0" w:space="0" w:color="auto"/>
      </w:divBdr>
    </w:div>
    <w:div w:id="2111000932">
      <w:marLeft w:val="0"/>
      <w:marRight w:val="0"/>
      <w:marTop w:val="0"/>
      <w:marBottom w:val="240"/>
      <w:divBdr>
        <w:top w:val="none" w:sz="0" w:space="0" w:color="auto"/>
        <w:left w:val="none" w:sz="0" w:space="0" w:color="auto"/>
        <w:bottom w:val="none" w:sz="0" w:space="0" w:color="auto"/>
        <w:right w:val="none" w:sz="0" w:space="0" w:color="auto"/>
      </w:divBdr>
    </w:div>
    <w:div w:id="2112511224">
      <w:marLeft w:val="0"/>
      <w:marRight w:val="0"/>
      <w:marTop w:val="0"/>
      <w:marBottom w:val="0"/>
      <w:divBdr>
        <w:top w:val="none" w:sz="0" w:space="0" w:color="auto"/>
        <w:left w:val="none" w:sz="0" w:space="0" w:color="auto"/>
        <w:bottom w:val="none" w:sz="0" w:space="0" w:color="auto"/>
        <w:right w:val="none" w:sz="0" w:space="0" w:color="auto"/>
      </w:divBdr>
    </w:div>
    <w:div w:id="2129009287">
      <w:marLeft w:val="0"/>
      <w:marRight w:val="0"/>
      <w:marTop w:val="0"/>
      <w:marBottom w:val="120"/>
      <w:divBdr>
        <w:top w:val="none" w:sz="0" w:space="0" w:color="auto"/>
        <w:left w:val="none" w:sz="0" w:space="0" w:color="auto"/>
        <w:bottom w:val="none" w:sz="0" w:space="0" w:color="auto"/>
        <w:right w:val="none" w:sz="0" w:space="0" w:color="auto"/>
      </w:divBdr>
    </w:div>
    <w:div w:id="2133010568">
      <w:marLeft w:val="0"/>
      <w:marRight w:val="0"/>
      <w:marTop w:val="0"/>
      <w:marBottom w:val="240"/>
      <w:divBdr>
        <w:top w:val="none" w:sz="0" w:space="0" w:color="auto"/>
        <w:left w:val="none" w:sz="0" w:space="0" w:color="auto"/>
        <w:bottom w:val="none" w:sz="0" w:space="0" w:color="auto"/>
        <w:right w:val="none" w:sz="0" w:space="0" w:color="auto"/>
      </w:divBdr>
    </w:div>
    <w:div w:id="2135560294">
      <w:marLeft w:val="0"/>
      <w:marRight w:val="0"/>
      <w:marTop w:val="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sa-33122xex31_2.htm" TargetMode="External"/><Relationship Id="rId3" Type="http://schemas.openxmlformats.org/officeDocument/2006/relationships/webSettings" Target="webSettings.xml"/><Relationship Id="rId7" Type="http://schemas.openxmlformats.org/officeDocument/2006/relationships/hyperlink" Target="psa-33122xex31_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101-2022psaformofem.htm" TargetMode="External"/><Relationship Id="rId11" Type="http://schemas.openxmlformats.org/officeDocument/2006/relationships/theme" Target="theme/theme1.xml"/><Relationship Id="rId5" Type="http://schemas.openxmlformats.org/officeDocument/2006/relationships/hyperlink" Target="exhibit101-2022psaformofem.htm" TargetMode="External"/><Relationship Id="rId10" Type="http://schemas.openxmlformats.org/officeDocument/2006/relationships/fontTable" Target="fontTable.xml"/><Relationship Id="rId4" Type="http://schemas.openxmlformats.org/officeDocument/2006/relationships/hyperlink" Target="https://www.sec.gov/Archives/edgar/data/1393311/000119312522002641/d278496dex31.htm" TargetMode="External"/><Relationship Id="rId9" Type="http://schemas.openxmlformats.org/officeDocument/2006/relationships/hyperlink" Target="psa-33122x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23045</Words>
  <Characters>131358</Characters>
  <Application>Microsoft Office Word</Application>
  <DocSecurity>0</DocSecurity>
  <Lines>1094</Lines>
  <Paragraphs>308</Paragraphs>
  <ScaleCrop>false</ScaleCrop>
  <Company/>
  <LinksUpToDate>false</LinksUpToDate>
  <CharactersWithSpaces>154095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psa-20220331</dc:title>
  <dc:subject/>
  <dc:creator>Chongjian.Yue</dc:creator>
  <cp:keywords/>
  <dc:description/>
  <cp:lastModifiedBy>Yue Chongjian</cp:lastModifiedBy>
  <cp:revision>1</cp:revision>
  <dcterms:created xsi:type="dcterms:W3CDTF">2024-01-04T15:58:00Z</dcterms:created>
  <dcterms:modified xsi:type="dcterms:W3CDTF">2024-01-04T15:58:00Z</dcterms:modified>
</cp:coreProperties>
</file>