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44B22">
      <w:pPr>
        <w:divId w:val="610287146"/>
        <w:rPr>
          <w:rFonts w:eastAsia="Times New Roman"/>
          <w:vanish/>
        </w:rPr>
      </w:pPr>
      <w:r>
        <w:rPr>
          <w:rFonts w:eastAsia="Times New Roman"/>
          <w:vanish/>
        </w:rPr>
        <w:t>FALSE2022Q212/31000139331100013933112022-01-012022-06-300001393311us-gaap:CommonStockMember2022-01-012022-06-300001393311us-gaap:SeriesFPreferredStockMember2022-01-012022-06-300001393311</w:t>
      </w:r>
      <w:r>
        <w:rPr>
          <w:rFonts w:eastAsia="Times New Roman"/>
          <w:vanish/>
        </w:rPr>
        <w:t>us-gaap:SeriesGPreferredStockMember2022-01-012022-06-300001393311us-gaap:SeriesHPreferredStockMember2022-01-012022-06-300001393311psa:SeriesIPreferredStockMember2022-01-012022-06-300001393311psa:SeriesJPreferredStockMember2022-01-012022-06-300001393311psa:</w:t>
      </w:r>
      <w:r>
        <w:rPr>
          <w:rFonts w:eastAsia="Times New Roman"/>
          <w:vanish/>
        </w:rPr>
        <w:t>SeriesKPreferredStockMember2022-01-012022-06-300001393311psa:SeriesLPreferredStockMember2022-01-012022-06-300001393311psa:SeriesMPreferredStockMember2022-01-012022-06-300001393311psa:SeriesNPreferredStockMember2022-01-012022-06-300001393311psa:SeriesOPrefe</w:t>
      </w:r>
      <w:r>
        <w:rPr>
          <w:rFonts w:eastAsia="Times New Roman"/>
          <w:vanish/>
        </w:rPr>
        <w:t>rredStockMember2022-01-012022-06-300001393311psa:SeriesPPreferredStockMember2022-01-012022-06-300001393311psa:SeriesQPreferredStockMember2022-01-012022-06-300001393311psa:SeriesRPreferredStockMember2022-01-012022-06-300001393311psa:SeriesSPreferredStockMem</w:t>
      </w:r>
      <w:r>
        <w:rPr>
          <w:rFonts w:eastAsia="Times New Roman"/>
          <w:vanish/>
        </w:rPr>
        <w:t>ber2022-01-012022-06-300001393311psa:NotesDue2032Member2022-01-012022-06-300001393311psa:NotesDue2030Member2022-01-012022-06-3000013933112022-08-01xbrli:shares00013933112022-06-30iso4217:USD00013933112021-12-31iso4217:USDxbrli:shares0001393311psa:SelfStora</w:t>
      </w:r>
      <w:r>
        <w:rPr>
          <w:rFonts w:eastAsia="Times New Roman"/>
          <w:vanish/>
        </w:rPr>
        <w:t>geOperationsMember2022-04-012022-06-300001393311psa:SelfStorageOperationsMember2021-04-012021-06-300001393311psa:SelfStorageOperationsMember2022-01-012022-06-300001393311psa:SelfStorageOperationsMember2021-01-012021-06-300001393311psa:AncillaryOperationsMe</w:t>
      </w:r>
      <w:r>
        <w:rPr>
          <w:rFonts w:eastAsia="Times New Roman"/>
          <w:vanish/>
        </w:rPr>
        <w:t>mber2022-04-012022-06-300001393311psa:AncillaryOperationsMember2021-04-012021-06-300001393311psa:AncillaryOperationsMember2022-01-012022-06-300001393311psa:AncillaryOperationsMember2021-01-012021-06-3000013933112022-04-012022-06-3000013933112021-04-012021-</w:t>
      </w:r>
      <w:r>
        <w:rPr>
          <w:rFonts w:eastAsia="Times New Roman"/>
          <w:vanish/>
        </w:rPr>
        <w:t>06-3000013933112021-01-012021-06-300001393311us-gaap:PreferredStockMember2022-03-310001393311us-gaap:CommonStockMember2022-03-310001393311us-gaap:AdditionalPaidInCapitalMember2022-03-310001393311us-gaap:RetainedEarningsMember2022-03-310001393311us-gaap:Acc</w:t>
      </w:r>
      <w:r>
        <w:rPr>
          <w:rFonts w:eastAsia="Times New Roman"/>
          <w:vanish/>
        </w:rPr>
        <w:t>umulatedOtherComprehensiveIncomeMember2022-03-310001393311us-gaap:ParentMember2022-03-310001393311us-gaap:NoncontrollingInterestMember2022-03-3100013933112022-03-310001393311us-gaap:CommonStockMember2022-04-012022-06-300001393311us-gaap:CommonStockMemberus</w:t>
      </w:r>
      <w:r>
        <w:rPr>
          <w:rFonts w:eastAsia="Times New Roman"/>
          <w:vanish/>
        </w:rPr>
        <w:t>-gaap:CommonStockMember2022-04-012022-06-300001393311us-gaap:AdditionalPaidInCapitalMember2022-04-012022-06-300001393311us-gaap:ParentMember2022-04-012022-06-300001393311us-gaap:NoncontrollingInterestMember2022-04-012022-06-300001393311us-gaap:RetainedEarn</w:t>
      </w:r>
      <w:r>
        <w:rPr>
          <w:rFonts w:eastAsia="Times New Roman"/>
          <w:vanish/>
        </w:rPr>
        <w:t>ingsMember2022-04-012022-06-300001393311us-gaap:AccumulatedOtherComprehensiveIncomeMember2022-04-012022-06-300001393311us-gaap:PreferredStockMember2022-06-300001393311us-gaap:CommonStockMember2022-06-300001393311us-gaap:AdditionalPaidInCapitalMember2022-06</w:t>
      </w:r>
      <w:r>
        <w:rPr>
          <w:rFonts w:eastAsia="Times New Roman"/>
          <w:vanish/>
        </w:rPr>
        <w:t>-300001393311us-gaap:RetainedEarningsMember2022-06-300001393311us-gaap:AccumulatedOtherComprehensiveIncomeMember2022-06-300001393311us-gaap:ParentMember2022-06-300001393311us-gaap:NoncontrollingInterestMember2022-06-300001393311us-gaap:PreferredStockMember</w:t>
      </w:r>
      <w:r>
        <w:rPr>
          <w:rFonts w:eastAsia="Times New Roman"/>
          <w:vanish/>
        </w:rPr>
        <w:t>2021-03-310001393311us-gaap:CommonStockMember2021-03-310001393311us-gaap:AdditionalPaidInCapitalMember2021-03-310001393311us-gaap:RetainedEarningsMember2021-03-310001393311us-gaap:AccumulatedOtherComprehensiveIncomeMember2021-03-310001393311us-gaap:ParentM</w:t>
      </w:r>
      <w:r>
        <w:rPr>
          <w:rFonts w:eastAsia="Times New Roman"/>
          <w:vanish/>
        </w:rPr>
        <w:t>ember2021-03-310001393311us-gaap:NoncontrollingInterestMember2021-03-3100013933112021-03-310001393311us-gaap:PreferredStockMember2021-04-012021-06-300001393311us-gaap:PreferredStockMemberus-gaap:PreferredStockMember2021-04-012021-06-300001393311us-gaap:Pre</w:t>
      </w:r>
      <w:r>
        <w:rPr>
          <w:rFonts w:eastAsia="Times New Roman"/>
          <w:vanish/>
        </w:rPr>
        <w:t>ferredStockMemberus-gaap:AdditionalPaidInCapitalMember2021-04-012021-06-300001393311us-gaap:PreferredStockMemberus-gaap:ParentMember2021-04-012021-06-300001393311us-gaap:PreferredStockMember2021-04-012021-06-300001393311us-gaap:ParentMember2021-04-012021-0</w:t>
      </w:r>
      <w:r>
        <w:rPr>
          <w:rFonts w:eastAsia="Times New Roman"/>
          <w:vanish/>
        </w:rPr>
        <w:t>6-300001393311us-gaap:CommonStockMember2021-04-012021-06-300001393311us-gaap:CommonStockMemberus-gaap:CommonStockMember2021-04-012021-06-300001393311us-gaap:CommonStockMemberus-gaap:AdditionalPaidInCapitalMember2021-04-012021-06-300001393311us-gaap:CommonS</w:t>
      </w:r>
      <w:r>
        <w:rPr>
          <w:rFonts w:eastAsia="Times New Roman"/>
          <w:vanish/>
        </w:rPr>
        <w:t>tockMemberus-gaap:ParentMember2021-04-012021-06-300001393311us-gaap:AdditionalPaidInCapitalMember2021-04-012021-06-300001393311us-gaap:NoncontrollingInterestMember2021-04-012021-06-300001393311us-gaap:RetainedEarningsMember2021-04-012021-06-300001393311us-</w:t>
      </w:r>
      <w:r>
        <w:rPr>
          <w:rFonts w:eastAsia="Times New Roman"/>
          <w:vanish/>
        </w:rPr>
        <w:t>gaap:AccumulatedOtherComprehensiveIncomeMember2021-04-012021-06-300001393311us-gaap:PreferredStockMember2021-06-300001393311us-gaap:CommonStockMember2021-06-300001393311us-gaap:AdditionalPaidInCapitalMember2021-06-300001393311us-gaap:RetainedEarningsMember</w:t>
      </w:r>
      <w:r>
        <w:rPr>
          <w:rFonts w:eastAsia="Times New Roman"/>
          <w:vanish/>
        </w:rPr>
        <w:t>2021-06-300001393311us-gaap:AccumulatedOtherComprehensiveIncomeMember2021-06-300001393311us-gaap:ParentMember2021-06-300001393311us-gaap:NoncontrollingInterestMember2021-06-3000013933112021-06-300001393311us-gaap:PreferredStockMember2021-12-310001393311us-</w:t>
      </w:r>
      <w:r>
        <w:rPr>
          <w:rFonts w:eastAsia="Times New Roman"/>
          <w:vanish/>
        </w:rPr>
        <w:t>gaap:CommonStockMember2021-12-310001393311us-gaap:AdditionalPaidInCapitalMember2021-12-310001393311us-gaap:RetainedEarningsMember2021-12-310001393311us-gaap:AccumulatedOtherComprehensiveIncomeMember2021-12-310001393311us-gaap:ParentMember2021-12-3100013933</w:t>
      </w:r>
      <w:r>
        <w:rPr>
          <w:rFonts w:eastAsia="Times New Roman"/>
          <w:vanish/>
        </w:rPr>
        <w:t>11us-gaap:NoncontrollingInterestMember2021-12-310001393311us-gaap:PreferredStockMember2022-01-012022-06-300001393311us-gaap:PreferredStockMemberus-gaap:PreferredStockMember2022-01-012022-06-300001393311us-gaap:PreferredStockMemberus-gaap:AdditionalPaidInCa</w:t>
      </w:r>
      <w:r>
        <w:rPr>
          <w:rFonts w:eastAsia="Times New Roman"/>
          <w:vanish/>
        </w:rPr>
        <w:t>pitalMember2022-01-012022-06-300001393311us-gaap:PreferredStockMemberus-gaap:ParentMember2022-01-012022-06-300001393311us-gaap:CommonStockMemberus-gaap:CommonStockMember2022-01-012022-06-300001393311us-gaap:CommonStockMemberus-gaap:AdditionalPaidInCapitalM</w:t>
      </w:r>
      <w:r>
        <w:rPr>
          <w:rFonts w:eastAsia="Times New Roman"/>
          <w:vanish/>
        </w:rPr>
        <w:t>ember2022-01-012022-06-300001393311us-gaap:CommonStockMemberus-gaap:ParentMember2022-01-012022-06-300001393311us-gaap:AdditionalPaidInCapitalMember2022-01-012022-06-300001393311us-gaap:ParentMember2022-01-012022-06-300001393311us-gaap:NoncontrollingInteres</w:t>
      </w:r>
      <w:r>
        <w:rPr>
          <w:rFonts w:eastAsia="Times New Roman"/>
          <w:vanish/>
        </w:rPr>
        <w:t>tMember2022-01-012022-06-300001393311us-gaap:RetainedEarningsMember2022-01-012022-06-300001393311us-gaap:AccumulatedOtherComprehensiveIncomeMember2022-01-012022-06-300001393311us-gaap:PreferredStockMember2020-12-310001393311us-gaap:CommonStockMember2020-12</w:t>
      </w:r>
      <w:r>
        <w:rPr>
          <w:rFonts w:eastAsia="Times New Roman"/>
          <w:vanish/>
        </w:rPr>
        <w:t>-310001393311us-gaap:AdditionalPaidInCapitalMember2020-12-310001393311us-gaap:RetainedEarningsMember2020-12-310001393311us-gaap:AccumulatedOtherComprehensiveIncomeMember2020-12-310001393311us-gaap:ParentMember2020-12-310001393311us-gaap:NoncontrollingInter</w:t>
      </w:r>
      <w:r>
        <w:rPr>
          <w:rFonts w:eastAsia="Times New Roman"/>
          <w:vanish/>
        </w:rPr>
        <w:t>estMember2020-12-3100013933112020-12-310001393311us-gaap:PreferredStockMember2021-01-012021-06-300001393311us-gaap:PreferredStockMember2021-01-012021-06-300001393311us-gaap:AdditionalPaidInCapitalMember2021-01-012021-06-300001393311us-gaap:ParentMember2021</w:t>
      </w:r>
      <w:r>
        <w:rPr>
          <w:rFonts w:eastAsia="Times New Roman"/>
          <w:vanish/>
        </w:rPr>
        <w:t>-01-012021-06-300001393311us-gaap:CommonStockMember2021-01-012021-06-300001393311us-gaap:CommonStockMemberus-gaap:CommonStockMember2021-01-012021-06-300001393311us-gaap:CommonStockMemberus-gaap:AdditionalPaidInCapitalMember2021-01-012021-06-300001393311us-</w:t>
      </w:r>
      <w:r>
        <w:rPr>
          <w:rFonts w:eastAsia="Times New Roman"/>
          <w:vanish/>
        </w:rPr>
        <w:t>gaap:CommonStockMemberus-gaap:ParentMember2021-01-012021-06-300001393311us-gaap:NoncontrollingInterestMember2021-01-012021-06-300001393311us-gaap:RetainedEarningsMember2021-01-012021-06-300001393311us-gaap:AccumulatedOtherComprehensiveIncomeMember2021-01-0</w:t>
      </w:r>
      <w:r>
        <w:rPr>
          <w:rFonts w:eastAsia="Times New Roman"/>
          <w:vanish/>
        </w:rPr>
        <w:t>12021-06-300001393311psa:PublicStorageMember2022-06-30psa:storageFacilityutr:sqftpsa:state0001393311psa:CommercialAndRetailSpaceMemberpsa:PublicStorageMember2022-06-300001393311psa:ShurgardSelfStorageSaMember2022-06-30xbrli:pure0001393311psa:ShurgardSelfSt</w:t>
      </w:r>
      <w:r>
        <w:rPr>
          <w:rFonts w:eastAsia="Times New Roman"/>
          <w:vanish/>
        </w:rPr>
        <w:t>orageSaMember2021-12-31psa:country0001393311psa:PSBusinessParksMember2022-06-300001393311us-gaap:SubsequentEventMemberpsa:PSBusinessParksMember2022-07-200001393311psa:AcquisitionOfSelfStorageFacilitiesMember2022-01-012022-06-300001393311psa:ExpansionProjec</w:t>
      </w:r>
      <w:r>
        <w:rPr>
          <w:rFonts w:eastAsia="Times New Roman"/>
          <w:vanish/>
        </w:rPr>
        <w:t>tsMemberpsa:CompletedDevelopmentAndExpansionProjectMember2022-01-012022-06-300001393311psa:PSBusinessParksMember2021-12-310001393311psa:PSBusinessParksMember2022-04-012022-06-300001393311psa:PSBusinessParksMember2021-04-012021-06-300001393311psa:PSBusiness</w:t>
      </w:r>
      <w:r>
        <w:rPr>
          <w:rFonts w:eastAsia="Times New Roman"/>
          <w:vanish/>
        </w:rPr>
        <w:t>ParksMember2022-01-012022-06-300001393311psa:PSBusinessParksMember2021-01-012021-06-300001393311psa:ShurgardSelfStorageSaMember2022-04-012022-06-300001393311psa:ShurgardSelfStorageSaMember2021-04-012021-06-300001393311psa:ShurgardSelfStorageSaMember2022-01</w:t>
      </w:r>
      <w:r>
        <w:rPr>
          <w:rFonts w:eastAsia="Times New Roman"/>
          <w:vanish/>
        </w:rPr>
        <w:t>-012022-06-300001393311psa:ShurgardSelfStorageSaMember2021-01-012021-06-30iso4217:EURxbrli:shares0001393311us-gaap:LicenseMemberpsa:ShurgardSelfStorageSaMember2021-01-012021-06-300001393311us-gaap:LicenseMemberpsa:ShurgardSelfStorageSaMember2022-01-012022-</w:t>
      </w:r>
      <w:r>
        <w:rPr>
          <w:rFonts w:eastAsia="Times New Roman"/>
          <w:vanish/>
        </w:rPr>
        <w:t>06-300001393311us-gaap:TradeNamesMember2022-06-300001393311us-gaap:TradeNamesMember2021-12-310001393311us-gaap:RevolvingCreditFacilityMember2022-06-300001393311srt:MinimumMemberus-gaap:RevolvingCreditFacilityMember2022-01-012022-06-300001393311srt:MaximumM</w:t>
      </w:r>
      <w:r>
        <w:rPr>
          <w:rFonts w:eastAsia="Times New Roman"/>
          <w:vanish/>
        </w:rPr>
        <w:t>emberus-gaap:RevolvingCreditFacilityMember2022-01-012022-06-300001393311us-gaap:RevolvingCreditFacilityMember2022-06-302022-06-300001393311us-gaap:RevolvingCreditFacilityMemberus-gaap:SubsequentEventMember2022-08-040001393311us-gaap:StandbyLettersOfCreditM</w:t>
      </w:r>
      <w:r>
        <w:rPr>
          <w:rFonts w:eastAsia="Times New Roman"/>
          <w:vanish/>
        </w:rPr>
        <w:t>ember2022-06-300001393311us-gaap:StandbyLettersOfCreditMember2021-12-310001393311psa:NotesDueSeptember152022Memberpsa:USDollarDenominatedUnsecuredDebtMember2022-06-300001393311psa:NotesDueApril232024Memberpsa:USDollarDenominatedUnsecuredDebtMemberus-gaap:S</w:t>
      </w:r>
      <w:r>
        <w:rPr>
          <w:rFonts w:eastAsia="Times New Roman"/>
          <w:vanish/>
        </w:rPr>
        <w:t>ecuredOvernightFinancingRateSofrOvernightIndexSwapRateMember2022-06-302022-06-300001393311psa:NotesDueApril232024Memberpsa:USDollarDenominatedUnsecuredDebtMember2022-06-300001393311psa:NotesDueFebruary152026Memberpsa:USDollarDenominatedUnsecuredDebtMember2</w:t>
      </w:r>
      <w:r>
        <w:rPr>
          <w:rFonts w:eastAsia="Times New Roman"/>
          <w:vanish/>
        </w:rPr>
        <w:t>022-06-300001393311psa:NotesDueNovember92026Memberpsa:USDollarDenominatedUnsecuredDebtMember2022-06-300001393311psa:NotesDueSeptember152027Memberpsa:USDollarDenominatedUnsecuredDebtMember2022-06-300001393311psa:NotesDueMay12028Memberpsa:USDollarDenominated</w:t>
      </w:r>
      <w:r>
        <w:rPr>
          <w:rFonts w:eastAsia="Times New Roman"/>
          <w:vanish/>
        </w:rPr>
        <w:t>UnsecuredDebtMember2022-06-300001393311psa:NotesDueNovember92028Memberpsa:USDollarDenominatedUnsecuredDebtMember2022-06-300001393311psa:NotesDueMay12029Memberpsa:USDollarDenominatedUnsecuredDebtMember2022-06-300001393311psa:NotesDueMay12031Memberpsa:USDoll</w:t>
      </w:r>
      <w:r>
        <w:rPr>
          <w:rFonts w:eastAsia="Times New Roman"/>
          <w:vanish/>
        </w:rPr>
        <w:t>arDenominatedUnsecuredDebtMember2022-06-300001393311psa:NotesDueNovember92031Memberpsa:USDollarDenominatedUnsecuredDebtMember2022-06-300001393311psa:USDollarDenominatedUnsecuredDebtMember2022-06-300001393311psa:EuroDenominatedUnsecuredDebtMemberpsa:NotesDu</w:t>
      </w:r>
      <w:r>
        <w:rPr>
          <w:rFonts w:eastAsia="Times New Roman"/>
          <w:vanish/>
        </w:rPr>
        <w:t>eApril122024Member2022-06-300001393311psa:EuroDenominatedUnsecuredDebtMemberpsa:NotesDueNovember32025Member2022-06-300001393311psa:EuroDenominatedUnsecuredDebtMemberpsa:NotesDueSeptember92030Member2022-06-300001393311psa:EuroDenominatedUnsecuredDebtMemberp</w:t>
      </w:r>
      <w:r>
        <w:rPr>
          <w:rFonts w:eastAsia="Times New Roman"/>
          <w:vanish/>
        </w:rPr>
        <w:t>sa:NotesDueJanuary242032Member2022-06-300001393311psa:EuroDenominatedUnsecuredDebtMember2022-06-300001393311us-gaap:MortgagesMember2022-06-30psa:company0001393311psa:NotesDueSeptember152022Memberpsa:USDollarDenominatedUnsecuredDebtMember2021-12-31000139331</w:t>
      </w:r>
      <w:r>
        <w:rPr>
          <w:rFonts w:eastAsia="Times New Roman"/>
          <w:vanish/>
        </w:rPr>
        <w:t>1psa:NotesDueApril232024Memberpsa:USDollarDenominatedUnsecuredDebtMember2021-12-310001393311psa:NotesDueFebruary152026Memberpsa:USDollarDenominatedUnsecuredDebtMember2021-12-310001393311psa:NotesDueNovember92026Memberpsa:USDollarDenominatedUnsecuredDebtMem</w:t>
      </w:r>
      <w:r>
        <w:rPr>
          <w:rFonts w:eastAsia="Times New Roman"/>
          <w:vanish/>
        </w:rPr>
        <w:t>ber2021-12-310001393311psa:NotesDueSeptember152027Memberpsa:USDollarDenominatedUnsecuredDebtMember2021-12-310001393311psa:NotesDueMay12028Memberpsa:USDollarDenominatedUnsecuredDebtMember2021-12-310001393311psa:NotesDueNovember92028Memberpsa:USDollarDenomin</w:t>
      </w:r>
      <w:r>
        <w:rPr>
          <w:rFonts w:eastAsia="Times New Roman"/>
          <w:vanish/>
        </w:rPr>
        <w:t>atedUnsecuredDebtMember2021-12-310001393311psa:NotesDueMay12029Memberpsa:USDollarDenominatedUnsecuredDebtMember2021-12-310001393311psa:NotesDueMay12031Memberpsa:USDollarDenominatedUnsecuredDebtMember2021-12-310001393311psa:NotesDueNovember92031Memberpsa:US</w:t>
      </w:r>
      <w:r>
        <w:rPr>
          <w:rFonts w:eastAsia="Times New Roman"/>
          <w:vanish/>
        </w:rPr>
        <w:t>DollarDenominatedUnsecuredDebtMember2021-12-310001393311psa:USDollarDenominatedUnsecuredDebtMember2021-12-310001393311psa:EuroDenominatedUnsecuredDebtMemberpsa:NotesDueApril122024Member2021-12-310001393311psa:EuroDenominatedUnsecuredDebtMemberpsa:NotesDueN</w:t>
      </w:r>
      <w:r>
        <w:rPr>
          <w:rFonts w:eastAsia="Times New Roman"/>
          <w:vanish/>
        </w:rPr>
        <w:t>ovember32025Member2021-12-310001393311psa:EuroDenominatedUnsecuredDebtMemberpsa:NotesDueSeptember92030Member2021-12-310001393311psa:EuroDenominatedUnsecuredDebtMemberpsa:NotesDueJanuary242032Member2021-12-310001393311psa:EuroDenominatedUnsecuredDebtMember2</w:t>
      </w:r>
      <w:r>
        <w:rPr>
          <w:rFonts w:eastAsia="Times New Roman"/>
          <w:vanish/>
        </w:rPr>
        <w:t>021-12-310001393311us-gaap:MortgagesMember2021-12-310001393311psa:MaximumCovenantMemberpsa:USDollarDenominatedUnsecuredDebtMember2022-06-300001393311srt:MinimumMemberpsa:USDollarDenominatedUnsecuredDebtMember2021-07-012022-06-300001393311psa:USDollarDenomi</w:t>
      </w:r>
      <w:r>
        <w:rPr>
          <w:rFonts w:eastAsia="Times New Roman"/>
          <w:vanish/>
        </w:rPr>
        <w:t>natedUnsecuredDebtMember2021-07-012022-06-30psa:tranche0001393311psa:EuroDenominatedUnsecuredDebtMemberpsa:NotesDueNovember32025Member2015-11-03iso4217:EUR0001393311psa:EuroDenominatedUnsecuredDebtMemberpsa:NotesDueApril122024Member2016-04-120001393311psa:</w:t>
      </w:r>
      <w:r>
        <w:rPr>
          <w:rFonts w:eastAsia="Times New Roman"/>
          <w:vanish/>
        </w:rPr>
        <w:t>EuroDenominatedUnsecuredDebtMemberpsa:NotesDueJanuary242032Member2020-01-240001393311psa:EuroDenominatedUnsecuredDebtMemberpsa:NotesDueSeptember92030Member2021-09-090001393311psa:EuroDenominatedUnsecuredDebtMember2022-04-012022-06-300001393311psa:EuroDenom</w:t>
      </w:r>
      <w:r>
        <w:rPr>
          <w:rFonts w:eastAsia="Times New Roman"/>
          <w:vanish/>
        </w:rPr>
        <w:t>inatedUnsecuredDebtMember2022-01-012022-06-300001393311psa:EuroDenominatedUnsecuredDebtMember2021-04-012021-06-300001393311psa:EuroDenominatedUnsecuredDebtMember2021-01-012021-06-300001393311srt:MinimumMemberus-gaap:MortgagesMember2022-06-300001393311srt:M</w:t>
      </w:r>
      <w:r>
        <w:rPr>
          <w:rFonts w:eastAsia="Times New Roman"/>
          <w:vanish/>
        </w:rPr>
        <w:t>aximumMemberus-gaap:MortgagesMember2022-06-300001393311us-gaap:UnsecuredDebtMember2022-06-300001393311us-gaap:NotesPayableToBanksMember2022-06-300001393311psa:AcquisitionOfSelfStorageFacilitiesMemberus-gaap:NoncontrollingInterestMember2022-06-300001393311p</w:t>
      </w:r>
      <w:r>
        <w:rPr>
          <w:rFonts w:eastAsia="Times New Roman"/>
          <w:vanish/>
        </w:rPr>
        <w:t>sa:AcquisitionOfSelfStorageFacilitiesToDateMemberus-gaap:NoncontrollingInterestMember2022-03-310001393311psa:AcquisitionOfSelfStorageFacilitiesToDateMember2022-03-312022-03-310001393311us-gaap:SeriesFPreferredStockMember2022-06-300001393311us-gaap:SeriesFP</w:t>
      </w:r>
      <w:r>
        <w:rPr>
          <w:rFonts w:eastAsia="Times New Roman"/>
          <w:vanish/>
        </w:rPr>
        <w:t>referredStockMember2021-12-310001393311us-gaap:SeriesGPreferredStockMember2022-06-300001393311us-gaap:SeriesGPreferredStockMember2021-12-310001393311us-gaap:SeriesHPreferredStockMember2022-06-300001393311us-gaap:SeriesHPreferredStockMember2021-12-310001393</w:t>
      </w:r>
      <w:r>
        <w:rPr>
          <w:rFonts w:eastAsia="Times New Roman"/>
          <w:vanish/>
        </w:rPr>
        <w:t>311psa:SeriesIPreferredStockMember2022-06-300001393311psa:SeriesIPreferredStockMember2021-12-310001393311psa:SeriesJPreferredStockMember2022-06-300001393311psa:SeriesJPreferredStockMember2021-12-310001393311psa:SeriesKPreferredStockMember2022-06-3000013933</w:t>
      </w:r>
      <w:r>
        <w:rPr>
          <w:rFonts w:eastAsia="Times New Roman"/>
          <w:vanish/>
        </w:rPr>
        <w:t>11psa:SeriesKPreferredStockMember2021-12-310001393311psa:SeriesLPreferredStockMember2022-06-300001393311psa:SeriesLPreferredStockMember2021-12-310001393311psa:SeriesMPreferredStockMember2022-06-300001393311psa:SeriesMPreferredStockMember2021-12-31000139331</w:t>
      </w:r>
      <w:r>
        <w:rPr>
          <w:rFonts w:eastAsia="Times New Roman"/>
          <w:vanish/>
        </w:rPr>
        <w:t>1psa:SeriesNPreferredStockMember2022-06-300001393311psa:SeriesNPreferredStockMember2021-12-310001393311psa:SeriesOPreferredStockMember2022-06-300001393311psa:SeriesOPreferredStockMember2021-12-310001393311psa:SeriesPPreferredStockMember2022-06-300001393311</w:t>
      </w:r>
      <w:r>
        <w:rPr>
          <w:rFonts w:eastAsia="Times New Roman"/>
          <w:vanish/>
        </w:rPr>
        <w:t>psa:SeriesPPreferredStockMember2021-12-310001393311psa:SeriesQPreferredStockMember2022-06-300001393311psa:SeriesQPreferredStockMember2021-12-310001393311psa:SeriesRPreferredStockMember2022-06-300001393311psa:SeriesRPreferredStockMember2021-12-310001393311p</w:t>
      </w:r>
      <w:r>
        <w:rPr>
          <w:rFonts w:eastAsia="Times New Roman"/>
          <w:vanish/>
        </w:rPr>
        <w:t>sa:SeriesSPreferredStockMember2022-06-300001393311psa:SeriesSPreferredStockMember2021-12-31psa:dividendpsa:boardMember0001393311psa:SeriesSPreferredStockMember2022-01-130001393311psa:SeriesSPreferredStockMember2022-01-132022-01-130001393311psa:TamaraHughes</w:t>
      </w:r>
      <w:r>
        <w:rPr>
          <w:rFonts w:eastAsia="Times New Roman"/>
          <w:vanish/>
        </w:rPr>
        <w:t>GustavsonMembercountry:CApsa:HughesOwnedCanadianFacilitiesMember2022-06-300001393311country:CApsa:HughesOwnedCanadianFacilitiesMember2022-06-30psa:adult_children0001393311psa:DirectCostsOfLeasedAndRentedPropertyOrEquipmentMember2022-04-012022-06-3000013933</w:t>
      </w:r>
      <w:r>
        <w:rPr>
          <w:rFonts w:eastAsia="Times New Roman"/>
          <w:vanish/>
        </w:rPr>
        <w:t>11psa:DirectCostsOfLeasedAndRentedPropertyOrEquipmentMember2021-04-012021-06-300001393311psa:DirectCostsOfLeasedAndRentedPropertyOrEquipmentMember2022-01-012022-06-300001393311psa:DirectCostsOfLeasedAndRentedPropertyOrEquipmentMember2021-01-012021-06-30000</w:t>
      </w:r>
      <w:r>
        <w:rPr>
          <w:rFonts w:eastAsia="Times New Roman"/>
          <w:vanish/>
        </w:rPr>
        <w:t>1393311psa:OtherCostOfOperatingRevenueMember2022-04-012022-06-300001393311psa:OtherCostOfOperatingRevenueMember2021-04-012021-06-300001393311psa:OtherCostOfOperatingRevenueMember2022-01-012022-06-300001393311psa:OtherCostOfOperatingRevenueMember2021-01-012</w:t>
      </w:r>
      <w:r>
        <w:rPr>
          <w:rFonts w:eastAsia="Times New Roman"/>
          <w:vanish/>
        </w:rPr>
        <w:t>021-06-300001393311us-gaap:GeneralAndAdministrativeExpenseMember2022-04-012022-06-300001393311us-gaap:GeneralAndAdministrativeExpenseMember2021-04-012021-06-300001393311us-gaap:GeneralAndAdministrativeExpenseMember2022-01-012022-06-300001393311us-gaap:Gene</w:t>
      </w:r>
      <w:r>
        <w:rPr>
          <w:rFonts w:eastAsia="Times New Roman"/>
          <w:vanish/>
        </w:rPr>
        <w:t>ralAndAdministrativeExpenseMember2021-01-012021-06-300001393311srt:MinimumMemberus-gaap:EmployeeStockOptionMember2022-01-012022-06-300001393311srt:MaximumMemberus-gaap:EmployeeStockOptionMember2022-01-012022-06-300001393311us-gaap:EmployeeStockOptionMember</w:t>
      </w:r>
      <w:r>
        <w:rPr>
          <w:rFonts w:eastAsia="Times New Roman"/>
          <w:vanish/>
        </w:rPr>
        <w:t>2022-01-012022-06-300001393311psa:NonManagementTrusteeMember2022-01-012022-06-300001393311psa:PerformanceTargetStockOptionsMember2022-01-012022-06-300001393311psa:PerformanceTargetStockOptionsMember2022-06-300001393311us-gaap:EmployeeStockOptionMember2022-</w:t>
      </w:r>
      <w:r>
        <w:rPr>
          <w:rFonts w:eastAsia="Times New Roman"/>
          <w:vanish/>
        </w:rPr>
        <w:t>04-012022-06-300001393311us-gaap:EmployeeStockOptionMember2021-04-012021-06-300001393311us-gaap:EmployeeStockOptionMember2021-01-012021-06-300001393311srt:MinimumMemberus-gaap:RestrictedStockUnitsRSUMember2022-01-012022-06-300001393311srt:MaximumMemberus-g</w:t>
      </w:r>
      <w:r>
        <w:rPr>
          <w:rFonts w:eastAsia="Times New Roman"/>
          <w:vanish/>
        </w:rPr>
        <w:t>aap:RestrictedStockUnitsRSUMember2022-01-012022-06-300001393311us-gaap:RestrictedStockUnitsRSUMember2022-01-012022-06-300001393311us-gaap:RestrictedStockUnitsRSUMember2022-06-300001393311us-gaap:RestrictedStockUnitsRSUMember2021-12-310001393311psa:Performa</w:t>
      </w:r>
      <w:r>
        <w:rPr>
          <w:rFonts w:eastAsia="Times New Roman"/>
          <w:vanish/>
        </w:rPr>
        <w:t>nceTargetRestrictedShareUnitsMember2022-01-012022-06-300001393311psa:PerformanceTargetRestrictedShareUnitsMember2022-06-300001393311psa:ServiceBasedRestrictedStockUnitsRSUsMember2022-01-012022-06-300001393311us-gaap:RestrictedStockUnitsRSUMember2022-04-012</w:t>
      </w:r>
      <w:r>
        <w:rPr>
          <w:rFonts w:eastAsia="Times New Roman"/>
          <w:vanish/>
        </w:rPr>
        <w:t>022-06-300001393311us-gaap:RestrictedStockUnitsRSUMember2021-04-012021-06-300001393311us-gaap:RestrictedStockUnitsRSUMember2021-01-012021-06-300001393311psa:DeferredStockUnitsDSUsMember2022-01-012022-06-300001393311psa:UnrestrictedCommonStockMember2022-01-</w:t>
      </w:r>
      <w:r>
        <w:rPr>
          <w:rFonts w:eastAsia="Times New Roman"/>
          <w:vanish/>
        </w:rPr>
        <w:t>012022-06-300001393311psa:SelfStorageOperationsMemberus-gaap:OperatingSegmentsMember2022-04-012022-06-300001393311psa:SelfStorageOperationsMemberus-gaap:OperatingSegmentsMember2021-04-012021-06-300001393311psa:SelfStorageOperationsMemberus-gaap:OperatingSe</w:t>
      </w:r>
      <w:r>
        <w:rPr>
          <w:rFonts w:eastAsia="Times New Roman"/>
          <w:vanish/>
        </w:rPr>
        <w:t>gmentsMember2022-01-012022-06-300001393311psa:SelfStorageOperationsMemberus-gaap:OperatingSegmentsMember2021-01-012021-06-300001393311us-gaap:OperatingSegmentsMemberpsa:AncillaryOperationsMember2022-04-012022-06-300001393311us-gaap:OperatingSegmentsMemberp</w:t>
      </w:r>
      <w:r>
        <w:rPr>
          <w:rFonts w:eastAsia="Times New Roman"/>
          <w:vanish/>
        </w:rPr>
        <w:t>sa:AncillaryOperationsMember2021-04-012021-06-300001393311us-gaap:OperatingSegmentsMemberpsa:AncillaryOperationsMember2022-01-012022-06-300001393311us-gaap:OperatingSegmentsMemberpsa:AncillaryOperationsMember2021-01-012021-06-300001393311us-gaap:OperatingS</w:t>
      </w:r>
      <w:r>
        <w:rPr>
          <w:rFonts w:eastAsia="Times New Roman"/>
          <w:vanish/>
        </w:rPr>
        <w:t>egmentsMember2022-04-012022-06-300001393311us-gaap:OperatingSegmentsMember2021-04-012021-06-300001393311us-gaap:OperatingSegmentsMember2022-01-012022-06-300001393311us-gaap:OperatingSegmentsMember2021-01-012021-06-300001393311us-gaap:MaterialReconcilingIte</w:t>
      </w:r>
      <w:r>
        <w:rPr>
          <w:rFonts w:eastAsia="Times New Roman"/>
          <w:vanish/>
        </w:rPr>
        <w:t>msMember2022-04-012022-06-300001393311us-gaap:MaterialReconcilingItemsMember2021-04-012021-06-300001393311us-gaap:MaterialReconcilingItemsMember2022-01-012022-06-300001393311us-gaap:MaterialReconcilingItemsMember2021-01-012021-06-30psa:certificate000139331</w:t>
      </w:r>
      <w:r>
        <w:rPr>
          <w:rFonts w:eastAsia="Times New Roman"/>
          <w:vanish/>
        </w:rPr>
        <w:t>1us-gaap:SubsequentEventMemberpsa:AcquisitionOfSelfStorageFacilitiesMember2022-08-040001393311us-gaap:SubsequentEventMemberpsa:AcquisitionOfSelfStorageFacilitiesMember2022-07-012022-08-040001393311us-gaap:SubsequentEventMemberpsa:AcquisitionOfSelfStorageFa</w:t>
      </w:r>
      <w:r>
        <w:rPr>
          <w:rFonts w:eastAsia="Times New Roman"/>
          <w:vanish/>
        </w:rPr>
        <w:t>cilitiesMember2022-07-08psa:sitepsa:property0001393311us-gaap:SubsequentEventMemberpsa:AcquisitionOfSelfStorageFacilitiesMember2022-07-082022-07-080001393311psa:PSBusinessParksMemberpsa:BlackstoneRealEstateMemberus-gaap:SubsequentEventMember2022-07-2000013</w:t>
      </w:r>
      <w:r>
        <w:rPr>
          <w:rFonts w:eastAsia="Times New Roman"/>
          <w:vanish/>
        </w:rPr>
        <w:t>93311us-gaap:SubsequentEventMemberpsa:BlackstoneRealEstateMemberpsa:PSBusinessParksMember2022-07-202022-07-200001393311us-gaap:SubsequentEventMember2022-08-042022-08-040001393311psa:NotesDueSeptember152022Memberus-gaap:SubsequentEventMemberpsa:USDollarDeno</w:t>
      </w:r>
      <w:r>
        <w:rPr>
          <w:rFonts w:eastAsia="Times New Roman"/>
          <w:vanish/>
        </w:rPr>
        <w:t>minatedUnsecuredDebtMember2022-07-26</w:t>
      </w:r>
    </w:p>
    <w:p w:rsidR="00000000" w:rsidRDefault="00D44B22">
      <w:pPr>
        <w:divId w:val="1696231774"/>
        <w:rPr>
          <w:rFonts w:eastAsia="Times New Roman"/>
        </w:rPr>
      </w:pPr>
    </w:p>
    <w:p w:rsidR="00000000" w:rsidRDefault="00D44B22">
      <w:pPr>
        <w:jc w:val="center"/>
        <w:divId w:val="602736220"/>
        <w:rPr>
          <w:rFonts w:eastAsia="Times New Roman"/>
        </w:rPr>
      </w:pPr>
      <w:r>
        <w:rPr>
          <w:rFonts w:eastAsia="Times New Roman"/>
          <w:b/>
          <w:bCs/>
          <w:color w:val="000000"/>
          <w:sz w:val="20"/>
          <w:szCs w:val="20"/>
        </w:rPr>
        <w:t>UNITED STATES</w:t>
      </w:r>
    </w:p>
    <w:p w:rsidR="00000000" w:rsidRDefault="00D44B22">
      <w:pPr>
        <w:jc w:val="center"/>
        <w:divId w:val="259291734"/>
        <w:rPr>
          <w:rFonts w:eastAsia="Times New Roman"/>
        </w:rPr>
      </w:pPr>
      <w:r>
        <w:rPr>
          <w:rFonts w:eastAsia="Times New Roman"/>
          <w:b/>
          <w:bCs/>
          <w:color w:val="000000"/>
          <w:sz w:val="20"/>
          <w:szCs w:val="20"/>
        </w:rPr>
        <w:t>SECURITIES AND EXCHANGE COMMISSION</w:t>
      </w:r>
    </w:p>
    <w:p w:rsidR="00000000" w:rsidRDefault="00D44B22">
      <w:pPr>
        <w:jc w:val="center"/>
        <w:divId w:val="1814102191"/>
        <w:rPr>
          <w:rFonts w:eastAsia="Times New Roman"/>
        </w:rPr>
      </w:pPr>
      <w:r>
        <w:rPr>
          <w:rFonts w:eastAsia="Times New Roman"/>
          <w:b/>
          <w:bCs/>
          <w:color w:val="000000"/>
          <w:sz w:val="20"/>
          <w:szCs w:val="20"/>
        </w:rPr>
        <w:t>WASHINGTON, D.C. 20549</w:t>
      </w:r>
    </w:p>
    <w:p w:rsidR="00000000" w:rsidRDefault="00D44B22">
      <w:pPr>
        <w:jc w:val="center"/>
        <w:divId w:val="1286082790"/>
        <w:rPr>
          <w:rFonts w:eastAsia="Times New Roman"/>
        </w:rPr>
      </w:pPr>
      <w:r>
        <w:rPr>
          <w:rFonts w:eastAsia="Times New Roman"/>
          <w:b/>
          <w:bCs/>
          <w:color w:val="000000"/>
          <w:sz w:val="20"/>
          <w:szCs w:val="20"/>
        </w:rPr>
        <w:t>FORM 10-Q</w:t>
      </w:r>
    </w:p>
    <w:p w:rsidR="00000000" w:rsidRDefault="00D44B22">
      <w:pPr>
        <w:jc w:val="both"/>
        <w:divId w:val="1736005320"/>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Quarterly Report Pursuant to Section 13 or 15(d) of the Securities Exchange Act of 1934</w:t>
      </w:r>
    </w:p>
    <w:p w:rsidR="00000000" w:rsidRDefault="00D44B22">
      <w:pPr>
        <w:jc w:val="both"/>
        <w:divId w:val="1398698963"/>
        <w:rPr>
          <w:rFonts w:eastAsia="Times New Roman"/>
        </w:rPr>
      </w:pPr>
      <w:r>
        <w:rPr>
          <w:rFonts w:eastAsia="Times New Roman"/>
          <w:b/>
          <w:bCs/>
          <w:color w:val="000000"/>
          <w:sz w:val="20"/>
          <w:szCs w:val="20"/>
        </w:rPr>
        <w:t>For the quarterly period ended June 30, 2022</w:t>
      </w:r>
    </w:p>
    <w:p w:rsidR="00000000" w:rsidRDefault="00D44B22">
      <w:pPr>
        <w:jc w:val="center"/>
        <w:divId w:val="460273998"/>
        <w:rPr>
          <w:rFonts w:eastAsia="Times New Roman"/>
        </w:rPr>
      </w:pPr>
      <w:r>
        <w:rPr>
          <w:rFonts w:eastAsia="Times New Roman"/>
          <w:b/>
          <w:bCs/>
          <w:color w:val="000000"/>
          <w:sz w:val="20"/>
          <w:szCs w:val="20"/>
        </w:rPr>
        <w:t>or</w:t>
      </w:r>
    </w:p>
    <w:p w:rsidR="00000000" w:rsidRDefault="00D44B22">
      <w:pPr>
        <w:jc w:val="both"/>
        <w:divId w:val="155190124"/>
        <w:rPr>
          <w:rFonts w:eastAsia="Times New Roman"/>
        </w:rPr>
      </w:pPr>
      <w:r>
        <w:rPr>
          <w:rFonts w:ascii="Segoe UI Symbol" w:eastAsia="Times New Roman" w:hAnsi="Segoe UI Symbol" w:cs="Segoe UI Symbol"/>
          <w:b/>
          <w:bCs/>
          <w:color w:val="000000"/>
          <w:sz w:val="20"/>
          <w:szCs w:val="20"/>
        </w:rPr>
        <w:t>☐</w:t>
      </w:r>
      <w:r>
        <w:rPr>
          <w:rFonts w:eastAsia="Times New Roman"/>
          <w:b/>
          <w:bCs/>
          <w:color w:val="000000"/>
          <w:sz w:val="20"/>
          <w:szCs w:val="20"/>
        </w:rPr>
        <w:t xml:space="preserve"> Transition Report Pursuant to Section 13 or 15(d) of the Securities Exchange Act of 1934</w:t>
      </w:r>
    </w:p>
    <w:p w:rsidR="00000000" w:rsidRDefault="00D44B22">
      <w:pPr>
        <w:jc w:val="both"/>
        <w:divId w:val="1573660250"/>
        <w:rPr>
          <w:rFonts w:eastAsia="Times New Roman"/>
        </w:rPr>
      </w:pPr>
      <w:r>
        <w:rPr>
          <w:rFonts w:eastAsia="Times New Roman"/>
          <w:b/>
          <w:bCs/>
          <w:color w:val="000000"/>
          <w:sz w:val="20"/>
          <w:szCs w:val="20"/>
        </w:rPr>
        <w:t xml:space="preserve">For the transition period from </w:t>
      </w:r>
      <w:r>
        <w:rPr>
          <w:rFonts w:eastAsia="Times New Roman"/>
          <w:color w:val="000000"/>
          <w:sz w:val="20"/>
          <w:szCs w:val="20"/>
        </w:rPr>
        <w:t xml:space="preserve">____________ </w:t>
      </w:r>
      <w:r>
        <w:rPr>
          <w:rFonts w:eastAsia="Times New Roman"/>
          <w:b/>
          <w:bCs/>
          <w:color w:val="000000"/>
          <w:sz w:val="20"/>
          <w:szCs w:val="20"/>
        </w:rPr>
        <w:t xml:space="preserve">to </w:t>
      </w:r>
      <w:r>
        <w:rPr>
          <w:rFonts w:eastAsia="Times New Roman"/>
          <w:color w:val="000000"/>
          <w:sz w:val="20"/>
          <w:szCs w:val="20"/>
        </w:rPr>
        <w:t>____________.</w:t>
      </w:r>
    </w:p>
    <w:p w:rsidR="00000000" w:rsidRDefault="00D44B22">
      <w:pPr>
        <w:jc w:val="both"/>
        <w:divId w:val="1471098517"/>
        <w:rPr>
          <w:rFonts w:eastAsia="Times New Roman"/>
        </w:rPr>
      </w:pPr>
      <w:r>
        <w:rPr>
          <w:rFonts w:eastAsia="Times New Roman"/>
          <w:b/>
          <w:bCs/>
          <w:color w:val="000000"/>
          <w:sz w:val="20"/>
          <w:szCs w:val="20"/>
        </w:rPr>
        <w:t xml:space="preserve">Commission File Number: </w:t>
      </w:r>
      <w:r>
        <w:rPr>
          <w:rFonts w:eastAsia="Times New Roman"/>
          <w:b/>
          <w:bCs/>
          <w:color w:val="000000"/>
          <w:sz w:val="20"/>
          <w:szCs w:val="20"/>
          <w:u w:val="single"/>
        </w:rPr>
        <w:t>001-33519</w:t>
      </w:r>
    </w:p>
    <w:p w:rsidR="00000000" w:rsidRDefault="00D44B22">
      <w:pPr>
        <w:jc w:val="center"/>
        <w:divId w:val="616371587"/>
        <w:rPr>
          <w:rFonts w:eastAsia="Times New Roman"/>
        </w:rPr>
      </w:pPr>
      <w:r>
        <w:rPr>
          <w:rFonts w:eastAsia="Times New Roman"/>
          <w:b/>
          <w:bCs/>
          <w:color w:val="000000"/>
          <w:sz w:val="20"/>
          <w:szCs w:val="20"/>
          <w:u w:val="single"/>
        </w:rPr>
        <w:t>Public Storage</w:t>
      </w:r>
    </w:p>
    <w:p w:rsidR="00000000" w:rsidRDefault="00D44B22">
      <w:pPr>
        <w:jc w:val="center"/>
        <w:divId w:val="1657562689"/>
        <w:rPr>
          <w:rFonts w:eastAsia="Times New Roman"/>
        </w:rPr>
      </w:pPr>
      <w:r>
        <w:rPr>
          <w:rFonts w:eastAsia="Times New Roman"/>
          <w:color w:val="000000"/>
          <w:sz w:val="20"/>
          <w:szCs w:val="20"/>
        </w:rPr>
        <w:t>(Exact name of registrant as specified in its charte</w:t>
      </w:r>
      <w:r>
        <w:rPr>
          <w:rFonts w:eastAsia="Times New Roman"/>
          <w:color w:val="000000"/>
          <w:sz w:val="20"/>
          <w:szCs w:val="20"/>
        </w:rPr>
        <w:t>r)</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008"/>
        <w:gridCol w:w="36"/>
        <w:gridCol w:w="36"/>
        <w:gridCol w:w="36"/>
        <w:gridCol w:w="36"/>
        <w:gridCol w:w="55"/>
        <w:gridCol w:w="4009"/>
        <w:gridCol w:w="36"/>
      </w:tblGrid>
      <w:tr w:rsidR="00000000">
        <w:trPr>
          <w:divId w:val="378089200"/>
          <w:jc w:val="center"/>
        </w:trPr>
        <w:tc>
          <w:tcPr>
            <w:tcW w:w="50" w:type="pct"/>
            <w:vAlign w:val="center"/>
            <w:hideMark/>
          </w:tcPr>
          <w:p w:rsidR="00000000" w:rsidRDefault="00D44B22">
            <w:pPr>
              <w:jc w:val="center"/>
              <w:rPr>
                <w:rFonts w:eastAsia="Times New Roman"/>
              </w:rPr>
            </w:pPr>
          </w:p>
        </w:tc>
        <w:tc>
          <w:tcPr>
            <w:tcW w:w="24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24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378089200"/>
          <w:jc w:val="center"/>
        </w:trPr>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Maryland</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95-3551121</w:t>
            </w:r>
          </w:p>
        </w:tc>
      </w:tr>
      <w:tr w:rsidR="00000000">
        <w:trPr>
          <w:divId w:val="378089200"/>
          <w:jc w:val="center"/>
        </w:trPr>
        <w:tc>
          <w:tcPr>
            <w:tcW w:w="0" w:type="auto"/>
            <w:gridSpan w:val="3"/>
            <w:tcBorders>
              <w:top w:val="single" w:sz="8" w:space="0" w:color="000000"/>
            </w:tcBorders>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(State or other jurisdiction of</w:t>
            </w:r>
          </w:p>
          <w:p w:rsidR="00000000" w:rsidRDefault="00D44B22">
            <w:pPr>
              <w:spacing w:after="100"/>
              <w:jc w:val="center"/>
              <w:rPr>
                <w:rFonts w:eastAsia="Times New Roman"/>
              </w:rPr>
            </w:pPr>
            <w:r>
              <w:rPr>
                <w:rFonts w:eastAsia="Times New Roman"/>
                <w:color w:val="000000"/>
                <w:sz w:val="20"/>
                <w:szCs w:val="20"/>
              </w:rPr>
              <w:t>incorporation or organization)</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(I.R.S. Employer Identification Number)</w:t>
            </w:r>
          </w:p>
        </w:tc>
      </w:tr>
      <w:tr w:rsidR="00000000">
        <w:trPr>
          <w:divId w:val="378089200"/>
          <w:jc w:val="center"/>
        </w:trPr>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 </w:t>
            </w:r>
          </w:p>
        </w:tc>
      </w:tr>
      <w:tr w:rsidR="00000000">
        <w:trPr>
          <w:divId w:val="378089200"/>
          <w:jc w:val="center"/>
        </w:trPr>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701 Western Avenue, Glendale, California</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91201-2349</w:t>
            </w:r>
          </w:p>
        </w:tc>
      </w:tr>
      <w:tr w:rsidR="00000000">
        <w:trPr>
          <w:divId w:val="378089200"/>
          <w:jc w:val="center"/>
        </w:trPr>
        <w:tc>
          <w:tcPr>
            <w:tcW w:w="0" w:type="auto"/>
            <w:gridSpan w:val="3"/>
            <w:tcBorders>
              <w:top w:val="single" w:sz="8" w:space="0" w:color="000000"/>
            </w:tcBorders>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(Address of principal executive offices)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(Zip Code)</w:t>
            </w:r>
          </w:p>
        </w:tc>
      </w:tr>
    </w:tbl>
    <w:p w:rsidR="00000000" w:rsidRDefault="00D44B22">
      <w:pPr>
        <w:divId w:val="1434746431"/>
        <w:rPr>
          <w:rFonts w:eastAsia="Times New Roman"/>
        </w:rPr>
      </w:pPr>
      <w:r>
        <w:rPr>
          <w:rFonts w:eastAsia="Times New Roman"/>
          <w:color w:val="000000"/>
          <w:sz w:val="20"/>
          <w:szCs w:val="20"/>
        </w:rPr>
        <w:t xml:space="preserve">Registrant’s telephone number, including area code: </w:t>
      </w:r>
      <w:r>
        <w:rPr>
          <w:rFonts w:eastAsia="Times New Roman"/>
          <w:color w:val="000000"/>
          <w:sz w:val="20"/>
          <w:szCs w:val="20"/>
          <w:u w:val="single"/>
        </w:rPr>
        <w:t>(818) 244-8080</w:t>
      </w:r>
      <w:r>
        <w:rPr>
          <w:rFonts w:eastAsia="Times New Roman"/>
          <w:color w:val="000000"/>
          <w:sz w:val="20"/>
          <w:szCs w:val="20"/>
        </w:rPr>
        <w:t>.</w:t>
      </w:r>
    </w:p>
    <w:p w:rsidR="00000000" w:rsidRDefault="00D44B22">
      <w:pPr>
        <w:divId w:val="1509372804"/>
        <w:rPr>
          <w:rFonts w:eastAsia="Times New Roman"/>
        </w:rPr>
      </w:pPr>
      <w:r>
        <w:rPr>
          <w:rFonts w:eastAsia="Times New Roman"/>
          <w:color w:val="000000"/>
          <w:sz w:val="20"/>
          <w:szCs w:val="20"/>
        </w:rPr>
        <w:t>Former name, former address and former fiscal, if changed since last report: N/A</w:t>
      </w:r>
    </w:p>
    <w:p w:rsidR="00000000" w:rsidRDefault="00D44B22">
      <w:pPr>
        <w:divId w:val="1424909615"/>
        <w:rPr>
          <w:rFonts w:eastAsia="Times New Roman"/>
        </w:rPr>
      </w:pPr>
      <w:r>
        <w:rPr>
          <w:rFonts w:eastAsia="Times New Roman"/>
          <w:color w:val="000000"/>
          <w:sz w:val="20"/>
          <w:szCs w:val="20"/>
        </w:rPr>
        <w:t>Securities registered pursuant to Section 12b of the Act:</w:t>
      </w:r>
    </w:p>
    <w:tbl>
      <w:tblPr>
        <w:tblW w:w="4984" w:type="pct"/>
        <w:jc w:val="center"/>
        <w:tblCellMar>
          <w:top w:w="15" w:type="dxa"/>
          <w:left w:w="15" w:type="dxa"/>
          <w:bottom w:w="15" w:type="dxa"/>
          <w:right w:w="15" w:type="dxa"/>
        </w:tblCellMar>
        <w:tblLook w:val="04A0" w:firstRow="1" w:lastRow="0" w:firstColumn="1" w:lastColumn="0" w:noHBand="0" w:noVBand="1"/>
      </w:tblPr>
      <w:tblGrid>
        <w:gridCol w:w="58"/>
        <w:gridCol w:w="4870"/>
        <w:gridCol w:w="38"/>
        <w:gridCol w:w="36"/>
        <w:gridCol w:w="36"/>
        <w:gridCol w:w="36"/>
        <w:gridCol w:w="44"/>
        <w:gridCol w:w="1152"/>
        <w:gridCol w:w="36"/>
        <w:gridCol w:w="36"/>
        <w:gridCol w:w="36"/>
        <w:gridCol w:w="36"/>
        <w:gridCol w:w="43"/>
        <w:gridCol w:w="1786"/>
        <w:gridCol w:w="36"/>
      </w:tblGrid>
      <w:tr w:rsidR="00000000">
        <w:trPr>
          <w:divId w:val="1815175404"/>
          <w:jc w:val="center"/>
        </w:trPr>
        <w:tc>
          <w:tcPr>
            <w:tcW w:w="50" w:type="pct"/>
            <w:vAlign w:val="center"/>
            <w:hideMark/>
          </w:tcPr>
          <w:p w:rsidR="00000000" w:rsidRDefault="00D44B22">
            <w:pPr>
              <w:rPr>
                <w:rFonts w:eastAsia="Times New Roman"/>
              </w:rPr>
            </w:pPr>
          </w:p>
        </w:tc>
        <w:tc>
          <w:tcPr>
            <w:tcW w:w="2954"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71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109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1815175404"/>
          <w:jc w:val="center"/>
        </w:trPr>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b/>
                <w:bCs/>
                <w:color w:val="000000"/>
                <w:sz w:val="18"/>
                <w:szCs w:val="18"/>
              </w:rPr>
              <w:t>Title of Class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b/>
                <w:bCs/>
                <w:color w:val="000000"/>
                <w:sz w:val="18"/>
                <w:szCs w:val="18"/>
              </w:rPr>
              <w:t>Trading Symbol</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1815175404"/>
          <w:jc w:val="center"/>
        </w:trPr>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18"/>
                <w:szCs w:val="18"/>
              </w:rPr>
              <w:t>Common Shares, $0.10 par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5.150% Cum Pref Share, Series F,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PSAPrF</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5.050% Cum Pref Share, Series G,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PSAPrG</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5.600% Cum Pref Share, Series H,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PSAPrH</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4.875% Cum Pref Share, Series I,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PSAPrI</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4.700% Cum Pref Share, Series J,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PSAPrJ</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4.750% Cum Pref Share, Series K,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PSAPrK</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4.625% Cum Pref Share, Series L,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PSAPrL</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4.125% Cum Pref Share, Series M,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PSAPrM</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shd w:val="clear" w:color="auto" w:fill="FFFFFF"/>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lastRenderedPageBreak/>
              <w:t>Depositary Shares Each Representing 1/1,000 of a 3.875% Cum Pref Share, Series N,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PSAPrN</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3.900% Cum Pref Share, Series O,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PSAPrO</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4.000% Cum Pref Share, Series P,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PSAPrP</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shd w:val="clear" w:color="auto" w:fill="FFFFFF"/>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3.950% Cum Pref Share, Series Q,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PSAPrQ</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shd w:val="clear" w:color="auto" w:fill="FFFFFF"/>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4.000% Cum Pref Share, Series R,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PSAPrR</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shd w:val="clear" w:color="auto" w:fill="FFFFFF"/>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Depositary Shares Each Representing 1/1,000 of a 4.100% Cum Pref Share, Series S, $0.01 par value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PSAPrS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0.875% Senior Notes due 2032</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PSA32</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r w:rsidR="00000000">
        <w:trPr>
          <w:divId w:val="1815175404"/>
          <w:jc w:val="center"/>
        </w:trPr>
        <w:tc>
          <w:tcPr>
            <w:tcW w:w="0" w:type="auto"/>
            <w:gridSpan w:val="3"/>
            <w:shd w:val="clear" w:color="auto" w:fill="FFFFFF"/>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8"/>
                <w:szCs w:val="18"/>
              </w:rPr>
              <w:t>0.500% Senior Notes due 2030</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PSA30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New York Stock Exchange</w:t>
            </w:r>
          </w:p>
        </w:tc>
      </w:tr>
    </w:tbl>
    <w:p w:rsidR="00000000" w:rsidRDefault="00D44B22">
      <w:pPr>
        <w:jc w:val="both"/>
        <w:divId w:val="1517620819"/>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at least the past 90 days.</w:t>
      </w:r>
    </w:p>
    <w:p w:rsidR="00000000" w:rsidRDefault="00D44B22">
      <w:pPr>
        <w:jc w:val="center"/>
        <w:divId w:val="288585926"/>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D44B22">
      <w:pPr>
        <w:jc w:val="both"/>
        <w:divId w:val="1893930862"/>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Regulation S-T (§232.405 of this chapter) during the preceding 12 months (or for such shorter period tha</w:t>
      </w:r>
      <w:r>
        <w:rPr>
          <w:rFonts w:eastAsia="Times New Roman"/>
          <w:color w:val="000000"/>
          <w:sz w:val="20"/>
          <w:szCs w:val="20"/>
        </w:rPr>
        <w:t>t the registrant was required to submit such files).</w:t>
      </w:r>
    </w:p>
    <w:p w:rsidR="00000000" w:rsidRDefault="00D44B22">
      <w:pPr>
        <w:jc w:val="center"/>
        <w:divId w:val="2019035533"/>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D44B22">
      <w:pPr>
        <w:jc w:val="both"/>
        <w:divId w:val="2034258607"/>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w:t>
      </w:r>
      <w:r>
        <w:rPr>
          <w:rFonts w:eastAsia="Times New Roman"/>
          <w:color w:val="000000"/>
          <w:sz w:val="20"/>
          <w:szCs w:val="20"/>
        </w:rPr>
        <w:t>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466"/>
        <w:gridCol w:w="36"/>
        <w:gridCol w:w="69"/>
        <w:gridCol w:w="1466"/>
        <w:gridCol w:w="36"/>
        <w:gridCol w:w="69"/>
        <w:gridCol w:w="1557"/>
        <w:gridCol w:w="36"/>
        <w:gridCol w:w="70"/>
        <w:gridCol w:w="1733"/>
        <w:gridCol w:w="36"/>
        <w:gridCol w:w="70"/>
        <w:gridCol w:w="1557"/>
        <w:gridCol w:w="36"/>
      </w:tblGrid>
      <w:tr w:rsidR="00000000">
        <w:trPr>
          <w:divId w:val="669407384"/>
          <w:jc w:val="center"/>
        </w:trPr>
        <w:tc>
          <w:tcPr>
            <w:tcW w:w="50" w:type="pct"/>
            <w:vAlign w:val="center"/>
            <w:hideMark/>
          </w:tcPr>
          <w:p w:rsidR="00000000" w:rsidRDefault="00D44B22">
            <w:pPr>
              <w:jc w:val="both"/>
              <w:rPr>
                <w:rFonts w:eastAsia="Times New Roman"/>
              </w:rPr>
            </w:pPr>
          </w:p>
        </w:tc>
        <w:tc>
          <w:tcPr>
            <w:tcW w:w="89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89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94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10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94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669407384"/>
          <w:jc w:val="center"/>
        </w:trPr>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 xml:space="preserve">Accelerated </w:t>
            </w:r>
            <w:r>
              <w:rPr>
                <w:rFonts w:eastAsia="Times New Roman"/>
                <w:color w:val="000000"/>
                <w:sz w:val="20"/>
                <w:szCs w:val="20"/>
              </w:rPr>
              <w:br/>
              <w:t>filer</w:t>
            </w: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Emerging growth company</w:t>
            </w:r>
          </w:p>
        </w:tc>
      </w:tr>
      <w:tr w:rsidR="00000000">
        <w:trPr>
          <w:divId w:val="669407384"/>
          <w:jc w:val="center"/>
        </w:trPr>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44B22">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D44B22">
      <w:pPr>
        <w:jc w:val="both"/>
        <w:divId w:val="1539783521"/>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D44B22">
      <w:pPr>
        <w:jc w:val="both"/>
        <w:divId w:val="431512897"/>
        <w:rPr>
          <w:rFonts w:eastAsia="Times New Roman"/>
        </w:rPr>
      </w:pPr>
      <w:r>
        <w:rPr>
          <w:rFonts w:eastAsia="Times New Roman"/>
          <w:color w:val="000000"/>
          <w:sz w:val="20"/>
          <w:szCs w:val="20"/>
        </w:rPr>
        <w:t>Ind</w:t>
      </w:r>
      <w:r>
        <w:rPr>
          <w:rFonts w:eastAsia="Times New Roman"/>
          <w:color w:val="000000"/>
          <w:sz w:val="20"/>
          <w:szCs w:val="20"/>
        </w:rPr>
        <w:t>icate by check mark whether the registrant is a shell company (as defined in Rule 12b-2 of the Exchange Act).</w:t>
      </w:r>
    </w:p>
    <w:p w:rsidR="00000000" w:rsidRDefault="00D44B22">
      <w:pPr>
        <w:jc w:val="center"/>
        <w:divId w:val="444884234"/>
        <w:rPr>
          <w:rFonts w:eastAsia="Times New Roman"/>
        </w:rPr>
      </w:pPr>
      <w:r>
        <w:rPr>
          <w:rFonts w:ascii="Segoe UI Symbol" w:eastAsia="Times New Roman" w:hAnsi="Segoe UI Symbol" w:cs="Segoe UI Symbol"/>
          <w:color w:val="000000"/>
          <w:sz w:val="20"/>
          <w:szCs w:val="20"/>
        </w:rPr>
        <w:t>☐</w:t>
      </w:r>
      <w:r>
        <w:rPr>
          <w:rFonts w:eastAsia="Times New Roman"/>
          <w:color w:val="000000"/>
          <w:sz w:val="20"/>
          <w:szCs w:val="20"/>
        </w:rPr>
        <w:t xml:space="preserve"> Yes </w:t>
      </w:r>
      <w:r>
        <w:rPr>
          <w:rFonts w:ascii="Segoe UI Symbol" w:eastAsia="Times New Roman" w:hAnsi="Segoe UI Symbol" w:cs="Segoe UI Symbol"/>
          <w:color w:val="000000"/>
          <w:sz w:val="20"/>
          <w:szCs w:val="20"/>
        </w:rPr>
        <w:t>☒</w:t>
      </w:r>
      <w:r>
        <w:rPr>
          <w:rFonts w:eastAsia="Times New Roman"/>
          <w:color w:val="000000"/>
          <w:sz w:val="20"/>
          <w:szCs w:val="20"/>
        </w:rPr>
        <w:t xml:space="preserve"> No</w:t>
      </w:r>
    </w:p>
    <w:p w:rsidR="00000000" w:rsidRDefault="00D44B22">
      <w:pPr>
        <w:jc w:val="both"/>
        <w:divId w:val="1647977714"/>
        <w:rPr>
          <w:rFonts w:eastAsia="Times New Roman"/>
        </w:rPr>
      </w:pPr>
      <w:r>
        <w:rPr>
          <w:rFonts w:eastAsia="Times New Roman"/>
          <w:color w:val="000000"/>
          <w:sz w:val="20"/>
          <w:szCs w:val="20"/>
        </w:rPr>
        <w:t>Indicate the number of the registrant’s outstanding common shares of beneficial interest, as of August 1, 2022:</w:t>
      </w:r>
    </w:p>
    <w:p w:rsidR="00000000" w:rsidRDefault="00D44B22">
      <w:pPr>
        <w:divId w:val="1891650427"/>
        <w:rPr>
          <w:rFonts w:eastAsia="Times New Roman"/>
        </w:rPr>
      </w:pPr>
      <w:r>
        <w:rPr>
          <w:rFonts w:eastAsia="Times New Roman"/>
          <w:color w:val="000000"/>
          <w:sz w:val="20"/>
          <w:szCs w:val="20"/>
        </w:rPr>
        <w:t>Common Shares of benefi</w:t>
      </w:r>
      <w:r>
        <w:rPr>
          <w:rFonts w:eastAsia="Times New Roman"/>
          <w:color w:val="000000"/>
          <w:sz w:val="20"/>
          <w:szCs w:val="20"/>
        </w:rPr>
        <w:t>cial interest, $0.10 par value per share – 175,541,870 shares</w:t>
      </w:r>
    </w:p>
    <w:p w:rsidR="00000000" w:rsidRDefault="00D44B22">
      <w:pPr>
        <w:jc w:val="center"/>
        <w:divId w:val="1372878191"/>
        <w:rPr>
          <w:rFonts w:eastAsia="Times New Roman"/>
        </w:rPr>
      </w:pPr>
    </w:p>
    <w:p w:rsidR="00000000" w:rsidRDefault="00D44B22">
      <w:pPr>
        <w:rPr>
          <w:rFonts w:eastAsia="Times New Roman"/>
        </w:rPr>
      </w:pPr>
      <w:r>
        <w:rPr>
          <w:rFonts w:eastAsia="Times New Roman"/>
        </w:rPr>
        <w:pict>
          <v:rect id="_x0000_i1025" style="width:0;height:1.5pt" o:hralign="center" o:hrstd="t" o:hr="t" fillcolor="#a0a0a0" stroked="f"/>
        </w:pict>
      </w:r>
    </w:p>
    <w:p w:rsidR="00000000" w:rsidRDefault="00D44B22">
      <w:pPr>
        <w:divId w:val="393355960"/>
        <w:rPr>
          <w:rFonts w:eastAsia="Times New Roman"/>
        </w:rPr>
      </w:pPr>
    </w:p>
    <w:p w:rsidR="00000000" w:rsidRDefault="00D44B22">
      <w:pPr>
        <w:jc w:val="center"/>
        <w:divId w:val="932030"/>
        <w:rPr>
          <w:rFonts w:eastAsia="Times New Roman"/>
        </w:rPr>
      </w:pPr>
      <w:r>
        <w:rPr>
          <w:rFonts w:eastAsia="Times New Roman"/>
          <w:b/>
          <w:bCs/>
          <w:color w:val="000000"/>
          <w:sz w:val="20"/>
          <w:szCs w:val="20"/>
          <w:u w:val="single"/>
        </w:rPr>
        <w:t>PUBLIC STORAGE</w:t>
      </w:r>
    </w:p>
    <w:p w:rsidR="00000000" w:rsidRDefault="00D44B22">
      <w:pPr>
        <w:jc w:val="center"/>
        <w:rPr>
          <w:rFonts w:eastAsia="Times New Roman"/>
        </w:rPr>
      </w:pPr>
      <w:r>
        <w:rPr>
          <w:rFonts w:eastAsia="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37"/>
        <w:gridCol w:w="36"/>
        <w:gridCol w:w="69"/>
        <w:gridCol w:w="6528"/>
        <w:gridCol w:w="36"/>
        <w:gridCol w:w="69"/>
        <w:gridCol w:w="726"/>
        <w:gridCol w:w="36"/>
      </w:tblGrid>
      <w:tr w:rsidR="00000000">
        <w:trPr>
          <w:jc w:val="center"/>
        </w:trPr>
        <w:tc>
          <w:tcPr>
            <w:tcW w:w="50" w:type="pct"/>
            <w:vAlign w:val="center"/>
            <w:hideMark/>
          </w:tcPr>
          <w:p w:rsidR="00000000" w:rsidRDefault="00D44B22">
            <w:pPr>
              <w:jc w:val="center"/>
              <w:rPr>
                <w:rFonts w:eastAsia="Times New Roman"/>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93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4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lastRenderedPageBreak/>
              <w:t>PART I</w:t>
            </w:r>
          </w:p>
        </w:tc>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u w:val="single"/>
              </w:rPr>
              <w:t>FINANCIAL INFORMATION</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u w:val="single"/>
              </w:rPr>
              <w:t>Pages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Consolidated Financial Statements (Unaudited)</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Consolidated Balance Sheets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16" w:history="1">
              <w:r>
                <w:rPr>
                  <w:rStyle w:val="a3"/>
                  <w:rFonts w:eastAsia="Times New Roman"/>
                  <w:color w:val="000000"/>
                  <w:sz w:val="20"/>
                  <w:szCs w:val="20"/>
                  <w:u w:val="none"/>
                </w:rPr>
                <w:t>1</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Consolidated Statements of Income</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19" w:history="1">
              <w:r>
                <w:rPr>
                  <w:rStyle w:val="a3"/>
                  <w:rFonts w:eastAsia="Times New Roman"/>
                  <w:color w:val="000000"/>
                  <w:sz w:val="20"/>
                  <w:szCs w:val="20"/>
                  <w:u w:val="none"/>
                </w:rPr>
                <w:t>2</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Consolidated Statements of Comprehensive Income</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22" w:history="1">
              <w:r>
                <w:rPr>
                  <w:rStyle w:val="a3"/>
                  <w:rFonts w:eastAsia="Times New Roman"/>
                  <w:color w:val="000000"/>
                  <w:sz w:val="20"/>
                  <w:szCs w:val="20"/>
                  <w:u w:val="none"/>
                </w:rPr>
                <w:t>3</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Consolidated Statements of Equity and Redeemable Noncontrolling Interests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25" w:history="1">
              <w:r>
                <w:rPr>
                  <w:rStyle w:val="a3"/>
                  <w:rFonts w:eastAsia="Times New Roman"/>
                  <w:color w:val="000000"/>
                  <w:sz w:val="20"/>
                  <w:szCs w:val="20"/>
                  <w:u w:val="none"/>
                </w:rPr>
                <w:t>4</w:t>
              </w:r>
            </w:hyperlink>
            <w:r>
              <w:rPr>
                <w:rFonts w:eastAsia="Times New Roman"/>
                <w:color w:val="000000"/>
                <w:sz w:val="20"/>
                <w:szCs w:val="20"/>
              </w:rPr>
              <w:t>-7</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Consolidated Statements of Cash Flows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28" w:history="1">
              <w:r>
                <w:rPr>
                  <w:rStyle w:val="a3"/>
                  <w:rFonts w:eastAsia="Times New Roman"/>
                  <w:color w:val="000000"/>
                  <w:sz w:val="20"/>
                  <w:szCs w:val="20"/>
                  <w:u w:val="none"/>
                </w:rPr>
                <w:t>8</w:t>
              </w:r>
            </w:hyperlink>
            <w:r>
              <w:rPr>
                <w:rFonts w:eastAsia="Times New Roman"/>
                <w:color w:val="000000"/>
                <w:sz w:val="20"/>
                <w:szCs w:val="20"/>
              </w:rPr>
              <w:t>-9</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Condensed Notes to Consolidated Financial Statements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31" w:history="1">
              <w:r>
                <w:rPr>
                  <w:rStyle w:val="a3"/>
                  <w:rFonts w:eastAsia="Times New Roman"/>
                  <w:color w:val="000000"/>
                  <w:sz w:val="20"/>
                  <w:szCs w:val="20"/>
                  <w:u w:val="none"/>
                </w:rPr>
                <w:t>10</w:t>
              </w:r>
            </w:hyperlink>
            <w:r>
              <w:rPr>
                <w:rFonts w:eastAsia="Times New Roman"/>
                <w:color w:val="000000"/>
                <w:sz w:val="20"/>
                <w:szCs w:val="20"/>
              </w:rPr>
              <w:t>-22</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Management’</w:t>
            </w:r>
            <w:r>
              <w:rPr>
                <w:rFonts w:eastAsia="Times New Roman"/>
                <w:color w:val="000000"/>
                <w:sz w:val="20"/>
                <w:szCs w:val="20"/>
              </w:rPr>
              <w:t>s Discussion and Analysis of Financial Condition and Results of Operations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91" w:history="1">
              <w:r>
                <w:rPr>
                  <w:rStyle w:val="a3"/>
                  <w:rFonts w:eastAsia="Times New Roman"/>
                  <w:color w:val="000000"/>
                  <w:sz w:val="20"/>
                  <w:szCs w:val="20"/>
                  <w:u w:val="none"/>
                </w:rPr>
                <w:t>23</w:t>
              </w:r>
            </w:hyperlink>
            <w:r>
              <w:rPr>
                <w:rFonts w:eastAsia="Times New Roman"/>
                <w:color w:val="000000"/>
                <w:sz w:val="20"/>
                <w:szCs w:val="20"/>
              </w:rPr>
              <w:t>-49</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Item 3.</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Quantitative and Qualitative Disclosures About Market Risk</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136" w:history="1">
              <w:r>
                <w:rPr>
                  <w:rStyle w:val="a3"/>
                  <w:rFonts w:eastAsia="Times New Roman"/>
                  <w:color w:val="000000"/>
                  <w:sz w:val="20"/>
                  <w:szCs w:val="20"/>
                  <w:u w:val="none"/>
                </w:rPr>
                <w:t>50</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Item 4.</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Controls and Procedures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139" w:history="1">
              <w:r>
                <w:rPr>
                  <w:rStyle w:val="a3"/>
                  <w:rFonts w:eastAsia="Times New Roman"/>
                  <w:color w:val="000000"/>
                  <w:sz w:val="20"/>
                  <w:szCs w:val="20"/>
                  <w:u w:val="none"/>
                </w:rPr>
                <w:t>50</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PART II</w:t>
            </w:r>
          </w:p>
        </w:tc>
        <w:tc>
          <w:tcPr>
            <w:tcW w:w="0" w:type="auto"/>
            <w:gridSpan w:val="3"/>
            <w:tcMar>
              <w:top w:w="30" w:type="dxa"/>
              <w:left w:w="20" w:type="dxa"/>
              <w:bottom w:w="30" w:type="dxa"/>
              <w:right w:w="20" w:type="dxa"/>
            </w:tcMar>
            <w:vAlign w:val="bottom"/>
            <w:hideMark/>
          </w:tcPr>
          <w:p w:rsidR="00000000" w:rsidRDefault="00D44B22">
            <w:pPr>
              <w:spacing w:after="100"/>
              <w:divId w:val="1526750261"/>
              <w:rPr>
                <w:rFonts w:eastAsia="Times New Roman"/>
              </w:rPr>
            </w:pPr>
            <w:r>
              <w:rPr>
                <w:rFonts w:eastAsia="Times New Roman"/>
                <w:color w:val="000000"/>
                <w:sz w:val="20"/>
                <w:szCs w:val="20"/>
                <w:u w:val="single"/>
              </w:rPr>
              <w:t>OTHER INFORMATION</w:t>
            </w:r>
            <w:r>
              <w:rPr>
                <w:rFonts w:eastAsia="Times New Roman"/>
                <w:color w:val="000000"/>
                <w:sz w:val="20"/>
                <w:szCs w:val="20"/>
              </w:rPr>
              <w:t xml:space="preserve"> (Items 3, 4 and 5 are not applicable)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Item 1.</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Legal Proceedings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145" w:history="1">
              <w:r>
                <w:rPr>
                  <w:rStyle w:val="a3"/>
                  <w:rFonts w:eastAsia="Times New Roman"/>
                  <w:color w:val="000000"/>
                  <w:sz w:val="20"/>
                  <w:szCs w:val="20"/>
                  <w:u w:val="none"/>
                </w:rPr>
                <w:t>51</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Item 1A.</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Risk Factors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148" w:history="1">
              <w:r>
                <w:rPr>
                  <w:rStyle w:val="a3"/>
                  <w:rFonts w:eastAsia="Times New Roman"/>
                  <w:color w:val="000000"/>
                  <w:sz w:val="20"/>
                  <w:szCs w:val="20"/>
                  <w:u w:val="none"/>
                </w:rPr>
                <w:t>51</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Item 2.</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Unregistered Sales of Equity Securities and Use of Proceeds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151" w:history="1">
              <w:r>
                <w:rPr>
                  <w:rStyle w:val="a3"/>
                  <w:rFonts w:eastAsia="Times New Roman"/>
                  <w:color w:val="000000"/>
                  <w:sz w:val="20"/>
                  <w:szCs w:val="20"/>
                  <w:u w:val="none"/>
                </w:rPr>
                <w:t>51</w:t>
              </w:r>
            </w:hyperlink>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Item 6.</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Exhibits</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hyperlink w:anchor="iac27dc24e77b49158bfc8be10e2977ab_157" w:history="1">
              <w:r>
                <w:rPr>
                  <w:rStyle w:val="a3"/>
                  <w:rFonts w:eastAsia="Times New Roman"/>
                  <w:color w:val="000000"/>
                  <w:sz w:val="20"/>
                  <w:szCs w:val="20"/>
                  <w:u w:val="none"/>
                </w:rPr>
                <w:t>51</w:t>
              </w:r>
            </w:hyperlink>
          </w:p>
        </w:tc>
      </w:tr>
    </w:tbl>
    <w:p w:rsidR="00000000" w:rsidRDefault="00D44B22">
      <w:pPr>
        <w:jc w:val="center"/>
        <w:divId w:val="439763887"/>
        <w:rPr>
          <w:rFonts w:eastAsia="Times New Roman"/>
        </w:rPr>
      </w:pPr>
    </w:p>
    <w:p w:rsidR="00000000" w:rsidRDefault="00D44B22">
      <w:pPr>
        <w:rPr>
          <w:rFonts w:eastAsia="Times New Roman"/>
        </w:rPr>
      </w:pPr>
      <w:r>
        <w:rPr>
          <w:rFonts w:eastAsia="Times New Roman"/>
        </w:rPr>
        <w:pict>
          <v:rect id="_x0000_i1026" style="width:0;height:1.5pt" o:hralign="center" o:hrstd="t" o:hr="t" fillcolor="#a0a0a0" stroked="f"/>
        </w:pict>
      </w:r>
    </w:p>
    <w:p w:rsidR="00000000" w:rsidRDefault="00D44B22">
      <w:pPr>
        <w:divId w:val="870650443"/>
        <w:rPr>
          <w:rFonts w:eastAsia="Times New Roman"/>
        </w:rPr>
      </w:pPr>
    </w:p>
    <w:p w:rsidR="00000000" w:rsidRDefault="00D44B22">
      <w:pPr>
        <w:divId w:val="1328636183"/>
        <w:rPr>
          <w:rFonts w:eastAsia="Times New Roman"/>
        </w:rPr>
      </w:pPr>
    </w:p>
    <w:p w:rsidR="00000000" w:rsidRDefault="00D44B22">
      <w:pPr>
        <w:divId w:val="1604730652"/>
        <w:rPr>
          <w:rFonts w:eastAsia="Times New Roman"/>
        </w:rPr>
      </w:pPr>
    </w:p>
    <w:p w:rsidR="00000000" w:rsidRDefault="00D44B22">
      <w:pPr>
        <w:jc w:val="center"/>
        <w:rPr>
          <w:rFonts w:eastAsia="Times New Roman"/>
        </w:rPr>
      </w:pPr>
      <w:r>
        <w:rPr>
          <w:rFonts w:eastAsia="Times New Roman"/>
          <w:b/>
          <w:bCs/>
          <w:color w:val="000000"/>
          <w:sz w:val="20"/>
          <w:szCs w:val="20"/>
        </w:rPr>
        <w:t>PUBLIC STORAGE</w:t>
      </w:r>
    </w:p>
    <w:p w:rsidR="00000000" w:rsidRDefault="00D44B22">
      <w:pPr>
        <w:jc w:val="center"/>
        <w:rPr>
          <w:rFonts w:eastAsia="Times New Roman"/>
        </w:rPr>
      </w:pPr>
      <w:r>
        <w:rPr>
          <w:rFonts w:eastAsia="Times New Roman"/>
          <w:b/>
          <w:bCs/>
          <w:color w:val="000000"/>
          <w:sz w:val="20"/>
          <w:szCs w:val="20"/>
        </w:rPr>
        <w:t>CONSOLIDATED BALANCE SHEETS</w:t>
      </w:r>
    </w:p>
    <w:p w:rsidR="00000000" w:rsidRDefault="00D44B22">
      <w:pPr>
        <w:jc w:val="center"/>
        <w:rPr>
          <w:rFonts w:eastAsia="Times New Roman"/>
        </w:rPr>
      </w:pPr>
      <w:r>
        <w:rPr>
          <w:rFonts w:eastAsia="Times New Roman"/>
          <w:b/>
          <w:bCs/>
          <w:color w:val="000000"/>
          <w:sz w:val="20"/>
          <w:szCs w:val="20"/>
        </w:rPr>
        <w:t>(Amounts in thousands, except share data)</w:t>
      </w:r>
    </w:p>
    <w:p w:rsidR="00000000" w:rsidRDefault="00D44B22">
      <w:pPr>
        <w:jc w:val="center"/>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4"/>
        <w:gridCol w:w="5596"/>
        <w:gridCol w:w="42"/>
        <w:gridCol w:w="110"/>
        <w:gridCol w:w="1127"/>
        <w:gridCol w:w="36"/>
        <w:gridCol w:w="36"/>
        <w:gridCol w:w="36"/>
        <w:gridCol w:w="36"/>
        <w:gridCol w:w="110"/>
        <w:gridCol w:w="1097"/>
        <w:gridCol w:w="36"/>
      </w:tblGrid>
      <w:tr w:rsidR="00000000">
        <w:trPr>
          <w:divId w:val="1179587418"/>
        </w:trPr>
        <w:tc>
          <w:tcPr>
            <w:tcW w:w="50" w:type="pct"/>
            <w:vAlign w:val="center"/>
            <w:hideMark/>
          </w:tcPr>
          <w:p w:rsidR="00000000" w:rsidRDefault="00D44B22">
            <w:pPr>
              <w:jc w:val="center"/>
              <w:rPr>
                <w:rFonts w:eastAsia="Times New Roman"/>
              </w:rPr>
            </w:pPr>
          </w:p>
        </w:tc>
        <w:tc>
          <w:tcPr>
            <w:tcW w:w="339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70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70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b/>
                <w:bCs/>
                <w:color w:val="000000"/>
                <w:sz w:val="18"/>
                <w:szCs w:val="18"/>
              </w:rPr>
              <w:t>June 30,</w:t>
            </w:r>
            <w:r>
              <w:rPr>
                <w:rFonts w:eastAsia="Times New Roman"/>
                <w:b/>
                <w:bCs/>
                <w:color w:val="000000"/>
                <w:sz w:val="18"/>
                <w:szCs w:val="18"/>
              </w:rPr>
              <w:br/>
              <w:t>2022</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b/>
                <w:bCs/>
                <w:color w:val="000000"/>
                <w:sz w:val="18"/>
                <w:szCs w:val="18"/>
              </w:rPr>
              <w:t>December 31,</w:t>
            </w:r>
            <w:r>
              <w:rPr>
                <w:rFonts w:eastAsia="Times New Roman"/>
                <w:b/>
                <w:bCs/>
                <w:color w:val="000000"/>
                <w:sz w:val="18"/>
                <w:szCs w:val="18"/>
              </w:rPr>
              <w:br/>
              <w:t>2021</w:t>
            </w:r>
          </w:p>
        </w:tc>
      </w:tr>
      <w:tr w:rsidR="00000000">
        <w:trPr>
          <w:divId w:val="1179587418"/>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b/>
                <w:bCs/>
                <w:color w:val="000000"/>
                <w:sz w:val="18"/>
                <w:szCs w:val="18"/>
              </w:rPr>
              <w:t>(Unaudited)</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b/>
                <w:bCs/>
                <w:color w:val="000000"/>
                <w:sz w:val="18"/>
                <w:szCs w:val="18"/>
                <w:u w:val="single"/>
              </w:rPr>
              <w:t>ASSETS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w:t>
            </w:r>
          </w:p>
        </w:tc>
      </w:tr>
      <w:tr w:rsidR="00000000">
        <w:trPr>
          <w:divId w:val="1179587418"/>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Cash and equivalents</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1,013,886 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Real estate facilities, at cost: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179587418"/>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Land</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5,175,744 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5,134,060 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Buildings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18,139,804 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17,673,773 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23,315,548 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22,807,833 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Accumulated depreciation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(8,150,113)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(7,773,308)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15,165,435 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15,034,525 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Construction in process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380,060 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272,471 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15,545,495 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15,306,996 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Height w:val="180"/>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Investments in unconsolidated real estate entities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845,894 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828,763 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Goodwill and other intangible assets, net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249,744 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302,894 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assets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207,832 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207,656 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93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Total assets </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17,862,851 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r>
      <w:tr w:rsidR="00000000">
        <w:trPr>
          <w:divId w:val="1179587418"/>
        </w:trPr>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b/>
                <w:bCs/>
                <w:color w:val="000000"/>
                <w:sz w:val="18"/>
                <w:szCs w:val="18"/>
                <w:u w:val="single"/>
              </w:rPr>
              <w:t>LIABILITIES AND EQUITY</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r>
      <w:tr w:rsidR="00000000">
        <w:trPr>
          <w:divId w:val="1179587418"/>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payable</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7,340,904 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7,475,279 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Accrued and other liabilities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473,599 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482,091 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7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Total liabilities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7,814,503 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7,957,370 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Commitments and contingencies (Note 14)</w:t>
            </w:r>
          </w:p>
        </w:tc>
        <w:tc>
          <w:tcPr>
            <w:tcW w:w="0" w:type="auto"/>
            <w:gridSpan w:val="3"/>
            <w:tcMar>
              <w:top w:w="30" w:type="dxa"/>
              <w:left w:w="20" w:type="dxa"/>
              <w:bottom w:w="30" w:type="dxa"/>
              <w:right w:w="20" w:type="dxa"/>
            </w:tcMar>
            <w:vAlign w:val="bottom"/>
            <w:hideMark/>
          </w:tcPr>
          <w:p w:rsidR="00000000" w:rsidRDefault="00D44B22">
            <w:pPr>
              <w:spacing w:after="100"/>
              <w:divId w:val="881094917"/>
              <w:rPr>
                <w:rFonts w:eastAsia="Times New Roman"/>
              </w:rPr>
            </w:pPr>
            <w:r>
              <w:rPr>
                <w:rFonts w:eastAsia="Times New Roman"/>
                <w:color w:val="000000"/>
                <w:sz w:val="18"/>
                <w:szCs w:val="18"/>
              </w:rPr>
              <w:t> </w:t>
            </w: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divId w:val="1728871521"/>
              <w:rPr>
                <w:rFonts w:eastAsia="Times New Roman"/>
              </w:rPr>
            </w:pPr>
            <w:r>
              <w:rPr>
                <w:rFonts w:eastAsia="Times New Roman"/>
                <w:color w:val="000000"/>
                <w:sz w:val="18"/>
                <w:szCs w:val="18"/>
              </w:rPr>
              <w:t> </w:t>
            </w:r>
            <w:r>
              <w:rPr>
                <w:rFonts w:eastAsia="Times New Roman"/>
                <w:color w:val="000000"/>
                <w:sz w:val="20"/>
                <w:szCs w:val="20"/>
              </w:rPr>
              <w:t> </w:t>
            </w:r>
          </w:p>
        </w:tc>
      </w:tr>
      <w:tr w:rsidR="00000000">
        <w:trPr>
          <w:divId w:val="1179587418"/>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Redeemable noncontrolling interests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68,249 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Equity:</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r>
      <w:tr w:rsidR="00000000">
        <w:trPr>
          <w:divId w:val="1179587418"/>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Public Storage shareholders’ equity:</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ind w:hanging="307"/>
              <w:divId w:val="847905592"/>
              <w:rPr>
                <w:rFonts w:eastAsia="Times New Roman"/>
              </w:rPr>
            </w:pPr>
            <w:r>
              <w:rPr>
                <w:rFonts w:eastAsia="Times New Roman"/>
                <w:color w:val="000000"/>
                <w:sz w:val="18"/>
                <w:szCs w:val="18"/>
              </w:rPr>
              <w:t>Preferred Shares, $0.01 par value, 100,000,000 shares authorized, 174,000 shares issued (in series) and outstanding, (164,000 at December 31, 2021) at liquidation preference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4,350,000 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4,100,000 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20" w:type="dxa"/>
              <w:bottom w:w="30" w:type="dxa"/>
              <w:right w:w="20" w:type="dxa"/>
            </w:tcMar>
            <w:vAlign w:val="bottom"/>
            <w:hideMark/>
          </w:tcPr>
          <w:p w:rsidR="00000000" w:rsidRDefault="00D44B22">
            <w:pPr>
              <w:spacing w:after="100"/>
              <w:ind w:hanging="307"/>
              <w:divId w:val="2100826134"/>
              <w:rPr>
                <w:rFonts w:eastAsia="Times New Roman"/>
              </w:rPr>
            </w:pPr>
            <w:r>
              <w:rPr>
                <w:rFonts w:eastAsia="Times New Roman"/>
                <w:color w:val="000000"/>
                <w:sz w:val="18"/>
                <w:szCs w:val="18"/>
              </w:rPr>
              <w:t xml:space="preserve">Common Shares, $0.10 par value, </w:t>
            </w:r>
            <w:r>
              <w:rPr>
                <w:rFonts w:eastAsia="Times New Roman"/>
                <w:color w:val="000000"/>
                <w:sz w:val="18"/>
                <w:szCs w:val="18"/>
              </w:rPr>
              <w:t>650,000,000 shares authorized, 175,239,263 shares issued and outstanding (175,134,455 shares at December 31, 2021)</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Paid-in capital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5,848,632 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5,821,667 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Accumulated deficit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(182,213)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(550,416)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Accumulated other comprehensive loss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(79,217)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(53,587)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57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Total Public Storage shareholders’ equity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9,954,726 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Noncontrolling interests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93,622 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20,112 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7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Total equity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10,048,348 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179587418"/>
        </w:trPr>
        <w:tc>
          <w:tcPr>
            <w:tcW w:w="0" w:type="auto"/>
            <w:gridSpan w:val="3"/>
            <w:tcMar>
              <w:top w:w="30" w:type="dxa"/>
              <w:left w:w="93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Total liabilities, redeemable noncontrolling interests and equity</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17,862,851 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17,380,908 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divId w:val="1849638559"/>
        <w:rPr>
          <w:rFonts w:eastAsia="Times New Roman"/>
        </w:rPr>
      </w:pPr>
    </w:p>
    <w:p w:rsidR="00000000" w:rsidRDefault="00D44B22">
      <w:pPr>
        <w:jc w:val="center"/>
        <w:divId w:val="2112160994"/>
        <w:rPr>
          <w:rFonts w:eastAsia="Times New Roman"/>
        </w:rPr>
      </w:pPr>
      <w:r>
        <w:rPr>
          <w:rFonts w:eastAsia="Times New Roman"/>
          <w:color w:val="000000"/>
          <w:sz w:val="20"/>
          <w:szCs w:val="20"/>
        </w:rPr>
        <w:t>See accompanying notes.</w:t>
      </w:r>
    </w:p>
    <w:p w:rsidR="00000000" w:rsidRDefault="00D44B22">
      <w:pPr>
        <w:jc w:val="center"/>
        <w:divId w:val="2112160994"/>
        <w:rPr>
          <w:rFonts w:eastAsia="Times New Roman"/>
        </w:rPr>
      </w:pPr>
      <w:r>
        <w:rPr>
          <w:rFonts w:eastAsia="Times New Roman"/>
          <w:color w:val="000000"/>
          <w:sz w:val="20"/>
          <w:szCs w:val="20"/>
        </w:rPr>
        <w:t>1</w:t>
      </w:r>
    </w:p>
    <w:p w:rsidR="00000000" w:rsidRDefault="00D44B22">
      <w:pPr>
        <w:rPr>
          <w:rFonts w:eastAsia="Times New Roman"/>
        </w:rPr>
      </w:pPr>
      <w:r>
        <w:rPr>
          <w:rFonts w:eastAsia="Times New Roman"/>
        </w:rPr>
        <w:pict>
          <v:rect id="_x0000_i1027" style="width:0;height:1.5pt" o:hralign="center" o:hrstd="t" o:hr="t" fillcolor="#a0a0a0" stroked="f"/>
        </w:pict>
      </w:r>
    </w:p>
    <w:p w:rsidR="00000000" w:rsidRDefault="00D44B22">
      <w:pPr>
        <w:divId w:val="1602301434"/>
        <w:rPr>
          <w:rFonts w:eastAsia="Times New Roman"/>
        </w:rPr>
      </w:pPr>
    </w:p>
    <w:p w:rsidR="00000000" w:rsidRDefault="00D44B22">
      <w:pPr>
        <w:jc w:val="center"/>
        <w:rPr>
          <w:rFonts w:eastAsia="Times New Roman"/>
        </w:rPr>
      </w:pPr>
      <w:r>
        <w:rPr>
          <w:rFonts w:eastAsia="Times New Roman"/>
          <w:b/>
          <w:bCs/>
          <w:color w:val="000000"/>
          <w:sz w:val="20"/>
          <w:szCs w:val="20"/>
        </w:rPr>
        <w:t>PUBLIC STORAGE</w:t>
      </w:r>
    </w:p>
    <w:p w:rsidR="00000000" w:rsidRDefault="00D44B22">
      <w:pPr>
        <w:jc w:val="center"/>
        <w:rPr>
          <w:rFonts w:eastAsia="Times New Roman"/>
        </w:rPr>
      </w:pPr>
      <w:r>
        <w:rPr>
          <w:rFonts w:eastAsia="Times New Roman"/>
          <w:b/>
          <w:bCs/>
          <w:color w:val="000000"/>
          <w:sz w:val="20"/>
          <w:szCs w:val="20"/>
        </w:rPr>
        <w:lastRenderedPageBreak/>
        <w:t>CONSOLIDATED STATEMENTS OF INCOME</w:t>
      </w:r>
    </w:p>
    <w:p w:rsidR="00000000" w:rsidRDefault="00D44B22">
      <w:pPr>
        <w:jc w:val="center"/>
        <w:divId w:val="11223785"/>
        <w:rPr>
          <w:rFonts w:eastAsia="Times New Roman"/>
        </w:rPr>
      </w:pPr>
      <w:r>
        <w:rPr>
          <w:rFonts w:eastAsia="Times New Roman"/>
          <w:b/>
          <w:bCs/>
          <w:color w:val="000000"/>
          <w:sz w:val="20"/>
          <w:szCs w:val="20"/>
        </w:rPr>
        <w:t>(Amounts in thousands, except per share amounts)</w:t>
      </w:r>
    </w:p>
    <w:p w:rsidR="00000000" w:rsidRDefault="00D44B22">
      <w:pPr>
        <w:jc w:val="center"/>
        <w:divId w:val="1946424473"/>
        <w:rPr>
          <w:rFonts w:eastAsia="Times New Roman"/>
        </w:rPr>
      </w:pPr>
      <w:r>
        <w:rPr>
          <w:rFonts w:eastAsia="Times New Roman"/>
          <w:b/>
          <w:bCs/>
          <w:color w:val="000000"/>
          <w:sz w:val="20"/>
          <w:szCs w:val="20"/>
        </w:rPr>
        <w:t>(Unaudited)</w:t>
      </w:r>
    </w:p>
    <w:p w:rsidR="00000000" w:rsidRDefault="00D44B2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445"/>
        <w:gridCol w:w="39"/>
        <w:gridCol w:w="111"/>
        <w:gridCol w:w="928"/>
        <w:gridCol w:w="36"/>
        <w:gridCol w:w="36"/>
        <w:gridCol w:w="36"/>
        <w:gridCol w:w="36"/>
        <w:gridCol w:w="110"/>
        <w:gridCol w:w="928"/>
        <w:gridCol w:w="36"/>
        <w:gridCol w:w="36"/>
        <w:gridCol w:w="36"/>
        <w:gridCol w:w="36"/>
        <w:gridCol w:w="110"/>
        <w:gridCol w:w="928"/>
        <w:gridCol w:w="36"/>
        <w:gridCol w:w="36"/>
        <w:gridCol w:w="36"/>
        <w:gridCol w:w="36"/>
        <w:gridCol w:w="110"/>
        <w:gridCol w:w="873"/>
        <w:gridCol w:w="36"/>
        <w:gridCol w:w="36"/>
        <w:gridCol w:w="36"/>
        <w:gridCol w:w="36"/>
        <w:gridCol w:w="36"/>
        <w:gridCol w:w="36"/>
        <w:gridCol w:w="36"/>
      </w:tblGrid>
      <w:tr w:rsidR="00000000">
        <w:trPr>
          <w:jc w:val="center"/>
        </w:trPr>
        <w:tc>
          <w:tcPr>
            <w:tcW w:w="50" w:type="pct"/>
            <w:vAlign w:val="center"/>
            <w:hideMark/>
          </w:tcPr>
          <w:p w:rsidR="00000000" w:rsidRDefault="00D44B22">
            <w:pPr>
              <w:jc w:val="center"/>
              <w:rPr>
                <w:rFonts w:eastAsia="Times New Roman"/>
              </w:rPr>
            </w:pPr>
          </w:p>
        </w:tc>
        <w:tc>
          <w:tcPr>
            <w:tcW w:w="217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Six Months Ended June 30,</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Self-storage facilities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973,286 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776,993 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1,890,301 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1,493,340 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Ancillary operations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58,759 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52,322 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115,189 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103,237 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1,032,045 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829,315 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2,005,490 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1,596,577 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Expenses: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Self-storage cost of operations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237,989 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202,595 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483,483 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414,700 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Ancillary cost of operations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15,991 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32,725 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32,309 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Depreciation and amortization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218,708 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172,728 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440,836 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319,587 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General and administrative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28,831 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27,740 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51,900 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47,314 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Interest expense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32,941 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21,994 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66,065 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37,244 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535,679 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441,048 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1,075,009 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851,154 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Other increases (decreases) to net income: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Interest and other income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10,279 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13,658 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5,965 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Equity in earnings of unconsolidated real estate entities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48,525 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29,066 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91,949 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48,522 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101,723 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(12,707)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137,100 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32,678 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Gain on sale of real estate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3,991 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13,404 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656,893 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411,730 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1,173,188 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845,992 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(3,043)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(1,304)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(5,395)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(2,530)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income allocable to Public Storage shareholders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653,850 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410,426 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1,167,793 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843,462 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Allocation of net income to:</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Preferred shareholders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(48,673)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(46,183)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(97,038)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(92,263)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Preferred shareholders - redemptions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(16,989)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(16,989)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Restricted share units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(1,796)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(1,005)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(3,250)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(2,151)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Net income allocable to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603,381 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346,249 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1,067,505 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732,059 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Net income per common share:</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Basic</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Diluted</w:t>
            </w:r>
          </w:p>
        </w:tc>
        <w:tc>
          <w:tcPr>
            <w:tcW w:w="0" w:type="auto"/>
            <w:tcBorders>
              <w:top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3.42 </w:t>
            </w:r>
          </w:p>
        </w:tc>
        <w:tc>
          <w:tcPr>
            <w:tcW w:w="0" w:type="auto"/>
            <w:tcBorders>
              <w:top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1.97 </w:t>
            </w:r>
          </w:p>
        </w:tc>
        <w:tc>
          <w:tcPr>
            <w:tcW w:w="0" w:type="auto"/>
            <w:tcBorders>
              <w:top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6.05 </w:t>
            </w:r>
          </w:p>
        </w:tc>
        <w:tc>
          <w:tcPr>
            <w:tcW w:w="0" w:type="auto"/>
            <w:tcBorders>
              <w:top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4.18 </w:t>
            </w:r>
          </w:p>
        </w:tc>
        <w:tc>
          <w:tcPr>
            <w:tcW w:w="0" w:type="auto"/>
            <w:tcBorders>
              <w:top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Basic weighted average common shares outstanding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175,229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174,824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175,200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174,718</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lastRenderedPageBreak/>
              <w:t>Diluted weighted average common shares outstanding</w:t>
            </w: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176,312</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175,547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176,325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175,194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divId w:val="825559575"/>
        <w:rPr>
          <w:rFonts w:eastAsia="Times New Roman"/>
        </w:rPr>
      </w:pPr>
    </w:p>
    <w:p w:rsidR="00000000" w:rsidRDefault="00D44B22">
      <w:pPr>
        <w:jc w:val="center"/>
        <w:divId w:val="405952755"/>
        <w:rPr>
          <w:rFonts w:eastAsia="Times New Roman"/>
        </w:rPr>
      </w:pPr>
      <w:r>
        <w:rPr>
          <w:rFonts w:eastAsia="Times New Roman"/>
          <w:color w:val="000000"/>
          <w:sz w:val="20"/>
          <w:szCs w:val="20"/>
        </w:rPr>
        <w:t>See accompanying notes.</w:t>
      </w:r>
    </w:p>
    <w:p w:rsidR="00000000" w:rsidRDefault="00D44B22">
      <w:pPr>
        <w:jc w:val="center"/>
        <w:divId w:val="405952755"/>
        <w:rPr>
          <w:rFonts w:eastAsia="Times New Roman"/>
        </w:rPr>
      </w:pPr>
      <w:r>
        <w:rPr>
          <w:rFonts w:eastAsia="Times New Roman"/>
          <w:color w:val="000000"/>
          <w:sz w:val="20"/>
          <w:szCs w:val="20"/>
        </w:rPr>
        <w:t>2</w:t>
      </w:r>
    </w:p>
    <w:p w:rsidR="00000000" w:rsidRDefault="00D44B22">
      <w:pPr>
        <w:rPr>
          <w:rFonts w:eastAsia="Times New Roman"/>
        </w:rPr>
      </w:pPr>
      <w:r>
        <w:rPr>
          <w:rFonts w:eastAsia="Times New Roman"/>
        </w:rPr>
        <w:pict>
          <v:rect id="_x0000_i1028" style="width:0;height:1.5pt" o:hralign="center" o:hrstd="t" o:hr="t" fillcolor="#a0a0a0" stroked="f"/>
        </w:pict>
      </w:r>
    </w:p>
    <w:p w:rsidR="00000000" w:rsidRDefault="00D44B22">
      <w:pPr>
        <w:divId w:val="1248736664"/>
        <w:rPr>
          <w:rFonts w:eastAsia="Times New Roman"/>
        </w:rPr>
      </w:pPr>
    </w:p>
    <w:p w:rsidR="00000000" w:rsidRDefault="00D44B22">
      <w:pPr>
        <w:jc w:val="center"/>
        <w:rPr>
          <w:rFonts w:eastAsia="Times New Roman"/>
        </w:rPr>
      </w:pPr>
      <w:r>
        <w:rPr>
          <w:rFonts w:eastAsia="Times New Roman"/>
          <w:b/>
          <w:bCs/>
          <w:color w:val="000000"/>
          <w:sz w:val="20"/>
          <w:szCs w:val="20"/>
        </w:rPr>
        <w:t>PUBLIC STORAGE</w:t>
      </w:r>
    </w:p>
    <w:p w:rsidR="00000000" w:rsidRDefault="00D44B22">
      <w:pPr>
        <w:jc w:val="center"/>
        <w:rPr>
          <w:rFonts w:eastAsia="Times New Roman"/>
        </w:rPr>
      </w:pPr>
      <w:r>
        <w:rPr>
          <w:rFonts w:eastAsia="Times New Roman"/>
          <w:b/>
          <w:bCs/>
          <w:color w:val="000000"/>
          <w:sz w:val="20"/>
          <w:szCs w:val="20"/>
        </w:rPr>
        <w:t>CONSOLIDATED STATEMENTS OF COMPREHENSIVE INCOME</w:t>
      </w:r>
    </w:p>
    <w:p w:rsidR="00000000" w:rsidRDefault="00D44B22">
      <w:pPr>
        <w:jc w:val="center"/>
        <w:divId w:val="1558273129"/>
        <w:rPr>
          <w:rFonts w:eastAsia="Times New Roman"/>
        </w:rPr>
      </w:pPr>
      <w:r>
        <w:rPr>
          <w:rFonts w:eastAsia="Times New Roman"/>
          <w:b/>
          <w:bCs/>
          <w:color w:val="000000"/>
          <w:sz w:val="20"/>
          <w:szCs w:val="20"/>
        </w:rPr>
        <w:t>(Amounts in thousands)</w:t>
      </w:r>
    </w:p>
    <w:p w:rsidR="00000000" w:rsidRDefault="00D44B22">
      <w:pPr>
        <w:jc w:val="center"/>
        <w:divId w:val="1435133495"/>
        <w:rPr>
          <w:rFonts w:eastAsia="Times New Roman"/>
        </w:rPr>
      </w:pPr>
      <w:r>
        <w:rPr>
          <w:rFonts w:eastAsia="Times New Roman"/>
          <w:b/>
          <w:bCs/>
          <w:color w:val="000000"/>
          <w:sz w:val="20"/>
          <w:szCs w:val="20"/>
        </w:rPr>
        <w:t>(Unaudited)</w:t>
      </w:r>
    </w:p>
    <w:p w:rsidR="00000000" w:rsidRDefault="00D44B2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46"/>
        <w:gridCol w:w="37"/>
        <w:gridCol w:w="110"/>
        <w:gridCol w:w="928"/>
        <w:gridCol w:w="36"/>
        <w:gridCol w:w="36"/>
        <w:gridCol w:w="36"/>
        <w:gridCol w:w="36"/>
        <w:gridCol w:w="110"/>
        <w:gridCol w:w="928"/>
        <w:gridCol w:w="36"/>
        <w:gridCol w:w="36"/>
        <w:gridCol w:w="36"/>
        <w:gridCol w:w="36"/>
        <w:gridCol w:w="110"/>
        <w:gridCol w:w="929"/>
        <w:gridCol w:w="36"/>
        <w:gridCol w:w="36"/>
        <w:gridCol w:w="36"/>
        <w:gridCol w:w="36"/>
        <w:gridCol w:w="110"/>
        <w:gridCol w:w="875"/>
        <w:gridCol w:w="36"/>
        <w:gridCol w:w="36"/>
        <w:gridCol w:w="36"/>
        <w:gridCol w:w="36"/>
        <w:gridCol w:w="36"/>
        <w:gridCol w:w="36"/>
        <w:gridCol w:w="36"/>
      </w:tblGrid>
      <w:tr w:rsidR="00000000">
        <w:trPr>
          <w:jc w:val="center"/>
        </w:trPr>
        <w:tc>
          <w:tcPr>
            <w:tcW w:w="50" w:type="pct"/>
            <w:vAlign w:val="center"/>
            <w:hideMark/>
          </w:tcPr>
          <w:p w:rsidR="00000000" w:rsidRDefault="00D44B22">
            <w:pPr>
              <w:jc w:val="center"/>
              <w:rPr>
                <w:rFonts w:eastAsia="Times New Roman"/>
              </w:rPr>
            </w:pPr>
          </w:p>
        </w:tc>
        <w:tc>
          <w:tcPr>
            <w:tcW w:w="217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Six Months Ended June 30,</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656,893 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411,730 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1,173,188 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845,992 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Foreign currency exchange (loss) gain on investment in Shurgard</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(18,835)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(25,630)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(2,681)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Total comprehensive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638,058 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414,989 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1,147,558 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843,311 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Allocation to 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(3,043)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(1,304)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(5,395)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(2,530)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Comprehensive income allocable to Public Storage shareholders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635,015 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413,685 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1,142,163 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840,781 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divId w:val="560091774"/>
        <w:rPr>
          <w:rFonts w:eastAsia="Times New Roman"/>
        </w:rPr>
      </w:pPr>
    </w:p>
    <w:p w:rsidR="00000000" w:rsidRDefault="00D44B22">
      <w:pPr>
        <w:jc w:val="center"/>
        <w:divId w:val="1518539689"/>
        <w:rPr>
          <w:rFonts w:eastAsia="Times New Roman"/>
        </w:rPr>
      </w:pPr>
      <w:r>
        <w:rPr>
          <w:rFonts w:eastAsia="Times New Roman"/>
          <w:color w:val="000000"/>
          <w:sz w:val="20"/>
          <w:szCs w:val="20"/>
        </w:rPr>
        <w:t>See accompanying notes.</w:t>
      </w:r>
    </w:p>
    <w:p w:rsidR="00000000" w:rsidRDefault="00D44B22">
      <w:pPr>
        <w:jc w:val="center"/>
        <w:divId w:val="1518539689"/>
        <w:rPr>
          <w:rFonts w:eastAsia="Times New Roman"/>
        </w:rPr>
      </w:pPr>
      <w:r>
        <w:rPr>
          <w:rFonts w:eastAsia="Times New Roman"/>
          <w:color w:val="000000"/>
          <w:sz w:val="20"/>
          <w:szCs w:val="20"/>
        </w:rPr>
        <w:t>3</w:t>
      </w:r>
    </w:p>
    <w:p w:rsidR="00000000" w:rsidRDefault="00D44B22">
      <w:pPr>
        <w:rPr>
          <w:rFonts w:eastAsia="Times New Roman"/>
        </w:rPr>
      </w:pPr>
      <w:r>
        <w:rPr>
          <w:rFonts w:eastAsia="Times New Roman"/>
        </w:rPr>
        <w:pict>
          <v:rect id="_x0000_i1029" style="width:0;height:1.5pt" o:hralign="center" o:hrstd="t" o:hr="t" fillcolor="#a0a0a0" stroked="f"/>
        </w:pict>
      </w:r>
    </w:p>
    <w:p w:rsidR="00000000" w:rsidRDefault="00D44B22">
      <w:pPr>
        <w:divId w:val="1299720815"/>
        <w:rPr>
          <w:rFonts w:eastAsia="Times New Roman"/>
        </w:rPr>
      </w:pPr>
    </w:p>
    <w:p w:rsidR="00000000" w:rsidRDefault="00D44B22">
      <w:pPr>
        <w:jc w:val="center"/>
        <w:rPr>
          <w:rFonts w:eastAsia="Times New Roman"/>
        </w:rPr>
      </w:pPr>
      <w:r>
        <w:rPr>
          <w:rFonts w:eastAsia="Times New Roman"/>
          <w:b/>
          <w:bCs/>
          <w:color w:val="000000"/>
          <w:sz w:val="20"/>
          <w:szCs w:val="20"/>
        </w:rPr>
        <w:t>PUBLIC STORAGE</w:t>
      </w:r>
    </w:p>
    <w:p w:rsidR="00000000" w:rsidRDefault="00D44B22">
      <w:pPr>
        <w:jc w:val="center"/>
        <w:rPr>
          <w:rFonts w:eastAsia="Times New Roman"/>
        </w:rPr>
      </w:pPr>
      <w:r>
        <w:rPr>
          <w:rFonts w:eastAsia="Times New Roman"/>
          <w:b/>
          <w:bCs/>
          <w:color w:val="000000"/>
          <w:sz w:val="20"/>
          <w:szCs w:val="20"/>
        </w:rPr>
        <w:t>CONSOLIDATED STAT</w:t>
      </w:r>
      <w:r>
        <w:rPr>
          <w:rFonts w:eastAsia="Times New Roman"/>
          <w:b/>
          <w:bCs/>
          <w:color w:val="000000"/>
          <w:sz w:val="20"/>
          <w:szCs w:val="20"/>
        </w:rPr>
        <w:t>EMENTS OF EQUITY AND REDEEMABLE NONCONTROLLING INTERESTS</w:t>
      </w:r>
    </w:p>
    <w:p w:rsidR="00000000" w:rsidRDefault="00D44B22">
      <w:pPr>
        <w:jc w:val="center"/>
        <w:rPr>
          <w:rFonts w:eastAsia="Times New Roman"/>
        </w:rPr>
      </w:pPr>
      <w:r>
        <w:rPr>
          <w:rFonts w:eastAsia="Times New Roman"/>
          <w:b/>
          <w:bCs/>
          <w:color w:val="000000"/>
          <w:sz w:val="20"/>
          <w:szCs w:val="20"/>
        </w:rPr>
        <w:t>Three Months Ended June 30, 2022</w:t>
      </w:r>
    </w:p>
    <w:p w:rsidR="00000000" w:rsidRDefault="00D44B22">
      <w:pPr>
        <w:jc w:val="center"/>
        <w:rPr>
          <w:rFonts w:eastAsia="Times New Roman"/>
        </w:rPr>
      </w:pPr>
      <w:r>
        <w:rPr>
          <w:rFonts w:eastAsia="Times New Roman"/>
          <w:b/>
          <w:bCs/>
          <w:color w:val="000000"/>
          <w:sz w:val="20"/>
          <w:szCs w:val="20"/>
        </w:rPr>
        <w:t>(Amounts in thousands, except share and per share amounts)</w:t>
      </w:r>
    </w:p>
    <w:p w:rsidR="00000000" w:rsidRDefault="00D44B22">
      <w:pPr>
        <w:jc w:val="center"/>
        <w:rPr>
          <w:rFonts w:eastAsia="Times New Roman"/>
        </w:rPr>
      </w:pPr>
      <w:r>
        <w:rPr>
          <w:rFonts w:eastAsia="Times New Roman"/>
          <w:b/>
          <w:bCs/>
          <w:color w:val="000000"/>
          <w:sz w:val="20"/>
          <w:szCs w:val="20"/>
        </w:rPr>
        <w:t>(Unaudited)</w:t>
      </w:r>
    </w:p>
    <w:p w:rsidR="00000000" w:rsidRDefault="00D44B2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175"/>
        <w:gridCol w:w="40"/>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765"/>
        <w:gridCol w:w="36"/>
        <w:gridCol w:w="36"/>
        <w:gridCol w:w="36"/>
        <w:gridCol w:w="36"/>
        <w:gridCol w:w="127"/>
        <w:gridCol w:w="879"/>
        <w:gridCol w:w="36"/>
        <w:gridCol w:w="36"/>
        <w:gridCol w:w="36"/>
        <w:gridCol w:w="36"/>
        <w:gridCol w:w="110"/>
        <w:gridCol w:w="855"/>
        <w:gridCol w:w="36"/>
        <w:gridCol w:w="36"/>
        <w:gridCol w:w="36"/>
        <w:gridCol w:w="36"/>
        <w:gridCol w:w="127"/>
        <w:gridCol w:w="879"/>
        <w:gridCol w:w="36"/>
      </w:tblGrid>
      <w:tr w:rsidR="00000000">
        <w:trPr>
          <w:jc w:val="center"/>
        </w:trPr>
        <w:tc>
          <w:tcPr>
            <w:tcW w:w="50" w:type="pct"/>
            <w:vAlign w:val="center"/>
            <w:hideMark/>
          </w:tcPr>
          <w:p w:rsidR="00000000" w:rsidRDefault="00D44B22">
            <w:pPr>
              <w:jc w:val="center"/>
              <w:rPr>
                <w:rFonts w:eastAsia="Times New Roman"/>
              </w:rPr>
            </w:pPr>
          </w:p>
        </w:tc>
        <w:tc>
          <w:tcPr>
            <w:tcW w:w="116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Redeemable Noncontrolling Interests</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divId w:val="113332134"/>
              <w:rPr>
                <w:rFonts w:eastAsia="Times New Roman"/>
              </w:rPr>
            </w:pPr>
            <w:r>
              <w:rPr>
                <w:rFonts w:eastAsia="Times New Roman"/>
                <w:b/>
                <w:bCs/>
                <w:color w:val="000000"/>
                <w:sz w:val="18"/>
                <w:szCs w:val="18"/>
              </w:rPr>
              <w:t>Balances at March 31, 2022</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4,350,000 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5,827,674 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(436,101)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(60,382)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9,698,712 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20,549 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9,719,261 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1131290509"/>
              <w:rPr>
                <w:rFonts w:eastAsia="Times New Roman"/>
              </w:rPr>
            </w:pPr>
            <w:r>
              <w:rPr>
                <w:rFonts w:eastAsia="Times New Roman"/>
                <w:color w:val="000000"/>
                <w:sz w:val="18"/>
                <w:szCs w:val="18"/>
              </w:rPr>
              <w:t>Issuance of common shares in connection with share-based compensation (26,824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Taxes withheld upon net share settlement of restricted share units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(1,636)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(1,636)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(1,636)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Share-based compensation expense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19,144 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19,144 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19,144 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Reclassification from redeemable noncontrolling interests to noncontrolling interests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(83,826)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656,893 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656,893 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656,893 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(3,043)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(3,043)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 xml:space="preserve">Preferred shareholders (Note 9)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(48,673)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(48,673)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(48,673)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(19,142)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(19,142)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1903103733"/>
              <w:rPr>
                <w:rFonts w:eastAsia="Times New Roman"/>
              </w:rPr>
            </w:pPr>
            <w:r>
              <w:rPr>
                <w:rFonts w:eastAsia="Times New Roman"/>
                <w:color w:val="000000"/>
                <w:sz w:val="18"/>
                <w:szCs w:val="18"/>
              </w:rPr>
              <w:t>Common shareholders and restricted share unitholders ($2.00 per share) (Note 9)</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(351,289)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(351,289)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(351,289)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(18,835)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w:t>
            </w:r>
            <w:r>
              <w:rPr>
                <w:rFonts w:eastAsia="Times New Roman"/>
                <w:color w:val="000000"/>
                <w:sz w:val="18"/>
                <w:szCs w:val="18"/>
              </w:rPr>
              <w:t>18,835)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(18,835)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divId w:val="1410233611"/>
              <w:rPr>
                <w:rFonts w:eastAsia="Times New Roman"/>
              </w:rPr>
            </w:pPr>
            <w:r>
              <w:rPr>
                <w:rFonts w:eastAsia="Times New Roman"/>
                <w:b/>
                <w:bCs/>
                <w:color w:val="000000"/>
                <w:sz w:val="18"/>
                <w:szCs w:val="18"/>
              </w:rPr>
              <w:t>Balances at June 30, 2022</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17,524 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5,848,632 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(182,213)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(79,217)</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9,954,726 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93,622 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10,048,348 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jc w:val="center"/>
        <w:divId w:val="850949003"/>
        <w:rPr>
          <w:rFonts w:eastAsia="Times New Roman"/>
        </w:rPr>
      </w:pPr>
      <w:r>
        <w:rPr>
          <w:rFonts w:eastAsia="Times New Roman"/>
          <w:color w:val="000000"/>
          <w:sz w:val="20"/>
          <w:szCs w:val="20"/>
        </w:rPr>
        <w:t>See accompanying notes.</w:t>
      </w:r>
    </w:p>
    <w:p w:rsidR="00000000" w:rsidRDefault="00D44B22">
      <w:pPr>
        <w:jc w:val="center"/>
        <w:divId w:val="850949003"/>
        <w:rPr>
          <w:rFonts w:eastAsia="Times New Roman"/>
        </w:rPr>
      </w:pPr>
      <w:r>
        <w:rPr>
          <w:rFonts w:eastAsia="Times New Roman"/>
          <w:color w:val="000000"/>
          <w:sz w:val="20"/>
          <w:szCs w:val="20"/>
        </w:rPr>
        <w:t>4</w:t>
      </w:r>
    </w:p>
    <w:p w:rsidR="00000000" w:rsidRDefault="00D44B22">
      <w:pPr>
        <w:rPr>
          <w:rFonts w:eastAsia="Times New Roman"/>
        </w:rPr>
      </w:pPr>
      <w:r>
        <w:rPr>
          <w:rFonts w:eastAsia="Times New Roman"/>
        </w:rPr>
        <w:pict>
          <v:rect id="_x0000_i1030" style="width:0;height:1.5pt" o:hralign="center" o:hrstd="t" o:hr="t" fillcolor="#a0a0a0" stroked="f"/>
        </w:pict>
      </w:r>
    </w:p>
    <w:p w:rsidR="00000000" w:rsidRDefault="00D44B22">
      <w:pPr>
        <w:divId w:val="1819572600"/>
        <w:rPr>
          <w:rFonts w:eastAsia="Times New Roman"/>
        </w:rPr>
      </w:pPr>
    </w:p>
    <w:p w:rsidR="00000000" w:rsidRDefault="00D44B22">
      <w:pPr>
        <w:jc w:val="center"/>
        <w:rPr>
          <w:rFonts w:eastAsia="Times New Roman"/>
        </w:rPr>
      </w:pPr>
      <w:r>
        <w:rPr>
          <w:rFonts w:eastAsia="Times New Roman"/>
          <w:b/>
          <w:bCs/>
          <w:color w:val="000000"/>
          <w:sz w:val="20"/>
          <w:szCs w:val="20"/>
        </w:rPr>
        <w:t>PUBLIC STORAGE</w:t>
      </w:r>
    </w:p>
    <w:p w:rsidR="00000000" w:rsidRDefault="00D44B22">
      <w:pPr>
        <w:jc w:val="center"/>
        <w:rPr>
          <w:rFonts w:eastAsia="Times New Roman"/>
        </w:rPr>
      </w:pPr>
      <w:r>
        <w:rPr>
          <w:rFonts w:eastAsia="Times New Roman"/>
          <w:b/>
          <w:bCs/>
          <w:color w:val="000000"/>
          <w:sz w:val="20"/>
          <w:szCs w:val="20"/>
        </w:rPr>
        <w:t>CONSOLIDATE</w:t>
      </w:r>
      <w:r>
        <w:rPr>
          <w:rFonts w:eastAsia="Times New Roman"/>
          <w:b/>
          <w:bCs/>
          <w:color w:val="000000"/>
          <w:sz w:val="20"/>
          <w:szCs w:val="20"/>
        </w:rPr>
        <w:t>D STATEMENTS OF EQUITY AND REDEEMABLE NONCONTROLLING INTERESTS</w:t>
      </w:r>
    </w:p>
    <w:p w:rsidR="00000000" w:rsidRDefault="00D44B22">
      <w:pPr>
        <w:jc w:val="center"/>
        <w:rPr>
          <w:rFonts w:eastAsia="Times New Roman"/>
        </w:rPr>
      </w:pPr>
      <w:r>
        <w:rPr>
          <w:rFonts w:eastAsia="Times New Roman"/>
          <w:b/>
          <w:bCs/>
          <w:color w:val="000000"/>
          <w:sz w:val="20"/>
          <w:szCs w:val="20"/>
        </w:rPr>
        <w:t>Three Months Ended June 30, 2021</w:t>
      </w:r>
    </w:p>
    <w:p w:rsidR="00000000" w:rsidRDefault="00D44B22">
      <w:pPr>
        <w:jc w:val="center"/>
        <w:rPr>
          <w:rFonts w:eastAsia="Times New Roman"/>
        </w:rPr>
      </w:pPr>
      <w:r>
        <w:rPr>
          <w:rFonts w:eastAsia="Times New Roman"/>
          <w:b/>
          <w:bCs/>
          <w:color w:val="000000"/>
          <w:sz w:val="20"/>
          <w:szCs w:val="20"/>
        </w:rPr>
        <w:t>(Amounts in thousands, except share and per share amounts)</w:t>
      </w:r>
    </w:p>
    <w:p w:rsidR="00000000" w:rsidRDefault="00D44B22">
      <w:pPr>
        <w:jc w:val="center"/>
        <w:rPr>
          <w:rFonts w:eastAsia="Times New Roman"/>
        </w:rPr>
      </w:pPr>
      <w:r>
        <w:rPr>
          <w:rFonts w:eastAsia="Times New Roman"/>
          <w:b/>
          <w:bCs/>
          <w:color w:val="000000"/>
          <w:sz w:val="20"/>
          <w:szCs w:val="20"/>
        </w:rPr>
        <w:t>(Unaudited)</w:t>
      </w:r>
    </w:p>
    <w:p w:rsidR="00000000" w:rsidRDefault="00D44B2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137"/>
        <w:gridCol w:w="40"/>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765"/>
        <w:gridCol w:w="36"/>
        <w:gridCol w:w="36"/>
        <w:gridCol w:w="36"/>
        <w:gridCol w:w="36"/>
        <w:gridCol w:w="127"/>
        <w:gridCol w:w="879"/>
        <w:gridCol w:w="36"/>
        <w:gridCol w:w="36"/>
        <w:gridCol w:w="36"/>
        <w:gridCol w:w="36"/>
        <w:gridCol w:w="110"/>
        <w:gridCol w:w="765"/>
        <w:gridCol w:w="36"/>
        <w:gridCol w:w="36"/>
        <w:gridCol w:w="36"/>
        <w:gridCol w:w="36"/>
        <w:gridCol w:w="127"/>
        <w:gridCol w:w="879"/>
        <w:gridCol w:w="36"/>
      </w:tblGrid>
      <w:tr w:rsidR="00000000">
        <w:trPr>
          <w:jc w:val="center"/>
        </w:trPr>
        <w:tc>
          <w:tcPr>
            <w:tcW w:w="50" w:type="pct"/>
            <w:vAlign w:val="center"/>
            <w:hideMark/>
          </w:tcPr>
          <w:p w:rsidR="00000000" w:rsidRDefault="00D44B22">
            <w:pPr>
              <w:jc w:val="center"/>
              <w:rPr>
                <w:rFonts w:eastAsia="Times New Roman"/>
              </w:rPr>
            </w:pPr>
          </w:p>
        </w:tc>
        <w:tc>
          <w:tcPr>
            <w:tcW w:w="116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Redeemable Noncontrolling Interests</w:t>
            </w: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divId w:val="285088793"/>
              <w:rPr>
                <w:rFonts w:eastAsia="Times New Roman"/>
              </w:rPr>
            </w:pPr>
            <w:r>
              <w:rPr>
                <w:rFonts w:eastAsia="Times New Roman"/>
                <w:b/>
                <w:bCs/>
                <w:color w:val="000000"/>
                <w:sz w:val="18"/>
                <w:szCs w:val="18"/>
              </w:rPr>
              <w:t>Balances at March 31, 2021</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3,792,500 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5,715,254 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(877,931)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(49,341)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8,597,947 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19,368 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8,617,315 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39136291"/>
              <w:rPr>
                <w:rFonts w:eastAsia="Times New Roman"/>
              </w:rPr>
            </w:pPr>
            <w:r>
              <w:rPr>
                <w:rFonts w:eastAsia="Times New Roman"/>
                <w:color w:val="000000"/>
                <w:sz w:val="18"/>
                <w:szCs w:val="18"/>
              </w:rPr>
              <w:t>Issuance of 24,150 preferred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603,750 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(17,412)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586,338 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586,338 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1086414437"/>
              <w:rPr>
                <w:rFonts w:eastAsia="Times New Roman"/>
              </w:rPr>
            </w:pPr>
            <w:r>
              <w:rPr>
                <w:rFonts w:eastAsia="Times New Roman"/>
                <w:color w:val="000000"/>
                <w:sz w:val="18"/>
                <w:szCs w:val="18"/>
              </w:rPr>
              <w:t>Redemption and shares called for redemption of 21,000 preferred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w:t>
            </w: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1777209227"/>
              <w:rPr>
                <w:rFonts w:eastAsia="Times New Roman"/>
              </w:rPr>
            </w:pPr>
            <w:r>
              <w:rPr>
                <w:rFonts w:eastAsia="Times New Roman"/>
                <w:color w:val="000000"/>
                <w:sz w:val="18"/>
                <w:szCs w:val="18"/>
              </w:rPr>
              <w:t>Issuance of common shares in connection with share-based compensation (213,433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42,874 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42,895 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42,895 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Share-based compensation expense, net of cash paid in lieu of common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23,956 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23,956 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23,956 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411,730 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411,730 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411,730 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(1,304)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(1,304)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Preferred shareholders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(46,183)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(46,183)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(46,183)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(1,538)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(1,538)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1151486856"/>
              <w:rPr>
                <w:rFonts w:eastAsia="Times New Roman"/>
              </w:rPr>
            </w:pPr>
            <w:r>
              <w:rPr>
                <w:rFonts w:eastAsia="Times New Roman"/>
                <w:color w:val="000000"/>
                <w:sz w:val="18"/>
                <w:szCs w:val="18"/>
              </w:rPr>
              <w:t>Common shareholders and restricted share unitholders ($2.00 per share)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(350,054)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(350,054)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(350,054)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Other comprehensive income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divId w:val="915213042"/>
              <w:rPr>
                <w:rFonts w:eastAsia="Times New Roman"/>
              </w:rPr>
            </w:pPr>
            <w:r>
              <w:rPr>
                <w:rFonts w:eastAsia="Times New Roman"/>
                <w:b/>
                <w:bCs/>
                <w:color w:val="000000"/>
                <w:sz w:val="18"/>
                <w:szCs w:val="18"/>
              </w:rPr>
              <w:t>Balances at June 30,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3,871,250 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17,486 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5,764,672 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(863,742)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(46,082)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8,743,584 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19,519 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8,763,103 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jc w:val="center"/>
        <w:divId w:val="716589271"/>
        <w:rPr>
          <w:rFonts w:eastAsia="Times New Roman"/>
        </w:rPr>
      </w:pPr>
      <w:r>
        <w:rPr>
          <w:rFonts w:eastAsia="Times New Roman"/>
          <w:color w:val="000000"/>
          <w:sz w:val="20"/>
          <w:szCs w:val="20"/>
        </w:rPr>
        <w:t>See accompanying notes.</w:t>
      </w:r>
    </w:p>
    <w:p w:rsidR="00000000" w:rsidRDefault="00D44B22">
      <w:pPr>
        <w:jc w:val="center"/>
        <w:divId w:val="716589271"/>
        <w:rPr>
          <w:rFonts w:eastAsia="Times New Roman"/>
        </w:rPr>
      </w:pPr>
      <w:r>
        <w:rPr>
          <w:rFonts w:eastAsia="Times New Roman"/>
          <w:color w:val="000000"/>
          <w:sz w:val="20"/>
          <w:szCs w:val="20"/>
        </w:rPr>
        <w:t>5</w:t>
      </w:r>
    </w:p>
    <w:p w:rsidR="00000000" w:rsidRDefault="00D44B22">
      <w:pPr>
        <w:rPr>
          <w:rFonts w:eastAsia="Times New Roman"/>
        </w:rPr>
      </w:pPr>
      <w:r>
        <w:rPr>
          <w:rFonts w:eastAsia="Times New Roman"/>
        </w:rPr>
        <w:pict>
          <v:rect id="_x0000_i1031" style="width:0;height:1.5pt" o:hralign="center" o:hrstd="t" o:hr="t" fillcolor="#a0a0a0" stroked="f"/>
        </w:pict>
      </w:r>
    </w:p>
    <w:p w:rsidR="00000000" w:rsidRDefault="00D44B22">
      <w:pPr>
        <w:divId w:val="1211071376"/>
        <w:rPr>
          <w:rFonts w:eastAsia="Times New Roman"/>
        </w:rPr>
      </w:pPr>
    </w:p>
    <w:p w:rsidR="00000000" w:rsidRDefault="00D44B22">
      <w:pPr>
        <w:jc w:val="center"/>
        <w:rPr>
          <w:rFonts w:eastAsia="Times New Roman"/>
        </w:rPr>
      </w:pPr>
      <w:r>
        <w:rPr>
          <w:rFonts w:eastAsia="Times New Roman"/>
          <w:b/>
          <w:bCs/>
          <w:color w:val="000000"/>
          <w:sz w:val="20"/>
          <w:szCs w:val="20"/>
        </w:rPr>
        <w:t>PUBLIC STORAGE</w:t>
      </w:r>
    </w:p>
    <w:p w:rsidR="00000000" w:rsidRDefault="00D44B22">
      <w:pPr>
        <w:jc w:val="center"/>
        <w:rPr>
          <w:rFonts w:eastAsia="Times New Roman"/>
        </w:rPr>
      </w:pPr>
      <w:r>
        <w:rPr>
          <w:rFonts w:eastAsia="Times New Roman"/>
          <w:b/>
          <w:bCs/>
          <w:color w:val="000000"/>
          <w:sz w:val="20"/>
          <w:szCs w:val="20"/>
        </w:rPr>
        <w:t>CONSOLIDATED STATEMENTS OF EQUITY AND REDEEMABLE NONCONTROLLING INTERESTS</w:t>
      </w:r>
    </w:p>
    <w:p w:rsidR="00000000" w:rsidRDefault="00D44B22">
      <w:pPr>
        <w:jc w:val="center"/>
        <w:rPr>
          <w:rFonts w:eastAsia="Times New Roman"/>
        </w:rPr>
      </w:pPr>
      <w:r>
        <w:rPr>
          <w:rFonts w:eastAsia="Times New Roman"/>
          <w:b/>
          <w:bCs/>
          <w:color w:val="000000"/>
          <w:sz w:val="20"/>
          <w:szCs w:val="20"/>
        </w:rPr>
        <w:t>Six Months Ended June 30, 2022</w:t>
      </w:r>
    </w:p>
    <w:p w:rsidR="00000000" w:rsidRDefault="00D44B22">
      <w:pPr>
        <w:jc w:val="center"/>
        <w:rPr>
          <w:rFonts w:eastAsia="Times New Roman"/>
        </w:rPr>
      </w:pPr>
      <w:r>
        <w:rPr>
          <w:rFonts w:eastAsia="Times New Roman"/>
          <w:b/>
          <w:bCs/>
          <w:color w:val="000000"/>
          <w:sz w:val="20"/>
          <w:szCs w:val="20"/>
        </w:rPr>
        <w:t>(Amounts in thousands, except share and per share amounts)</w:t>
      </w:r>
    </w:p>
    <w:p w:rsidR="00000000" w:rsidRDefault="00D44B22">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137"/>
        <w:gridCol w:w="38"/>
        <w:gridCol w:w="110"/>
        <w:gridCol w:w="765"/>
        <w:gridCol w:w="36"/>
        <w:gridCol w:w="36"/>
        <w:gridCol w:w="36"/>
        <w:gridCol w:w="36"/>
        <w:gridCol w:w="110"/>
        <w:gridCol w:w="540"/>
        <w:gridCol w:w="36"/>
        <w:gridCol w:w="36"/>
        <w:gridCol w:w="36"/>
        <w:gridCol w:w="36"/>
        <w:gridCol w:w="110"/>
        <w:gridCol w:w="765"/>
        <w:gridCol w:w="36"/>
        <w:gridCol w:w="36"/>
        <w:gridCol w:w="36"/>
        <w:gridCol w:w="36"/>
        <w:gridCol w:w="112"/>
        <w:gridCol w:w="770"/>
        <w:gridCol w:w="36"/>
        <w:gridCol w:w="36"/>
        <w:gridCol w:w="36"/>
        <w:gridCol w:w="36"/>
        <w:gridCol w:w="131"/>
        <w:gridCol w:w="901"/>
        <w:gridCol w:w="36"/>
        <w:gridCol w:w="36"/>
        <w:gridCol w:w="36"/>
        <w:gridCol w:w="36"/>
        <w:gridCol w:w="110"/>
        <w:gridCol w:w="765"/>
        <w:gridCol w:w="36"/>
        <w:gridCol w:w="36"/>
        <w:gridCol w:w="36"/>
        <w:gridCol w:w="36"/>
        <w:gridCol w:w="127"/>
        <w:gridCol w:w="879"/>
        <w:gridCol w:w="36"/>
        <w:gridCol w:w="36"/>
        <w:gridCol w:w="36"/>
        <w:gridCol w:w="36"/>
        <w:gridCol w:w="110"/>
        <w:gridCol w:w="855"/>
        <w:gridCol w:w="36"/>
        <w:gridCol w:w="36"/>
        <w:gridCol w:w="36"/>
        <w:gridCol w:w="36"/>
        <w:gridCol w:w="127"/>
        <w:gridCol w:w="879"/>
        <w:gridCol w:w="36"/>
      </w:tblGrid>
      <w:tr w:rsidR="00000000">
        <w:trPr>
          <w:jc w:val="center"/>
        </w:trPr>
        <w:tc>
          <w:tcPr>
            <w:tcW w:w="50" w:type="pct"/>
            <w:vAlign w:val="center"/>
            <w:hideMark/>
          </w:tcPr>
          <w:p w:rsidR="00000000" w:rsidRDefault="00D44B22">
            <w:pPr>
              <w:jc w:val="center"/>
              <w:rPr>
                <w:rFonts w:eastAsia="Times New Roman"/>
              </w:rPr>
            </w:pPr>
          </w:p>
        </w:tc>
        <w:tc>
          <w:tcPr>
            <w:tcW w:w="116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4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r>
            <w:r>
              <w:rPr>
                <w:rFonts w:eastAsia="Times New Roman"/>
                <w:color w:val="000000"/>
                <w:sz w:val="16"/>
                <w:szCs w:val="16"/>
              </w:rPr>
              <w:t>Other Comprehensive Loss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divId w:val="2008286663"/>
              <w:rPr>
                <w:rFonts w:eastAsia="Times New Roman"/>
              </w:rPr>
            </w:pPr>
            <w:r>
              <w:rPr>
                <w:rFonts w:eastAsia="Times New Roman"/>
                <w:b/>
                <w:bCs/>
                <w:color w:val="000000"/>
                <w:sz w:val="18"/>
                <w:szCs w:val="18"/>
              </w:rPr>
              <w:t>Balances at December 31, 2021</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4,100,000 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17,513 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5,821,667 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w:t>
            </w:r>
            <w:r>
              <w:rPr>
                <w:rFonts w:eastAsia="Times New Roman"/>
                <w:color w:val="000000"/>
                <w:sz w:val="18"/>
                <w:szCs w:val="18"/>
              </w:rPr>
              <w:t>550,416)</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(53,587)</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9,335,177 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20,112 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9,355,289 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68,249 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043023976"/>
              <w:rPr>
                <w:rFonts w:eastAsia="Times New Roman"/>
              </w:rPr>
            </w:pPr>
            <w:r>
              <w:rPr>
                <w:rFonts w:eastAsia="Times New Roman"/>
                <w:color w:val="000000"/>
                <w:sz w:val="18"/>
                <w:szCs w:val="18"/>
              </w:rPr>
              <w:t xml:space="preserve">Issuance of 10,000 preferred shares (Note 9)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(7,168)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1725253357"/>
              <w:rPr>
                <w:rFonts w:eastAsia="Times New Roman"/>
              </w:rPr>
            </w:pPr>
            <w:r>
              <w:rPr>
                <w:rFonts w:eastAsia="Times New Roman"/>
                <w:color w:val="000000"/>
                <w:sz w:val="18"/>
                <w:szCs w:val="18"/>
              </w:rPr>
              <w:t>Issuance of common shares in connection with share-based compensation (104,808 shares) (Note 11)</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Taxes withheld upon net share settlement of restricted share units (Note 11)</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(12,210)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(12,210)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(12,210)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Share-based compensation expense (Note 11)</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34,794 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34,794 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34,794 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6,137 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6,137 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15,426 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Reclassification from redeemable noncontrolling interests to noncontrolling interests</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83,826 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(83,826)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1,173,188 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1,173,188 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1,173,188 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(5,395)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(5,395)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4,735 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Preferred shareholders (Note 9)</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(97,038)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(97,038)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(97,038)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(21,188)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(21,188)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2125953894"/>
              <w:rPr>
                <w:rFonts w:eastAsia="Times New Roman"/>
              </w:rPr>
            </w:pPr>
            <w:r>
              <w:rPr>
                <w:rFonts w:eastAsia="Times New Roman"/>
                <w:color w:val="000000"/>
                <w:sz w:val="18"/>
                <w:szCs w:val="18"/>
              </w:rPr>
              <w:t>Common shareholders and restricted share unitholders ($4.00 per share) (Note 9)</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(702,552)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(702,552)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(702,552)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(25,630)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w:t>
            </w:r>
            <w:r>
              <w:rPr>
                <w:rFonts w:eastAsia="Times New Roman"/>
                <w:color w:val="000000"/>
                <w:sz w:val="18"/>
                <w:szCs w:val="18"/>
              </w:rPr>
              <w:t>25,630)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(25,630)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divId w:val="386146260"/>
              <w:rPr>
                <w:rFonts w:eastAsia="Times New Roman"/>
              </w:rPr>
            </w:pPr>
            <w:r>
              <w:rPr>
                <w:rFonts w:eastAsia="Times New Roman"/>
                <w:b/>
                <w:bCs/>
                <w:color w:val="000000"/>
                <w:sz w:val="18"/>
                <w:szCs w:val="18"/>
              </w:rPr>
              <w:t>Balances at June 30, 2022</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17,524 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5,848,632 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(182,213)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(79,217)</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9,954,726 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93,622 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10,048,348 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jc w:val="center"/>
        <w:divId w:val="2110658112"/>
        <w:rPr>
          <w:rFonts w:eastAsia="Times New Roman"/>
        </w:rPr>
      </w:pPr>
      <w:r>
        <w:rPr>
          <w:rFonts w:eastAsia="Times New Roman"/>
          <w:color w:val="000000"/>
          <w:sz w:val="20"/>
          <w:szCs w:val="20"/>
        </w:rPr>
        <w:t>See accompanying notes.</w:t>
      </w:r>
    </w:p>
    <w:p w:rsidR="00000000" w:rsidRDefault="00D44B22">
      <w:pPr>
        <w:jc w:val="center"/>
        <w:divId w:val="2110658112"/>
        <w:rPr>
          <w:rFonts w:eastAsia="Times New Roman"/>
        </w:rPr>
      </w:pPr>
      <w:r>
        <w:rPr>
          <w:rFonts w:eastAsia="Times New Roman"/>
          <w:color w:val="000000"/>
          <w:sz w:val="20"/>
          <w:szCs w:val="20"/>
        </w:rPr>
        <w:t>6</w:t>
      </w:r>
    </w:p>
    <w:p w:rsidR="00000000" w:rsidRDefault="00D44B22">
      <w:pPr>
        <w:rPr>
          <w:rFonts w:eastAsia="Times New Roman"/>
        </w:rPr>
      </w:pPr>
      <w:r>
        <w:rPr>
          <w:rFonts w:eastAsia="Times New Roman"/>
        </w:rPr>
        <w:pict>
          <v:rect id="_x0000_i1032" style="width:0;height:1.5pt" o:hralign="center" o:hrstd="t" o:hr="t" fillcolor="#a0a0a0" stroked="f"/>
        </w:pict>
      </w:r>
    </w:p>
    <w:p w:rsidR="00000000" w:rsidRDefault="00D44B22">
      <w:pPr>
        <w:divId w:val="1398554904"/>
        <w:rPr>
          <w:rFonts w:eastAsia="Times New Roman"/>
        </w:rPr>
      </w:pPr>
    </w:p>
    <w:p w:rsidR="00000000" w:rsidRDefault="00D44B22">
      <w:pPr>
        <w:jc w:val="center"/>
        <w:rPr>
          <w:rFonts w:eastAsia="Times New Roman"/>
        </w:rPr>
      </w:pPr>
      <w:r>
        <w:rPr>
          <w:rFonts w:eastAsia="Times New Roman"/>
          <w:b/>
          <w:bCs/>
          <w:color w:val="000000"/>
          <w:sz w:val="20"/>
          <w:szCs w:val="20"/>
        </w:rPr>
        <w:t>PUBLIC STORAGE</w:t>
      </w:r>
    </w:p>
    <w:p w:rsidR="00000000" w:rsidRDefault="00D44B22">
      <w:pPr>
        <w:jc w:val="center"/>
        <w:rPr>
          <w:rFonts w:eastAsia="Times New Roman"/>
        </w:rPr>
      </w:pPr>
      <w:r>
        <w:rPr>
          <w:rFonts w:eastAsia="Times New Roman"/>
          <w:b/>
          <w:bCs/>
          <w:color w:val="000000"/>
          <w:sz w:val="20"/>
          <w:szCs w:val="20"/>
        </w:rPr>
        <w:t>CONSOLIDATED STATEMENTS OF EQUITY AND REDEEMABLE NONCONTROLLING INTERESTS</w:t>
      </w:r>
    </w:p>
    <w:p w:rsidR="00000000" w:rsidRDefault="00D44B22">
      <w:pPr>
        <w:jc w:val="center"/>
        <w:rPr>
          <w:rFonts w:eastAsia="Times New Roman"/>
        </w:rPr>
      </w:pPr>
      <w:r>
        <w:rPr>
          <w:rFonts w:eastAsia="Times New Roman"/>
          <w:b/>
          <w:bCs/>
          <w:color w:val="000000"/>
          <w:sz w:val="20"/>
          <w:szCs w:val="20"/>
        </w:rPr>
        <w:t>Six Months Ended June 30, 2021</w:t>
      </w:r>
    </w:p>
    <w:p w:rsidR="00000000" w:rsidRDefault="00D44B22">
      <w:pPr>
        <w:jc w:val="center"/>
        <w:rPr>
          <w:rFonts w:eastAsia="Times New Roman"/>
        </w:rPr>
      </w:pPr>
      <w:r>
        <w:rPr>
          <w:rFonts w:eastAsia="Times New Roman"/>
          <w:b/>
          <w:bCs/>
          <w:color w:val="000000"/>
          <w:sz w:val="20"/>
          <w:szCs w:val="20"/>
        </w:rPr>
        <w:t>(Amounts in thousands, except share and per share amounts)</w:t>
      </w:r>
    </w:p>
    <w:p w:rsidR="00000000" w:rsidRDefault="00D44B22">
      <w:pPr>
        <w:jc w:val="center"/>
        <w:rPr>
          <w:rFonts w:eastAsia="Times New Roman"/>
        </w:rPr>
      </w:pPr>
      <w:r>
        <w:rPr>
          <w:rFonts w:eastAsia="Times New Roman"/>
          <w:b/>
          <w:bCs/>
          <w:color w:val="000000"/>
          <w:sz w:val="20"/>
          <w:szCs w:val="20"/>
        </w:rPr>
        <w:t>(Unaudited)</w:t>
      </w:r>
    </w:p>
    <w:p w:rsidR="00000000" w:rsidRDefault="00D44B2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135"/>
        <w:gridCol w:w="37"/>
        <w:gridCol w:w="110"/>
        <w:gridCol w:w="765"/>
        <w:gridCol w:w="36"/>
        <w:gridCol w:w="36"/>
        <w:gridCol w:w="36"/>
        <w:gridCol w:w="36"/>
        <w:gridCol w:w="110"/>
        <w:gridCol w:w="540"/>
        <w:gridCol w:w="36"/>
        <w:gridCol w:w="36"/>
        <w:gridCol w:w="36"/>
        <w:gridCol w:w="36"/>
        <w:gridCol w:w="110"/>
        <w:gridCol w:w="765"/>
        <w:gridCol w:w="36"/>
        <w:gridCol w:w="36"/>
        <w:gridCol w:w="36"/>
        <w:gridCol w:w="36"/>
        <w:gridCol w:w="111"/>
        <w:gridCol w:w="773"/>
        <w:gridCol w:w="36"/>
        <w:gridCol w:w="36"/>
        <w:gridCol w:w="36"/>
        <w:gridCol w:w="36"/>
        <w:gridCol w:w="129"/>
        <w:gridCol w:w="904"/>
        <w:gridCol w:w="36"/>
        <w:gridCol w:w="36"/>
        <w:gridCol w:w="36"/>
        <w:gridCol w:w="36"/>
        <w:gridCol w:w="110"/>
        <w:gridCol w:w="765"/>
        <w:gridCol w:w="36"/>
        <w:gridCol w:w="36"/>
        <w:gridCol w:w="36"/>
        <w:gridCol w:w="36"/>
        <w:gridCol w:w="126"/>
        <w:gridCol w:w="880"/>
        <w:gridCol w:w="36"/>
        <w:gridCol w:w="36"/>
        <w:gridCol w:w="36"/>
        <w:gridCol w:w="36"/>
        <w:gridCol w:w="110"/>
        <w:gridCol w:w="765"/>
        <w:gridCol w:w="36"/>
        <w:gridCol w:w="36"/>
        <w:gridCol w:w="36"/>
        <w:gridCol w:w="36"/>
        <w:gridCol w:w="126"/>
        <w:gridCol w:w="880"/>
        <w:gridCol w:w="36"/>
      </w:tblGrid>
      <w:tr w:rsidR="00000000">
        <w:trPr>
          <w:jc w:val="center"/>
        </w:trPr>
        <w:tc>
          <w:tcPr>
            <w:tcW w:w="50" w:type="pct"/>
            <w:vAlign w:val="center"/>
            <w:hideMark/>
          </w:tcPr>
          <w:p w:rsidR="00000000" w:rsidRDefault="00D44B22">
            <w:pPr>
              <w:jc w:val="center"/>
              <w:rPr>
                <w:rFonts w:eastAsia="Times New Roman"/>
              </w:rPr>
            </w:pPr>
          </w:p>
        </w:tc>
        <w:tc>
          <w:tcPr>
            <w:tcW w:w="112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1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5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Cumulative Preferred Shares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Common Shares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Paid-in Capital</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Accumulated Deficit</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Accumulated</w:t>
            </w:r>
            <w:r>
              <w:rPr>
                <w:rFonts w:eastAsia="Times New Roman"/>
                <w:color w:val="000000"/>
                <w:sz w:val="16"/>
                <w:szCs w:val="16"/>
              </w:rPr>
              <w:br/>
              <w:t>Other Comprehensive Loss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Total</w:t>
            </w:r>
            <w:r>
              <w:rPr>
                <w:rFonts w:eastAsia="Times New Roman"/>
                <w:color w:val="000000"/>
                <w:sz w:val="16"/>
                <w:szCs w:val="16"/>
              </w:rPr>
              <w:br/>
              <w:t>Public Storage Shareholders' Equity</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Noncontrolling Interests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Total Equity</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6"/>
                <w:szCs w:val="16"/>
              </w:rPr>
              <w:t>Redeemable Noncontrolling Interests</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divId w:val="823398776"/>
              <w:rPr>
                <w:rFonts w:eastAsia="Times New Roman"/>
              </w:rPr>
            </w:pPr>
            <w:r>
              <w:rPr>
                <w:rFonts w:eastAsia="Times New Roman"/>
                <w:b/>
                <w:bCs/>
                <w:color w:val="000000"/>
                <w:sz w:val="18"/>
                <w:szCs w:val="18"/>
              </w:rPr>
              <w:t>Balances at December 31, 2020</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3,792,500 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5,707,101 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(914,791)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(43,401)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8,558,867 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18,032 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8,576,899 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789976267"/>
              <w:rPr>
                <w:rFonts w:eastAsia="Times New Roman"/>
              </w:rPr>
            </w:pPr>
            <w:r>
              <w:rPr>
                <w:rFonts w:eastAsia="Times New Roman"/>
                <w:color w:val="000000"/>
                <w:sz w:val="18"/>
                <w:szCs w:val="18"/>
              </w:rPr>
              <w:t>Issuance of 24,150 preferred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603,750 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(17,412)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586,338 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586,338 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1140734234"/>
              <w:rPr>
                <w:rFonts w:eastAsia="Times New Roman"/>
              </w:rPr>
            </w:pPr>
            <w:r>
              <w:rPr>
                <w:rFonts w:eastAsia="Times New Roman"/>
                <w:color w:val="000000"/>
                <w:sz w:val="18"/>
                <w:szCs w:val="18"/>
              </w:rPr>
              <w:t>Redemption and shares called for redemption of 21,000 preferred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(525,000)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950431419"/>
              <w:rPr>
                <w:rFonts w:eastAsia="Times New Roman"/>
              </w:rPr>
            </w:pPr>
            <w:r>
              <w:rPr>
                <w:rFonts w:eastAsia="Times New Roman"/>
                <w:color w:val="000000"/>
                <w:sz w:val="18"/>
                <w:szCs w:val="18"/>
              </w:rPr>
              <w:t>Issuance of common shares in connection with share-based compensation (282,695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47,570 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47,598 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47,598 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709302184"/>
              <w:rPr>
                <w:rFonts w:eastAsia="Times New Roman"/>
              </w:rPr>
            </w:pPr>
            <w:r>
              <w:rPr>
                <w:rFonts w:eastAsia="Times New Roman"/>
                <w:color w:val="000000"/>
                <w:sz w:val="18"/>
                <w:szCs w:val="18"/>
              </w:rPr>
              <w:t>Share-based compensation expense, net of cash paid in lieu of common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27,445 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27,445 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27,445 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Acquisition of noncontrolling interests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Contributions by noncontrolling interests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 xml:space="preserve">Net income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845,992 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845,992 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845,992 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 xml:space="preserve">Net income allocated to 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(2,530)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(2,530)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2,530 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Distributions to:</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Preferred shareholders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(92,263)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(92,263)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(92,263)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(2,807)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(2,807)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ind w:hanging="90"/>
              <w:divId w:val="360711147"/>
              <w:rPr>
                <w:rFonts w:eastAsia="Times New Roman"/>
              </w:rPr>
            </w:pPr>
            <w:r>
              <w:rPr>
                <w:rFonts w:eastAsia="Times New Roman"/>
                <w:color w:val="000000"/>
                <w:sz w:val="18"/>
                <w:szCs w:val="18"/>
              </w:rPr>
              <w:t>Common shareholders and restricted share unitholders ($4.00 per share)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(700,150)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(700,150)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(700,150)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comprehensive loss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(2,681)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(2,681)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(2,681)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divId w:val="1531995594"/>
              <w:rPr>
                <w:rFonts w:eastAsia="Times New Roman"/>
              </w:rPr>
            </w:pPr>
            <w:r>
              <w:rPr>
                <w:rFonts w:eastAsia="Times New Roman"/>
                <w:b/>
                <w:bCs/>
                <w:color w:val="000000"/>
                <w:sz w:val="18"/>
                <w:szCs w:val="18"/>
              </w:rPr>
              <w:t>Balances at June 30, 2021</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3,871,250 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17,486 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5,764,672 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(863,742)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(46,082)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8,743,584 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19,519 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8,763,103 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divId w:val="1267348183"/>
        <w:rPr>
          <w:rFonts w:eastAsia="Times New Roman"/>
        </w:rPr>
      </w:pPr>
    </w:p>
    <w:p w:rsidR="00000000" w:rsidRDefault="00D44B22">
      <w:pPr>
        <w:jc w:val="center"/>
        <w:divId w:val="113712561"/>
        <w:rPr>
          <w:rFonts w:eastAsia="Times New Roman"/>
        </w:rPr>
      </w:pPr>
      <w:r>
        <w:rPr>
          <w:rFonts w:eastAsia="Times New Roman"/>
          <w:color w:val="000000"/>
          <w:sz w:val="20"/>
          <w:szCs w:val="20"/>
        </w:rPr>
        <w:t>See accompanying notes.</w:t>
      </w:r>
    </w:p>
    <w:p w:rsidR="00000000" w:rsidRDefault="00D44B22">
      <w:pPr>
        <w:jc w:val="center"/>
        <w:divId w:val="113712561"/>
        <w:rPr>
          <w:rFonts w:eastAsia="Times New Roman"/>
        </w:rPr>
      </w:pPr>
      <w:r>
        <w:rPr>
          <w:rFonts w:eastAsia="Times New Roman"/>
          <w:color w:val="000000"/>
          <w:sz w:val="20"/>
          <w:szCs w:val="20"/>
        </w:rPr>
        <w:t>7</w:t>
      </w:r>
    </w:p>
    <w:p w:rsidR="00000000" w:rsidRDefault="00D44B22">
      <w:pPr>
        <w:rPr>
          <w:rFonts w:eastAsia="Times New Roman"/>
        </w:rPr>
      </w:pPr>
      <w:r>
        <w:rPr>
          <w:rFonts w:eastAsia="Times New Roman"/>
        </w:rPr>
        <w:pict>
          <v:rect id="_x0000_i1033" style="width:0;height:1.5pt" o:hralign="center" o:hrstd="t" o:hr="t" fillcolor="#a0a0a0" stroked="f"/>
        </w:pict>
      </w:r>
    </w:p>
    <w:p w:rsidR="00000000" w:rsidRDefault="00D44B22">
      <w:pPr>
        <w:divId w:val="27144821"/>
        <w:rPr>
          <w:rFonts w:eastAsia="Times New Roman"/>
        </w:rPr>
      </w:pPr>
    </w:p>
    <w:p w:rsidR="00000000" w:rsidRDefault="00D44B22">
      <w:pPr>
        <w:jc w:val="center"/>
        <w:rPr>
          <w:rFonts w:eastAsia="Times New Roman"/>
        </w:rPr>
      </w:pPr>
      <w:r>
        <w:rPr>
          <w:rFonts w:eastAsia="Times New Roman"/>
          <w:b/>
          <w:bCs/>
          <w:color w:val="000000"/>
          <w:sz w:val="20"/>
          <w:szCs w:val="20"/>
        </w:rPr>
        <w:t>PUBLIC STORAGE</w:t>
      </w:r>
    </w:p>
    <w:p w:rsidR="00000000" w:rsidRDefault="00D44B22">
      <w:pPr>
        <w:jc w:val="center"/>
        <w:rPr>
          <w:rFonts w:eastAsia="Times New Roman"/>
        </w:rPr>
      </w:pPr>
      <w:r>
        <w:rPr>
          <w:rFonts w:eastAsia="Times New Roman"/>
          <w:b/>
          <w:bCs/>
          <w:color w:val="000000"/>
          <w:sz w:val="20"/>
          <w:szCs w:val="20"/>
        </w:rPr>
        <w:t>CONSOLIDATED STATEMENTS OF CASH FLOWS</w:t>
      </w:r>
    </w:p>
    <w:p w:rsidR="00000000" w:rsidRDefault="00D44B22">
      <w:pPr>
        <w:jc w:val="center"/>
        <w:rPr>
          <w:rFonts w:eastAsia="Times New Roman"/>
        </w:rPr>
      </w:pPr>
      <w:r>
        <w:rPr>
          <w:rFonts w:eastAsia="Times New Roman"/>
          <w:b/>
          <w:bCs/>
          <w:color w:val="000000"/>
          <w:sz w:val="20"/>
          <w:szCs w:val="20"/>
        </w:rPr>
        <w:t>(Amounts in thousands)</w:t>
      </w:r>
    </w:p>
    <w:p w:rsidR="00000000" w:rsidRDefault="00D44B22">
      <w:pPr>
        <w:jc w:val="center"/>
        <w:rPr>
          <w:rFonts w:eastAsia="Times New Roman"/>
        </w:rPr>
      </w:pPr>
      <w:r>
        <w:rPr>
          <w:rFonts w:eastAsia="Times New Roman"/>
          <w:b/>
          <w:bCs/>
          <w:color w:val="000000"/>
          <w:sz w:val="20"/>
          <w:szCs w:val="20"/>
        </w:rPr>
        <w:t>(Unaudited)</w:t>
      </w:r>
    </w:p>
    <w:p w:rsidR="00000000" w:rsidRDefault="00D44B2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957"/>
        <w:gridCol w:w="40"/>
        <w:gridCol w:w="110"/>
        <w:gridCol w:w="1341"/>
        <w:gridCol w:w="36"/>
        <w:gridCol w:w="36"/>
        <w:gridCol w:w="36"/>
        <w:gridCol w:w="36"/>
        <w:gridCol w:w="112"/>
        <w:gridCol w:w="1309"/>
        <w:gridCol w:w="36"/>
        <w:gridCol w:w="36"/>
        <w:gridCol w:w="36"/>
        <w:gridCol w:w="36"/>
        <w:gridCol w:w="36"/>
        <w:gridCol w:w="36"/>
        <w:gridCol w:w="36"/>
      </w:tblGrid>
      <w:tr w:rsidR="00000000">
        <w:trPr>
          <w:jc w:val="center"/>
        </w:trPr>
        <w:tc>
          <w:tcPr>
            <w:tcW w:w="50" w:type="pct"/>
            <w:vAlign w:val="center"/>
            <w:hideMark/>
          </w:tcPr>
          <w:p w:rsidR="00000000" w:rsidRDefault="00D44B22">
            <w:pPr>
              <w:jc w:val="center"/>
              <w:rPr>
                <w:rFonts w:eastAsia="Times New Roman"/>
              </w:rPr>
            </w:pPr>
          </w:p>
        </w:tc>
        <w:tc>
          <w:tcPr>
            <w:tcW w:w="308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854"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854"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For the Six Months Ended June 30,</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Cash flows from operating activities: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vAlign w:val="center"/>
            <w:hideMark/>
          </w:tcPr>
          <w:p w:rsidR="00000000" w:rsidRDefault="00D44B22">
            <w:pPr>
              <w:spacing w:after="100"/>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income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1,173,188 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845,992 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Adjustments to reconcile net income to net cash flows from operating activities:</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(13,404)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440,836 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319,587 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Equity in earnings of unconsolidated real estate entities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(91,949)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(48,522)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Distributions from cumulative equity in earnings of unconsolidated real estate entities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46,593 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43,747 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Unrealized foreign currency exchange gain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(136,818)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(32,678)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Share-based compensation expense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30,856 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32,672 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Other </w:t>
            </w:r>
          </w:p>
        </w:tc>
        <w:tc>
          <w:tcPr>
            <w:tcW w:w="0" w:type="auto"/>
            <w:gridSpan w:val="2"/>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(8,933)</w:t>
            </w:r>
          </w:p>
        </w:tc>
        <w:tc>
          <w:tcPr>
            <w:tcW w:w="0" w:type="auto"/>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(16,939)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56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Total adjustments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280,585 </w:t>
            </w:r>
          </w:p>
        </w:tc>
        <w:tc>
          <w:tcPr>
            <w:tcW w:w="0" w:type="auto"/>
            <w:tcBorders>
              <w:top w:val="single" w:sz="8" w:space="0" w:color="000000"/>
            </w:tcBorders>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284,463 </w:t>
            </w:r>
          </w:p>
        </w:tc>
        <w:tc>
          <w:tcPr>
            <w:tcW w:w="0" w:type="auto"/>
            <w:tcBorders>
              <w:top w:val="single" w:sz="8" w:space="0" w:color="000000"/>
            </w:tcBorders>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cash flows from operating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1,453,773 </w:t>
            </w:r>
          </w:p>
        </w:tc>
        <w:tc>
          <w:tcPr>
            <w:tcW w:w="0" w:type="auto"/>
            <w:tcBorders>
              <w:top w:val="single" w:sz="8" w:space="0" w:color="000000"/>
            </w:tcBorders>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1,130,455 </w:t>
            </w:r>
          </w:p>
        </w:tc>
        <w:tc>
          <w:tcPr>
            <w:tcW w:w="0" w:type="auto"/>
            <w:tcBorders>
              <w:top w:val="single" w:sz="8" w:space="0" w:color="000000"/>
            </w:tcBorders>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Cash flows from investing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(212,473)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(90,644)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Development and expansion of real estate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(156,463)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(135,180)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Acquisition of real estate facilities and intangible assets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(231,417)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(2,518,358)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Distributions in excess of cumulative equity in earnings from unconsolidated real estate entities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4,537 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Proceeds from sale of real estate investments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15,713 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cash flows used in investing activities </w:t>
            </w: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(595,816)</w:t>
            </w:r>
          </w:p>
        </w:tc>
        <w:tc>
          <w:tcPr>
            <w:tcW w:w="0" w:type="auto"/>
            <w:tcBorders>
              <w:top w:val="single" w:sz="8" w:space="0" w:color="000000"/>
            </w:tcBorders>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(2,719,704)</w:t>
            </w:r>
          </w:p>
        </w:tc>
        <w:tc>
          <w:tcPr>
            <w:tcW w:w="0" w:type="auto"/>
            <w:tcBorders>
              <w:top w:val="single" w:sz="8" w:space="0" w:color="000000"/>
            </w:tcBorders>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Cash flows from financing activities: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Repayments on notes payable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(1,053)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Issuance of notes payable, net of issuance costs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2,482,529 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Issuance of preferred shares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242,832 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586,338 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Issuance of common shares in connection with share-based compensation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11,492 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47,598 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Redemption of preferred shares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(500,000)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Taxes paid upon net share settlement of restricted share units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(12,210)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(9,013)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Acquisition of 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Contributions by 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Distributions paid to preferred shareholders, common shareholders and restricted share unitholders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(799,502)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(792,413)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Distributions paid to noncontrolling interests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(21,697)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(2,807)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44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cash flows (used in) from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(577,859)</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1,812,911 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Net cash flows from operating, investing, and financing activities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280,098 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223,662 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Net effect of foreign exchange impact on cash and equivalents, including restricted cash</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Increase in cash and equivalents, including restricted cash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280,098 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223,835 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jc w:val="center"/>
        <w:divId w:val="26756385"/>
        <w:rPr>
          <w:rFonts w:eastAsia="Times New Roman"/>
        </w:rPr>
      </w:pPr>
      <w:r>
        <w:rPr>
          <w:rFonts w:eastAsia="Times New Roman"/>
          <w:color w:val="000000"/>
          <w:sz w:val="20"/>
          <w:szCs w:val="20"/>
        </w:rPr>
        <w:t>See accompanying notes.</w:t>
      </w:r>
    </w:p>
    <w:p w:rsidR="00000000" w:rsidRDefault="00D44B22">
      <w:pPr>
        <w:jc w:val="center"/>
        <w:divId w:val="26756385"/>
        <w:rPr>
          <w:rFonts w:eastAsia="Times New Roman"/>
        </w:rPr>
      </w:pPr>
      <w:r>
        <w:rPr>
          <w:rFonts w:eastAsia="Times New Roman"/>
          <w:color w:val="000000"/>
          <w:sz w:val="20"/>
          <w:szCs w:val="20"/>
        </w:rPr>
        <w:t>8</w:t>
      </w:r>
    </w:p>
    <w:p w:rsidR="00000000" w:rsidRDefault="00D44B22">
      <w:pPr>
        <w:rPr>
          <w:rFonts w:eastAsia="Times New Roman"/>
        </w:rPr>
      </w:pPr>
      <w:r>
        <w:rPr>
          <w:rFonts w:eastAsia="Times New Roman"/>
        </w:rPr>
        <w:pict>
          <v:rect id="_x0000_i1034" style="width:0;height:1.5pt" o:hralign="center" o:hrstd="t" o:hr="t" fillcolor="#a0a0a0" stroked="f"/>
        </w:pict>
      </w:r>
    </w:p>
    <w:p w:rsidR="00000000" w:rsidRDefault="00D44B22">
      <w:pPr>
        <w:divId w:val="2037189805"/>
        <w:rPr>
          <w:rFonts w:eastAsia="Times New Roman"/>
        </w:rPr>
      </w:pPr>
    </w:p>
    <w:p w:rsidR="00000000" w:rsidRDefault="00D44B22">
      <w:pPr>
        <w:jc w:val="center"/>
        <w:rPr>
          <w:rFonts w:eastAsia="Times New Roman"/>
        </w:rPr>
      </w:pPr>
      <w:r>
        <w:rPr>
          <w:rFonts w:eastAsia="Times New Roman"/>
          <w:b/>
          <w:bCs/>
          <w:color w:val="000000"/>
          <w:sz w:val="20"/>
          <w:szCs w:val="20"/>
        </w:rPr>
        <w:t>PUBLIC STORAGE</w:t>
      </w:r>
    </w:p>
    <w:p w:rsidR="00000000" w:rsidRDefault="00D44B22">
      <w:pPr>
        <w:jc w:val="center"/>
        <w:rPr>
          <w:rFonts w:eastAsia="Times New Roman"/>
        </w:rPr>
      </w:pPr>
      <w:r>
        <w:rPr>
          <w:rFonts w:eastAsia="Times New Roman"/>
          <w:b/>
          <w:bCs/>
          <w:color w:val="000000"/>
          <w:sz w:val="20"/>
          <w:szCs w:val="20"/>
        </w:rPr>
        <w:t>CONSOLIDATED STATEMENTS OF CASH FLOWS</w:t>
      </w:r>
    </w:p>
    <w:p w:rsidR="00000000" w:rsidRDefault="00D44B22">
      <w:pPr>
        <w:jc w:val="center"/>
        <w:rPr>
          <w:rFonts w:eastAsia="Times New Roman"/>
        </w:rPr>
      </w:pPr>
      <w:r>
        <w:rPr>
          <w:rFonts w:eastAsia="Times New Roman"/>
          <w:b/>
          <w:bCs/>
          <w:color w:val="000000"/>
          <w:sz w:val="20"/>
          <w:szCs w:val="20"/>
        </w:rPr>
        <w:t>(Amounts in thousands)</w:t>
      </w:r>
    </w:p>
    <w:p w:rsidR="00000000" w:rsidRDefault="00D44B22">
      <w:pPr>
        <w:jc w:val="center"/>
        <w:rPr>
          <w:rFonts w:eastAsia="Times New Roman"/>
        </w:rPr>
      </w:pPr>
      <w:r>
        <w:rPr>
          <w:rFonts w:eastAsia="Times New Roman"/>
          <w:b/>
          <w:bCs/>
          <w:color w:val="000000"/>
          <w:sz w:val="20"/>
          <w:szCs w:val="20"/>
        </w:rPr>
        <w:t>(Unaudited)</w:t>
      </w:r>
    </w:p>
    <w:p w:rsidR="00000000" w:rsidRDefault="00D44B22">
      <w:pPr>
        <w:jc w:val="center"/>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959"/>
        <w:gridCol w:w="38"/>
        <w:gridCol w:w="110"/>
        <w:gridCol w:w="1342"/>
        <w:gridCol w:w="36"/>
        <w:gridCol w:w="36"/>
        <w:gridCol w:w="36"/>
        <w:gridCol w:w="36"/>
        <w:gridCol w:w="110"/>
        <w:gridCol w:w="1310"/>
        <w:gridCol w:w="36"/>
        <w:gridCol w:w="36"/>
        <w:gridCol w:w="36"/>
        <w:gridCol w:w="36"/>
        <w:gridCol w:w="36"/>
        <w:gridCol w:w="36"/>
        <w:gridCol w:w="36"/>
      </w:tblGrid>
      <w:tr w:rsidR="00000000">
        <w:trPr>
          <w:jc w:val="center"/>
        </w:trPr>
        <w:tc>
          <w:tcPr>
            <w:tcW w:w="50" w:type="pct"/>
            <w:vAlign w:val="center"/>
            <w:hideMark/>
          </w:tcPr>
          <w:p w:rsidR="00000000" w:rsidRDefault="00D44B22">
            <w:pPr>
              <w:jc w:val="center"/>
              <w:rPr>
                <w:rFonts w:eastAsia="Times New Roman"/>
              </w:rPr>
            </w:pPr>
          </w:p>
        </w:tc>
        <w:tc>
          <w:tcPr>
            <w:tcW w:w="308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854"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854"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For the Six Months Ended June 30,</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Cash and equivalents, including restricted cash at beginning of the period: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734,599 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257,560 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26,691 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25,040 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761,290 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282,600 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Cash and equivalents, including restricted cash at end of the period: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Cash and equivalents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1,013,886 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480,810 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Restricted cash included in other assets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27,502 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25,625 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1,041,388 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506,435 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Supplemental schedule of non-cash investing and financing activities: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Costs incurred during the period remaining unpaid at period end for:</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Capital expenditures to maintain real estate facilities </w:t>
            </w:r>
          </w:p>
        </w:tc>
        <w:tc>
          <w:tcPr>
            <w:tcW w:w="0" w:type="auto"/>
            <w:tcMar>
              <w:top w:w="30" w:type="dxa"/>
              <w:left w:w="20" w:type="dxa"/>
              <w:bottom w:w="30" w:type="dxa"/>
              <w:right w:w="0" w:type="dxa"/>
            </w:tcMar>
            <w:vAlign w:val="center"/>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(15,796)</w:t>
            </w:r>
          </w:p>
        </w:tc>
        <w:tc>
          <w:tcPr>
            <w:tcW w:w="0" w:type="auto"/>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(13,728)</w:t>
            </w:r>
          </w:p>
        </w:tc>
        <w:tc>
          <w:tcPr>
            <w:tcW w:w="0" w:type="auto"/>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Construction or expansion of real estate facilities</w:t>
            </w:r>
          </w:p>
        </w:tc>
        <w:tc>
          <w:tcPr>
            <w:tcW w:w="0" w:type="auto"/>
            <w:gridSpan w:val="2"/>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(48,682)</w:t>
            </w:r>
          </w:p>
        </w:tc>
        <w:tc>
          <w:tcPr>
            <w:tcW w:w="0" w:type="auto"/>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(41,345)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Real estate acquired in exchange for noncontrolling interests</w:t>
            </w:r>
          </w:p>
        </w:tc>
        <w:tc>
          <w:tcPr>
            <w:tcW w:w="0" w:type="auto"/>
            <w:gridSpan w:val="2"/>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(19,865)</w:t>
            </w:r>
          </w:p>
        </w:tc>
        <w:tc>
          <w:tcPr>
            <w:tcW w:w="0" w:type="auto"/>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center"/>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28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Preferred shares called for redemption and reclassified to liabilities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325,000 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divId w:val="1472022476"/>
        <w:rPr>
          <w:rFonts w:eastAsia="Times New Roman"/>
        </w:rPr>
      </w:pPr>
    </w:p>
    <w:p w:rsidR="00000000" w:rsidRDefault="00D44B22">
      <w:pPr>
        <w:jc w:val="center"/>
        <w:divId w:val="22751613"/>
        <w:rPr>
          <w:rFonts w:eastAsia="Times New Roman"/>
        </w:rPr>
      </w:pPr>
      <w:r>
        <w:rPr>
          <w:rFonts w:eastAsia="Times New Roman"/>
          <w:color w:val="000000"/>
          <w:sz w:val="20"/>
          <w:szCs w:val="20"/>
        </w:rPr>
        <w:t>See accompanying notes.</w:t>
      </w:r>
    </w:p>
    <w:p w:rsidR="00000000" w:rsidRDefault="00D44B22">
      <w:pPr>
        <w:jc w:val="center"/>
        <w:divId w:val="22751613"/>
        <w:rPr>
          <w:rFonts w:eastAsia="Times New Roman"/>
        </w:rPr>
      </w:pPr>
      <w:r>
        <w:rPr>
          <w:rFonts w:eastAsia="Times New Roman"/>
          <w:color w:val="000000"/>
          <w:sz w:val="20"/>
          <w:szCs w:val="20"/>
        </w:rPr>
        <w:t>9</w:t>
      </w:r>
    </w:p>
    <w:p w:rsidR="00000000" w:rsidRDefault="00D44B22">
      <w:pPr>
        <w:rPr>
          <w:rFonts w:eastAsia="Times New Roman"/>
        </w:rPr>
      </w:pPr>
      <w:r>
        <w:rPr>
          <w:rFonts w:eastAsia="Times New Roman"/>
        </w:rPr>
        <w:pict>
          <v:rect id="_x0000_i1035" style="width:0;height:1.5pt" o:hralign="center" o:hrstd="t" o:hr="t" fillcolor="#a0a0a0" stroked="f"/>
        </w:pict>
      </w:r>
    </w:p>
    <w:p w:rsidR="00000000" w:rsidRDefault="00D44B22">
      <w:pPr>
        <w:jc w:val="center"/>
        <w:divId w:val="1066807172"/>
        <w:rPr>
          <w:rFonts w:eastAsia="Times New Roman"/>
        </w:rPr>
      </w:pPr>
    </w:p>
    <w:p w:rsidR="00000000" w:rsidRDefault="00D44B22">
      <w:pPr>
        <w:jc w:val="center"/>
        <w:divId w:val="1066807172"/>
        <w:rPr>
          <w:rFonts w:eastAsia="Times New Roman"/>
        </w:rPr>
      </w:pPr>
      <w:r>
        <w:rPr>
          <w:rFonts w:eastAsia="Times New Roman"/>
          <w:b/>
          <w:bCs/>
          <w:color w:val="000000"/>
          <w:sz w:val="20"/>
          <w:szCs w:val="20"/>
        </w:rPr>
        <w:t>PUBLIC STORAGE</w:t>
      </w:r>
    </w:p>
    <w:p w:rsidR="00000000" w:rsidRDefault="00D44B22">
      <w:pPr>
        <w:jc w:val="center"/>
        <w:divId w:val="1066807172"/>
        <w:rPr>
          <w:rFonts w:eastAsia="Times New Roman"/>
        </w:rPr>
      </w:pPr>
      <w:r>
        <w:rPr>
          <w:rFonts w:eastAsia="Times New Roman"/>
          <w:b/>
          <w:bCs/>
          <w:color w:val="000000"/>
          <w:sz w:val="20"/>
          <w:szCs w:val="20"/>
        </w:rPr>
        <w:t>NOTES TO CONSOLIDATED FINANCIAL STATEMENTS</w:t>
      </w:r>
    </w:p>
    <w:p w:rsidR="00000000" w:rsidRDefault="00D44B22">
      <w:pPr>
        <w:jc w:val="center"/>
        <w:divId w:val="1066807172"/>
        <w:rPr>
          <w:rFonts w:eastAsia="Times New Roman"/>
        </w:rPr>
      </w:pPr>
      <w:r>
        <w:rPr>
          <w:rFonts w:eastAsia="Times New Roman"/>
          <w:b/>
          <w:bCs/>
          <w:color w:val="000000"/>
          <w:sz w:val="20"/>
          <w:szCs w:val="20"/>
        </w:rPr>
        <w:t>June 30, 2022</w:t>
      </w:r>
    </w:p>
    <w:p w:rsidR="00000000" w:rsidRDefault="00D44B22">
      <w:pPr>
        <w:jc w:val="center"/>
        <w:divId w:val="1066807172"/>
        <w:rPr>
          <w:rFonts w:eastAsia="Times New Roman"/>
        </w:rPr>
      </w:pPr>
      <w:r>
        <w:rPr>
          <w:rFonts w:eastAsia="Times New Roman"/>
          <w:b/>
          <w:bCs/>
          <w:color w:val="000000"/>
          <w:sz w:val="20"/>
          <w:szCs w:val="20"/>
        </w:rPr>
        <w:t>(Unaudited)</w:t>
      </w:r>
    </w:p>
    <w:p w:rsidR="00000000" w:rsidRDefault="00D44B22">
      <w:pPr>
        <w:jc w:val="center"/>
        <w:divId w:val="1066807172"/>
        <w:rPr>
          <w:rFonts w:eastAsia="Times New Roman"/>
        </w:rPr>
      </w:pPr>
    </w:p>
    <w:p w:rsidR="00000000" w:rsidRDefault="00D44B22">
      <w:pPr>
        <w:divId w:val="1903901455"/>
        <w:rPr>
          <w:rFonts w:eastAsia="Times New Roman"/>
        </w:rPr>
      </w:pPr>
    </w:p>
    <w:p w:rsidR="00000000" w:rsidRDefault="00D44B22">
      <w:pPr>
        <w:ind w:hanging="360"/>
        <w:divId w:val="947472574"/>
        <w:rPr>
          <w:rFonts w:eastAsia="Times New Roman"/>
        </w:rPr>
      </w:pPr>
      <w:r>
        <w:rPr>
          <w:rFonts w:eastAsia="Times New Roman"/>
          <w:color w:val="000000"/>
          <w:sz w:val="20"/>
          <w:szCs w:val="20"/>
        </w:rPr>
        <w:t>1.</w:t>
      </w:r>
      <w:r>
        <w:rPr>
          <w:rFonts w:eastAsia="Times New Roman"/>
          <w:color w:val="000000"/>
          <w:sz w:val="20"/>
          <w:szCs w:val="20"/>
          <w:u w:val="single"/>
        </w:rPr>
        <w:t>Description of the Business</w:t>
      </w:r>
    </w:p>
    <w:p w:rsidR="00000000" w:rsidRDefault="00D44B22">
      <w:pPr>
        <w:ind w:firstLine="720"/>
        <w:jc w:val="both"/>
        <w:divId w:val="1264532398"/>
        <w:rPr>
          <w:rFonts w:eastAsia="Times New Roman"/>
        </w:rPr>
      </w:pPr>
      <w:r>
        <w:rPr>
          <w:rFonts w:eastAsia="Times New Roman"/>
          <w:color w:val="000000"/>
          <w:sz w:val="20"/>
          <w:szCs w:val="20"/>
        </w:rPr>
        <w:t>Public Storage (referred to herein as “the Company,” “we,” “us,” or “our”), a Maryland real estate i</w:t>
      </w:r>
      <w:r>
        <w:rPr>
          <w:rFonts w:eastAsia="Times New Roman"/>
          <w:color w:val="000000"/>
          <w:sz w:val="20"/>
          <w:szCs w:val="20"/>
        </w:rPr>
        <w:t>nvestment trust (“REIT”), was organized in 1980. Our principal business activities include the ownership and operation of self-storage facilities that offer storage spaces for lease, generally on a month-to-month basis, for personal and business use, ancil</w:t>
      </w:r>
      <w:r>
        <w:rPr>
          <w:rFonts w:eastAsia="Times New Roman"/>
          <w:color w:val="000000"/>
          <w:sz w:val="20"/>
          <w:szCs w:val="20"/>
        </w:rPr>
        <w:t xml:space="preserve">lary activities such as tenant reinsurance, merchandise sales, and third party management, as well as the acquisition and development of additional self-storage space. </w:t>
      </w:r>
    </w:p>
    <w:p w:rsidR="00000000" w:rsidRDefault="00D44B22">
      <w:pPr>
        <w:ind w:firstLine="720"/>
        <w:jc w:val="both"/>
        <w:divId w:val="616567122"/>
        <w:rPr>
          <w:rFonts w:eastAsia="Times New Roman"/>
        </w:rPr>
      </w:pPr>
      <w:r>
        <w:rPr>
          <w:rFonts w:eastAsia="Times New Roman"/>
          <w:color w:val="000000"/>
          <w:sz w:val="20"/>
          <w:szCs w:val="20"/>
        </w:rPr>
        <w:t>At June 30, 2022, we had direct and indirect equity interests in 2,807 self-storage fac</w:t>
      </w:r>
      <w:r>
        <w:rPr>
          <w:rFonts w:eastAsia="Times New Roman"/>
          <w:color w:val="000000"/>
          <w:sz w:val="20"/>
          <w:szCs w:val="20"/>
        </w:rPr>
        <w:t xml:space="preserve">ilities (with approximately 200.1 million net rentable square feet) located in 39 states in the United States (“U.S.”) operating under the Public Storage® name, and 0.9 million net rentable square feet of commercial and retail space. </w:t>
      </w:r>
    </w:p>
    <w:p w:rsidR="00000000" w:rsidRDefault="00D44B22">
      <w:pPr>
        <w:ind w:firstLine="720"/>
        <w:jc w:val="both"/>
        <w:divId w:val="39789189"/>
        <w:rPr>
          <w:rFonts w:eastAsia="Times New Roman"/>
        </w:rPr>
      </w:pPr>
      <w:r>
        <w:rPr>
          <w:rFonts w:eastAsia="Times New Roman"/>
          <w:color w:val="000000"/>
          <w:sz w:val="20"/>
          <w:szCs w:val="20"/>
        </w:rPr>
        <w:t xml:space="preserve">At June 30, 2022, we </w:t>
      </w:r>
      <w:r>
        <w:rPr>
          <w:rFonts w:eastAsia="Times New Roman"/>
          <w:color w:val="000000"/>
          <w:sz w:val="20"/>
          <w:szCs w:val="20"/>
        </w:rPr>
        <w:t>owned a 35% common equity interest in Shurgard Self Storage SA (“Shurgard”), a public company traded on Euronext Brussels under the “SHUR” symbol, which owned 256 self-storage facilities (with approximately 14 million net rentable square feet) located in s</w:t>
      </w:r>
      <w:r>
        <w:rPr>
          <w:rFonts w:eastAsia="Times New Roman"/>
          <w:color w:val="000000"/>
          <w:sz w:val="20"/>
          <w:szCs w:val="20"/>
        </w:rPr>
        <w:t>even Western European countries, all operating under the Shurgard® name. We also owned a 41% common equity interest in PS Business Parks, Inc. (“PSB”), a REIT traded on the New York Stock Exchange under the “PSB” symbol, which owned 27 million net rentable</w:t>
      </w:r>
      <w:r>
        <w:rPr>
          <w:rFonts w:eastAsia="Times New Roman"/>
          <w:color w:val="000000"/>
          <w:sz w:val="20"/>
          <w:szCs w:val="20"/>
        </w:rPr>
        <w:t xml:space="preserve"> square feet of commercial properties, primarily multi-tenant industrial, flex, and office space, located in six states.</w:t>
      </w:r>
    </w:p>
    <w:p w:rsidR="00000000" w:rsidRDefault="00D44B22">
      <w:pPr>
        <w:ind w:firstLine="720"/>
        <w:jc w:val="both"/>
        <w:divId w:val="1371956046"/>
        <w:rPr>
          <w:rFonts w:eastAsia="Times New Roman"/>
        </w:rPr>
      </w:pPr>
      <w:r>
        <w:rPr>
          <w:rFonts w:eastAsia="Times New Roman"/>
          <w:color w:val="000000"/>
          <w:sz w:val="20"/>
          <w:szCs w:val="20"/>
        </w:rPr>
        <w:t>Refer to Note 15. Subsequent Events for information regarding PSB’s closed merger transaction with affiliates of Blackstone Real Estate</w:t>
      </w:r>
      <w:r>
        <w:rPr>
          <w:rFonts w:eastAsia="Times New Roman"/>
          <w:color w:val="000000"/>
          <w:sz w:val="20"/>
          <w:szCs w:val="20"/>
        </w:rPr>
        <w:t xml:space="preserve"> ("Blackstone") on July 20, 2022, which resulted in the sale of our 41% common equity interest in PSB in its entirety.</w:t>
      </w:r>
    </w:p>
    <w:p w:rsidR="00000000" w:rsidRDefault="00D44B22">
      <w:pPr>
        <w:ind w:hanging="360"/>
        <w:divId w:val="1085763091"/>
        <w:rPr>
          <w:rFonts w:eastAsia="Times New Roman"/>
        </w:rPr>
      </w:pPr>
      <w:r>
        <w:rPr>
          <w:rFonts w:eastAsia="Times New Roman"/>
          <w:color w:val="000000"/>
          <w:sz w:val="20"/>
          <w:szCs w:val="20"/>
        </w:rPr>
        <w:t>2.</w:t>
      </w:r>
      <w:r>
        <w:rPr>
          <w:rFonts w:eastAsia="Times New Roman"/>
          <w:color w:val="000000"/>
          <w:sz w:val="20"/>
          <w:szCs w:val="20"/>
          <w:u w:val="single"/>
        </w:rPr>
        <w:t>Basis of Presentation and Summary of Significant Accounting Policies</w:t>
      </w:r>
    </w:p>
    <w:p w:rsidR="00000000" w:rsidRDefault="00D44B22">
      <w:pPr>
        <w:jc w:val="both"/>
        <w:divId w:val="1764498239"/>
        <w:rPr>
          <w:rFonts w:eastAsia="Times New Roman"/>
        </w:rPr>
      </w:pPr>
      <w:r>
        <w:rPr>
          <w:rFonts w:eastAsia="Times New Roman"/>
          <w:color w:val="000000"/>
          <w:sz w:val="20"/>
          <w:szCs w:val="20"/>
          <w:u w:val="single"/>
        </w:rPr>
        <w:t>Basis of Presentation</w:t>
      </w:r>
    </w:p>
    <w:p w:rsidR="00000000" w:rsidRDefault="00D44B22">
      <w:pPr>
        <w:ind w:firstLine="720"/>
        <w:jc w:val="both"/>
        <w:divId w:val="1470053162"/>
        <w:rPr>
          <w:rFonts w:eastAsia="Times New Roman"/>
        </w:rPr>
      </w:pPr>
      <w:r>
        <w:rPr>
          <w:rFonts w:eastAsia="Times New Roman"/>
          <w:color w:val="000000"/>
          <w:sz w:val="20"/>
          <w:szCs w:val="20"/>
        </w:rPr>
        <w:t>We have prepared the accompanying interim consolidated financial statements in accordance with U.S. generally accepted accounting principles (“GAAP”) as set forth in the Accounting Standards Codification of the Financial Accounting Standards Board (“FASB”)</w:t>
      </w:r>
      <w:r>
        <w:rPr>
          <w:rFonts w:eastAsia="Times New Roman"/>
          <w:color w:val="000000"/>
          <w:sz w:val="20"/>
          <w:szCs w:val="20"/>
        </w:rPr>
        <w:t>, and in conformity with the rules and regulations of the Securities and Exchange Commission (“SEC”). In our opinion, the interim consolidated financial statements presented herein reflect all adjustments, primarily of a normal recurring nature, that are n</w:t>
      </w:r>
      <w:r>
        <w:rPr>
          <w:rFonts w:eastAsia="Times New Roman"/>
          <w:color w:val="000000"/>
          <w:sz w:val="20"/>
          <w:szCs w:val="20"/>
        </w:rPr>
        <w:t xml:space="preserve">ecessary to present fairly the interim consolidated financial statements. Because they do not include all of the disclosures required by GAAP for complete annual financial statements, these interim consolidated financial statements should be read together </w:t>
      </w:r>
      <w:r>
        <w:rPr>
          <w:rFonts w:eastAsia="Times New Roman"/>
          <w:color w:val="000000"/>
          <w:sz w:val="20"/>
          <w:szCs w:val="20"/>
        </w:rPr>
        <w:t>with the audited Consolidated Financial Statements and related Notes included in the Company’s Annual Report on Form 10-K for the year ended December 31, 2021.</w:t>
      </w:r>
    </w:p>
    <w:p w:rsidR="00000000" w:rsidRDefault="00D44B22">
      <w:pPr>
        <w:ind w:firstLine="720"/>
        <w:jc w:val="both"/>
        <w:divId w:val="1680546058"/>
        <w:rPr>
          <w:rFonts w:eastAsia="Times New Roman"/>
        </w:rPr>
      </w:pPr>
      <w:r>
        <w:rPr>
          <w:rFonts w:eastAsia="Times New Roman"/>
          <w:color w:val="000000"/>
          <w:sz w:val="20"/>
          <w:szCs w:val="20"/>
        </w:rPr>
        <w:t>Disclosures of the number and square footage of facilities, as well as the number and coverage o</w:t>
      </w:r>
      <w:r>
        <w:rPr>
          <w:rFonts w:eastAsia="Times New Roman"/>
          <w:color w:val="000000"/>
          <w:sz w:val="20"/>
          <w:szCs w:val="20"/>
        </w:rPr>
        <w:t xml:space="preserve">f tenant reinsurance policies (Note 14) are unaudited and outside the scope of our independent registered public accounting firm’s review of our financial statements in accordance with the standards of the Public Company Accounting Oversight Board (U.S.). </w:t>
      </w:r>
    </w:p>
    <w:p w:rsidR="00000000" w:rsidRDefault="00D44B22">
      <w:pPr>
        <w:ind w:firstLine="720"/>
        <w:jc w:val="both"/>
        <w:divId w:val="649209151"/>
        <w:rPr>
          <w:rFonts w:eastAsia="Times New Roman"/>
        </w:rPr>
      </w:pPr>
      <w:r>
        <w:rPr>
          <w:rFonts w:eastAsia="Times New Roman"/>
          <w:color w:val="000000"/>
          <w:sz w:val="20"/>
          <w:szCs w:val="20"/>
        </w:rPr>
        <w:t>Operating results for the three and six months ended June 30, 2022 are not necessarily indicative of the results that may be expected for the year ending December 31, 2022.</w:t>
      </w:r>
    </w:p>
    <w:p w:rsidR="00000000" w:rsidRDefault="00D44B22">
      <w:pPr>
        <w:jc w:val="both"/>
        <w:divId w:val="1809275745"/>
        <w:rPr>
          <w:rFonts w:eastAsia="Times New Roman"/>
        </w:rPr>
      </w:pPr>
      <w:r>
        <w:rPr>
          <w:rFonts w:eastAsia="Times New Roman"/>
          <w:color w:val="000000"/>
          <w:sz w:val="20"/>
          <w:szCs w:val="20"/>
          <w:u w:val="single"/>
        </w:rPr>
        <w:t>Summary of Significant Accounting Policies</w:t>
      </w:r>
    </w:p>
    <w:p w:rsidR="00000000" w:rsidRDefault="00D44B22">
      <w:pPr>
        <w:ind w:firstLine="720"/>
        <w:jc w:val="both"/>
        <w:divId w:val="1063018516"/>
        <w:rPr>
          <w:rFonts w:eastAsia="Times New Roman"/>
        </w:rPr>
      </w:pPr>
      <w:r>
        <w:rPr>
          <w:rFonts w:eastAsia="Times New Roman"/>
          <w:color w:val="000000"/>
          <w:sz w:val="20"/>
          <w:szCs w:val="20"/>
        </w:rPr>
        <w:t xml:space="preserve">There have been no significant changes </w:t>
      </w:r>
      <w:r>
        <w:rPr>
          <w:rFonts w:eastAsia="Times New Roman"/>
          <w:color w:val="000000"/>
          <w:sz w:val="20"/>
          <w:szCs w:val="20"/>
        </w:rPr>
        <w:t xml:space="preserve">to the Company's significant accounting policies described in Note 2, </w:t>
      </w:r>
      <w:r>
        <w:rPr>
          <w:rFonts w:eastAsia="Times New Roman"/>
          <w:i/>
          <w:iCs/>
          <w:color w:val="000000"/>
          <w:sz w:val="20"/>
          <w:szCs w:val="20"/>
        </w:rPr>
        <w:t>Basis of Presentation and Summary of Significant Accounting Policies</w:t>
      </w:r>
      <w:r>
        <w:rPr>
          <w:rFonts w:eastAsia="Times New Roman"/>
          <w:color w:val="000000"/>
          <w:sz w:val="20"/>
          <w:szCs w:val="20"/>
        </w:rPr>
        <w:t>, in Notes to Consolidated Financial Statements included in Item 8 of Part II of the Company's Annual Report on Form 1</w:t>
      </w:r>
      <w:r>
        <w:rPr>
          <w:rFonts w:eastAsia="Times New Roman"/>
          <w:color w:val="000000"/>
          <w:sz w:val="20"/>
          <w:szCs w:val="20"/>
        </w:rPr>
        <w:t>0-K for the year ended December 31, 2021.</w:t>
      </w:r>
    </w:p>
    <w:p w:rsidR="00000000" w:rsidRDefault="00D44B22">
      <w:pPr>
        <w:jc w:val="center"/>
        <w:divId w:val="342437662"/>
        <w:rPr>
          <w:rFonts w:eastAsia="Times New Roman"/>
        </w:rPr>
      </w:pPr>
      <w:r>
        <w:rPr>
          <w:rFonts w:eastAsia="Times New Roman"/>
          <w:color w:val="000000"/>
          <w:sz w:val="20"/>
          <w:szCs w:val="20"/>
        </w:rPr>
        <w:t>10</w:t>
      </w:r>
    </w:p>
    <w:p w:rsidR="00000000" w:rsidRDefault="00D44B22">
      <w:pPr>
        <w:rPr>
          <w:rFonts w:eastAsia="Times New Roman"/>
        </w:rPr>
      </w:pPr>
      <w:r>
        <w:rPr>
          <w:rFonts w:eastAsia="Times New Roman"/>
        </w:rPr>
        <w:pict>
          <v:rect id="_x0000_i1036" style="width:0;height:1.5pt" o:hralign="center" o:hrstd="t" o:hr="t" fillcolor="#a0a0a0" stroked="f"/>
        </w:pict>
      </w:r>
    </w:p>
    <w:p w:rsidR="00000000" w:rsidRDefault="00D44B22">
      <w:pPr>
        <w:jc w:val="center"/>
        <w:divId w:val="1573543183"/>
        <w:rPr>
          <w:rFonts w:eastAsia="Times New Roman"/>
        </w:rPr>
      </w:pPr>
    </w:p>
    <w:p w:rsidR="00000000" w:rsidRDefault="00D44B22">
      <w:pPr>
        <w:jc w:val="center"/>
        <w:divId w:val="1573543183"/>
        <w:rPr>
          <w:rFonts w:eastAsia="Times New Roman"/>
        </w:rPr>
      </w:pPr>
      <w:r>
        <w:rPr>
          <w:rFonts w:eastAsia="Times New Roman"/>
          <w:b/>
          <w:bCs/>
          <w:color w:val="000000"/>
          <w:sz w:val="20"/>
          <w:szCs w:val="20"/>
        </w:rPr>
        <w:t>PUBLIC STORAGE</w:t>
      </w:r>
    </w:p>
    <w:p w:rsidR="00000000" w:rsidRDefault="00D44B22">
      <w:pPr>
        <w:jc w:val="center"/>
        <w:divId w:val="1573543183"/>
        <w:rPr>
          <w:rFonts w:eastAsia="Times New Roman"/>
        </w:rPr>
      </w:pPr>
      <w:r>
        <w:rPr>
          <w:rFonts w:eastAsia="Times New Roman"/>
          <w:b/>
          <w:bCs/>
          <w:color w:val="000000"/>
          <w:sz w:val="20"/>
          <w:szCs w:val="20"/>
        </w:rPr>
        <w:t>NOTES TO CONSOLIDATED FINANCIAL STATEMENTS</w:t>
      </w:r>
    </w:p>
    <w:p w:rsidR="00000000" w:rsidRDefault="00D44B22">
      <w:pPr>
        <w:jc w:val="center"/>
        <w:divId w:val="1573543183"/>
        <w:rPr>
          <w:rFonts w:eastAsia="Times New Roman"/>
        </w:rPr>
      </w:pPr>
      <w:r>
        <w:rPr>
          <w:rFonts w:eastAsia="Times New Roman"/>
          <w:b/>
          <w:bCs/>
          <w:color w:val="000000"/>
          <w:sz w:val="20"/>
          <w:szCs w:val="20"/>
        </w:rPr>
        <w:t>June 30, 2022</w:t>
      </w:r>
    </w:p>
    <w:p w:rsidR="00000000" w:rsidRDefault="00D44B22">
      <w:pPr>
        <w:jc w:val="center"/>
        <w:divId w:val="1573543183"/>
        <w:rPr>
          <w:rFonts w:eastAsia="Times New Roman"/>
        </w:rPr>
      </w:pPr>
      <w:r>
        <w:rPr>
          <w:rFonts w:eastAsia="Times New Roman"/>
          <w:b/>
          <w:bCs/>
          <w:color w:val="000000"/>
          <w:sz w:val="20"/>
          <w:szCs w:val="20"/>
        </w:rPr>
        <w:t>(Unaudited)</w:t>
      </w:r>
    </w:p>
    <w:p w:rsidR="00000000" w:rsidRDefault="00D44B22">
      <w:pPr>
        <w:jc w:val="center"/>
        <w:divId w:val="1573543183"/>
        <w:rPr>
          <w:rFonts w:eastAsia="Times New Roman"/>
        </w:rPr>
      </w:pPr>
    </w:p>
    <w:p w:rsidR="00000000" w:rsidRDefault="00D44B22">
      <w:pPr>
        <w:ind w:hanging="360"/>
        <w:divId w:val="1049454918"/>
        <w:rPr>
          <w:rFonts w:eastAsia="Times New Roman"/>
        </w:rPr>
      </w:pPr>
      <w:r>
        <w:rPr>
          <w:rFonts w:eastAsia="Times New Roman"/>
          <w:color w:val="000000"/>
          <w:sz w:val="20"/>
          <w:szCs w:val="20"/>
        </w:rPr>
        <w:t>3.</w:t>
      </w:r>
      <w:r>
        <w:rPr>
          <w:rFonts w:eastAsia="Times New Roman"/>
          <w:color w:val="000000"/>
          <w:sz w:val="20"/>
          <w:szCs w:val="20"/>
          <w:u w:val="single"/>
        </w:rPr>
        <w:t>Real Estate Facilities</w:t>
      </w:r>
    </w:p>
    <w:p w:rsidR="00000000" w:rsidRDefault="00D44B22">
      <w:pPr>
        <w:divId w:val="928925214"/>
        <w:rPr>
          <w:rFonts w:eastAsia="Times New Roman"/>
        </w:rPr>
      </w:pPr>
    </w:p>
    <w:p w:rsidR="00000000" w:rsidRDefault="00D44B22">
      <w:pPr>
        <w:ind w:firstLine="720"/>
        <w:divId w:val="55786933"/>
        <w:rPr>
          <w:rFonts w:eastAsia="Times New Roman"/>
        </w:rPr>
      </w:pPr>
      <w:r>
        <w:rPr>
          <w:rFonts w:eastAsia="Times New Roman"/>
          <w:color w:val="000000"/>
          <w:sz w:val="20"/>
          <w:szCs w:val="20"/>
        </w:rPr>
        <w:t>Activity in real estate facilities during the six months ended June 30, 2022 is as follows:</w:t>
      </w:r>
    </w:p>
    <w:tbl>
      <w:tblPr>
        <w:tblW w:w="4742" w:type="pct"/>
        <w:jc w:val="center"/>
        <w:tblCellMar>
          <w:top w:w="15" w:type="dxa"/>
          <w:left w:w="15" w:type="dxa"/>
          <w:bottom w:w="15" w:type="dxa"/>
          <w:right w:w="15" w:type="dxa"/>
        </w:tblCellMar>
        <w:tblLook w:val="04A0" w:firstRow="1" w:lastRow="0" w:firstColumn="1" w:lastColumn="0" w:noHBand="0" w:noVBand="1"/>
      </w:tblPr>
      <w:tblGrid>
        <w:gridCol w:w="39"/>
        <w:gridCol w:w="5627"/>
        <w:gridCol w:w="38"/>
        <w:gridCol w:w="120"/>
        <w:gridCol w:w="1585"/>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44B22">
            <w:pPr>
              <w:ind w:firstLine="720"/>
              <w:rPr>
                <w:rFonts w:eastAsia="Times New Roman"/>
              </w:rPr>
            </w:pPr>
          </w:p>
        </w:tc>
        <w:tc>
          <w:tcPr>
            <w:tcW w:w="380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108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 2022</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(Amounts in thousands)</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Operating facilities, at cost:</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Beginning balance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22,807,833 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Capital expenditures to maintain real estate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205,558 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Acquisitions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246,274 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(383)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56,266 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23,315,548 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Accumulated depreciation: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(7,773,308)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Depreciation expense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(376,986)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Dispositions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181 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(8,150,113)</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Construction in process: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Beginning balance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272,471 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Costs incurred to develop and expand real estate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163,855 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or expanded facilities opened for operation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(56,266)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Ending balance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380,060 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644700862"/>
              <w:rPr>
                <w:rFonts w:eastAsia="Times New Roman"/>
              </w:rPr>
            </w:pPr>
            <w:r>
              <w:rPr>
                <w:rFonts w:eastAsia="Times New Roman"/>
                <w:color w:val="000000"/>
                <w:sz w:val="20"/>
                <w:szCs w:val="20"/>
              </w:rPr>
              <w:t>Total real estate facilities at June 30, 2022</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15,545,495 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ind w:firstLine="720"/>
        <w:jc w:val="both"/>
        <w:divId w:val="1166551546"/>
        <w:rPr>
          <w:rFonts w:eastAsia="Times New Roman"/>
        </w:rPr>
      </w:pPr>
      <w:r>
        <w:rPr>
          <w:rFonts w:eastAsia="Times New Roman"/>
          <w:color w:val="000000"/>
          <w:sz w:val="20"/>
          <w:szCs w:val="20"/>
        </w:rPr>
        <w:t xml:space="preserve">During the six months ended June 30, 2022, we acquired 20 self-storage facilities (1.5 </w:t>
      </w:r>
      <w:r>
        <w:rPr>
          <w:rFonts w:eastAsia="Times New Roman"/>
          <w:color w:val="000000"/>
          <w:sz w:val="20"/>
          <w:szCs w:val="20"/>
        </w:rPr>
        <w:t>million net rentable square feet of storage space), for a total cost of $251.3 million, consisting $231.4 million in cash and $19.9 million in partnership units in our subsidiary. Approximately $5.0 million of the total cost was allocated to intangible ass</w:t>
      </w:r>
      <w:r>
        <w:rPr>
          <w:rFonts w:eastAsia="Times New Roman"/>
          <w:color w:val="000000"/>
          <w:sz w:val="20"/>
          <w:szCs w:val="20"/>
        </w:rPr>
        <w:t xml:space="preserve">ets. We completed development and redevelopment activities costing $56.3 million during the six months ended June 30, 2022, adding 0.4 million net rentable square feet of self-storage space. Construction in process at June 30, 2022 consists of projects to </w:t>
      </w:r>
      <w:r>
        <w:rPr>
          <w:rFonts w:eastAsia="Times New Roman"/>
          <w:color w:val="000000"/>
          <w:sz w:val="20"/>
          <w:szCs w:val="20"/>
        </w:rPr>
        <w:t xml:space="preserve">develop new self-storage facilities and expand existing self-storage facilities. </w:t>
      </w:r>
    </w:p>
    <w:p w:rsidR="00000000" w:rsidRDefault="00D44B22">
      <w:pPr>
        <w:ind w:hanging="360"/>
        <w:divId w:val="1583905819"/>
        <w:rPr>
          <w:rFonts w:eastAsia="Times New Roman"/>
        </w:rPr>
      </w:pPr>
      <w:r>
        <w:rPr>
          <w:rFonts w:eastAsia="Times New Roman"/>
          <w:color w:val="000000"/>
          <w:sz w:val="20"/>
          <w:szCs w:val="20"/>
        </w:rPr>
        <w:t>4.</w:t>
      </w:r>
      <w:r>
        <w:rPr>
          <w:rFonts w:eastAsia="Times New Roman"/>
          <w:color w:val="000000"/>
          <w:sz w:val="20"/>
          <w:szCs w:val="20"/>
          <w:u w:val="single"/>
        </w:rPr>
        <w:t>Investments in Unconsolidated Real Estate Entities</w:t>
      </w:r>
    </w:p>
    <w:p w:rsidR="00000000" w:rsidRDefault="00D44B22">
      <w:pPr>
        <w:ind w:firstLine="720"/>
        <w:jc w:val="both"/>
        <w:divId w:val="994533172"/>
        <w:rPr>
          <w:rFonts w:eastAsia="Times New Roman"/>
        </w:rPr>
      </w:pPr>
      <w:r>
        <w:rPr>
          <w:rFonts w:eastAsia="Times New Roman"/>
          <w:color w:val="000000"/>
          <w:sz w:val="20"/>
          <w:szCs w:val="20"/>
        </w:rPr>
        <w:t>The following tables set forth our investments in, and equity in earnings of, the Unconsolidated Real Estate Entities (am</w:t>
      </w:r>
      <w:r>
        <w:rPr>
          <w:rFonts w:eastAsia="Times New Roman"/>
          <w:color w:val="000000"/>
          <w:sz w:val="20"/>
          <w:szCs w:val="20"/>
        </w:rPr>
        <w:t>ounts in thousands):</w:t>
      </w:r>
    </w:p>
    <w:tbl>
      <w:tblPr>
        <w:tblW w:w="4696" w:type="pct"/>
        <w:jc w:val="center"/>
        <w:tblCellMar>
          <w:top w:w="15" w:type="dxa"/>
          <w:left w:w="15" w:type="dxa"/>
          <w:bottom w:w="15" w:type="dxa"/>
          <w:right w:w="15" w:type="dxa"/>
        </w:tblCellMar>
        <w:tblLook w:val="04A0" w:firstRow="1" w:lastRow="0" w:firstColumn="1" w:lastColumn="0" w:noHBand="0" w:noVBand="1"/>
      </w:tblPr>
      <w:tblGrid>
        <w:gridCol w:w="38"/>
        <w:gridCol w:w="2372"/>
        <w:gridCol w:w="36"/>
        <w:gridCol w:w="121"/>
        <w:gridCol w:w="2211"/>
        <w:gridCol w:w="38"/>
        <w:gridCol w:w="37"/>
        <w:gridCol w:w="37"/>
        <w:gridCol w:w="37"/>
        <w:gridCol w:w="122"/>
        <w:gridCol w:w="2211"/>
        <w:gridCol w:w="37"/>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44B22">
            <w:pPr>
              <w:ind w:firstLine="720"/>
              <w:jc w:val="both"/>
              <w:rPr>
                <w:rFonts w:eastAsia="Times New Roman"/>
              </w:rPr>
            </w:pPr>
          </w:p>
        </w:tc>
        <w:tc>
          <w:tcPr>
            <w:tcW w:w="168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155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155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Investments in Unconsolidated Real Estate Entities at</w:t>
            </w:r>
          </w:p>
        </w:tc>
        <w:tc>
          <w:tcPr>
            <w:tcW w:w="0" w:type="auto"/>
            <w:vAlign w:val="center"/>
            <w:hideMark/>
          </w:tcPr>
          <w:p w:rsidR="00000000" w:rsidRDefault="00D44B22">
            <w:pPr>
              <w:spacing w:after="100"/>
              <w:jc w:val="center"/>
              <w:rPr>
                <w:rFonts w:eastAsia="Times New Roman"/>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June 30,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December 31, 2021</w:t>
            </w:r>
          </w:p>
        </w:tc>
        <w:tc>
          <w:tcPr>
            <w:tcW w:w="0" w:type="auto"/>
            <w:vAlign w:val="center"/>
            <w:hideMark/>
          </w:tcPr>
          <w:p w:rsidR="00000000" w:rsidRDefault="00D44B22">
            <w:pPr>
              <w:spacing w:after="100"/>
              <w:jc w:val="center"/>
              <w:rPr>
                <w:rFonts w:eastAsia="Times New Roman"/>
              </w:rPr>
            </w:pPr>
          </w:p>
        </w:tc>
        <w:tc>
          <w:tcPr>
            <w:tcW w:w="0" w:type="auto"/>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12"/>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563,041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515,312</w:t>
            </w:r>
          </w:p>
        </w:tc>
        <w:tc>
          <w:tcPr>
            <w:tcW w:w="0" w:type="auto"/>
            <w:vAlign w:val="center"/>
            <w:hideMark/>
          </w:tcPr>
          <w:p w:rsidR="00000000" w:rsidRDefault="00D44B22">
            <w:pPr>
              <w:spacing w:after="100"/>
              <w:jc w:val="right"/>
              <w:rPr>
                <w:rFonts w:eastAsia="Times New Roman"/>
              </w:rPr>
            </w:pPr>
          </w:p>
        </w:tc>
        <w:tc>
          <w:tcPr>
            <w:tcW w:w="0" w:type="auto"/>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282,853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313,451</w:t>
            </w:r>
          </w:p>
        </w:tc>
        <w:tc>
          <w:tcPr>
            <w:tcW w:w="0" w:type="auto"/>
            <w:vAlign w:val="center"/>
            <w:hideMark/>
          </w:tcPr>
          <w:p w:rsidR="00000000" w:rsidRDefault="00D44B22">
            <w:pPr>
              <w:spacing w:after="100"/>
              <w:jc w:val="right"/>
              <w:rPr>
                <w:rFonts w:eastAsia="Times New Roman"/>
              </w:rPr>
            </w:pPr>
          </w:p>
        </w:tc>
        <w:tc>
          <w:tcPr>
            <w:tcW w:w="0" w:type="auto"/>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845,894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828,763</w:t>
            </w:r>
          </w:p>
        </w:tc>
        <w:tc>
          <w:tcPr>
            <w:tcW w:w="0" w:type="auto"/>
            <w:vAlign w:val="center"/>
            <w:hideMark/>
          </w:tcPr>
          <w:p w:rsidR="00000000" w:rsidRDefault="00D44B22">
            <w:pPr>
              <w:spacing w:after="100"/>
              <w:jc w:val="right"/>
              <w:rPr>
                <w:rFonts w:eastAsia="Times New Roman"/>
              </w:rPr>
            </w:pPr>
          </w:p>
        </w:tc>
        <w:tc>
          <w:tcPr>
            <w:tcW w:w="0" w:type="auto"/>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jc w:val="center"/>
        <w:rPr>
          <w:rFonts w:eastAsia="Times New Roman"/>
        </w:rPr>
      </w:pPr>
    </w:p>
    <w:p w:rsidR="00000000" w:rsidRDefault="00D44B22">
      <w:pPr>
        <w:jc w:val="center"/>
        <w:divId w:val="205337156"/>
        <w:rPr>
          <w:rFonts w:eastAsia="Times New Roman"/>
        </w:rPr>
      </w:pPr>
      <w:r>
        <w:rPr>
          <w:rFonts w:eastAsia="Times New Roman"/>
          <w:color w:val="000000"/>
          <w:sz w:val="20"/>
          <w:szCs w:val="20"/>
        </w:rPr>
        <w:t>11</w:t>
      </w:r>
    </w:p>
    <w:p w:rsidR="00000000" w:rsidRDefault="00D44B22">
      <w:pPr>
        <w:rPr>
          <w:rFonts w:eastAsia="Times New Roman"/>
        </w:rPr>
      </w:pPr>
      <w:r>
        <w:rPr>
          <w:rFonts w:eastAsia="Times New Roman"/>
        </w:rPr>
        <w:pict>
          <v:rect id="_x0000_i1037" style="width:0;height:1.5pt" o:hralign="center" o:hrstd="t" o:hr="t" fillcolor="#a0a0a0" stroked="f"/>
        </w:pict>
      </w:r>
    </w:p>
    <w:p w:rsidR="00000000" w:rsidRDefault="00D44B22">
      <w:pPr>
        <w:jc w:val="center"/>
        <w:divId w:val="1961447668"/>
        <w:rPr>
          <w:rFonts w:eastAsia="Times New Roman"/>
        </w:rPr>
      </w:pPr>
    </w:p>
    <w:p w:rsidR="00000000" w:rsidRDefault="00D44B22">
      <w:pPr>
        <w:jc w:val="center"/>
        <w:divId w:val="1961447668"/>
        <w:rPr>
          <w:rFonts w:eastAsia="Times New Roman"/>
        </w:rPr>
      </w:pPr>
      <w:r>
        <w:rPr>
          <w:rFonts w:eastAsia="Times New Roman"/>
          <w:b/>
          <w:bCs/>
          <w:color w:val="000000"/>
          <w:sz w:val="20"/>
          <w:szCs w:val="20"/>
        </w:rPr>
        <w:t>PUBLIC STORAGE</w:t>
      </w:r>
    </w:p>
    <w:p w:rsidR="00000000" w:rsidRDefault="00D44B22">
      <w:pPr>
        <w:jc w:val="center"/>
        <w:divId w:val="1961447668"/>
        <w:rPr>
          <w:rFonts w:eastAsia="Times New Roman"/>
        </w:rPr>
      </w:pPr>
      <w:r>
        <w:rPr>
          <w:rFonts w:eastAsia="Times New Roman"/>
          <w:b/>
          <w:bCs/>
          <w:color w:val="000000"/>
          <w:sz w:val="20"/>
          <w:szCs w:val="20"/>
        </w:rPr>
        <w:t>NOTES TO CONSOLIDATED FINANCIAL STATEMENTS</w:t>
      </w:r>
    </w:p>
    <w:p w:rsidR="00000000" w:rsidRDefault="00D44B22">
      <w:pPr>
        <w:jc w:val="center"/>
        <w:divId w:val="1961447668"/>
        <w:rPr>
          <w:rFonts w:eastAsia="Times New Roman"/>
        </w:rPr>
      </w:pPr>
      <w:r>
        <w:rPr>
          <w:rFonts w:eastAsia="Times New Roman"/>
          <w:b/>
          <w:bCs/>
          <w:color w:val="000000"/>
          <w:sz w:val="20"/>
          <w:szCs w:val="20"/>
        </w:rPr>
        <w:t>June 30, 2022</w:t>
      </w:r>
    </w:p>
    <w:p w:rsidR="00000000" w:rsidRDefault="00D44B22">
      <w:pPr>
        <w:jc w:val="center"/>
        <w:divId w:val="1961447668"/>
        <w:rPr>
          <w:rFonts w:eastAsia="Times New Roman"/>
        </w:rPr>
      </w:pPr>
      <w:r>
        <w:rPr>
          <w:rFonts w:eastAsia="Times New Roman"/>
          <w:b/>
          <w:bCs/>
          <w:color w:val="000000"/>
          <w:sz w:val="20"/>
          <w:szCs w:val="20"/>
        </w:rPr>
        <w:t>(Unaudited)</w:t>
      </w:r>
    </w:p>
    <w:p w:rsidR="00000000" w:rsidRDefault="00D44B22">
      <w:pPr>
        <w:jc w:val="center"/>
        <w:divId w:val="1961447668"/>
        <w:rPr>
          <w:rFonts w:eastAsia="Times New Roman"/>
        </w:rPr>
      </w:pPr>
    </w:p>
    <w:tbl>
      <w:tblPr>
        <w:tblW w:w="4727" w:type="pct"/>
        <w:jc w:val="center"/>
        <w:tblCellMar>
          <w:top w:w="15" w:type="dxa"/>
          <w:left w:w="15" w:type="dxa"/>
          <w:bottom w:w="15" w:type="dxa"/>
          <w:right w:w="15" w:type="dxa"/>
        </w:tblCellMar>
        <w:tblLook w:val="04A0" w:firstRow="1" w:lastRow="0" w:firstColumn="1" w:lastColumn="0" w:noHBand="0" w:noVBand="1"/>
      </w:tblPr>
      <w:tblGrid>
        <w:gridCol w:w="45"/>
        <w:gridCol w:w="1311"/>
        <w:gridCol w:w="36"/>
        <w:gridCol w:w="121"/>
        <w:gridCol w:w="1407"/>
        <w:gridCol w:w="38"/>
        <w:gridCol w:w="37"/>
        <w:gridCol w:w="37"/>
        <w:gridCol w:w="37"/>
        <w:gridCol w:w="121"/>
        <w:gridCol w:w="1362"/>
        <w:gridCol w:w="38"/>
        <w:gridCol w:w="37"/>
        <w:gridCol w:w="37"/>
        <w:gridCol w:w="37"/>
        <w:gridCol w:w="121"/>
        <w:gridCol w:w="1362"/>
        <w:gridCol w:w="38"/>
        <w:gridCol w:w="36"/>
        <w:gridCol w:w="36"/>
        <w:gridCol w:w="36"/>
        <w:gridCol w:w="120"/>
        <w:gridCol w:w="1365"/>
        <w:gridCol w:w="37"/>
      </w:tblGrid>
      <w:tr w:rsidR="00000000">
        <w:trPr>
          <w:jc w:val="center"/>
        </w:trPr>
        <w:tc>
          <w:tcPr>
            <w:tcW w:w="50" w:type="pct"/>
            <w:vAlign w:val="center"/>
            <w:hideMark/>
          </w:tcPr>
          <w:p w:rsidR="00000000" w:rsidRDefault="00D44B22">
            <w:pPr>
              <w:jc w:val="center"/>
              <w:rPr>
                <w:rFonts w:eastAsia="Times New Roman"/>
              </w:rPr>
            </w:pPr>
          </w:p>
        </w:tc>
        <w:tc>
          <w:tcPr>
            <w:tcW w:w="88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93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3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93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3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93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3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93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21"/>
            <w:tcBorders>
              <w:bottom w:val="single" w:sz="8" w:space="0" w:color="000000"/>
            </w:tcBorders>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Equity in Earnings of Unconsolidated Real Estate Entities for the</w:t>
            </w: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r>
      <w:tr w:rsidR="00000000">
        <w:trPr>
          <w:trHeight w:val="120"/>
          <w:jc w:val="center"/>
        </w:trPr>
        <w:tc>
          <w:tcPr>
            <w:tcW w:w="0" w:type="auto"/>
            <w:gridSpan w:val="12"/>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40,124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20,908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77,010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35,384</w:t>
            </w: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8,401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8,158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14,939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13,138</w:t>
            </w: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48,525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29,066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91,949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48,522</w:t>
            </w:r>
          </w:p>
        </w:tc>
      </w:tr>
    </w:tbl>
    <w:p w:rsidR="00000000" w:rsidRDefault="00D44B22">
      <w:pPr>
        <w:ind w:firstLine="720"/>
        <w:jc w:val="both"/>
        <w:rPr>
          <w:rFonts w:eastAsia="Times New Roman"/>
        </w:rPr>
      </w:pPr>
    </w:p>
    <w:p w:rsidR="00000000" w:rsidRDefault="00D44B22">
      <w:pPr>
        <w:jc w:val="both"/>
        <w:divId w:val="1500653924"/>
        <w:rPr>
          <w:rFonts w:eastAsia="Times New Roman"/>
        </w:rPr>
      </w:pPr>
      <w:r>
        <w:rPr>
          <w:rFonts w:eastAsia="Times New Roman"/>
          <w:color w:val="000000"/>
          <w:sz w:val="20"/>
          <w:szCs w:val="20"/>
          <w:u w:val="single"/>
        </w:rPr>
        <w:t>Investment in PSB</w:t>
      </w:r>
    </w:p>
    <w:p w:rsidR="00000000" w:rsidRDefault="00D44B22">
      <w:pPr>
        <w:ind w:firstLine="720"/>
        <w:jc w:val="both"/>
        <w:divId w:val="1827893114"/>
        <w:rPr>
          <w:rFonts w:eastAsia="Times New Roman"/>
        </w:rPr>
      </w:pPr>
      <w:r>
        <w:rPr>
          <w:rFonts w:eastAsia="Times New Roman"/>
          <w:color w:val="000000"/>
          <w:sz w:val="20"/>
          <w:szCs w:val="20"/>
        </w:rPr>
        <w:t>Throughout all periods presented, we owned 7,158,354 shares of PSB’s common stock and 7,305,355 limited partnership units in an operating partnership controlled by PSB, representing a 41% com</w:t>
      </w:r>
      <w:r>
        <w:rPr>
          <w:rFonts w:eastAsia="Times New Roman"/>
          <w:color w:val="000000"/>
          <w:sz w:val="20"/>
          <w:szCs w:val="20"/>
        </w:rPr>
        <w:t xml:space="preserve">mon equity interest as of June 30, 2022 (41% as of December 31, 2021). The limited partnership units were convertible at our option, subject to certain conditions, on a one-for-one basis into PSB common stock. </w:t>
      </w:r>
    </w:p>
    <w:p w:rsidR="00000000" w:rsidRDefault="00D44B22">
      <w:pPr>
        <w:ind w:firstLine="720"/>
        <w:jc w:val="both"/>
        <w:divId w:val="1052537324"/>
        <w:rPr>
          <w:rFonts w:eastAsia="Times New Roman"/>
        </w:rPr>
      </w:pPr>
      <w:r>
        <w:rPr>
          <w:rFonts w:eastAsia="Times New Roman"/>
          <w:color w:val="000000"/>
          <w:sz w:val="20"/>
          <w:szCs w:val="20"/>
        </w:rPr>
        <w:t>Based upon the closing price at June 30, 2022</w:t>
      </w:r>
      <w:r>
        <w:rPr>
          <w:rFonts w:eastAsia="Times New Roman"/>
          <w:color w:val="000000"/>
          <w:sz w:val="20"/>
          <w:szCs w:val="20"/>
        </w:rPr>
        <w:t xml:space="preserve"> ($187.15 per share of PSB common stock), the shares and units we owned had a market value of approximately $2.7 billion. During each of the six months ended June 30, 2022 and 2021, we received cash distributions from PSB totaling $30.4 million.</w:t>
      </w:r>
    </w:p>
    <w:p w:rsidR="00000000" w:rsidRDefault="00D44B22">
      <w:pPr>
        <w:ind w:firstLine="720"/>
        <w:jc w:val="both"/>
        <w:divId w:val="168914112"/>
        <w:rPr>
          <w:rFonts w:eastAsia="Times New Roman"/>
        </w:rPr>
      </w:pPr>
      <w:r>
        <w:rPr>
          <w:rFonts w:eastAsia="Times New Roman"/>
          <w:color w:val="000000"/>
          <w:sz w:val="20"/>
          <w:szCs w:val="20"/>
        </w:rPr>
        <w:t>As of June</w:t>
      </w:r>
      <w:r>
        <w:rPr>
          <w:rFonts w:eastAsia="Times New Roman"/>
          <w:color w:val="000000"/>
          <w:sz w:val="20"/>
          <w:szCs w:val="20"/>
        </w:rPr>
        <w:t xml:space="preserve"> 30, 2022, PSB was a publicly held entity traded on the New York Stock Exchange under the symbol “PSB”. </w:t>
      </w:r>
    </w:p>
    <w:p w:rsidR="00000000" w:rsidRDefault="00D44B22">
      <w:pPr>
        <w:ind w:firstLine="720"/>
        <w:jc w:val="both"/>
        <w:divId w:val="450561262"/>
        <w:rPr>
          <w:rFonts w:eastAsia="Times New Roman"/>
        </w:rPr>
      </w:pPr>
      <w:r>
        <w:rPr>
          <w:rFonts w:eastAsia="Times New Roman"/>
          <w:color w:val="000000"/>
          <w:sz w:val="20"/>
          <w:szCs w:val="20"/>
        </w:rPr>
        <w:t>Refer to Note 15. Subsequent Events for information regarding PSB’</w:t>
      </w:r>
      <w:r>
        <w:rPr>
          <w:rFonts w:eastAsia="Times New Roman"/>
          <w:color w:val="000000"/>
          <w:sz w:val="20"/>
          <w:szCs w:val="20"/>
        </w:rPr>
        <w:t>s closed merger transaction with Blackstone on July 20, 2022, which resulted in the sale of our 41% common equity interest in PSB in its entirety.</w:t>
      </w:r>
    </w:p>
    <w:p w:rsidR="00000000" w:rsidRDefault="00D44B22">
      <w:pPr>
        <w:jc w:val="both"/>
        <w:divId w:val="681778688"/>
        <w:rPr>
          <w:rFonts w:eastAsia="Times New Roman"/>
        </w:rPr>
      </w:pPr>
      <w:r>
        <w:rPr>
          <w:rFonts w:eastAsia="Times New Roman"/>
          <w:color w:val="000000"/>
          <w:sz w:val="20"/>
          <w:szCs w:val="20"/>
          <w:u w:val="single"/>
        </w:rPr>
        <w:t>Investment in Shurgard</w:t>
      </w:r>
    </w:p>
    <w:p w:rsidR="00000000" w:rsidRDefault="00D44B22">
      <w:pPr>
        <w:ind w:firstLine="720"/>
        <w:jc w:val="both"/>
        <w:divId w:val="2113360062"/>
        <w:rPr>
          <w:rFonts w:eastAsia="Times New Roman"/>
        </w:rPr>
      </w:pPr>
      <w:r>
        <w:rPr>
          <w:rFonts w:eastAsia="Times New Roman"/>
          <w:color w:val="000000"/>
          <w:sz w:val="20"/>
          <w:szCs w:val="20"/>
        </w:rPr>
        <w:t>Throughout all periods presented, we effectively owned, directly and indirectly 31,268</w:t>
      </w:r>
      <w:r>
        <w:rPr>
          <w:rFonts w:eastAsia="Times New Roman"/>
          <w:color w:val="000000"/>
          <w:sz w:val="20"/>
          <w:szCs w:val="20"/>
        </w:rPr>
        <w:t xml:space="preserve">,459 Shurgard common shares, representing a 35% equity interest in Shurgard. </w:t>
      </w:r>
    </w:p>
    <w:p w:rsidR="00000000" w:rsidRDefault="00D44B22">
      <w:pPr>
        <w:ind w:firstLine="720"/>
        <w:jc w:val="both"/>
        <w:divId w:val="760681210"/>
        <w:rPr>
          <w:rFonts w:eastAsia="Times New Roman"/>
        </w:rPr>
      </w:pPr>
      <w:r>
        <w:rPr>
          <w:rFonts w:eastAsia="Times New Roman"/>
          <w:color w:val="000000"/>
          <w:sz w:val="20"/>
          <w:szCs w:val="20"/>
        </w:rPr>
        <w:t>Based upon the closing price at June 30, 2022 (€44.45 per share of Shurgard common stock, at 1.045 exchange rate of US Dollars to the Euro), the shares we owned had a market valu</w:t>
      </w:r>
      <w:r>
        <w:rPr>
          <w:rFonts w:eastAsia="Times New Roman"/>
          <w:color w:val="000000"/>
          <w:sz w:val="20"/>
          <w:szCs w:val="20"/>
        </w:rPr>
        <w:t xml:space="preserve">e of approximately $1.5 billion. </w:t>
      </w:r>
    </w:p>
    <w:p w:rsidR="00000000" w:rsidRDefault="00D44B22">
      <w:pPr>
        <w:ind w:firstLine="720"/>
        <w:jc w:val="both"/>
        <w:divId w:val="205529057"/>
        <w:rPr>
          <w:rFonts w:eastAsia="Times New Roman"/>
        </w:rPr>
      </w:pPr>
      <w:r>
        <w:rPr>
          <w:rFonts w:eastAsia="Times New Roman"/>
          <w:color w:val="000000"/>
          <w:sz w:val="20"/>
          <w:szCs w:val="20"/>
        </w:rPr>
        <w:t>Our equity in earnings of Shurgard comprised our equity share of Shurgard’s net income, less amortization of the Shurgard Basis Differential (defined below). We eliminated $0.6 million of intra-entity profits and losses fo</w:t>
      </w:r>
      <w:r>
        <w:rPr>
          <w:rFonts w:eastAsia="Times New Roman"/>
          <w:color w:val="000000"/>
          <w:sz w:val="20"/>
          <w:szCs w:val="20"/>
        </w:rPr>
        <w:t xml:space="preserve">r each of the six months ended June 30, 2022 and 2021, representing our equity share of the trademark license fees that Shurgard pays to us for the use of the Shurgard® trademark. We classify the remaining license fees we receive from Shurgard as interest </w:t>
      </w:r>
      <w:r>
        <w:rPr>
          <w:rFonts w:eastAsia="Times New Roman"/>
          <w:color w:val="000000"/>
          <w:sz w:val="20"/>
          <w:szCs w:val="20"/>
        </w:rPr>
        <w:t xml:space="preserve">and other income on our income statement. During the six months ended June 30, 2022 and 2021, we received cash dividends from Shurgard totaling $20.1 million and $21.5 million, respectively. </w:t>
      </w:r>
    </w:p>
    <w:p w:rsidR="00000000" w:rsidRDefault="00D44B22">
      <w:pPr>
        <w:ind w:firstLine="720"/>
        <w:jc w:val="both"/>
        <w:divId w:val="254436630"/>
        <w:rPr>
          <w:rFonts w:eastAsia="Times New Roman"/>
        </w:rPr>
      </w:pPr>
      <w:r>
        <w:rPr>
          <w:rFonts w:eastAsia="Times New Roman"/>
          <w:color w:val="000000"/>
          <w:sz w:val="20"/>
          <w:szCs w:val="20"/>
        </w:rPr>
        <w:t>At June 30, 2022, our investment in Shurgard’s real estate asset</w:t>
      </w:r>
      <w:r>
        <w:rPr>
          <w:rFonts w:eastAsia="Times New Roman"/>
          <w:color w:val="000000"/>
          <w:sz w:val="20"/>
          <w:szCs w:val="20"/>
        </w:rPr>
        <w:t>s included in investment in unconsolidated real estate entities exceeds our pro-rata share of the underlying amounts on Shurgard’s balance sheet by approximately $70.6 million ($74.7 million at December 31, 2021). This differential (the “Shurgard Basis Dif</w:t>
      </w:r>
      <w:r>
        <w:rPr>
          <w:rFonts w:eastAsia="Times New Roman"/>
          <w:color w:val="000000"/>
          <w:sz w:val="20"/>
          <w:szCs w:val="20"/>
        </w:rPr>
        <w:t>ferential”) includes our cost basis adjustment in Shurgard’s real estate assets net of related deferred income taxes. The real estate assets basis differential is being amortized as a reduction to equity in earnings of the Unconsolidated Real Estate Entiti</w:t>
      </w:r>
      <w:r>
        <w:rPr>
          <w:rFonts w:eastAsia="Times New Roman"/>
          <w:color w:val="000000"/>
          <w:sz w:val="20"/>
          <w:szCs w:val="20"/>
        </w:rPr>
        <w:t xml:space="preserve">es. Such amortization totaled approximately $4.1 million and $4.4 million during the six months ended June 30, 2022 and 2021, respectively. </w:t>
      </w:r>
    </w:p>
    <w:p w:rsidR="00000000" w:rsidRDefault="00D44B22">
      <w:pPr>
        <w:ind w:firstLine="720"/>
        <w:jc w:val="both"/>
        <w:divId w:val="320357472"/>
        <w:rPr>
          <w:rFonts w:eastAsia="Times New Roman"/>
        </w:rPr>
      </w:pPr>
      <w:r>
        <w:rPr>
          <w:rFonts w:eastAsia="Times New Roman"/>
          <w:color w:val="000000"/>
          <w:sz w:val="20"/>
          <w:szCs w:val="20"/>
        </w:rPr>
        <w:t>Shurgard is a publicly held entity trading on Euronext Brussels under the symbol “SHUR”.</w:t>
      </w:r>
    </w:p>
    <w:p w:rsidR="00000000" w:rsidRDefault="00D44B22">
      <w:pPr>
        <w:jc w:val="both"/>
        <w:divId w:val="726302555"/>
        <w:rPr>
          <w:rFonts w:eastAsia="Times New Roman"/>
        </w:rPr>
      </w:pPr>
    </w:p>
    <w:p w:rsidR="00000000" w:rsidRDefault="00D44B22">
      <w:pPr>
        <w:jc w:val="center"/>
        <w:divId w:val="119037306"/>
        <w:rPr>
          <w:rFonts w:eastAsia="Times New Roman"/>
        </w:rPr>
      </w:pPr>
      <w:r>
        <w:rPr>
          <w:rFonts w:eastAsia="Times New Roman"/>
          <w:color w:val="000000"/>
          <w:sz w:val="20"/>
          <w:szCs w:val="20"/>
        </w:rPr>
        <w:t>12</w:t>
      </w:r>
    </w:p>
    <w:p w:rsidR="00000000" w:rsidRDefault="00D44B22">
      <w:pPr>
        <w:rPr>
          <w:rFonts w:eastAsia="Times New Roman"/>
        </w:rPr>
      </w:pPr>
      <w:r>
        <w:rPr>
          <w:rFonts w:eastAsia="Times New Roman"/>
        </w:rPr>
        <w:pict>
          <v:rect id="_x0000_i1038" style="width:0;height:1.5pt" o:hralign="center" o:hrstd="t" o:hr="t" fillcolor="#a0a0a0" stroked="f"/>
        </w:pict>
      </w:r>
    </w:p>
    <w:p w:rsidR="00000000" w:rsidRDefault="00D44B22">
      <w:pPr>
        <w:jc w:val="center"/>
        <w:divId w:val="1629386063"/>
        <w:rPr>
          <w:rFonts w:eastAsia="Times New Roman"/>
        </w:rPr>
      </w:pPr>
    </w:p>
    <w:p w:rsidR="00000000" w:rsidRDefault="00D44B22">
      <w:pPr>
        <w:jc w:val="center"/>
        <w:divId w:val="1629386063"/>
        <w:rPr>
          <w:rFonts w:eastAsia="Times New Roman"/>
        </w:rPr>
      </w:pPr>
      <w:r>
        <w:rPr>
          <w:rFonts w:eastAsia="Times New Roman"/>
          <w:b/>
          <w:bCs/>
          <w:color w:val="000000"/>
          <w:sz w:val="20"/>
          <w:szCs w:val="20"/>
        </w:rPr>
        <w:t>PUBLIC STORAGE</w:t>
      </w:r>
    </w:p>
    <w:p w:rsidR="00000000" w:rsidRDefault="00D44B22">
      <w:pPr>
        <w:jc w:val="center"/>
        <w:divId w:val="1629386063"/>
        <w:rPr>
          <w:rFonts w:eastAsia="Times New Roman"/>
        </w:rPr>
      </w:pPr>
      <w:r>
        <w:rPr>
          <w:rFonts w:eastAsia="Times New Roman"/>
          <w:b/>
          <w:bCs/>
          <w:color w:val="000000"/>
          <w:sz w:val="20"/>
          <w:szCs w:val="20"/>
        </w:rPr>
        <w:t>NOTES TO CONSOLIDATED FINANCIAL STATEMENTS</w:t>
      </w:r>
    </w:p>
    <w:p w:rsidR="00000000" w:rsidRDefault="00D44B22">
      <w:pPr>
        <w:jc w:val="center"/>
        <w:divId w:val="1629386063"/>
        <w:rPr>
          <w:rFonts w:eastAsia="Times New Roman"/>
        </w:rPr>
      </w:pPr>
      <w:r>
        <w:rPr>
          <w:rFonts w:eastAsia="Times New Roman"/>
          <w:b/>
          <w:bCs/>
          <w:color w:val="000000"/>
          <w:sz w:val="20"/>
          <w:szCs w:val="20"/>
        </w:rPr>
        <w:t>June 30, 2022</w:t>
      </w:r>
    </w:p>
    <w:p w:rsidR="00000000" w:rsidRDefault="00D44B22">
      <w:pPr>
        <w:jc w:val="center"/>
        <w:divId w:val="1629386063"/>
        <w:rPr>
          <w:rFonts w:eastAsia="Times New Roman"/>
        </w:rPr>
      </w:pPr>
      <w:r>
        <w:rPr>
          <w:rFonts w:eastAsia="Times New Roman"/>
          <w:b/>
          <w:bCs/>
          <w:color w:val="000000"/>
          <w:sz w:val="20"/>
          <w:szCs w:val="20"/>
        </w:rPr>
        <w:t>(Unaudited)</w:t>
      </w:r>
    </w:p>
    <w:p w:rsidR="00000000" w:rsidRDefault="00D44B22">
      <w:pPr>
        <w:jc w:val="center"/>
        <w:divId w:val="1629386063"/>
        <w:rPr>
          <w:rFonts w:eastAsia="Times New Roman"/>
        </w:rPr>
      </w:pPr>
    </w:p>
    <w:p w:rsidR="00000000" w:rsidRDefault="00D44B22">
      <w:pPr>
        <w:ind w:hanging="360"/>
        <w:jc w:val="both"/>
        <w:divId w:val="1988900680"/>
        <w:rPr>
          <w:rFonts w:eastAsia="Times New Roman"/>
        </w:rPr>
      </w:pPr>
      <w:r>
        <w:rPr>
          <w:rFonts w:eastAsia="Times New Roman"/>
          <w:color w:val="000000"/>
          <w:sz w:val="20"/>
          <w:szCs w:val="20"/>
        </w:rPr>
        <w:t>5.</w:t>
      </w:r>
      <w:r>
        <w:rPr>
          <w:rFonts w:eastAsia="Times New Roman"/>
          <w:color w:val="000000"/>
          <w:sz w:val="20"/>
          <w:szCs w:val="20"/>
          <w:u w:val="single"/>
        </w:rPr>
        <w:t>Goodwill and Other Intangible Assets</w:t>
      </w:r>
    </w:p>
    <w:p w:rsidR="00000000" w:rsidRDefault="00D44B22">
      <w:pPr>
        <w:jc w:val="both"/>
        <w:rPr>
          <w:rFonts w:eastAsia="Times New Roman"/>
        </w:rPr>
      </w:pPr>
    </w:p>
    <w:p w:rsidR="00000000" w:rsidRDefault="00D44B22">
      <w:pPr>
        <w:ind w:firstLine="720"/>
        <w:jc w:val="both"/>
        <w:divId w:val="1800222894"/>
        <w:rPr>
          <w:rFonts w:eastAsia="Times New Roman"/>
        </w:rPr>
      </w:pPr>
      <w:r>
        <w:rPr>
          <w:rFonts w:eastAsia="Times New Roman"/>
          <w:color w:val="000000"/>
          <w:sz w:val="20"/>
          <w:szCs w:val="20"/>
        </w:rPr>
        <w:t>Goodwill and other intangible assets consisted of the following (amounts in thousands):</w:t>
      </w:r>
    </w:p>
    <w:tbl>
      <w:tblPr>
        <w:tblW w:w="4825" w:type="pct"/>
        <w:tblCellMar>
          <w:top w:w="15" w:type="dxa"/>
          <w:left w:w="15" w:type="dxa"/>
          <w:bottom w:w="15" w:type="dxa"/>
          <w:right w:w="15" w:type="dxa"/>
        </w:tblCellMar>
        <w:tblLook w:val="04A0" w:firstRow="1" w:lastRow="0" w:firstColumn="1" w:lastColumn="0" w:noHBand="0" w:noVBand="1"/>
      </w:tblPr>
      <w:tblGrid>
        <w:gridCol w:w="54"/>
        <w:gridCol w:w="1490"/>
        <w:gridCol w:w="38"/>
        <w:gridCol w:w="120"/>
        <w:gridCol w:w="733"/>
        <w:gridCol w:w="36"/>
        <w:gridCol w:w="36"/>
        <w:gridCol w:w="36"/>
        <w:gridCol w:w="36"/>
        <w:gridCol w:w="121"/>
        <w:gridCol w:w="1011"/>
        <w:gridCol w:w="36"/>
        <w:gridCol w:w="36"/>
        <w:gridCol w:w="36"/>
        <w:gridCol w:w="36"/>
        <w:gridCol w:w="120"/>
        <w:gridCol w:w="733"/>
        <w:gridCol w:w="36"/>
        <w:gridCol w:w="36"/>
        <w:gridCol w:w="36"/>
        <w:gridCol w:w="36"/>
        <w:gridCol w:w="120"/>
        <w:gridCol w:w="733"/>
        <w:gridCol w:w="36"/>
        <w:gridCol w:w="36"/>
        <w:gridCol w:w="36"/>
        <w:gridCol w:w="36"/>
        <w:gridCol w:w="121"/>
        <w:gridCol w:w="1011"/>
        <w:gridCol w:w="36"/>
        <w:gridCol w:w="36"/>
        <w:gridCol w:w="36"/>
        <w:gridCol w:w="36"/>
        <w:gridCol w:w="120"/>
        <w:gridCol w:w="734"/>
        <w:gridCol w:w="36"/>
      </w:tblGrid>
      <w:tr w:rsidR="00000000">
        <w:trPr>
          <w:divId w:val="2092702680"/>
        </w:trPr>
        <w:tc>
          <w:tcPr>
            <w:tcW w:w="50" w:type="pct"/>
            <w:vAlign w:val="center"/>
            <w:hideMark/>
          </w:tcPr>
          <w:p w:rsidR="00000000" w:rsidRDefault="00D44B22">
            <w:pPr>
              <w:ind w:firstLine="720"/>
              <w:jc w:val="both"/>
              <w:rPr>
                <w:rFonts w:eastAsia="Times New Roman"/>
              </w:rPr>
            </w:pPr>
          </w:p>
        </w:tc>
        <w:tc>
          <w:tcPr>
            <w:tcW w:w="109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4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8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4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4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8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4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20927026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At June 30, 2022</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At December 31, 2021</w:t>
            </w:r>
          </w:p>
        </w:tc>
      </w:tr>
      <w:tr w:rsidR="00000000">
        <w:trPr>
          <w:divId w:val="2092702680"/>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Net Book Value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Gross Book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Accumulated Amortization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Net Book Value</w:t>
            </w:r>
          </w:p>
        </w:tc>
      </w:tr>
      <w:tr w:rsidR="00000000">
        <w:trPr>
          <w:divId w:val="2092702680"/>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Goodwill</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165,843 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2092702680"/>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Shurgard® Trade Name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18,824 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2092702680"/>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Finite-lived intangible assets, subject to amortization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195,114 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(130,037)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65,077 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198,180 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(79,953)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118,227 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2092702680"/>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Total goodwill and other intangible assets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379,781 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(130,037)</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249,744 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382,847 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w:t>
            </w:r>
            <w:r>
              <w:rPr>
                <w:rFonts w:eastAsia="Times New Roman"/>
                <w:color w:val="000000"/>
                <w:sz w:val="20"/>
                <w:szCs w:val="20"/>
              </w:rPr>
              <w:t>79,953)</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302,894 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ind w:firstLine="720"/>
        <w:divId w:val="737938672"/>
        <w:rPr>
          <w:rFonts w:eastAsia="Times New Roman"/>
        </w:rPr>
      </w:pPr>
    </w:p>
    <w:p w:rsidR="00000000" w:rsidRDefault="00D44B22">
      <w:pPr>
        <w:ind w:firstLine="720"/>
        <w:jc w:val="both"/>
        <w:divId w:val="1893534548"/>
        <w:rPr>
          <w:rFonts w:eastAsia="Times New Roman"/>
        </w:rPr>
      </w:pPr>
      <w:r>
        <w:rPr>
          <w:rFonts w:eastAsia="Times New Roman"/>
          <w:color w:val="000000"/>
          <w:sz w:val="20"/>
          <w:szCs w:val="20"/>
        </w:rPr>
        <w:t>Finite-lived intangible assets consist primarily of acquired customers in place. Amor</w:t>
      </w:r>
      <w:r>
        <w:rPr>
          <w:rFonts w:eastAsia="Times New Roman"/>
          <w:color w:val="000000"/>
          <w:sz w:val="20"/>
          <w:szCs w:val="20"/>
        </w:rPr>
        <w:t>tization expense related to intangible assets subject to amortization was $24.3 million and $58.2 million for the three and six months ended June 30, 2022, respectively, and $19.6 million and $25.7 million in the same periods in 2021. During the six months</w:t>
      </w:r>
      <w:r>
        <w:rPr>
          <w:rFonts w:eastAsia="Times New Roman"/>
          <w:color w:val="000000"/>
          <w:sz w:val="20"/>
          <w:szCs w:val="20"/>
        </w:rPr>
        <w:t xml:space="preserve"> ended June 30, 2022, intangibles increased $5.0 million, in connection with the acquisition of self-storage facilities (Note 3). </w:t>
      </w:r>
    </w:p>
    <w:p w:rsidR="00000000" w:rsidRDefault="00D44B22">
      <w:pPr>
        <w:ind w:firstLine="720"/>
        <w:jc w:val="both"/>
        <w:divId w:val="631207828"/>
        <w:rPr>
          <w:rFonts w:eastAsia="Times New Roman"/>
        </w:rPr>
      </w:pPr>
      <w:r>
        <w:rPr>
          <w:rFonts w:eastAsia="Times New Roman"/>
          <w:color w:val="000000"/>
          <w:sz w:val="20"/>
          <w:szCs w:val="20"/>
        </w:rPr>
        <w:t>The estimated future amortization expense for our finite-lived intangible assets at June 30, 2022 is as follows (amounts in t</w:t>
      </w:r>
      <w:r>
        <w:rPr>
          <w:rFonts w:eastAsia="Times New Roman"/>
          <w:color w:val="000000"/>
          <w:sz w:val="20"/>
          <w:szCs w:val="20"/>
        </w:rPr>
        <w:t>housands):</w:t>
      </w:r>
    </w:p>
    <w:tbl>
      <w:tblPr>
        <w:tblW w:w="1954" w:type="pct"/>
        <w:jc w:val="center"/>
        <w:tblCellMar>
          <w:top w:w="15" w:type="dxa"/>
          <w:left w:w="15" w:type="dxa"/>
          <w:bottom w:w="15" w:type="dxa"/>
          <w:right w:w="15" w:type="dxa"/>
        </w:tblCellMar>
        <w:tblLook w:val="04A0" w:firstRow="1" w:lastRow="0" w:firstColumn="1" w:lastColumn="0" w:noHBand="0" w:noVBand="1"/>
      </w:tblPr>
      <w:tblGrid>
        <w:gridCol w:w="38"/>
        <w:gridCol w:w="1487"/>
        <w:gridCol w:w="36"/>
        <w:gridCol w:w="36"/>
        <w:gridCol w:w="36"/>
        <w:gridCol w:w="36"/>
        <w:gridCol w:w="120"/>
        <w:gridCol w:w="1421"/>
        <w:gridCol w:w="36"/>
      </w:tblGrid>
      <w:tr w:rsidR="00000000">
        <w:trPr>
          <w:divId w:val="722215700"/>
          <w:jc w:val="center"/>
        </w:trPr>
        <w:tc>
          <w:tcPr>
            <w:tcW w:w="50" w:type="pct"/>
            <w:vAlign w:val="center"/>
            <w:hideMark/>
          </w:tcPr>
          <w:p w:rsidR="00000000" w:rsidRDefault="00D44B22">
            <w:pPr>
              <w:ind w:firstLine="720"/>
              <w:jc w:val="both"/>
              <w:rPr>
                <w:rFonts w:eastAsia="Times New Roman"/>
              </w:rPr>
            </w:pPr>
          </w:p>
        </w:tc>
        <w:tc>
          <w:tcPr>
            <w:tcW w:w="240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6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240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722215700"/>
          <w:jc w:val="center"/>
        </w:trPr>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Year</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Amount</w:t>
            </w:r>
          </w:p>
        </w:tc>
      </w:tr>
      <w:tr w:rsidR="00000000">
        <w:trPr>
          <w:divId w:val="722215700"/>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Remainder of 2022</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31,787 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722215700"/>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25,857 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722215700"/>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Thereafter</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7,433 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722215700"/>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65,077 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ind w:hanging="360"/>
        <w:divId w:val="1294604210"/>
        <w:rPr>
          <w:rFonts w:eastAsia="Times New Roman"/>
        </w:rPr>
      </w:pPr>
      <w:r>
        <w:rPr>
          <w:rFonts w:eastAsia="Times New Roman"/>
          <w:color w:val="000000"/>
          <w:sz w:val="20"/>
          <w:szCs w:val="20"/>
        </w:rPr>
        <w:t>6.</w:t>
      </w:r>
      <w:r>
        <w:rPr>
          <w:rFonts w:eastAsia="Times New Roman"/>
          <w:color w:val="000000"/>
          <w:sz w:val="20"/>
          <w:szCs w:val="20"/>
          <w:u w:val="single"/>
        </w:rPr>
        <w:t>Credit Facility</w:t>
      </w:r>
    </w:p>
    <w:p w:rsidR="00000000" w:rsidRDefault="00D44B22">
      <w:pPr>
        <w:ind w:firstLine="720"/>
        <w:jc w:val="both"/>
        <w:divId w:val="700788227"/>
        <w:rPr>
          <w:rFonts w:eastAsia="Times New Roman"/>
        </w:rPr>
      </w:pPr>
      <w:r>
        <w:rPr>
          <w:rFonts w:eastAsia="Times New Roman"/>
          <w:color w:val="000000"/>
          <w:sz w:val="20"/>
          <w:szCs w:val="20"/>
        </w:rPr>
        <w:t xml:space="preserve">We have a revolving credit agreement (the “Credit Facility”) with a $500 </w:t>
      </w:r>
      <w:r>
        <w:rPr>
          <w:rFonts w:eastAsia="Times New Roman"/>
          <w:color w:val="000000"/>
          <w:sz w:val="20"/>
          <w:szCs w:val="20"/>
        </w:rPr>
        <w:t>million borrowing limit that matures on April 19, 2024. Amounts drawn on the Credit Facility bear annual interest at rates ranging from LIBOR plus 0.7% to LIBOR plus 1.350% depending upon the ratio of our Total Indebtedness to Gross Asset Value (as defined</w:t>
      </w:r>
      <w:r>
        <w:rPr>
          <w:rFonts w:eastAsia="Times New Roman"/>
          <w:color w:val="000000"/>
          <w:sz w:val="20"/>
          <w:szCs w:val="20"/>
        </w:rPr>
        <w:t xml:space="preserve"> in the Credit Facility) (LIBOR plus 0.75% at June 30, 2022). We are also required to pay a quarterly facility fee ranging from 0.07% per annum to 0.25% per annum depending upon the ratio of our Total Indebtedness to our Gross Asset Value (0.10% per annum </w:t>
      </w:r>
      <w:r>
        <w:rPr>
          <w:rFonts w:eastAsia="Times New Roman"/>
          <w:color w:val="000000"/>
          <w:sz w:val="20"/>
          <w:szCs w:val="20"/>
        </w:rPr>
        <w:t>at June 30, 2022). At June 30, 2022 and August 4, 2022, we had no outstanding borrowings under this Credit Facility. We had undrawn standby letters of credit, which reduce our borrowing capacity, totaling $18.5 million at June 30, 2022 ($21.2 million at De</w:t>
      </w:r>
      <w:r>
        <w:rPr>
          <w:rFonts w:eastAsia="Times New Roman"/>
          <w:color w:val="000000"/>
          <w:sz w:val="20"/>
          <w:szCs w:val="20"/>
        </w:rPr>
        <w:t xml:space="preserve">cember 31, 2021). The Credit Facility has various customary restrictive covenants, with which we were in compliance at June 30, 2022. </w:t>
      </w:r>
    </w:p>
    <w:p w:rsidR="00000000" w:rsidRDefault="00D44B22">
      <w:pPr>
        <w:jc w:val="center"/>
        <w:divId w:val="997073482"/>
        <w:rPr>
          <w:rFonts w:eastAsia="Times New Roman"/>
        </w:rPr>
      </w:pPr>
      <w:r>
        <w:rPr>
          <w:rFonts w:eastAsia="Times New Roman"/>
          <w:color w:val="000000"/>
          <w:sz w:val="20"/>
          <w:szCs w:val="20"/>
        </w:rPr>
        <w:t>13</w:t>
      </w:r>
    </w:p>
    <w:p w:rsidR="00000000" w:rsidRDefault="00D44B22">
      <w:pPr>
        <w:rPr>
          <w:rFonts w:eastAsia="Times New Roman"/>
        </w:rPr>
      </w:pPr>
      <w:r>
        <w:rPr>
          <w:rFonts w:eastAsia="Times New Roman"/>
        </w:rPr>
        <w:pict>
          <v:rect id="_x0000_i1039" style="width:0;height:1.5pt" o:hralign="center" o:hrstd="t" o:hr="t" fillcolor="#a0a0a0" stroked="f"/>
        </w:pict>
      </w:r>
    </w:p>
    <w:p w:rsidR="00000000" w:rsidRDefault="00D44B22">
      <w:pPr>
        <w:jc w:val="center"/>
        <w:divId w:val="873076223"/>
        <w:rPr>
          <w:rFonts w:eastAsia="Times New Roman"/>
        </w:rPr>
      </w:pPr>
    </w:p>
    <w:p w:rsidR="00000000" w:rsidRDefault="00D44B22">
      <w:pPr>
        <w:jc w:val="center"/>
        <w:divId w:val="873076223"/>
        <w:rPr>
          <w:rFonts w:eastAsia="Times New Roman"/>
        </w:rPr>
      </w:pPr>
      <w:r>
        <w:rPr>
          <w:rFonts w:eastAsia="Times New Roman"/>
          <w:b/>
          <w:bCs/>
          <w:color w:val="000000"/>
          <w:sz w:val="20"/>
          <w:szCs w:val="20"/>
        </w:rPr>
        <w:t>PUBLIC STORAGE</w:t>
      </w:r>
    </w:p>
    <w:p w:rsidR="00000000" w:rsidRDefault="00D44B22">
      <w:pPr>
        <w:jc w:val="center"/>
        <w:divId w:val="873076223"/>
        <w:rPr>
          <w:rFonts w:eastAsia="Times New Roman"/>
        </w:rPr>
      </w:pPr>
      <w:r>
        <w:rPr>
          <w:rFonts w:eastAsia="Times New Roman"/>
          <w:b/>
          <w:bCs/>
          <w:color w:val="000000"/>
          <w:sz w:val="20"/>
          <w:szCs w:val="20"/>
        </w:rPr>
        <w:t>NOTES TO CONSOLIDATED FINANCIAL STATEMENTS</w:t>
      </w:r>
    </w:p>
    <w:p w:rsidR="00000000" w:rsidRDefault="00D44B22">
      <w:pPr>
        <w:jc w:val="center"/>
        <w:divId w:val="873076223"/>
        <w:rPr>
          <w:rFonts w:eastAsia="Times New Roman"/>
        </w:rPr>
      </w:pPr>
      <w:r>
        <w:rPr>
          <w:rFonts w:eastAsia="Times New Roman"/>
          <w:b/>
          <w:bCs/>
          <w:color w:val="000000"/>
          <w:sz w:val="20"/>
          <w:szCs w:val="20"/>
        </w:rPr>
        <w:t>June 30, 2022</w:t>
      </w:r>
    </w:p>
    <w:p w:rsidR="00000000" w:rsidRDefault="00D44B22">
      <w:pPr>
        <w:jc w:val="center"/>
        <w:divId w:val="873076223"/>
        <w:rPr>
          <w:rFonts w:eastAsia="Times New Roman"/>
        </w:rPr>
      </w:pPr>
      <w:r>
        <w:rPr>
          <w:rFonts w:eastAsia="Times New Roman"/>
          <w:b/>
          <w:bCs/>
          <w:color w:val="000000"/>
          <w:sz w:val="20"/>
          <w:szCs w:val="20"/>
        </w:rPr>
        <w:t>(Unaudit</w:t>
      </w:r>
      <w:r>
        <w:rPr>
          <w:rFonts w:eastAsia="Times New Roman"/>
          <w:b/>
          <w:bCs/>
          <w:color w:val="000000"/>
          <w:sz w:val="20"/>
          <w:szCs w:val="20"/>
        </w:rPr>
        <w:t>ed)</w:t>
      </w:r>
    </w:p>
    <w:p w:rsidR="00000000" w:rsidRDefault="00D44B22">
      <w:pPr>
        <w:jc w:val="center"/>
        <w:divId w:val="873076223"/>
        <w:rPr>
          <w:rFonts w:eastAsia="Times New Roman"/>
        </w:rPr>
      </w:pPr>
    </w:p>
    <w:p w:rsidR="00000000" w:rsidRDefault="00D44B22">
      <w:pPr>
        <w:ind w:hanging="360"/>
        <w:divId w:val="1447777689"/>
        <w:rPr>
          <w:rFonts w:eastAsia="Times New Roman"/>
        </w:rPr>
      </w:pPr>
      <w:r>
        <w:rPr>
          <w:rFonts w:eastAsia="Times New Roman"/>
          <w:color w:val="000000"/>
          <w:sz w:val="20"/>
          <w:szCs w:val="20"/>
        </w:rPr>
        <w:t>7.</w:t>
      </w:r>
      <w:r>
        <w:rPr>
          <w:rFonts w:eastAsia="Times New Roman"/>
          <w:color w:val="000000"/>
          <w:sz w:val="20"/>
          <w:szCs w:val="20"/>
          <w:u w:val="single"/>
        </w:rPr>
        <w:t>Notes Payable</w:t>
      </w:r>
    </w:p>
    <w:p w:rsidR="00000000" w:rsidRDefault="00D44B22">
      <w:pPr>
        <w:ind w:firstLine="547"/>
        <w:jc w:val="both"/>
        <w:divId w:val="1868568551"/>
        <w:rPr>
          <w:rFonts w:eastAsia="Times New Roman"/>
        </w:rPr>
      </w:pPr>
      <w:r>
        <w:rPr>
          <w:rFonts w:eastAsia="Times New Roman"/>
          <w:color w:val="000000"/>
          <w:sz w:val="20"/>
          <w:szCs w:val="20"/>
        </w:rPr>
        <w:t xml:space="preserve">Our notes payable are reflected net of issuance costs (including original issue discounts), which are amortized as interest expense on the effective interest method over the term of each respective note. Our notes payable at June 30, 2022 and December 31, </w:t>
      </w:r>
      <w:r>
        <w:rPr>
          <w:rFonts w:eastAsia="Times New Roman"/>
          <w:color w:val="000000"/>
          <w:sz w:val="20"/>
          <w:szCs w:val="20"/>
        </w:rPr>
        <w:t>2021 are set forth in the tables below:</w:t>
      </w:r>
    </w:p>
    <w:tbl>
      <w:tblPr>
        <w:tblW w:w="4840" w:type="pct"/>
        <w:tblCellMar>
          <w:top w:w="15" w:type="dxa"/>
          <w:left w:w="15" w:type="dxa"/>
          <w:bottom w:w="15" w:type="dxa"/>
          <w:right w:w="15" w:type="dxa"/>
        </w:tblCellMar>
        <w:tblLook w:val="04A0" w:firstRow="1" w:lastRow="0" w:firstColumn="1" w:lastColumn="0" w:noHBand="0" w:noVBand="1"/>
      </w:tblPr>
      <w:tblGrid>
        <w:gridCol w:w="37"/>
        <w:gridCol w:w="1899"/>
        <w:gridCol w:w="36"/>
        <w:gridCol w:w="83"/>
        <w:gridCol w:w="967"/>
        <w:gridCol w:w="37"/>
        <w:gridCol w:w="36"/>
        <w:gridCol w:w="36"/>
        <w:gridCol w:w="36"/>
        <w:gridCol w:w="67"/>
        <w:gridCol w:w="627"/>
        <w:gridCol w:w="36"/>
        <w:gridCol w:w="36"/>
        <w:gridCol w:w="36"/>
        <w:gridCol w:w="36"/>
        <w:gridCol w:w="110"/>
        <w:gridCol w:w="765"/>
        <w:gridCol w:w="36"/>
        <w:gridCol w:w="36"/>
        <w:gridCol w:w="36"/>
        <w:gridCol w:w="36"/>
        <w:gridCol w:w="111"/>
        <w:gridCol w:w="829"/>
        <w:gridCol w:w="37"/>
        <w:gridCol w:w="36"/>
        <w:gridCol w:w="37"/>
        <w:gridCol w:w="36"/>
        <w:gridCol w:w="110"/>
        <w:gridCol w:w="765"/>
        <w:gridCol w:w="36"/>
        <w:gridCol w:w="36"/>
        <w:gridCol w:w="36"/>
        <w:gridCol w:w="36"/>
        <w:gridCol w:w="110"/>
        <w:gridCol w:w="765"/>
        <w:gridCol w:w="36"/>
      </w:tblGrid>
      <w:tr w:rsidR="00000000">
        <w:trPr>
          <w:divId w:val="691881675"/>
        </w:trPr>
        <w:tc>
          <w:tcPr>
            <w:tcW w:w="50" w:type="pct"/>
            <w:vAlign w:val="center"/>
            <w:hideMark/>
          </w:tcPr>
          <w:p w:rsidR="00000000" w:rsidRDefault="00D44B22">
            <w:pPr>
              <w:ind w:firstLine="547"/>
              <w:jc w:val="both"/>
              <w:rPr>
                <w:rFonts w:eastAsia="Times New Roman"/>
              </w:rPr>
            </w:pPr>
          </w:p>
        </w:tc>
        <w:tc>
          <w:tcPr>
            <w:tcW w:w="150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8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6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6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6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6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6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21"/>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Amounts at June 30, 2022</w:t>
            </w: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Coupon Rate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Effective Rate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Principal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Unamortized Costs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Book</w:t>
            </w:r>
            <w:r>
              <w:rPr>
                <w:rFonts w:eastAsia="Times New Roman"/>
                <w:color w:val="000000"/>
                <w:sz w:val="18"/>
                <w:szCs w:val="18"/>
              </w:rPr>
              <w:br/>
              <w:t>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Fair</w:t>
            </w:r>
            <w:r>
              <w:rPr>
                <w:rFonts w:eastAsia="Times New Roman"/>
                <w:color w:val="000000"/>
                <w:sz w:val="18"/>
                <w:szCs w:val="18"/>
              </w:rPr>
              <w:br/>
              <w:t> Value</w:t>
            </w:r>
          </w:p>
        </w:tc>
      </w:tr>
      <w:tr w:rsidR="00000000">
        <w:trPr>
          <w:divId w:val="691881675"/>
          <w:trHeight w:val="60"/>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amounts in thousands)</w:t>
            </w:r>
          </w:p>
        </w:tc>
      </w:tr>
      <w:tr w:rsidR="00000000">
        <w:trPr>
          <w:divId w:val="691881675"/>
        </w:trPr>
        <w:tc>
          <w:tcPr>
            <w:tcW w:w="0" w:type="auto"/>
            <w:gridSpan w:val="12"/>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387388429"/>
              <w:rPr>
                <w:rFonts w:eastAsia="Times New Roman"/>
              </w:rPr>
            </w:pPr>
            <w:r>
              <w:rPr>
                <w:rFonts w:eastAsia="Times New Roman"/>
                <w:color w:val="000000"/>
                <w:sz w:val="18"/>
                <w:szCs w:val="18"/>
              </w:rPr>
              <w:t xml:space="preserve">Notes due September 15, 2022 </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2.370%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2.483%</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499,901 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499,889 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1422721032"/>
              <w:rPr>
                <w:rFonts w:eastAsia="Times New Roman"/>
              </w:rPr>
            </w:pPr>
            <w:r>
              <w:rPr>
                <w:rFonts w:eastAsia="Times New Roman"/>
                <w:color w:val="000000"/>
                <w:sz w:val="18"/>
                <w:szCs w:val="18"/>
              </w:rPr>
              <w:t>Notes due April 23, 2024</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SOFR+0.47%</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0.679%</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(1,276)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698,724 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677,948 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917906453"/>
              <w:rPr>
                <w:rFonts w:eastAsia="Times New Roman"/>
              </w:rPr>
            </w:pPr>
            <w:r>
              <w:rPr>
                <w:rFonts w:eastAsia="Times New Roman"/>
                <w:color w:val="000000"/>
                <w:sz w:val="18"/>
                <w:szCs w:val="18"/>
              </w:rPr>
              <w:t>Notes due February 15, 2026</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1.030%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(2,692)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497,308 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446,501 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November 9, 2026</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1.500%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1.640%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(3,792)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646,208 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586,313 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1002509106"/>
              <w:rPr>
                <w:rFonts w:eastAsia="Times New Roman"/>
              </w:rPr>
            </w:pPr>
            <w:r>
              <w:rPr>
                <w:rFonts w:eastAsia="Times New Roman"/>
                <w:color w:val="000000"/>
                <w:sz w:val="18"/>
                <w:szCs w:val="18"/>
              </w:rPr>
              <w:t>Notes due September 15, 2027</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3.094%</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3.218%</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(2,756)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497,244 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473,901 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2075622714"/>
              <w:rPr>
                <w:rFonts w:eastAsia="Times New Roman"/>
              </w:rPr>
            </w:pPr>
            <w:r>
              <w:rPr>
                <w:rFonts w:eastAsia="Times New Roman"/>
                <w:color w:val="000000"/>
                <w:sz w:val="18"/>
                <w:szCs w:val="18"/>
              </w:rPr>
              <w:t>Notes due May 1, 2028</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1.850%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1.962%</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(3,938)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646,062 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563,957 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November 9, 2028</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1.950%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2.044%</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(3,059)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546,941 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475,398 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1231500875"/>
              <w:rPr>
                <w:rFonts w:eastAsia="Times New Roman"/>
              </w:rPr>
            </w:pPr>
            <w:r>
              <w:rPr>
                <w:rFonts w:eastAsia="Times New Roman"/>
                <w:color w:val="000000"/>
                <w:sz w:val="18"/>
                <w:szCs w:val="18"/>
              </w:rPr>
              <w:t>Notes due May 1, 2029</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3.385%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3.459%</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(2,102)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497,898 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464,411 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1983843914"/>
              <w:rPr>
                <w:rFonts w:eastAsia="Times New Roman"/>
              </w:rPr>
            </w:pPr>
            <w:r>
              <w:rPr>
                <w:rFonts w:eastAsia="Times New Roman"/>
                <w:color w:val="000000"/>
                <w:sz w:val="18"/>
                <w:szCs w:val="18"/>
              </w:rPr>
              <w:t>Notes due May 1, 2031</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2.300%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2.419%</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(6,040)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643,960 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546,666 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November 9, 2031</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2.250%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2.322%</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(3,309)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546,691 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455,568 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5,750,000 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(29,063)</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5,720,937 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5,190,552 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Height w:val="120"/>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691881675"/>
        </w:trPr>
        <w:tc>
          <w:tcPr>
            <w:tcW w:w="0" w:type="auto"/>
            <w:gridSpan w:val="6"/>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1232737711"/>
              <w:rPr>
                <w:rFonts w:eastAsia="Times New Roman"/>
              </w:rPr>
            </w:pPr>
            <w:r>
              <w:rPr>
                <w:rFonts w:eastAsia="Times New Roman"/>
                <w:color w:val="000000"/>
                <w:sz w:val="18"/>
                <w:szCs w:val="18"/>
              </w:rPr>
              <w:t>Notes due April 12, 2024</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1.540%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104,503 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104,503 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102,948 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2009408106"/>
              <w:rPr>
                <w:rFonts w:eastAsia="Times New Roman"/>
              </w:rPr>
            </w:pPr>
            <w:r>
              <w:rPr>
                <w:rFonts w:eastAsia="Times New Roman"/>
                <w:color w:val="000000"/>
                <w:sz w:val="18"/>
                <w:szCs w:val="18"/>
              </w:rPr>
              <w:t>Notes due November 3, 2025</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2.175%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252,911 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252,911 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249,888 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September 9, 2030</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0.500%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0.640%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731,521 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(9,169)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722,352 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574,244 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divId w:val="1376395277"/>
              <w:rPr>
                <w:rFonts w:eastAsia="Times New Roman"/>
              </w:rPr>
            </w:pPr>
            <w:r>
              <w:rPr>
                <w:rFonts w:eastAsia="Times New Roman"/>
                <w:color w:val="000000"/>
                <w:sz w:val="18"/>
                <w:szCs w:val="18"/>
              </w:rPr>
              <w:t>Notes due January 24, 2032</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0.875%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0.978%</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522,515 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(5,126)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517,389 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407,562 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1,611,450 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(14,295)</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1,597,155 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1,334,642 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Height w:val="60"/>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ind w:hanging="180"/>
              <w:divId w:val="300305330"/>
              <w:rPr>
                <w:rFonts w:eastAsia="Times New Roman"/>
              </w:rPr>
            </w:pPr>
            <w:r>
              <w:rPr>
                <w:rFonts w:eastAsia="Times New Roman"/>
                <w:color w:val="000000"/>
                <w:sz w:val="18"/>
                <w:szCs w:val="18"/>
              </w:rPr>
              <w:t> </w:t>
            </w:r>
            <w:r>
              <w:rPr>
                <w:rFonts w:eastAsia="Times New Roman"/>
                <w:b/>
                <w:bCs/>
                <w:i/>
                <w:iCs/>
                <w:color w:val="000000"/>
                <w:sz w:val="18"/>
                <w:szCs w:val="18"/>
              </w:rPr>
              <w:t>Mortgage Debt</w:t>
            </w:r>
            <w:r>
              <w:rPr>
                <w:rFonts w:eastAsia="Times New Roman"/>
                <w:color w:val="000000"/>
                <w:sz w:val="18"/>
                <w:szCs w:val="18"/>
              </w:rPr>
              <w:t xml:space="preserve">, secured by 11 </w:t>
            </w:r>
            <w:r>
              <w:rPr>
                <w:rFonts w:eastAsia="Times New Roman"/>
                <w:color w:val="000000"/>
                <w:sz w:val="18"/>
                <w:szCs w:val="18"/>
              </w:rPr>
              <w:t>real estate facilities with a net book value of $65.3 million</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3.876%</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3.895%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22,812 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22,812 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23,066 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691881675"/>
          <w:trHeight w:val="60"/>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69188167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7,384,262 </w:t>
            </w:r>
          </w:p>
        </w:tc>
        <w:tc>
          <w:tcPr>
            <w:tcW w:w="0" w:type="auto"/>
            <w:tcBorders>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(43,358)</w:t>
            </w:r>
          </w:p>
        </w:tc>
        <w:tc>
          <w:tcPr>
            <w:tcW w:w="0" w:type="auto"/>
            <w:tcBorders>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7,340,904 </w:t>
            </w:r>
          </w:p>
        </w:tc>
        <w:tc>
          <w:tcPr>
            <w:tcW w:w="0" w:type="auto"/>
            <w:tcBorders>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6,548,260 </w:t>
            </w:r>
          </w:p>
        </w:tc>
        <w:tc>
          <w:tcPr>
            <w:tcW w:w="0" w:type="auto"/>
            <w:tcBorders>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jc w:val="center"/>
        <w:divId w:val="2130659651"/>
        <w:rPr>
          <w:rFonts w:eastAsia="Times New Roman"/>
        </w:rPr>
      </w:pPr>
      <w:r>
        <w:rPr>
          <w:rFonts w:eastAsia="Times New Roman"/>
          <w:color w:val="000000"/>
          <w:sz w:val="20"/>
          <w:szCs w:val="20"/>
        </w:rPr>
        <w:t>14</w:t>
      </w:r>
    </w:p>
    <w:p w:rsidR="00000000" w:rsidRDefault="00D44B22">
      <w:pPr>
        <w:rPr>
          <w:rFonts w:eastAsia="Times New Roman"/>
        </w:rPr>
      </w:pPr>
      <w:r>
        <w:rPr>
          <w:rFonts w:eastAsia="Times New Roman"/>
        </w:rPr>
        <w:pict>
          <v:rect id="_x0000_i1040" style="width:0;height:1.5pt" o:hralign="center" o:hrstd="t" o:hr="t" fillcolor="#a0a0a0" stroked="f"/>
        </w:pict>
      </w:r>
    </w:p>
    <w:p w:rsidR="00000000" w:rsidRDefault="00D44B22">
      <w:pPr>
        <w:jc w:val="center"/>
        <w:divId w:val="1157265649"/>
        <w:rPr>
          <w:rFonts w:eastAsia="Times New Roman"/>
        </w:rPr>
      </w:pPr>
    </w:p>
    <w:p w:rsidR="00000000" w:rsidRDefault="00D44B22">
      <w:pPr>
        <w:jc w:val="center"/>
        <w:divId w:val="1157265649"/>
        <w:rPr>
          <w:rFonts w:eastAsia="Times New Roman"/>
        </w:rPr>
      </w:pPr>
      <w:r>
        <w:rPr>
          <w:rFonts w:eastAsia="Times New Roman"/>
          <w:b/>
          <w:bCs/>
          <w:color w:val="000000"/>
          <w:sz w:val="20"/>
          <w:szCs w:val="20"/>
        </w:rPr>
        <w:t>PUBLIC STORAGE</w:t>
      </w:r>
    </w:p>
    <w:p w:rsidR="00000000" w:rsidRDefault="00D44B22">
      <w:pPr>
        <w:jc w:val="center"/>
        <w:divId w:val="1157265649"/>
        <w:rPr>
          <w:rFonts w:eastAsia="Times New Roman"/>
        </w:rPr>
      </w:pPr>
      <w:r>
        <w:rPr>
          <w:rFonts w:eastAsia="Times New Roman"/>
          <w:b/>
          <w:bCs/>
          <w:color w:val="000000"/>
          <w:sz w:val="20"/>
          <w:szCs w:val="20"/>
        </w:rPr>
        <w:t>NOTES TO CONSOLIDATED FINANCIAL STATEMENTS</w:t>
      </w:r>
    </w:p>
    <w:p w:rsidR="00000000" w:rsidRDefault="00D44B22">
      <w:pPr>
        <w:jc w:val="center"/>
        <w:divId w:val="1157265649"/>
        <w:rPr>
          <w:rFonts w:eastAsia="Times New Roman"/>
        </w:rPr>
      </w:pPr>
      <w:r>
        <w:rPr>
          <w:rFonts w:eastAsia="Times New Roman"/>
          <w:b/>
          <w:bCs/>
          <w:color w:val="000000"/>
          <w:sz w:val="20"/>
          <w:szCs w:val="20"/>
        </w:rPr>
        <w:t>June 30, 2022</w:t>
      </w:r>
    </w:p>
    <w:p w:rsidR="00000000" w:rsidRDefault="00D44B22">
      <w:pPr>
        <w:jc w:val="center"/>
        <w:divId w:val="1157265649"/>
        <w:rPr>
          <w:rFonts w:eastAsia="Times New Roman"/>
        </w:rPr>
      </w:pPr>
      <w:r>
        <w:rPr>
          <w:rFonts w:eastAsia="Times New Roman"/>
          <w:b/>
          <w:bCs/>
          <w:color w:val="000000"/>
          <w:sz w:val="20"/>
          <w:szCs w:val="20"/>
        </w:rPr>
        <w:t>(Unaudited)</w:t>
      </w:r>
    </w:p>
    <w:p w:rsidR="00000000" w:rsidRDefault="00D44B22">
      <w:pPr>
        <w:jc w:val="center"/>
        <w:divId w:val="1157265649"/>
        <w:rPr>
          <w:rFonts w:eastAsia="Times New Roman"/>
        </w:rPr>
      </w:pPr>
    </w:p>
    <w:tbl>
      <w:tblPr>
        <w:tblW w:w="4840" w:type="pct"/>
        <w:tblCellMar>
          <w:top w:w="15" w:type="dxa"/>
          <w:left w:w="15" w:type="dxa"/>
          <w:bottom w:w="15" w:type="dxa"/>
          <w:right w:w="15" w:type="dxa"/>
        </w:tblCellMar>
        <w:tblLook w:val="04A0" w:firstRow="1" w:lastRow="0" w:firstColumn="1" w:lastColumn="0" w:noHBand="0" w:noVBand="1"/>
      </w:tblPr>
      <w:tblGrid>
        <w:gridCol w:w="37"/>
        <w:gridCol w:w="6037"/>
        <w:gridCol w:w="36"/>
        <w:gridCol w:w="110"/>
        <w:gridCol w:w="765"/>
        <w:gridCol w:w="36"/>
        <w:gridCol w:w="36"/>
        <w:gridCol w:w="36"/>
        <w:gridCol w:w="36"/>
        <w:gridCol w:w="110"/>
        <w:gridCol w:w="765"/>
        <w:gridCol w:w="36"/>
      </w:tblGrid>
      <w:tr w:rsidR="00000000">
        <w:trPr>
          <w:divId w:val="1551072689"/>
        </w:trPr>
        <w:tc>
          <w:tcPr>
            <w:tcW w:w="50" w:type="pct"/>
            <w:vAlign w:val="center"/>
            <w:hideMark/>
          </w:tcPr>
          <w:p w:rsidR="00000000" w:rsidRDefault="00D44B22">
            <w:pPr>
              <w:jc w:val="center"/>
              <w:rPr>
                <w:rFonts w:eastAsia="Times New Roman"/>
              </w:rPr>
            </w:pPr>
          </w:p>
        </w:tc>
        <w:tc>
          <w:tcPr>
            <w:tcW w:w="385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6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6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1551072689"/>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xml:space="preserve">Amounts at </w:t>
            </w: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December 31, 2021</w:t>
            </w: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Book Value</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Fair Value</w:t>
            </w: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amounts in thousands)</w:t>
            </w: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i/>
                <w:iCs/>
                <w:color w:val="000000"/>
                <w:sz w:val="18"/>
                <w:szCs w:val="18"/>
              </w:rPr>
              <w:t>U.S. Dollar Denominated Unsecured Debt</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Notes due September 15, 2022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499,637 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506,362 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April 23, 2024</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698,372 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700,314 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February 15, 2026</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496,939 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488,141 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November 9, 2026</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645,773 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649,996 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September 15, 2027</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496,980 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535,206 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May 1, 2028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645,724 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649,221 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November 9, 2028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546,701 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548,241 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May 1, 2029</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497,743 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545,580 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May 1, 2031</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643,617 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656,546 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November 9, 2031</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546,512 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551,932 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5,717,998 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5,831,539 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Height w:val="60"/>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i/>
                <w:iCs/>
                <w:color w:val="000000"/>
                <w:sz w:val="18"/>
                <w:szCs w:val="18"/>
              </w:rPr>
              <w:t>Euro Denominated Unsecured Debt</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April 12, 2024</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113,431 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117,526 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November 3, 2025</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274,518 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295,256 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September 9, 2030</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784,287 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769,561 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Notes due January 24, 2032</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561,761 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551,842 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1,733,997 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1,734,185 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Height w:val="60"/>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i/>
                <w:iCs/>
                <w:color w:val="000000"/>
                <w:sz w:val="18"/>
                <w:szCs w:val="18"/>
              </w:rPr>
              <w:t>Mortgage Debt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23,284 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24,208 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551072689"/>
          <w:trHeight w:val="60"/>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55107268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tcBorders>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7,475,279 </w:t>
            </w:r>
          </w:p>
        </w:tc>
        <w:tc>
          <w:tcPr>
            <w:tcW w:w="0" w:type="auto"/>
            <w:tcBorders>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7,589,932 </w:t>
            </w:r>
          </w:p>
        </w:tc>
        <w:tc>
          <w:tcPr>
            <w:tcW w:w="0" w:type="auto"/>
            <w:tcBorders>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ind w:firstLine="360"/>
        <w:jc w:val="both"/>
        <w:divId w:val="422655180"/>
        <w:rPr>
          <w:rFonts w:eastAsia="Times New Roman"/>
        </w:rPr>
      </w:pPr>
      <w:r>
        <w:rPr>
          <w:rFonts w:eastAsia="Times New Roman"/>
          <w:color w:val="000000"/>
          <w:sz w:val="20"/>
          <w:szCs w:val="20"/>
          <w:u w:val="single"/>
        </w:rPr>
        <w:t>U.S. Dollar Denominated Unsecured Notes</w:t>
      </w:r>
    </w:p>
    <w:p w:rsidR="00000000" w:rsidRDefault="00D44B22">
      <w:pPr>
        <w:ind w:firstLine="720"/>
        <w:jc w:val="both"/>
        <w:divId w:val="551425759"/>
        <w:rPr>
          <w:rFonts w:eastAsia="Times New Roman"/>
        </w:rPr>
      </w:pPr>
      <w:r>
        <w:rPr>
          <w:rFonts w:eastAsia="Times New Roman"/>
          <w:color w:val="000000"/>
          <w:sz w:val="20"/>
          <w:szCs w:val="20"/>
        </w:rPr>
        <w:t>The U.S. Dollar Denominated Unsecured Notes have various financial covenants, with which we were in compliance at June 30, 2022. Included in these covenants are (a) a maximum Debt to Total Assets of 65% (approximately 15% at June 30, 2022) and (b) a minimu</w:t>
      </w:r>
      <w:r>
        <w:rPr>
          <w:rFonts w:eastAsia="Times New Roman"/>
          <w:color w:val="000000"/>
          <w:sz w:val="20"/>
          <w:szCs w:val="20"/>
        </w:rPr>
        <w:t xml:space="preserve">m ratio of Adjusted EBITDA to Interest Expense of 1.5x (approximately 26x for the twelve months ended June 30, 2022) as well as covenants limiting the amount we can encumber our properties with mortgage debt. </w:t>
      </w:r>
    </w:p>
    <w:p w:rsidR="00000000" w:rsidRDefault="00D44B22">
      <w:pPr>
        <w:ind w:firstLine="360"/>
        <w:jc w:val="both"/>
        <w:divId w:val="47656030"/>
        <w:rPr>
          <w:rFonts w:eastAsia="Times New Roman"/>
        </w:rPr>
      </w:pPr>
      <w:r>
        <w:rPr>
          <w:rFonts w:eastAsia="Times New Roman"/>
          <w:color w:val="000000"/>
          <w:sz w:val="20"/>
          <w:szCs w:val="20"/>
          <w:u w:val="single"/>
        </w:rPr>
        <w:t>Euro Denominated Unsecured Notes</w:t>
      </w:r>
    </w:p>
    <w:p w:rsidR="00000000" w:rsidRDefault="00D44B22">
      <w:pPr>
        <w:ind w:firstLine="720"/>
        <w:jc w:val="both"/>
        <w:divId w:val="642584235"/>
        <w:rPr>
          <w:rFonts w:eastAsia="Times New Roman"/>
        </w:rPr>
      </w:pPr>
      <w:r>
        <w:rPr>
          <w:rFonts w:eastAsia="Times New Roman"/>
          <w:color w:val="000000"/>
          <w:sz w:val="20"/>
          <w:szCs w:val="20"/>
        </w:rPr>
        <w:t>Our Euro deno</w:t>
      </w:r>
      <w:r>
        <w:rPr>
          <w:rFonts w:eastAsia="Times New Roman"/>
          <w:color w:val="000000"/>
          <w:sz w:val="20"/>
          <w:szCs w:val="20"/>
        </w:rPr>
        <w:t xml:space="preserve">minated unsecured notes (the “Euro Notes”) consist of four tranches: (i) €242.0 million issued to institutional investors on November 3, 2015, (ii) €100.0 million issued to institutional investors on April 12, 2016, (iii) €500.0 million issued in a public </w:t>
      </w:r>
      <w:r>
        <w:rPr>
          <w:rFonts w:eastAsia="Times New Roman"/>
          <w:color w:val="000000"/>
          <w:sz w:val="20"/>
          <w:szCs w:val="20"/>
        </w:rPr>
        <w:t xml:space="preserve">offering on January 24, 2020, and (iv) €700.0 million issued in a public offering on September 9, 2021. The Euro Notes have financial covenants similar to those of the U.S. Dollar Denominated Unsecured Notes. </w:t>
      </w:r>
    </w:p>
    <w:p w:rsidR="00000000" w:rsidRDefault="00D44B22">
      <w:pPr>
        <w:ind w:firstLine="720"/>
        <w:jc w:val="both"/>
        <w:divId w:val="1163397165"/>
        <w:rPr>
          <w:rFonts w:eastAsia="Times New Roman"/>
        </w:rPr>
      </w:pPr>
      <w:r>
        <w:rPr>
          <w:rFonts w:eastAsia="Times New Roman"/>
          <w:color w:val="000000"/>
          <w:sz w:val="20"/>
          <w:szCs w:val="20"/>
        </w:rPr>
        <w:t>We reflect changes in the U.S. Dollar equivale</w:t>
      </w:r>
      <w:r>
        <w:rPr>
          <w:rFonts w:eastAsia="Times New Roman"/>
          <w:color w:val="000000"/>
          <w:sz w:val="20"/>
          <w:szCs w:val="20"/>
        </w:rPr>
        <w:t>nt of the amount payable including the associated interest, as a result of changes in foreign exchange rates as “Foreign currency exchange gain (loss)” on our income statement (gains of $102.9 million and $138.2 million for the three and six months ended J</w:t>
      </w:r>
      <w:r>
        <w:rPr>
          <w:rFonts w:eastAsia="Times New Roman"/>
          <w:color w:val="000000"/>
          <w:sz w:val="20"/>
          <w:szCs w:val="20"/>
        </w:rPr>
        <w:t xml:space="preserve">une 30, 2022, respectively, as compared to losses of $12.7 million and gains of $32.7 million for the three and six months ended June 30, 2021, respectively). </w:t>
      </w:r>
    </w:p>
    <w:p w:rsidR="00000000" w:rsidRDefault="00D44B22">
      <w:pPr>
        <w:jc w:val="center"/>
        <w:divId w:val="1058625437"/>
        <w:rPr>
          <w:rFonts w:eastAsia="Times New Roman"/>
        </w:rPr>
      </w:pPr>
      <w:r>
        <w:rPr>
          <w:rFonts w:eastAsia="Times New Roman"/>
          <w:color w:val="000000"/>
          <w:sz w:val="20"/>
          <w:szCs w:val="20"/>
        </w:rPr>
        <w:t>15</w:t>
      </w:r>
    </w:p>
    <w:p w:rsidR="00000000" w:rsidRDefault="00D44B22">
      <w:pPr>
        <w:rPr>
          <w:rFonts w:eastAsia="Times New Roman"/>
        </w:rPr>
      </w:pPr>
      <w:r>
        <w:rPr>
          <w:rFonts w:eastAsia="Times New Roman"/>
        </w:rPr>
        <w:pict>
          <v:rect id="_x0000_i1041" style="width:0;height:1.5pt" o:hralign="center" o:hrstd="t" o:hr="t" fillcolor="#a0a0a0" stroked="f"/>
        </w:pict>
      </w:r>
    </w:p>
    <w:p w:rsidR="00000000" w:rsidRDefault="00D44B22">
      <w:pPr>
        <w:jc w:val="center"/>
        <w:divId w:val="368381975"/>
        <w:rPr>
          <w:rFonts w:eastAsia="Times New Roman"/>
        </w:rPr>
      </w:pPr>
    </w:p>
    <w:p w:rsidR="00000000" w:rsidRDefault="00D44B22">
      <w:pPr>
        <w:jc w:val="center"/>
        <w:divId w:val="368381975"/>
        <w:rPr>
          <w:rFonts w:eastAsia="Times New Roman"/>
        </w:rPr>
      </w:pPr>
      <w:r>
        <w:rPr>
          <w:rFonts w:eastAsia="Times New Roman"/>
          <w:b/>
          <w:bCs/>
          <w:color w:val="000000"/>
          <w:sz w:val="20"/>
          <w:szCs w:val="20"/>
        </w:rPr>
        <w:t>PUBLIC STORAGE</w:t>
      </w:r>
    </w:p>
    <w:p w:rsidR="00000000" w:rsidRDefault="00D44B22">
      <w:pPr>
        <w:jc w:val="center"/>
        <w:divId w:val="368381975"/>
        <w:rPr>
          <w:rFonts w:eastAsia="Times New Roman"/>
        </w:rPr>
      </w:pPr>
      <w:r>
        <w:rPr>
          <w:rFonts w:eastAsia="Times New Roman"/>
          <w:b/>
          <w:bCs/>
          <w:color w:val="000000"/>
          <w:sz w:val="20"/>
          <w:szCs w:val="20"/>
        </w:rPr>
        <w:t>NOTES TO CONSOLIDATED FINANCIAL STATEMENTS</w:t>
      </w:r>
    </w:p>
    <w:p w:rsidR="00000000" w:rsidRDefault="00D44B22">
      <w:pPr>
        <w:jc w:val="center"/>
        <w:divId w:val="368381975"/>
        <w:rPr>
          <w:rFonts w:eastAsia="Times New Roman"/>
        </w:rPr>
      </w:pPr>
      <w:r>
        <w:rPr>
          <w:rFonts w:eastAsia="Times New Roman"/>
          <w:b/>
          <w:bCs/>
          <w:color w:val="000000"/>
          <w:sz w:val="20"/>
          <w:szCs w:val="20"/>
        </w:rPr>
        <w:t>June 30, 2022</w:t>
      </w:r>
    </w:p>
    <w:p w:rsidR="00000000" w:rsidRDefault="00D44B22">
      <w:pPr>
        <w:jc w:val="center"/>
        <w:divId w:val="368381975"/>
        <w:rPr>
          <w:rFonts w:eastAsia="Times New Roman"/>
        </w:rPr>
      </w:pPr>
      <w:r>
        <w:rPr>
          <w:rFonts w:eastAsia="Times New Roman"/>
          <w:b/>
          <w:bCs/>
          <w:color w:val="000000"/>
          <w:sz w:val="20"/>
          <w:szCs w:val="20"/>
        </w:rPr>
        <w:t>(Unaudited)</w:t>
      </w:r>
    </w:p>
    <w:p w:rsidR="00000000" w:rsidRDefault="00D44B22">
      <w:pPr>
        <w:jc w:val="center"/>
        <w:divId w:val="368381975"/>
        <w:rPr>
          <w:rFonts w:eastAsia="Times New Roman"/>
        </w:rPr>
      </w:pPr>
    </w:p>
    <w:p w:rsidR="00000000" w:rsidRDefault="00D44B22">
      <w:pPr>
        <w:jc w:val="both"/>
        <w:rPr>
          <w:rFonts w:eastAsia="Times New Roman"/>
        </w:rPr>
      </w:pPr>
      <w:r>
        <w:rPr>
          <w:rFonts w:eastAsia="Times New Roman"/>
          <w:color w:val="000000"/>
          <w:sz w:val="20"/>
          <w:szCs w:val="20"/>
          <w:u w:val="single"/>
        </w:rPr>
        <w:t>Mortgage Notes</w:t>
      </w:r>
    </w:p>
    <w:p w:rsidR="00000000" w:rsidRDefault="00D44B22">
      <w:pPr>
        <w:ind w:firstLine="720"/>
        <w:jc w:val="both"/>
        <w:divId w:val="1233467137"/>
        <w:rPr>
          <w:rFonts w:eastAsia="Times New Roman"/>
        </w:rPr>
      </w:pPr>
      <w:r>
        <w:rPr>
          <w:rFonts w:eastAsia="Times New Roman"/>
          <w:color w:val="000000"/>
          <w:sz w:val="20"/>
          <w:szCs w:val="20"/>
        </w:rPr>
        <w:t>We assumed our non-recourse mortgage debt in connection with property acquisitions, and we recorded such debt at fair value with any premium or discount to the stated not</w:t>
      </w:r>
      <w:r>
        <w:rPr>
          <w:rFonts w:eastAsia="Times New Roman"/>
          <w:color w:val="000000"/>
          <w:sz w:val="20"/>
          <w:szCs w:val="20"/>
        </w:rPr>
        <w:t xml:space="preserve">e balance amortized using the effective interest method. </w:t>
      </w:r>
    </w:p>
    <w:p w:rsidR="00000000" w:rsidRDefault="00D44B22">
      <w:pPr>
        <w:ind w:firstLine="720"/>
        <w:jc w:val="both"/>
        <w:divId w:val="902062568"/>
        <w:rPr>
          <w:rFonts w:eastAsia="Times New Roman"/>
        </w:rPr>
      </w:pPr>
      <w:r>
        <w:rPr>
          <w:rFonts w:eastAsia="Times New Roman"/>
          <w:color w:val="000000"/>
          <w:sz w:val="20"/>
          <w:szCs w:val="20"/>
        </w:rPr>
        <w:t>At June 30, 2022, the related contractual interest rates of our mortgage notes are fixed, ranging between 3.2% and 7.1%, and mature between November 1, 2022 and July 1, 2030.</w:t>
      </w:r>
    </w:p>
    <w:p w:rsidR="00000000" w:rsidRDefault="00D44B22">
      <w:pPr>
        <w:ind w:firstLine="720"/>
        <w:jc w:val="both"/>
        <w:divId w:val="647709215"/>
        <w:rPr>
          <w:rFonts w:eastAsia="Times New Roman"/>
        </w:rPr>
      </w:pPr>
      <w:r>
        <w:rPr>
          <w:rFonts w:eastAsia="Times New Roman"/>
          <w:color w:val="000000"/>
          <w:sz w:val="20"/>
          <w:szCs w:val="20"/>
        </w:rPr>
        <w:t>At June 30, 2022, appro</w:t>
      </w:r>
      <w:r>
        <w:rPr>
          <w:rFonts w:eastAsia="Times New Roman"/>
          <w:color w:val="000000"/>
          <w:sz w:val="20"/>
          <w:szCs w:val="20"/>
        </w:rPr>
        <w:t>ximate principal maturities of our Notes Payable are as follows (amounts in thousands):</w:t>
      </w:r>
    </w:p>
    <w:tbl>
      <w:tblPr>
        <w:tblW w:w="4765" w:type="pct"/>
        <w:tblCellMar>
          <w:top w:w="15" w:type="dxa"/>
          <w:left w:w="15" w:type="dxa"/>
          <w:bottom w:w="15" w:type="dxa"/>
          <w:right w:w="15" w:type="dxa"/>
        </w:tblCellMar>
        <w:tblLook w:val="04A0" w:firstRow="1" w:lastRow="0" w:firstColumn="1" w:lastColumn="0" w:noHBand="0" w:noVBand="1"/>
      </w:tblPr>
      <w:tblGrid>
        <w:gridCol w:w="37"/>
        <w:gridCol w:w="2622"/>
        <w:gridCol w:w="36"/>
        <w:gridCol w:w="121"/>
        <w:gridCol w:w="1575"/>
        <w:gridCol w:w="36"/>
        <w:gridCol w:w="36"/>
        <w:gridCol w:w="36"/>
        <w:gridCol w:w="36"/>
        <w:gridCol w:w="121"/>
        <w:gridCol w:w="1422"/>
        <w:gridCol w:w="36"/>
        <w:gridCol w:w="36"/>
        <w:gridCol w:w="36"/>
        <w:gridCol w:w="36"/>
        <w:gridCol w:w="122"/>
        <w:gridCol w:w="1536"/>
        <w:gridCol w:w="36"/>
      </w:tblGrid>
      <w:tr w:rsidR="00000000">
        <w:trPr>
          <w:divId w:val="1977293860"/>
        </w:trPr>
        <w:tc>
          <w:tcPr>
            <w:tcW w:w="50" w:type="pct"/>
            <w:vAlign w:val="center"/>
            <w:hideMark/>
          </w:tcPr>
          <w:p w:rsidR="00000000" w:rsidRDefault="00D44B22">
            <w:pPr>
              <w:ind w:firstLine="720"/>
              <w:jc w:val="both"/>
              <w:rPr>
                <w:rFonts w:eastAsia="Times New Roman"/>
              </w:rPr>
            </w:pPr>
          </w:p>
        </w:tc>
        <w:tc>
          <w:tcPr>
            <w:tcW w:w="169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102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954"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102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1977293860"/>
        </w:trPr>
        <w:tc>
          <w:tcPr>
            <w:tcW w:w="0" w:type="auto"/>
            <w:gridSpan w:val="3"/>
            <w:tcMar>
              <w:top w:w="30" w:type="dxa"/>
              <w:left w:w="20" w:type="dxa"/>
              <w:bottom w:w="30" w:type="dxa"/>
              <w:right w:w="20" w:type="dxa"/>
            </w:tcMar>
            <w:vAlign w:val="center"/>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Unsecured Debt</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Mortgage Debt</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Total</w:t>
            </w:r>
          </w:p>
        </w:tc>
      </w:tr>
      <w:tr w:rsidR="00000000">
        <w:trPr>
          <w:divId w:val="1977293860"/>
          <w:trHeight w:val="120"/>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977293860"/>
        </w:trPr>
        <w:tc>
          <w:tcPr>
            <w:tcW w:w="0" w:type="auto"/>
            <w:gridSpan w:val="3"/>
            <w:tcMar>
              <w:top w:w="30" w:type="dxa"/>
              <w:left w:w="20" w:type="dxa"/>
              <w:bottom w:w="30" w:type="dxa"/>
              <w:right w:w="20" w:type="dxa"/>
            </w:tcMar>
            <w:vAlign w:val="bottom"/>
            <w:hideMark/>
          </w:tcPr>
          <w:p w:rsidR="00000000" w:rsidRDefault="00D44B22">
            <w:pPr>
              <w:spacing w:after="100"/>
              <w:divId w:val="1210724580"/>
              <w:rPr>
                <w:rFonts w:eastAsia="Times New Roman"/>
              </w:rPr>
            </w:pPr>
            <w:r>
              <w:rPr>
                <w:rFonts w:eastAsia="Times New Roman"/>
                <w:color w:val="000000"/>
                <w:sz w:val="20"/>
                <w:szCs w:val="20"/>
              </w:rPr>
              <w:t>Remainder of 2022</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500,000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2,011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502,011</w:t>
            </w:r>
          </w:p>
        </w:tc>
      </w:tr>
      <w:tr w:rsidR="00000000">
        <w:trPr>
          <w:divId w:val="1977293860"/>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19,219</w:t>
            </w:r>
          </w:p>
        </w:tc>
      </w:tr>
      <w:tr w:rsidR="00000000">
        <w:trPr>
          <w:divId w:val="1977293860"/>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804,503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804,627</w:t>
            </w:r>
          </w:p>
        </w:tc>
      </w:tr>
      <w:tr w:rsidR="00000000">
        <w:trPr>
          <w:divId w:val="1977293860"/>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252,911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253,042</w:t>
            </w:r>
          </w:p>
        </w:tc>
      </w:tr>
      <w:tr w:rsidR="00000000">
        <w:trPr>
          <w:divId w:val="1977293860"/>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1,150,000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1,150,138</w:t>
            </w:r>
          </w:p>
        </w:tc>
      </w:tr>
      <w:tr w:rsidR="00000000">
        <w:trPr>
          <w:divId w:val="1977293860"/>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4,654,036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1,189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4,655,225</w:t>
            </w:r>
          </w:p>
        </w:tc>
      </w:tr>
      <w:tr w:rsidR="00000000">
        <w:trPr>
          <w:divId w:val="1977293860"/>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D44B22">
            <w:pPr>
              <w:spacing w:after="100"/>
              <w:jc w:val="right"/>
              <w:rPr>
                <w:rFonts w:eastAsia="Times New Roman"/>
              </w:rPr>
            </w:pPr>
            <w:r>
              <w:rPr>
                <w:rFonts w:eastAsia="Times New Roman"/>
                <w:color w:val="000000"/>
                <w:sz w:val="20"/>
                <w:szCs w:val="20"/>
              </w:rPr>
              <w:t>7,361,450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D44B22">
            <w:pPr>
              <w:spacing w:after="100"/>
              <w:jc w:val="right"/>
              <w:rPr>
                <w:rFonts w:eastAsia="Times New Roman"/>
              </w:rPr>
            </w:pPr>
            <w:r>
              <w:rPr>
                <w:rFonts w:eastAsia="Times New Roman"/>
                <w:color w:val="000000"/>
                <w:sz w:val="20"/>
                <w:szCs w:val="20"/>
              </w:rPr>
              <w:t>22,812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center"/>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center"/>
            <w:hideMark/>
          </w:tcPr>
          <w:p w:rsidR="00000000" w:rsidRDefault="00D44B22">
            <w:pPr>
              <w:spacing w:after="100"/>
              <w:jc w:val="right"/>
              <w:rPr>
                <w:rFonts w:eastAsia="Times New Roman"/>
              </w:rPr>
            </w:pPr>
            <w:r>
              <w:rPr>
                <w:rFonts w:eastAsia="Times New Roman"/>
                <w:color w:val="000000"/>
                <w:sz w:val="20"/>
                <w:szCs w:val="20"/>
              </w:rPr>
              <w:t>7,384,262</w:t>
            </w:r>
          </w:p>
        </w:tc>
      </w:tr>
      <w:tr w:rsidR="00000000">
        <w:trPr>
          <w:divId w:val="1977293860"/>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Weighted average effective rate </w:t>
            </w: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D44B22">
            <w:pPr>
              <w:spacing w:after="100"/>
              <w:jc w:val="right"/>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D44B22">
            <w:pPr>
              <w:spacing w:after="100"/>
              <w:jc w:val="right"/>
              <w:rPr>
                <w:rFonts w:eastAsia="Times New Roman"/>
              </w:rPr>
            </w:pPr>
            <w:r>
              <w:rPr>
                <w:rFonts w:eastAsia="Times New Roman"/>
                <w:color w:val="000000"/>
                <w:sz w:val="20"/>
                <w:szCs w:val="20"/>
              </w:rPr>
              <w:t>3.9%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double" w:sz="6" w:space="0" w:color="000000"/>
              <w:bottom w:val="double" w:sz="6" w:space="0" w:color="000000"/>
            </w:tcBorders>
            <w:tcMar>
              <w:top w:w="30" w:type="dxa"/>
              <w:left w:w="20" w:type="dxa"/>
              <w:bottom w:w="30" w:type="dxa"/>
              <w:right w:w="39" w:type="dxa"/>
            </w:tcMar>
            <w:vAlign w:val="center"/>
            <w:hideMark/>
          </w:tcPr>
          <w:p w:rsidR="00000000" w:rsidRDefault="00D44B22">
            <w:pPr>
              <w:spacing w:after="100"/>
              <w:jc w:val="right"/>
              <w:rPr>
                <w:rFonts w:eastAsia="Times New Roman"/>
              </w:rPr>
            </w:pPr>
            <w:r>
              <w:rPr>
                <w:rFonts w:eastAsia="Times New Roman"/>
                <w:color w:val="000000"/>
                <w:sz w:val="20"/>
                <w:szCs w:val="20"/>
              </w:rPr>
              <w:t>1.9%</w:t>
            </w:r>
          </w:p>
        </w:tc>
      </w:tr>
    </w:tbl>
    <w:p w:rsidR="00000000" w:rsidRDefault="00D44B22">
      <w:pPr>
        <w:ind w:firstLine="720"/>
        <w:jc w:val="both"/>
        <w:divId w:val="769393448"/>
        <w:rPr>
          <w:rFonts w:eastAsia="Times New Roman"/>
        </w:rPr>
      </w:pPr>
      <w:r>
        <w:rPr>
          <w:rFonts w:eastAsia="Times New Roman"/>
          <w:color w:val="000000"/>
          <w:sz w:val="20"/>
          <w:szCs w:val="20"/>
        </w:rPr>
        <w:t>Cash paid for interest totaled $66.0 million and $32.3 million for the six months ended June </w:t>
      </w:r>
      <w:r>
        <w:rPr>
          <w:rFonts w:eastAsia="Times New Roman"/>
          <w:color w:val="000000"/>
          <w:sz w:val="20"/>
          <w:szCs w:val="20"/>
        </w:rPr>
        <w:t>30, 2022 and 2021, respectively. Interest capitalized as real estate totaled $2.6 million and $1.7 million for the six months ended June 30, 2022 and 2021, respectively.</w:t>
      </w:r>
    </w:p>
    <w:p w:rsidR="00000000" w:rsidRDefault="00D44B22">
      <w:pPr>
        <w:ind w:hanging="360"/>
        <w:jc w:val="both"/>
        <w:divId w:val="785387814"/>
        <w:rPr>
          <w:rFonts w:eastAsia="Times New Roman"/>
        </w:rPr>
      </w:pPr>
      <w:r>
        <w:rPr>
          <w:rFonts w:eastAsia="Times New Roman"/>
          <w:color w:val="000000"/>
          <w:sz w:val="20"/>
          <w:szCs w:val="20"/>
        </w:rPr>
        <w:t>8.</w:t>
      </w:r>
      <w:r>
        <w:rPr>
          <w:rFonts w:eastAsia="Times New Roman"/>
          <w:color w:val="000000"/>
          <w:sz w:val="20"/>
          <w:szCs w:val="20"/>
          <w:u w:val="single"/>
        </w:rPr>
        <w:t>Noncontrolling Interests</w:t>
      </w:r>
    </w:p>
    <w:p w:rsidR="00000000" w:rsidRDefault="00D44B22">
      <w:pPr>
        <w:ind w:firstLine="720"/>
        <w:jc w:val="both"/>
        <w:divId w:val="1603420265"/>
        <w:rPr>
          <w:rFonts w:eastAsia="Times New Roman"/>
        </w:rPr>
      </w:pPr>
      <w:r>
        <w:rPr>
          <w:rFonts w:eastAsia="Times New Roman"/>
          <w:color w:val="000000"/>
          <w:sz w:val="20"/>
          <w:szCs w:val="20"/>
        </w:rPr>
        <w:t>We have noncontrolling interests related to several subsidi</w:t>
      </w:r>
      <w:r>
        <w:rPr>
          <w:rFonts w:eastAsia="Times New Roman"/>
          <w:color w:val="000000"/>
          <w:sz w:val="20"/>
          <w:szCs w:val="20"/>
        </w:rPr>
        <w:t xml:space="preserve">aries we consolidate of which we do not own 100% of the equity. At June 30, 2022, certain of these subsidiaries have issued 498,107 partnership units to third-parties that are convertible on a one-for-one basis (subject to certain limitations) into common </w:t>
      </w:r>
      <w:r>
        <w:rPr>
          <w:rFonts w:eastAsia="Times New Roman"/>
          <w:color w:val="000000"/>
          <w:sz w:val="20"/>
          <w:szCs w:val="20"/>
        </w:rPr>
        <w:t>shares of the Company at the option of the unitholder. These include a total of 54,137 partnership units of $19.9 million issued to third-parties in connection with our acquisition of self-storage properties in the six months ended June 30, 2022.</w:t>
      </w:r>
    </w:p>
    <w:p w:rsidR="00000000" w:rsidRDefault="00D44B22">
      <w:pPr>
        <w:ind w:firstLine="720"/>
        <w:jc w:val="both"/>
        <w:divId w:val="402992883"/>
        <w:rPr>
          <w:rFonts w:eastAsia="Times New Roman"/>
        </w:rPr>
      </w:pPr>
      <w:r>
        <w:rPr>
          <w:rFonts w:eastAsia="Times New Roman"/>
          <w:color w:val="000000"/>
          <w:sz w:val="20"/>
          <w:szCs w:val="20"/>
        </w:rPr>
        <w:t xml:space="preserve">At March </w:t>
      </w:r>
      <w:r>
        <w:rPr>
          <w:rFonts w:eastAsia="Times New Roman"/>
          <w:color w:val="000000"/>
          <w:sz w:val="20"/>
          <w:szCs w:val="20"/>
        </w:rPr>
        <w:t>31, 2022, we had 254,833 partnership units of $83.8 million classified as redeemable noncontrolling interests outside of total equity in our consolidated balance sheets, because the unitholders of these partnership units had the right to require redemption</w:t>
      </w:r>
      <w:r>
        <w:rPr>
          <w:rFonts w:eastAsia="Times New Roman"/>
          <w:color w:val="000000"/>
          <w:sz w:val="20"/>
          <w:szCs w:val="20"/>
        </w:rPr>
        <w:t xml:space="preserve"> of their partnership units in cash if common shares of the Company were not publicly listed. In the second quarter of 2022, the related partnership agreements were amended with such cash redemption feature removed from these partnership units. We therefor</w:t>
      </w:r>
      <w:r>
        <w:rPr>
          <w:rFonts w:eastAsia="Times New Roman"/>
          <w:color w:val="000000"/>
          <w:sz w:val="20"/>
          <w:szCs w:val="20"/>
        </w:rPr>
        <w:t>e reclassified $83.8 million from redeemable noncontrolling interests to noncontrolling interests in total equity during the three months ended June 30, 2022.</w:t>
      </w:r>
    </w:p>
    <w:p w:rsidR="00000000" w:rsidRDefault="00D44B22">
      <w:pPr>
        <w:jc w:val="center"/>
        <w:divId w:val="1020669220"/>
        <w:rPr>
          <w:rFonts w:eastAsia="Times New Roman"/>
        </w:rPr>
      </w:pPr>
      <w:r>
        <w:rPr>
          <w:rFonts w:eastAsia="Times New Roman"/>
          <w:color w:val="000000"/>
          <w:sz w:val="20"/>
          <w:szCs w:val="20"/>
        </w:rPr>
        <w:t>16</w:t>
      </w:r>
    </w:p>
    <w:p w:rsidR="00000000" w:rsidRDefault="00D44B22">
      <w:pPr>
        <w:rPr>
          <w:rFonts w:eastAsia="Times New Roman"/>
        </w:rPr>
      </w:pPr>
      <w:r>
        <w:rPr>
          <w:rFonts w:eastAsia="Times New Roman"/>
        </w:rPr>
        <w:pict>
          <v:rect id="_x0000_i1042" style="width:0;height:1.5pt" o:hralign="center" o:hrstd="t" o:hr="t" fillcolor="#a0a0a0" stroked="f"/>
        </w:pict>
      </w:r>
    </w:p>
    <w:p w:rsidR="00000000" w:rsidRDefault="00D44B22">
      <w:pPr>
        <w:jc w:val="center"/>
        <w:divId w:val="983697317"/>
        <w:rPr>
          <w:rFonts w:eastAsia="Times New Roman"/>
        </w:rPr>
      </w:pPr>
    </w:p>
    <w:p w:rsidR="00000000" w:rsidRDefault="00D44B22">
      <w:pPr>
        <w:jc w:val="center"/>
        <w:divId w:val="983697317"/>
        <w:rPr>
          <w:rFonts w:eastAsia="Times New Roman"/>
        </w:rPr>
      </w:pPr>
      <w:r>
        <w:rPr>
          <w:rFonts w:eastAsia="Times New Roman"/>
          <w:b/>
          <w:bCs/>
          <w:color w:val="000000"/>
          <w:sz w:val="20"/>
          <w:szCs w:val="20"/>
        </w:rPr>
        <w:t>PUBLIC STORAGE</w:t>
      </w:r>
    </w:p>
    <w:p w:rsidR="00000000" w:rsidRDefault="00D44B22">
      <w:pPr>
        <w:jc w:val="center"/>
        <w:divId w:val="983697317"/>
        <w:rPr>
          <w:rFonts w:eastAsia="Times New Roman"/>
        </w:rPr>
      </w:pPr>
      <w:r>
        <w:rPr>
          <w:rFonts w:eastAsia="Times New Roman"/>
          <w:b/>
          <w:bCs/>
          <w:color w:val="000000"/>
          <w:sz w:val="20"/>
          <w:szCs w:val="20"/>
        </w:rPr>
        <w:t>NOTES TO CONSOLIDATED FINANCIAL STATEMENT</w:t>
      </w:r>
      <w:r>
        <w:rPr>
          <w:rFonts w:eastAsia="Times New Roman"/>
          <w:b/>
          <w:bCs/>
          <w:color w:val="000000"/>
          <w:sz w:val="20"/>
          <w:szCs w:val="20"/>
        </w:rPr>
        <w:t>S</w:t>
      </w:r>
    </w:p>
    <w:p w:rsidR="00000000" w:rsidRDefault="00D44B22">
      <w:pPr>
        <w:jc w:val="center"/>
        <w:divId w:val="983697317"/>
        <w:rPr>
          <w:rFonts w:eastAsia="Times New Roman"/>
        </w:rPr>
      </w:pPr>
      <w:r>
        <w:rPr>
          <w:rFonts w:eastAsia="Times New Roman"/>
          <w:b/>
          <w:bCs/>
          <w:color w:val="000000"/>
          <w:sz w:val="20"/>
          <w:szCs w:val="20"/>
        </w:rPr>
        <w:t>June 30, 2022</w:t>
      </w:r>
    </w:p>
    <w:p w:rsidR="00000000" w:rsidRDefault="00D44B22">
      <w:pPr>
        <w:jc w:val="center"/>
        <w:divId w:val="983697317"/>
        <w:rPr>
          <w:rFonts w:eastAsia="Times New Roman"/>
        </w:rPr>
      </w:pPr>
      <w:r>
        <w:rPr>
          <w:rFonts w:eastAsia="Times New Roman"/>
          <w:b/>
          <w:bCs/>
          <w:color w:val="000000"/>
          <w:sz w:val="20"/>
          <w:szCs w:val="20"/>
        </w:rPr>
        <w:t>(Unaudited)</w:t>
      </w:r>
    </w:p>
    <w:p w:rsidR="00000000" w:rsidRDefault="00D44B22">
      <w:pPr>
        <w:jc w:val="center"/>
        <w:divId w:val="983697317"/>
        <w:rPr>
          <w:rFonts w:eastAsia="Times New Roman"/>
        </w:rPr>
      </w:pPr>
    </w:p>
    <w:p w:rsidR="00000000" w:rsidRDefault="00D44B22">
      <w:pPr>
        <w:ind w:hanging="360"/>
        <w:jc w:val="both"/>
        <w:divId w:val="1468471778"/>
        <w:rPr>
          <w:rFonts w:eastAsia="Times New Roman"/>
        </w:rPr>
      </w:pPr>
      <w:r>
        <w:rPr>
          <w:rFonts w:eastAsia="Times New Roman"/>
          <w:color w:val="000000"/>
          <w:sz w:val="20"/>
          <w:szCs w:val="20"/>
        </w:rPr>
        <w:t>9.</w:t>
      </w:r>
      <w:r>
        <w:rPr>
          <w:rFonts w:eastAsia="Times New Roman"/>
          <w:color w:val="000000"/>
          <w:sz w:val="20"/>
          <w:szCs w:val="20"/>
          <w:u w:val="single"/>
        </w:rPr>
        <w:t>Shareholders’ Equity</w:t>
      </w:r>
    </w:p>
    <w:p w:rsidR="00000000" w:rsidRDefault="00D44B22">
      <w:pPr>
        <w:jc w:val="both"/>
        <w:rPr>
          <w:rFonts w:eastAsia="Times New Roman"/>
        </w:rPr>
      </w:pPr>
    </w:p>
    <w:p w:rsidR="00000000" w:rsidRDefault="00D44B22">
      <w:pPr>
        <w:jc w:val="both"/>
        <w:divId w:val="163135086"/>
        <w:rPr>
          <w:rFonts w:eastAsia="Times New Roman"/>
        </w:rPr>
      </w:pPr>
      <w:r>
        <w:rPr>
          <w:rFonts w:eastAsia="Times New Roman"/>
          <w:color w:val="000000"/>
          <w:sz w:val="20"/>
          <w:szCs w:val="20"/>
          <w:u w:val="single"/>
        </w:rPr>
        <w:t>Preferred Shares</w:t>
      </w:r>
    </w:p>
    <w:p w:rsidR="00000000" w:rsidRDefault="00D44B22">
      <w:pPr>
        <w:ind w:firstLine="720"/>
        <w:jc w:val="both"/>
        <w:rPr>
          <w:rFonts w:eastAsia="Times New Roman"/>
        </w:rPr>
      </w:pPr>
      <w:r>
        <w:rPr>
          <w:rFonts w:eastAsia="Times New Roman"/>
          <w:color w:val="000000"/>
          <w:sz w:val="20"/>
          <w:szCs w:val="20"/>
        </w:rPr>
        <w:t>At June </w:t>
      </w:r>
      <w:r>
        <w:rPr>
          <w:rFonts w:eastAsia="Times New Roman"/>
          <w:color w:val="000000"/>
          <w:sz w:val="20"/>
          <w:szCs w:val="20"/>
        </w:rPr>
        <w:t>30, 2022 and December 31, 2021, we had the following series of Cumulative Preferred Shares (“Preferred Shares”) outstanding:</w:t>
      </w:r>
    </w:p>
    <w:p w:rsidR="00000000" w:rsidRDefault="00D44B22">
      <w:pPr>
        <w:ind w:firstLine="720"/>
        <w:jc w:val="both"/>
        <w:rPr>
          <w:rFonts w:eastAsia="Times New Roman"/>
        </w:rPr>
      </w:pPr>
    </w:p>
    <w:tbl>
      <w:tblPr>
        <w:tblW w:w="4818" w:type="pct"/>
        <w:tblCellMar>
          <w:top w:w="15" w:type="dxa"/>
          <w:left w:w="15" w:type="dxa"/>
          <w:bottom w:w="15" w:type="dxa"/>
          <w:right w:w="15" w:type="dxa"/>
        </w:tblCellMar>
        <w:tblLook w:val="04A0" w:firstRow="1" w:lastRow="0" w:firstColumn="1" w:lastColumn="0" w:noHBand="0" w:noVBand="1"/>
      </w:tblPr>
      <w:tblGrid>
        <w:gridCol w:w="37"/>
        <w:gridCol w:w="1069"/>
        <w:gridCol w:w="36"/>
        <w:gridCol w:w="36"/>
        <w:gridCol w:w="36"/>
        <w:gridCol w:w="36"/>
        <w:gridCol w:w="77"/>
        <w:gridCol w:w="934"/>
        <w:gridCol w:w="36"/>
        <w:gridCol w:w="36"/>
        <w:gridCol w:w="36"/>
        <w:gridCol w:w="36"/>
        <w:gridCol w:w="59"/>
        <w:gridCol w:w="815"/>
        <w:gridCol w:w="187"/>
        <w:gridCol w:w="36"/>
        <w:gridCol w:w="36"/>
        <w:gridCol w:w="36"/>
        <w:gridCol w:w="77"/>
        <w:gridCol w:w="934"/>
        <w:gridCol w:w="36"/>
        <w:gridCol w:w="36"/>
        <w:gridCol w:w="36"/>
        <w:gridCol w:w="36"/>
        <w:gridCol w:w="120"/>
        <w:gridCol w:w="850"/>
        <w:gridCol w:w="36"/>
        <w:gridCol w:w="36"/>
        <w:gridCol w:w="36"/>
        <w:gridCol w:w="36"/>
        <w:gridCol w:w="77"/>
        <w:gridCol w:w="934"/>
        <w:gridCol w:w="36"/>
        <w:gridCol w:w="36"/>
        <w:gridCol w:w="36"/>
        <w:gridCol w:w="36"/>
        <w:gridCol w:w="120"/>
        <w:gridCol w:w="850"/>
        <w:gridCol w:w="36"/>
      </w:tblGrid>
      <w:tr w:rsidR="00000000">
        <w:trPr>
          <w:divId w:val="1426609749"/>
        </w:trPr>
        <w:tc>
          <w:tcPr>
            <w:tcW w:w="50" w:type="pct"/>
            <w:vAlign w:val="center"/>
            <w:hideMark/>
          </w:tcPr>
          <w:p w:rsidR="00000000" w:rsidRDefault="00D44B22">
            <w:pPr>
              <w:ind w:firstLine="720"/>
              <w:jc w:val="both"/>
              <w:rPr>
                <w:rFonts w:eastAsia="Times New Roman"/>
              </w:rPr>
            </w:pPr>
          </w:p>
        </w:tc>
        <w:tc>
          <w:tcPr>
            <w:tcW w:w="69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1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At June 30, 2022</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At December 31, 2021</w:t>
            </w: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Series</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Earliest Redemption Date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Dividend Rate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Liquidation Preference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Shares 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Liquidation Preference</w:t>
            </w:r>
          </w:p>
        </w:tc>
      </w:tr>
      <w:tr w:rsidR="00000000">
        <w:trPr>
          <w:divId w:val="1426609749"/>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1426609749"/>
        </w:trPr>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1"/>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(Dollar amounts in thousands)</w:t>
            </w: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F</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6/2/2022</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5.150 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11,200 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280,000 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G</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8/9/2022</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5.050 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12,000 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300,000 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H</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3/11/2024</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5.600 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11,400 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285,000 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I</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9/12/2024</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4.875 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12,650 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316,250 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J</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11/15/2024</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4.700 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10,350 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258,750 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K</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12/20/2024</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L</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6/17/2025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4.625 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22,600 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565,000 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M</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8/14/2025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4.125 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9,200 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230,000 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N</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10/6/2025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3.875 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11,300 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282,500 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O</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11/17/2025</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3.900 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6,800 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170,000 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P</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6/16/2026</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24,150 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603,750 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Q</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8/17/2026</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3.950 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143,750 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R</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11/19/2026</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17,400 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435,000 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17,400 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435,000 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Series 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1/13/2027</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4.100 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250,000 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r>
      <w:tr w:rsidR="00000000">
        <w:trPr>
          <w:divId w:val="1426609749"/>
        </w:trPr>
        <w:tc>
          <w:tcPr>
            <w:tcW w:w="0" w:type="auto"/>
            <w:gridSpan w:val="9"/>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Total Preferred Shares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174,000 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4,350,000 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164,000 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4,100,000 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r>
    </w:tbl>
    <w:p w:rsidR="00000000" w:rsidRDefault="00D44B22">
      <w:pPr>
        <w:ind w:firstLine="720"/>
        <w:jc w:val="both"/>
        <w:divId w:val="201947045"/>
        <w:rPr>
          <w:rFonts w:eastAsia="Times New Roman"/>
        </w:rPr>
      </w:pPr>
      <w:r>
        <w:rPr>
          <w:rFonts w:eastAsia="Times New Roman"/>
          <w:color w:val="000000"/>
          <w:sz w:val="20"/>
          <w:szCs w:val="20"/>
        </w:rPr>
        <w:t>The holders of o</w:t>
      </w:r>
      <w:r>
        <w:rPr>
          <w:rFonts w:eastAsia="Times New Roman"/>
          <w:color w:val="000000"/>
          <w:sz w:val="20"/>
          <w:szCs w:val="20"/>
        </w:rPr>
        <w:t>ur Preferred Shares have general preference rights with respect to liquidation, quarterly distributions, and any accumulated unpaid distributions. Except as noted below, holders of the Preferred Shares do not have voting rights. In the event of a cumulativ</w:t>
      </w:r>
      <w:r>
        <w:rPr>
          <w:rFonts w:eastAsia="Times New Roman"/>
          <w:color w:val="000000"/>
          <w:sz w:val="20"/>
          <w:szCs w:val="20"/>
        </w:rPr>
        <w:t>e arrearage equal to six quarterly dividends, holders of all outstanding series of preferred shares (voting as a single class without regard to series) will have the right to elect two additional members to serve on our Board of Trustees (our “Board”) unti</w:t>
      </w:r>
      <w:r>
        <w:rPr>
          <w:rFonts w:eastAsia="Times New Roman"/>
          <w:color w:val="000000"/>
          <w:sz w:val="20"/>
          <w:szCs w:val="20"/>
        </w:rPr>
        <w:t xml:space="preserve">l the arrearage has been cured. At June 30, 2022, there were no dividends in arrears. The affirmative vote of at least 66.67% of the outstanding shares of a series of Preferred Shares is required for any material and adverse amendment to the terms of such </w:t>
      </w:r>
      <w:r>
        <w:rPr>
          <w:rFonts w:eastAsia="Times New Roman"/>
          <w:color w:val="000000"/>
          <w:sz w:val="20"/>
          <w:szCs w:val="20"/>
        </w:rPr>
        <w:t>series. The affirmative vote of at least 66.67% of the outstanding shares of all of our Preferred Shares, voting as a single class, is required to issue shares ranking senior to our Preferred Shares.</w:t>
      </w:r>
    </w:p>
    <w:p w:rsidR="00000000" w:rsidRDefault="00D44B22">
      <w:pPr>
        <w:ind w:firstLine="720"/>
        <w:jc w:val="both"/>
        <w:divId w:val="535199224"/>
        <w:rPr>
          <w:rFonts w:eastAsia="Times New Roman"/>
        </w:rPr>
      </w:pPr>
      <w:r>
        <w:rPr>
          <w:rFonts w:eastAsia="Times New Roman"/>
          <w:color w:val="000000"/>
          <w:sz w:val="20"/>
          <w:szCs w:val="20"/>
        </w:rPr>
        <w:t>Except under certain conditions relating to the Company’</w:t>
      </w:r>
      <w:r>
        <w:rPr>
          <w:rFonts w:eastAsia="Times New Roman"/>
          <w:color w:val="000000"/>
          <w:sz w:val="20"/>
          <w:szCs w:val="20"/>
        </w:rPr>
        <w:t>s qualification as a REIT, the Preferred Shares are not redeemable prior to the dates indicated on the table above. On or after the respective dates, each of the series of Preferred Shares is redeemable at our option, in whole or in part, at $25.00 per dep</w:t>
      </w:r>
      <w:r>
        <w:rPr>
          <w:rFonts w:eastAsia="Times New Roman"/>
          <w:color w:val="000000"/>
          <w:sz w:val="20"/>
          <w:szCs w:val="20"/>
        </w:rPr>
        <w:t>ositary share, plus accrued and unpaid dividends. Holders of the Preferred Shares cannot require us to redeem such shares.</w:t>
      </w:r>
    </w:p>
    <w:p w:rsidR="00000000" w:rsidRDefault="00D44B22">
      <w:pPr>
        <w:ind w:firstLine="720"/>
        <w:jc w:val="both"/>
        <w:divId w:val="1365517245"/>
        <w:rPr>
          <w:rFonts w:eastAsia="Times New Roman"/>
        </w:rPr>
      </w:pPr>
      <w:r>
        <w:rPr>
          <w:rFonts w:eastAsia="Times New Roman"/>
          <w:color w:val="000000"/>
          <w:sz w:val="20"/>
          <w:szCs w:val="20"/>
        </w:rPr>
        <w:t>Upon issuance of our Preferred Shares, we classify the liquidation value as preferred equity on our consolidated balance sheet with a</w:t>
      </w:r>
      <w:r>
        <w:rPr>
          <w:rFonts w:eastAsia="Times New Roman"/>
          <w:color w:val="000000"/>
          <w:sz w:val="20"/>
          <w:szCs w:val="20"/>
        </w:rPr>
        <w:t>ny issuance costs recorded as a reduction to Paid-in capital.</w:t>
      </w:r>
    </w:p>
    <w:p w:rsidR="00000000" w:rsidRDefault="00D44B22">
      <w:pPr>
        <w:ind w:firstLine="720"/>
        <w:jc w:val="both"/>
        <w:divId w:val="404691561"/>
        <w:rPr>
          <w:rFonts w:eastAsia="Times New Roman"/>
        </w:rPr>
      </w:pPr>
      <w:r>
        <w:rPr>
          <w:rFonts w:eastAsia="Times New Roman"/>
          <w:color w:val="000000"/>
          <w:sz w:val="20"/>
          <w:szCs w:val="20"/>
        </w:rPr>
        <w:t>On January 13, 2022, we issued 10.0 million depositary shares, each representing 0.001 of a share of our 4.100% Series S Preferred Shares, at an issuance price of $25.00 per depositary share, fo</w:t>
      </w:r>
      <w:r>
        <w:rPr>
          <w:rFonts w:eastAsia="Times New Roman"/>
          <w:color w:val="000000"/>
          <w:sz w:val="20"/>
          <w:szCs w:val="20"/>
        </w:rPr>
        <w:t>r a total of $250.0 million in gross proceeds, and we incurred $7.2 million in issuance costs.</w:t>
      </w:r>
    </w:p>
    <w:p w:rsidR="00000000" w:rsidRDefault="00D44B22">
      <w:pPr>
        <w:jc w:val="center"/>
        <w:divId w:val="962034371"/>
        <w:rPr>
          <w:rFonts w:eastAsia="Times New Roman"/>
        </w:rPr>
      </w:pPr>
      <w:r>
        <w:rPr>
          <w:rFonts w:eastAsia="Times New Roman"/>
          <w:color w:val="000000"/>
          <w:sz w:val="20"/>
          <w:szCs w:val="20"/>
        </w:rPr>
        <w:t>17</w:t>
      </w:r>
    </w:p>
    <w:p w:rsidR="00000000" w:rsidRDefault="00D44B22">
      <w:pPr>
        <w:rPr>
          <w:rFonts w:eastAsia="Times New Roman"/>
        </w:rPr>
      </w:pPr>
      <w:r>
        <w:rPr>
          <w:rFonts w:eastAsia="Times New Roman"/>
        </w:rPr>
        <w:pict>
          <v:rect id="_x0000_i1043" style="width:0;height:1.5pt" o:hralign="center" o:hrstd="t" o:hr="t" fillcolor="#a0a0a0" stroked="f"/>
        </w:pict>
      </w:r>
    </w:p>
    <w:p w:rsidR="00000000" w:rsidRDefault="00D44B22">
      <w:pPr>
        <w:jc w:val="center"/>
        <w:divId w:val="329329623"/>
        <w:rPr>
          <w:rFonts w:eastAsia="Times New Roman"/>
        </w:rPr>
      </w:pPr>
    </w:p>
    <w:p w:rsidR="00000000" w:rsidRDefault="00D44B22">
      <w:pPr>
        <w:jc w:val="center"/>
        <w:divId w:val="329329623"/>
        <w:rPr>
          <w:rFonts w:eastAsia="Times New Roman"/>
        </w:rPr>
      </w:pPr>
      <w:r>
        <w:rPr>
          <w:rFonts w:eastAsia="Times New Roman"/>
          <w:b/>
          <w:bCs/>
          <w:color w:val="000000"/>
          <w:sz w:val="20"/>
          <w:szCs w:val="20"/>
        </w:rPr>
        <w:t>PUBLIC STORAGE</w:t>
      </w:r>
    </w:p>
    <w:p w:rsidR="00000000" w:rsidRDefault="00D44B22">
      <w:pPr>
        <w:jc w:val="center"/>
        <w:divId w:val="329329623"/>
        <w:rPr>
          <w:rFonts w:eastAsia="Times New Roman"/>
        </w:rPr>
      </w:pPr>
      <w:r>
        <w:rPr>
          <w:rFonts w:eastAsia="Times New Roman"/>
          <w:b/>
          <w:bCs/>
          <w:color w:val="000000"/>
          <w:sz w:val="20"/>
          <w:szCs w:val="20"/>
        </w:rPr>
        <w:t>NOTES TO CONSOLIDATED FINANCIAL STATEMENTS</w:t>
      </w:r>
    </w:p>
    <w:p w:rsidR="00000000" w:rsidRDefault="00D44B22">
      <w:pPr>
        <w:jc w:val="center"/>
        <w:divId w:val="329329623"/>
        <w:rPr>
          <w:rFonts w:eastAsia="Times New Roman"/>
        </w:rPr>
      </w:pPr>
      <w:r>
        <w:rPr>
          <w:rFonts w:eastAsia="Times New Roman"/>
          <w:b/>
          <w:bCs/>
          <w:color w:val="000000"/>
          <w:sz w:val="20"/>
          <w:szCs w:val="20"/>
        </w:rPr>
        <w:t>June 30, 2022</w:t>
      </w:r>
    </w:p>
    <w:p w:rsidR="00000000" w:rsidRDefault="00D44B22">
      <w:pPr>
        <w:jc w:val="center"/>
        <w:divId w:val="329329623"/>
        <w:rPr>
          <w:rFonts w:eastAsia="Times New Roman"/>
        </w:rPr>
      </w:pPr>
      <w:r>
        <w:rPr>
          <w:rFonts w:eastAsia="Times New Roman"/>
          <w:b/>
          <w:bCs/>
          <w:color w:val="000000"/>
          <w:sz w:val="20"/>
          <w:szCs w:val="20"/>
        </w:rPr>
        <w:t>(Unaudited)</w:t>
      </w:r>
    </w:p>
    <w:p w:rsidR="00000000" w:rsidRDefault="00D44B22">
      <w:pPr>
        <w:jc w:val="center"/>
        <w:divId w:val="329329623"/>
        <w:rPr>
          <w:rFonts w:eastAsia="Times New Roman"/>
        </w:rPr>
      </w:pPr>
    </w:p>
    <w:p w:rsidR="00000000" w:rsidRDefault="00D44B22">
      <w:pPr>
        <w:jc w:val="both"/>
        <w:divId w:val="1740589894"/>
        <w:rPr>
          <w:rFonts w:eastAsia="Times New Roman"/>
        </w:rPr>
      </w:pPr>
      <w:r>
        <w:rPr>
          <w:rFonts w:eastAsia="Times New Roman"/>
          <w:color w:val="000000"/>
          <w:sz w:val="20"/>
          <w:szCs w:val="20"/>
          <w:u w:val="single"/>
        </w:rPr>
        <w:t>Dividends</w:t>
      </w:r>
    </w:p>
    <w:p w:rsidR="00000000" w:rsidRDefault="00D44B22">
      <w:pPr>
        <w:ind w:firstLine="720"/>
        <w:jc w:val="both"/>
        <w:divId w:val="1347366805"/>
        <w:rPr>
          <w:rFonts w:eastAsia="Times New Roman"/>
        </w:rPr>
      </w:pPr>
      <w:r>
        <w:rPr>
          <w:rFonts w:eastAsia="Times New Roman"/>
          <w:color w:val="000000"/>
          <w:sz w:val="20"/>
          <w:szCs w:val="20"/>
        </w:rPr>
        <w:t>Common share dividends p</w:t>
      </w:r>
      <w:r>
        <w:rPr>
          <w:rFonts w:eastAsia="Times New Roman"/>
          <w:color w:val="000000"/>
          <w:sz w:val="20"/>
          <w:szCs w:val="20"/>
        </w:rPr>
        <w:t xml:space="preserve">aid, including amounts paid to our restricted share unitholders, totaled $351.3 million ($2.00 per share) and $350.1 million ($2.00 per share) for the three months ended June 30, 2022 and 2021, respectively, and $702.5 million ($4.00 per share) and $700.2 </w:t>
      </w:r>
      <w:r>
        <w:rPr>
          <w:rFonts w:eastAsia="Times New Roman"/>
          <w:color w:val="000000"/>
          <w:sz w:val="20"/>
          <w:szCs w:val="20"/>
        </w:rPr>
        <w:t>million ($4.00 per share) for the six months ended June 30, 2022 and 2021, respectively. Preferred share dividends paid totaled $48.7 million and $46.2 million for the three months ended June 30, 2022 and 2021, respectively, and $97.0 million and $92.3 mil</w:t>
      </w:r>
      <w:r>
        <w:rPr>
          <w:rFonts w:eastAsia="Times New Roman"/>
          <w:color w:val="000000"/>
          <w:sz w:val="20"/>
          <w:szCs w:val="20"/>
        </w:rPr>
        <w:t>lion for the six months ended June 30, 2022 and 2021, respectively.</w:t>
      </w:r>
    </w:p>
    <w:p w:rsidR="00000000" w:rsidRDefault="00D44B22">
      <w:pPr>
        <w:ind w:hanging="360"/>
        <w:jc w:val="both"/>
        <w:divId w:val="263852072"/>
        <w:rPr>
          <w:rFonts w:eastAsia="Times New Roman"/>
        </w:rPr>
      </w:pPr>
      <w:r>
        <w:rPr>
          <w:rFonts w:eastAsia="Times New Roman"/>
          <w:color w:val="000000"/>
          <w:sz w:val="20"/>
          <w:szCs w:val="20"/>
        </w:rPr>
        <w:t>10.</w:t>
      </w:r>
      <w:r>
        <w:rPr>
          <w:rFonts w:eastAsia="Times New Roman"/>
          <w:color w:val="000000"/>
          <w:sz w:val="20"/>
          <w:szCs w:val="20"/>
          <w:u w:val="single"/>
        </w:rPr>
        <w:t>Related Party Transactions</w:t>
      </w:r>
    </w:p>
    <w:p w:rsidR="00000000" w:rsidRDefault="00D44B22">
      <w:pPr>
        <w:ind w:firstLine="720"/>
        <w:jc w:val="both"/>
        <w:divId w:val="1727795516"/>
        <w:rPr>
          <w:rFonts w:eastAsia="Times New Roman"/>
        </w:rPr>
      </w:pPr>
      <w:r>
        <w:rPr>
          <w:rFonts w:eastAsia="Times New Roman"/>
          <w:color w:val="000000"/>
          <w:sz w:val="20"/>
          <w:szCs w:val="20"/>
        </w:rPr>
        <w:t>At June 30, 2022, Tamara Hughes Gustavson, a current member of our Board, held less than a 0.1% equity interest in, and is a manager of, a limited liability c</w:t>
      </w:r>
      <w:r>
        <w:rPr>
          <w:rFonts w:eastAsia="Times New Roman"/>
          <w:color w:val="000000"/>
          <w:sz w:val="20"/>
          <w:szCs w:val="20"/>
        </w:rPr>
        <w:t xml:space="preserve">ompany that owns 65 self-storage facilities in Canada. Two of Ms. Gustavson's adult children owned the remaining equity interest in the limited liability company. These facilities operate under the Public Storage® tradename, which we license to the owners </w:t>
      </w:r>
      <w:r>
        <w:rPr>
          <w:rFonts w:eastAsia="Times New Roman"/>
          <w:color w:val="000000"/>
          <w:sz w:val="20"/>
          <w:szCs w:val="20"/>
        </w:rPr>
        <w:t xml:space="preserve">of these facilities for use in Canada on a royalty-free, non-exclusive basis. We have no ownership interest in these facilities and we do not own or operate any facilities in Canada. If we chose to acquire or develop our own facilities in Canada, we would </w:t>
      </w:r>
      <w:r>
        <w:rPr>
          <w:rFonts w:eastAsia="Times New Roman"/>
          <w:color w:val="000000"/>
          <w:sz w:val="20"/>
          <w:szCs w:val="20"/>
        </w:rPr>
        <w:t>have to share the use of the Public Storage® name in Canada. We have a right of first refusal, subject to limitations, to acquire the stock or assets of the corporation engaged in the operation of these facilities if their owners agree to sell them. Our su</w:t>
      </w:r>
      <w:r>
        <w:rPr>
          <w:rFonts w:eastAsia="Times New Roman"/>
          <w:color w:val="000000"/>
          <w:sz w:val="20"/>
          <w:szCs w:val="20"/>
        </w:rPr>
        <w:t>bsidiaries reinsure risks relating to loss of goods stored by customers in these facilities, and have received premium payments of approximately $1.1 million and $1.0 million for the six months ended June 30, 2022 and 2021, respectively.</w:t>
      </w:r>
    </w:p>
    <w:p w:rsidR="00000000" w:rsidRDefault="00D44B22">
      <w:pPr>
        <w:ind w:hanging="360"/>
        <w:jc w:val="both"/>
        <w:divId w:val="1253197776"/>
        <w:rPr>
          <w:rFonts w:eastAsia="Times New Roman"/>
        </w:rPr>
      </w:pPr>
      <w:r>
        <w:rPr>
          <w:rFonts w:eastAsia="Times New Roman"/>
          <w:color w:val="000000"/>
          <w:sz w:val="20"/>
          <w:szCs w:val="20"/>
        </w:rPr>
        <w:t>11.</w:t>
      </w:r>
      <w:r>
        <w:rPr>
          <w:rFonts w:eastAsia="Times New Roman"/>
          <w:color w:val="000000"/>
          <w:sz w:val="20"/>
          <w:szCs w:val="20"/>
          <w:u w:val="single"/>
        </w:rPr>
        <w:t>Share-Based Compensation</w:t>
      </w:r>
    </w:p>
    <w:p w:rsidR="00000000" w:rsidRDefault="00D44B22">
      <w:pPr>
        <w:ind w:firstLine="720"/>
        <w:jc w:val="both"/>
        <w:divId w:val="568073457"/>
        <w:rPr>
          <w:rFonts w:eastAsia="Times New Roman"/>
        </w:rPr>
      </w:pPr>
      <w:r>
        <w:rPr>
          <w:rFonts w:eastAsia="Times New Roman"/>
          <w:color w:val="000000"/>
          <w:sz w:val="20"/>
          <w:szCs w:val="20"/>
        </w:rPr>
        <w:t xml:space="preserve">Under various share-based compensation plans and under terms established or modified by our Board or a committee thereof, we grant equity awards to trustees, officers, and key employees, including non-qualified options to purchase </w:t>
      </w:r>
      <w:r>
        <w:rPr>
          <w:rFonts w:eastAsia="Times New Roman"/>
          <w:color w:val="000000"/>
          <w:sz w:val="20"/>
          <w:szCs w:val="20"/>
        </w:rPr>
        <w:t>the Company’s common shares, restricted stock units (“RSUs”), deferred stock units (“DSUs”), and unrestricted common stock issued in lieu of trustee compensation.</w:t>
      </w:r>
    </w:p>
    <w:p w:rsidR="00000000" w:rsidRDefault="00D44B22">
      <w:pPr>
        <w:ind w:firstLine="720"/>
        <w:jc w:val="both"/>
        <w:divId w:val="1359505551"/>
        <w:rPr>
          <w:rFonts w:eastAsia="Times New Roman"/>
        </w:rPr>
      </w:pPr>
      <w:r>
        <w:rPr>
          <w:rFonts w:eastAsia="Times New Roman"/>
          <w:color w:val="000000"/>
          <w:sz w:val="20"/>
          <w:szCs w:val="20"/>
        </w:rPr>
        <w:t>We recorded share-based compensation expense associated with our equity awards in the various expense categories in the Consolidated Statements of Income as set forth in the following table. In addition, $1.1 million and $2.1 million share-based compensati</w:t>
      </w:r>
      <w:r>
        <w:rPr>
          <w:rFonts w:eastAsia="Times New Roman"/>
          <w:color w:val="000000"/>
          <w:sz w:val="20"/>
          <w:szCs w:val="20"/>
        </w:rPr>
        <w:t>on cost was capitalized as real estate facilities for the three and six months ended June 30, 2022, respectively, as compared to $1.1 million and $2.2 million for the same periods of 2021, respectively.</w:t>
      </w:r>
    </w:p>
    <w:tbl>
      <w:tblPr>
        <w:tblW w:w="4606" w:type="pct"/>
        <w:jc w:val="center"/>
        <w:tblCellMar>
          <w:top w:w="15" w:type="dxa"/>
          <w:left w:w="15" w:type="dxa"/>
          <w:bottom w:w="15" w:type="dxa"/>
          <w:right w:w="15" w:type="dxa"/>
        </w:tblCellMar>
        <w:tblLook w:val="04A0" w:firstRow="1" w:lastRow="0" w:firstColumn="1" w:lastColumn="0" w:noHBand="0" w:noVBand="1"/>
      </w:tblPr>
      <w:tblGrid>
        <w:gridCol w:w="41"/>
        <w:gridCol w:w="1999"/>
        <w:gridCol w:w="37"/>
        <w:gridCol w:w="120"/>
        <w:gridCol w:w="1118"/>
        <w:gridCol w:w="36"/>
        <w:gridCol w:w="36"/>
        <w:gridCol w:w="36"/>
        <w:gridCol w:w="36"/>
        <w:gridCol w:w="120"/>
        <w:gridCol w:w="1118"/>
        <w:gridCol w:w="36"/>
        <w:gridCol w:w="36"/>
        <w:gridCol w:w="36"/>
        <w:gridCol w:w="36"/>
        <w:gridCol w:w="120"/>
        <w:gridCol w:w="1118"/>
        <w:gridCol w:w="36"/>
        <w:gridCol w:w="36"/>
        <w:gridCol w:w="36"/>
        <w:gridCol w:w="36"/>
        <w:gridCol w:w="120"/>
        <w:gridCol w:w="1056"/>
        <w:gridCol w:w="36"/>
        <w:gridCol w:w="36"/>
        <w:gridCol w:w="36"/>
        <w:gridCol w:w="36"/>
        <w:gridCol w:w="36"/>
        <w:gridCol w:w="36"/>
        <w:gridCol w:w="36"/>
      </w:tblGrid>
      <w:tr w:rsidR="00000000">
        <w:trPr>
          <w:jc w:val="center"/>
        </w:trPr>
        <w:tc>
          <w:tcPr>
            <w:tcW w:w="50" w:type="pct"/>
            <w:vAlign w:val="center"/>
            <w:hideMark/>
          </w:tcPr>
          <w:p w:rsidR="00000000" w:rsidRDefault="00D44B22">
            <w:pPr>
              <w:ind w:firstLine="720"/>
              <w:jc w:val="both"/>
              <w:rPr>
                <w:rFonts w:eastAsia="Times New Roman"/>
              </w:rPr>
            </w:pPr>
          </w:p>
        </w:tc>
        <w:tc>
          <w:tcPr>
            <w:tcW w:w="141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8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8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8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3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8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21"/>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(Amounts in thousands)</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Self-storage cost of operations</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4,673 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5,401 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9,537 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11,766 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Ancillary cost of operations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487 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779 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12,034 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12,864 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20,832 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20,544 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16,928 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18,658 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30,856 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33,089 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jc w:val="center"/>
        <w:rPr>
          <w:rFonts w:eastAsia="Times New Roman"/>
        </w:rPr>
      </w:pPr>
    </w:p>
    <w:p w:rsidR="00000000" w:rsidRDefault="00D44B22">
      <w:pPr>
        <w:ind w:firstLine="720"/>
        <w:jc w:val="both"/>
        <w:divId w:val="1479807142"/>
        <w:rPr>
          <w:rFonts w:eastAsia="Times New Roman"/>
        </w:rPr>
      </w:pPr>
      <w:r>
        <w:rPr>
          <w:rFonts w:eastAsia="Times New Roman"/>
          <w:color w:val="000000"/>
          <w:sz w:val="20"/>
          <w:szCs w:val="20"/>
        </w:rPr>
        <w:t>Included in share-based compensation is $5.3 million and $9.5 million during the three and six months ended June 30, 2022, respectivel</w:t>
      </w:r>
      <w:r>
        <w:rPr>
          <w:rFonts w:eastAsia="Times New Roman"/>
          <w:color w:val="000000"/>
          <w:sz w:val="20"/>
          <w:szCs w:val="20"/>
        </w:rPr>
        <w:t xml:space="preserve">y, as compared to $7.2 million and $11.0 million for the same periods in 2021, of retirement acceleration as discussed in Note 2 to our Consolidated Financial Statements included in our Annual Report on Form 10-K for the year ended December 31, 2021. </w:t>
      </w:r>
    </w:p>
    <w:p w:rsidR="00000000" w:rsidRDefault="00D44B22">
      <w:pPr>
        <w:ind w:firstLine="720"/>
        <w:jc w:val="both"/>
        <w:divId w:val="750394331"/>
        <w:rPr>
          <w:rFonts w:eastAsia="Times New Roman"/>
        </w:rPr>
      </w:pPr>
      <w:r>
        <w:rPr>
          <w:rFonts w:eastAsia="Times New Roman"/>
          <w:color w:val="000000"/>
          <w:sz w:val="20"/>
          <w:szCs w:val="20"/>
        </w:rPr>
        <w:t>As o</w:t>
      </w:r>
      <w:r>
        <w:rPr>
          <w:rFonts w:eastAsia="Times New Roman"/>
          <w:color w:val="000000"/>
          <w:sz w:val="20"/>
          <w:szCs w:val="20"/>
        </w:rPr>
        <w:t>f June 30, 2022, there was $111.3 million of total unrecognized compensation cost related to share-based compensation arrangements. This cost is expected to be recognized over a weighted-average period of three years.</w:t>
      </w:r>
    </w:p>
    <w:p w:rsidR="00000000" w:rsidRDefault="00D44B22">
      <w:pPr>
        <w:divId w:val="817917713"/>
        <w:rPr>
          <w:rFonts w:eastAsia="Times New Roman"/>
        </w:rPr>
      </w:pPr>
    </w:p>
    <w:p w:rsidR="00000000" w:rsidRDefault="00D44B22">
      <w:pPr>
        <w:divId w:val="236593979"/>
        <w:rPr>
          <w:rFonts w:eastAsia="Times New Roman"/>
        </w:rPr>
      </w:pPr>
    </w:p>
    <w:p w:rsidR="00000000" w:rsidRDefault="00D44B22">
      <w:pPr>
        <w:jc w:val="center"/>
        <w:divId w:val="648368840"/>
        <w:rPr>
          <w:rFonts w:eastAsia="Times New Roman"/>
        </w:rPr>
      </w:pPr>
      <w:r>
        <w:rPr>
          <w:rFonts w:eastAsia="Times New Roman"/>
          <w:color w:val="000000"/>
          <w:sz w:val="20"/>
          <w:szCs w:val="20"/>
        </w:rPr>
        <w:t>18</w:t>
      </w:r>
    </w:p>
    <w:p w:rsidR="00000000" w:rsidRDefault="00D44B22">
      <w:pPr>
        <w:rPr>
          <w:rFonts w:eastAsia="Times New Roman"/>
        </w:rPr>
      </w:pPr>
      <w:r>
        <w:rPr>
          <w:rFonts w:eastAsia="Times New Roman"/>
        </w:rPr>
        <w:pict>
          <v:rect id="_x0000_i1044" style="width:0;height:1.5pt" o:hralign="center" o:hrstd="t" o:hr="t" fillcolor="#a0a0a0" stroked="f"/>
        </w:pict>
      </w:r>
    </w:p>
    <w:p w:rsidR="00000000" w:rsidRDefault="00D44B22">
      <w:pPr>
        <w:jc w:val="center"/>
        <w:divId w:val="1427459477"/>
        <w:rPr>
          <w:rFonts w:eastAsia="Times New Roman"/>
        </w:rPr>
      </w:pPr>
    </w:p>
    <w:p w:rsidR="00000000" w:rsidRDefault="00D44B22">
      <w:pPr>
        <w:jc w:val="center"/>
        <w:divId w:val="1427459477"/>
        <w:rPr>
          <w:rFonts w:eastAsia="Times New Roman"/>
        </w:rPr>
      </w:pPr>
      <w:r>
        <w:rPr>
          <w:rFonts w:eastAsia="Times New Roman"/>
          <w:b/>
          <w:bCs/>
          <w:color w:val="000000"/>
          <w:sz w:val="20"/>
          <w:szCs w:val="20"/>
        </w:rPr>
        <w:t>PUBLIC STORAGE</w:t>
      </w:r>
    </w:p>
    <w:p w:rsidR="00000000" w:rsidRDefault="00D44B22">
      <w:pPr>
        <w:jc w:val="center"/>
        <w:divId w:val="1427459477"/>
        <w:rPr>
          <w:rFonts w:eastAsia="Times New Roman"/>
        </w:rPr>
      </w:pPr>
      <w:r>
        <w:rPr>
          <w:rFonts w:eastAsia="Times New Roman"/>
          <w:b/>
          <w:bCs/>
          <w:color w:val="000000"/>
          <w:sz w:val="20"/>
          <w:szCs w:val="20"/>
        </w:rPr>
        <w:t>NOTES TO CONSOLIDATED FINANCIAL STATEMENTS</w:t>
      </w:r>
    </w:p>
    <w:p w:rsidR="00000000" w:rsidRDefault="00D44B22">
      <w:pPr>
        <w:jc w:val="center"/>
        <w:divId w:val="1427459477"/>
        <w:rPr>
          <w:rFonts w:eastAsia="Times New Roman"/>
        </w:rPr>
      </w:pPr>
      <w:r>
        <w:rPr>
          <w:rFonts w:eastAsia="Times New Roman"/>
          <w:b/>
          <w:bCs/>
          <w:color w:val="000000"/>
          <w:sz w:val="20"/>
          <w:szCs w:val="20"/>
        </w:rPr>
        <w:t>June 30, 2022</w:t>
      </w:r>
    </w:p>
    <w:p w:rsidR="00000000" w:rsidRDefault="00D44B22">
      <w:pPr>
        <w:jc w:val="center"/>
        <w:divId w:val="1427459477"/>
        <w:rPr>
          <w:rFonts w:eastAsia="Times New Roman"/>
        </w:rPr>
      </w:pPr>
      <w:r>
        <w:rPr>
          <w:rFonts w:eastAsia="Times New Roman"/>
          <w:b/>
          <w:bCs/>
          <w:color w:val="000000"/>
          <w:sz w:val="20"/>
          <w:szCs w:val="20"/>
        </w:rPr>
        <w:t>(Unaudited)</w:t>
      </w:r>
    </w:p>
    <w:p w:rsidR="00000000" w:rsidRDefault="00D44B22">
      <w:pPr>
        <w:jc w:val="center"/>
        <w:divId w:val="1427459477"/>
        <w:rPr>
          <w:rFonts w:eastAsia="Times New Roman"/>
        </w:rPr>
      </w:pPr>
    </w:p>
    <w:p w:rsidR="00000000" w:rsidRDefault="00D44B22">
      <w:pPr>
        <w:divId w:val="1624843655"/>
        <w:rPr>
          <w:rFonts w:eastAsia="Times New Roman"/>
        </w:rPr>
      </w:pPr>
      <w:r>
        <w:rPr>
          <w:rFonts w:eastAsia="Times New Roman"/>
          <w:color w:val="000000"/>
          <w:sz w:val="20"/>
          <w:szCs w:val="20"/>
          <w:u w:val="single"/>
        </w:rPr>
        <w:t>Stock Options</w:t>
      </w:r>
    </w:p>
    <w:p w:rsidR="00000000" w:rsidRDefault="00D44B22">
      <w:pPr>
        <w:ind w:firstLine="720"/>
        <w:jc w:val="both"/>
        <w:divId w:val="1023747676"/>
        <w:rPr>
          <w:rFonts w:eastAsia="Times New Roman"/>
        </w:rPr>
      </w:pPr>
      <w:r>
        <w:rPr>
          <w:rFonts w:eastAsia="Times New Roman"/>
          <w:color w:val="000000"/>
          <w:sz w:val="20"/>
          <w:szCs w:val="20"/>
        </w:rPr>
        <w:t>We have service-based, performance-based and market-based stock options outstanding, which generally vest over 3 to 5 years, expire 10 years after the grant date, and have an exercise price equal to the closing trading price of our common shares on the gra</w:t>
      </w:r>
      <w:r>
        <w:rPr>
          <w:rFonts w:eastAsia="Times New Roman"/>
          <w:color w:val="000000"/>
          <w:sz w:val="20"/>
          <w:szCs w:val="20"/>
        </w:rPr>
        <w:t xml:space="preserve">nt date. New shares are issued for options exercised. Employees cannot require the Company to settle their award in cash. </w:t>
      </w:r>
    </w:p>
    <w:p w:rsidR="00000000" w:rsidRDefault="00D44B22">
      <w:pPr>
        <w:ind w:firstLine="720"/>
        <w:jc w:val="both"/>
        <w:divId w:val="1025667894"/>
        <w:rPr>
          <w:rFonts w:eastAsia="Times New Roman"/>
        </w:rPr>
      </w:pPr>
      <w:r>
        <w:rPr>
          <w:rFonts w:eastAsia="Times New Roman"/>
          <w:color w:val="000000"/>
          <w:sz w:val="20"/>
          <w:szCs w:val="20"/>
        </w:rPr>
        <w:t>During the six months ended June 30, 2022, 142,683 stock options were granted, 54,466 options were exercised, and no options were for</w:t>
      </w:r>
      <w:r>
        <w:rPr>
          <w:rFonts w:eastAsia="Times New Roman"/>
          <w:color w:val="000000"/>
          <w:sz w:val="20"/>
          <w:szCs w:val="20"/>
        </w:rPr>
        <w:t>feited. In addition, we expect an incremental 61,250 stock options to be paid out based on the estimated achievement of performance targets on our multi-year performance-based stock options granted during the six months ended June 30, 2021. A total of 3,18</w:t>
      </w:r>
      <w:r>
        <w:rPr>
          <w:rFonts w:eastAsia="Times New Roman"/>
          <w:color w:val="000000"/>
          <w:sz w:val="20"/>
          <w:szCs w:val="20"/>
        </w:rPr>
        <w:t xml:space="preserve">9,418 stock options were outstanding at June 30, 2022 (3,039,951 at December 31, 2021). </w:t>
      </w:r>
    </w:p>
    <w:p w:rsidR="00000000" w:rsidRDefault="00D44B22">
      <w:pPr>
        <w:ind w:firstLine="720"/>
        <w:jc w:val="both"/>
        <w:divId w:val="2022197087"/>
        <w:rPr>
          <w:rFonts w:eastAsia="Times New Roman"/>
        </w:rPr>
      </w:pPr>
      <w:r>
        <w:rPr>
          <w:rFonts w:eastAsia="Times New Roman"/>
          <w:color w:val="000000"/>
          <w:sz w:val="20"/>
          <w:szCs w:val="20"/>
        </w:rPr>
        <w:t>During the six months ended June 30, 2022, we granted 65,000 stock options in connection with non-management trustee compensation. For the remaining 77,683 stock optio</w:t>
      </w:r>
      <w:r>
        <w:rPr>
          <w:rFonts w:eastAsia="Times New Roman"/>
          <w:color w:val="000000"/>
          <w:sz w:val="20"/>
          <w:szCs w:val="20"/>
        </w:rPr>
        <w:t>ns granted during the six months ended June 30, 2022, vesting is dependent upon meeting certain market conditions over the three-year period from January 1, 2022 through December 31, 2024, with continued service-based vesting through the first quarter of 2</w:t>
      </w:r>
      <w:r>
        <w:rPr>
          <w:rFonts w:eastAsia="Times New Roman"/>
          <w:color w:val="000000"/>
          <w:sz w:val="20"/>
          <w:szCs w:val="20"/>
        </w:rPr>
        <w:t>027. These stock options require relative achievement of the Company’s total shareholder return as compared to the weighted average total shareholder return of specified peer groups and can result in grantees earning up to 200% of the target options origin</w:t>
      </w:r>
      <w:r>
        <w:rPr>
          <w:rFonts w:eastAsia="Times New Roman"/>
          <w:color w:val="000000"/>
          <w:sz w:val="20"/>
          <w:szCs w:val="20"/>
        </w:rPr>
        <w:t xml:space="preserve">ally granted. </w:t>
      </w:r>
    </w:p>
    <w:p w:rsidR="00000000" w:rsidRDefault="00D44B22">
      <w:pPr>
        <w:ind w:firstLine="720"/>
        <w:jc w:val="both"/>
        <w:divId w:val="555314295"/>
        <w:rPr>
          <w:rFonts w:eastAsia="Times New Roman"/>
        </w:rPr>
      </w:pPr>
      <w:r>
        <w:rPr>
          <w:rFonts w:eastAsia="Times New Roman"/>
          <w:color w:val="000000"/>
          <w:sz w:val="20"/>
          <w:szCs w:val="20"/>
        </w:rPr>
        <w:t>For the three and six months ended June 30, 2022, we incurred share-based compensation cost for outstanding stock options of $7.7 million and $11.6 million, respectively, as compared to $10.6 million and $15.0 million for the same periods in</w:t>
      </w:r>
      <w:r>
        <w:rPr>
          <w:rFonts w:eastAsia="Times New Roman"/>
          <w:color w:val="000000"/>
          <w:sz w:val="20"/>
          <w:szCs w:val="20"/>
        </w:rPr>
        <w:t xml:space="preserve"> 2021.</w:t>
      </w:r>
    </w:p>
    <w:p w:rsidR="00000000" w:rsidRDefault="00D44B22">
      <w:pPr>
        <w:ind w:firstLine="720"/>
        <w:divId w:val="679430111"/>
        <w:rPr>
          <w:rFonts w:eastAsia="Times New Roman"/>
        </w:rPr>
      </w:pPr>
      <w:r>
        <w:rPr>
          <w:rFonts w:eastAsia="Times New Roman"/>
          <w:color w:val="000000"/>
          <w:sz w:val="20"/>
          <w:szCs w:val="20"/>
          <w:u w:val="single"/>
        </w:rPr>
        <w:t>Restricted Share Units</w:t>
      </w:r>
    </w:p>
    <w:p w:rsidR="00000000" w:rsidRDefault="00D44B22">
      <w:pPr>
        <w:ind w:firstLine="720"/>
        <w:jc w:val="both"/>
        <w:divId w:val="1078207516"/>
        <w:rPr>
          <w:rFonts w:eastAsia="Times New Roman"/>
        </w:rPr>
      </w:pPr>
      <w:r>
        <w:rPr>
          <w:rFonts w:eastAsia="Times New Roman"/>
          <w:color w:val="000000"/>
          <w:sz w:val="20"/>
          <w:szCs w:val="20"/>
        </w:rPr>
        <w:t>We have service-based, performance-based and market-based RSUs outstanding, which generally vest over 5 to 8 years from the grant date. Upon vesting, the grantee receives new common shares equal to the number of vested RSUs, l</w:t>
      </w:r>
      <w:r>
        <w:rPr>
          <w:rFonts w:eastAsia="Times New Roman"/>
          <w:color w:val="000000"/>
          <w:sz w:val="20"/>
          <w:szCs w:val="20"/>
        </w:rPr>
        <w:t>ess common shares withheld to satisfy the grantee’s statutory tax liabilities arising from the vesting. During the six months ended June 30, 2022, 26,579 RSUs were granted, 13,552 RSUs were forfeited and 69,515 RSUs vested. The vesting resulted in the issu</w:t>
      </w:r>
      <w:r>
        <w:rPr>
          <w:rFonts w:eastAsia="Times New Roman"/>
          <w:color w:val="000000"/>
          <w:sz w:val="20"/>
          <w:szCs w:val="20"/>
        </w:rPr>
        <w:t>ance of 50,147 common shares. A total of 514,334 RSUs were outstanding at June 30, 2022 (570,822 at December 31, 2021).</w:t>
      </w:r>
    </w:p>
    <w:p w:rsidR="00000000" w:rsidRDefault="00D44B22">
      <w:pPr>
        <w:ind w:firstLine="720"/>
        <w:jc w:val="both"/>
        <w:divId w:val="1741714479"/>
        <w:rPr>
          <w:rFonts w:eastAsia="Times New Roman"/>
        </w:rPr>
      </w:pPr>
      <w:r>
        <w:rPr>
          <w:rFonts w:eastAsia="Times New Roman"/>
          <w:color w:val="000000"/>
          <w:sz w:val="20"/>
          <w:szCs w:val="20"/>
        </w:rPr>
        <w:t>Included in the RSUs granted during the six months ended June 30, 2022 are 21,985 RSUs where vesting is dependent upon meeting certain m</w:t>
      </w:r>
      <w:r>
        <w:rPr>
          <w:rFonts w:eastAsia="Times New Roman"/>
          <w:color w:val="000000"/>
          <w:sz w:val="20"/>
          <w:szCs w:val="20"/>
        </w:rPr>
        <w:t xml:space="preserve">arket conditions over a three-year period from January 1, 2022 through December 31, 2024, with continued service-based vesting through the first quarter of 2027. These RSUs require relative achievement of the Company’s total shareholder return as compared </w:t>
      </w:r>
      <w:r>
        <w:rPr>
          <w:rFonts w:eastAsia="Times New Roman"/>
          <w:color w:val="000000"/>
          <w:sz w:val="20"/>
          <w:szCs w:val="20"/>
        </w:rPr>
        <w:t xml:space="preserve">to the weighted average total shareholder return of the specified peer groups and can result in grantees earning up to 200% of the target RSUs originally granted. </w:t>
      </w:r>
    </w:p>
    <w:p w:rsidR="00000000" w:rsidRDefault="00D44B22">
      <w:pPr>
        <w:ind w:firstLine="720"/>
        <w:jc w:val="both"/>
        <w:divId w:val="1558083117"/>
        <w:rPr>
          <w:rFonts w:eastAsia="Times New Roman"/>
        </w:rPr>
      </w:pPr>
      <w:r>
        <w:rPr>
          <w:rFonts w:eastAsia="Times New Roman"/>
          <w:color w:val="000000"/>
          <w:sz w:val="20"/>
          <w:szCs w:val="20"/>
        </w:rPr>
        <w:t>Also included in the RSUs granted during the six months ended June 30, 2022 are 4,594 servic</w:t>
      </w:r>
      <w:r>
        <w:rPr>
          <w:rFonts w:eastAsia="Times New Roman"/>
          <w:color w:val="000000"/>
          <w:sz w:val="20"/>
          <w:szCs w:val="20"/>
        </w:rPr>
        <w:t xml:space="preserve">e-based RSUs. </w:t>
      </w:r>
    </w:p>
    <w:p w:rsidR="00000000" w:rsidRDefault="00D44B22">
      <w:pPr>
        <w:ind w:firstLine="720"/>
        <w:jc w:val="both"/>
        <w:divId w:val="1412852275"/>
        <w:rPr>
          <w:rFonts w:eastAsia="Times New Roman"/>
        </w:rPr>
      </w:pPr>
      <w:r>
        <w:rPr>
          <w:rFonts w:eastAsia="Times New Roman"/>
          <w:color w:val="000000"/>
          <w:sz w:val="20"/>
          <w:szCs w:val="20"/>
        </w:rPr>
        <w:t>For the three and six months ended June 30, 2022, we incurred share-based compensation cost for RSUs of $10.1 million and $20.9 million, respectively, as compared to $8.8 million and $19.8 million for the same periods in 2021.</w:t>
      </w:r>
    </w:p>
    <w:p w:rsidR="00000000" w:rsidRDefault="00D44B22">
      <w:pPr>
        <w:ind w:firstLine="720"/>
        <w:divId w:val="1408115814"/>
        <w:rPr>
          <w:rFonts w:eastAsia="Times New Roman"/>
        </w:rPr>
      </w:pPr>
      <w:r>
        <w:rPr>
          <w:rFonts w:eastAsia="Times New Roman"/>
          <w:color w:val="000000"/>
          <w:sz w:val="20"/>
          <w:szCs w:val="20"/>
          <w:u w:val="single"/>
        </w:rPr>
        <w:t>Trustee Deferr</w:t>
      </w:r>
      <w:r>
        <w:rPr>
          <w:rFonts w:eastAsia="Times New Roman"/>
          <w:color w:val="000000"/>
          <w:sz w:val="20"/>
          <w:szCs w:val="20"/>
          <w:u w:val="single"/>
        </w:rPr>
        <w:t>al Program</w:t>
      </w:r>
    </w:p>
    <w:p w:rsidR="00000000" w:rsidRDefault="00D44B22">
      <w:pPr>
        <w:ind w:firstLine="720"/>
        <w:jc w:val="both"/>
        <w:divId w:val="2013336823"/>
        <w:rPr>
          <w:rFonts w:eastAsia="Times New Roman"/>
        </w:rPr>
      </w:pPr>
      <w:r>
        <w:rPr>
          <w:rFonts w:eastAsia="Times New Roman"/>
          <w:color w:val="000000"/>
          <w:sz w:val="20"/>
          <w:szCs w:val="20"/>
        </w:rPr>
        <w:t>Non-management trustees may elect to receive all or a portion of their cash retainers in cash, shares of unrestricted common stock, or fully-vested DSUs to be settled at a specified future date. Shares of unrestricted stock and/or DSUs will be g</w:t>
      </w:r>
      <w:r>
        <w:rPr>
          <w:rFonts w:eastAsia="Times New Roman"/>
          <w:color w:val="000000"/>
          <w:sz w:val="20"/>
          <w:szCs w:val="20"/>
        </w:rPr>
        <w:t xml:space="preserve">ranted to the non-management trustee on the last day of each calendar quarter based on the cash retainer earned for that quarter and converted into a number of shares or units based on the applicable closing price of our common shares on such date. During </w:t>
      </w:r>
      <w:r>
        <w:rPr>
          <w:rFonts w:eastAsia="Times New Roman"/>
          <w:color w:val="000000"/>
          <w:sz w:val="20"/>
          <w:szCs w:val="20"/>
        </w:rPr>
        <w:t xml:space="preserve">the six months ended June 30, 2022, we granted 1,095 DSUs and 195 shares of unrestricted common stock. </w:t>
      </w:r>
    </w:p>
    <w:p w:rsidR="00000000" w:rsidRDefault="00D44B22">
      <w:pPr>
        <w:ind w:hanging="360"/>
        <w:jc w:val="both"/>
        <w:divId w:val="1132477502"/>
        <w:rPr>
          <w:rFonts w:eastAsia="Times New Roman"/>
        </w:rPr>
      </w:pPr>
    </w:p>
    <w:p w:rsidR="00000000" w:rsidRDefault="00D44B22">
      <w:pPr>
        <w:jc w:val="center"/>
        <w:divId w:val="920145404"/>
        <w:rPr>
          <w:rFonts w:eastAsia="Times New Roman"/>
        </w:rPr>
      </w:pPr>
      <w:r>
        <w:rPr>
          <w:rFonts w:eastAsia="Times New Roman"/>
          <w:color w:val="000000"/>
          <w:sz w:val="20"/>
          <w:szCs w:val="20"/>
        </w:rPr>
        <w:t>19</w:t>
      </w:r>
    </w:p>
    <w:p w:rsidR="00000000" w:rsidRDefault="00D44B22">
      <w:pPr>
        <w:rPr>
          <w:rFonts w:eastAsia="Times New Roman"/>
        </w:rPr>
      </w:pPr>
      <w:r>
        <w:rPr>
          <w:rFonts w:eastAsia="Times New Roman"/>
        </w:rPr>
        <w:pict>
          <v:rect id="_x0000_i1045" style="width:0;height:1.5pt" o:hralign="center" o:hrstd="t" o:hr="t" fillcolor="#a0a0a0" stroked="f"/>
        </w:pict>
      </w:r>
    </w:p>
    <w:p w:rsidR="00000000" w:rsidRDefault="00D44B22">
      <w:pPr>
        <w:jc w:val="center"/>
        <w:divId w:val="679508981"/>
        <w:rPr>
          <w:rFonts w:eastAsia="Times New Roman"/>
        </w:rPr>
      </w:pPr>
    </w:p>
    <w:p w:rsidR="00000000" w:rsidRDefault="00D44B22">
      <w:pPr>
        <w:jc w:val="center"/>
        <w:divId w:val="679508981"/>
        <w:rPr>
          <w:rFonts w:eastAsia="Times New Roman"/>
        </w:rPr>
      </w:pPr>
      <w:r>
        <w:rPr>
          <w:rFonts w:eastAsia="Times New Roman"/>
          <w:b/>
          <w:bCs/>
          <w:color w:val="000000"/>
          <w:sz w:val="20"/>
          <w:szCs w:val="20"/>
        </w:rPr>
        <w:t>PUBLIC STORAGE</w:t>
      </w:r>
    </w:p>
    <w:p w:rsidR="00000000" w:rsidRDefault="00D44B22">
      <w:pPr>
        <w:jc w:val="center"/>
        <w:divId w:val="679508981"/>
        <w:rPr>
          <w:rFonts w:eastAsia="Times New Roman"/>
        </w:rPr>
      </w:pPr>
      <w:r>
        <w:rPr>
          <w:rFonts w:eastAsia="Times New Roman"/>
          <w:b/>
          <w:bCs/>
          <w:color w:val="000000"/>
          <w:sz w:val="20"/>
          <w:szCs w:val="20"/>
        </w:rPr>
        <w:t>NOTES TO CONSOLIDATED FINANCIAL STATEMENTS</w:t>
      </w:r>
    </w:p>
    <w:p w:rsidR="00000000" w:rsidRDefault="00D44B22">
      <w:pPr>
        <w:jc w:val="center"/>
        <w:divId w:val="679508981"/>
        <w:rPr>
          <w:rFonts w:eastAsia="Times New Roman"/>
        </w:rPr>
      </w:pPr>
      <w:r>
        <w:rPr>
          <w:rFonts w:eastAsia="Times New Roman"/>
          <w:b/>
          <w:bCs/>
          <w:color w:val="000000"/>
          <w:sz w:val="20"/>
          <w:szCs w:val="20"/>
        </w:rPr>
        <w:t>June 30, 2022</w:t>
      </w:r>
    </w:p>
    <w:p w:rsidR="00000000" w:rsidRDefault="00D44B22">
      <w:pPr>
        <w:jc w:val="center"/>
        <w:divId w:val="679508981"/>
        <w:rPr>
          <w:rFonts w:eastAsia="Times New Roman"/>
        </w:rPr>
      </w:pPr>
      <w:r>
        <w:rPr>
          <w:rFonts w:eastAsia="Times New Roman"/>
          <w:b/>
          <w:bCs/>
          <w:color w:val="000000"/>
          <w:sz w:val="20"/>
          <w:szCs w:val="20"/>
        </w:rPr>
        <w:t>(Unaudited)</w:t>
      </w:r>
    </w:p>
    <w:p w:rsidR="00000000" w:rsidRDefault="00D44B22">
      <w:pPr>
        <w:jc w:val="center"/>
        <w:divId w:val="679508981"/>
        <w:rPr>
          <w:rFonts w:eastAsia="Times New Roman"/>
        </w:rPr>
      </w:pPr>
    </w:p>
    <w:p w:rsidR="00000000" w:rsidRDefault="00D44B22">
      <w:pPr>
        <w:ind w:hanging="360"/>
        <w:jc w:val="both"/>
        <w:divId w:val="558782216"/>
        <w:rPr>
          <w:rFonts w:eastAsia="Times New Roman"/>
        </w:rPr>
      </w:pPr>
      <w:r>
        <w:rPr>
          <w:rFonts w:eastAsia="Times New Roman"/>
          <w:color w:val="000000"/>
          <w:sz w:val="20"/>
          <w:szCs w:val="20"/>
        </w:rPr>
        <w:t xml:space="preserve">12. </w:t>
      </w:r>
      <w:r>
        <w:rPr>
          <w:rFonts w:eastAsia="Times New Roman"/>
          <w:color w:val="000000"/>
          <w:sz w:val="20"/>
          <w:szCs w:val="20"/>
          <w:u w:val="single"/>
        </w:rPr>
        <w:t>Net Income per Com</w:t>
      </w:r>
      <w:r>
        <w:rPr>
          <w:rFonts w:eastAsia="Times New Roman"/>
          <w:color w:val="000000"/>
          <w:sz w:val="20"/>
          <w:szCs w:val="20"/>
          <w:u w:val="single"/>
        </w:rPr>
        <w:t>mon Share</w:t>
      </w:r>
    </w:p>
    <w:p w:rsidR="00000000" w:rsidRDefault="00D44B22">
      <w:pPr>
        <w:ind w:firstLine="720"/>
        <w:jc w:val="both"/>
        <w:divId w:val="1688096353"/>
        <w:rPr>
          <w:rFonts w:eastAsia="Times New Roman"/>
        </w:rPr>
      </w:pPr>
      <w:r>
        <w:rPr>
          <w:rFonts w:eastAsia="Times New Roman"/>
          <w:color w:val="000000"/>
          <w:sz w:val="20"/>
          <w:szCs w:val="20"/>
        </w:rPr>
        <w:t xml:space="preserve">We allocate net income to (i) noncontrolling interests based upon their contractual rights in the respective subsidiaries or for participating noncontrolling interests based upon their participation in both distributed and undistributed earnings </w:t>
      </w:r>
      <w:r>
        <w:rPr>
          <w:rFonts w:eastAsia="Times New Roman"/>
          <w:color w:val="000000"/>
          <w:sz w:val="20"/>
          <w:szCs w:val="20"/>
        </w:rPr>
        <w:t>of the Company, (ii) preferred shareholders, for distributions paid or payable, (iii) preferred shareholders, to the extent redemption cost exceeds the related original net issuance proceeds (an “preferred share redemption charge”), and (iv) restricted sha</w:t>
      </w:r>
      <w:r>
        <w:rPr>
          <w:rFonts w:eastAsia="Times New Roman"/>
          <w:color w:val="000000"/>
          <w:sz w:val="20"/>
          <w:szCs w:val="20"/>
        </w:rPr>
        <w:t xml:space="preserve">re units, for non-forfeitable dividends paid and adjusted for participation rights in undistributed earnings of the Company. </w:t>
      </w:r>
    </w:p>
    <w:p w:rsidR="00000000" w:rsidRDefault="00D44B22">
      <w:pPr>
        <w:ind w:firstLine="720"/>
        <w:jc w:val="both"/>
        <w:divId w:val="1937247616"/>
        <w:rPr>
          <w:rFonts w:eastAsia="Times New Roman"/>
        </w:rPr>
      </w:pPr>
      <w:r>
        <w:rPr>
          <w:rFonts w:eastAsia="Times New Roman"/>
          <w:color w:val="000000"/>
          <w:sz w:val="20"/>
          <w:szCs w:val="20"/>
        </w:rPr>
        <w:t>We calculate basic and diluted net income per common share based upon net income allocable to common shareholders, divided by (i) weighted average common shares for basic net income per common share, and (ii) weighted average common shares adjusted for the</w:t>
      </w:r>
      <w:r>
        <w:rPr>
          <w:rFonts w:eastAsia="Times New Roman"/>
          <w:color w:val="000000"/>
          <w:sz w:val="20"/>
          <w:szCs w:val="20"/>
        </w:rPr>
        <w:t xml:space="preserve"> impact of dilutive stock options outstanding for diluted net income per common share. Potentially dilutive stock options representing 142,683 shares of common stock were excluded from the computation of diluted earnings per share for the three and six mon</w:t>
      </w:r>
      <w:r>
        <w:rPr>
          <w:rFonts w:eastAsia="Times New Roman"/>
          <w:color w:val="000000"/>
          <w:sz w:val="20"/>
          <w:szCs w:val="20"/>
        </w:rPr>
        <w:t>ths ended June 30, 2022, because their effect would have been antidilutive.</w:t>
      </w:r>
    </w:p>
    <w:p w:rsidR="00000000" w:rsidRDefault="00D44B22">
      <w:pPr>
        <w:ind w:firstLine="720"/>
        <w:jc w:val="both"/>
        <w:divId w:val="1979533686"/>
        <w:rPr>
          <w:rFonts w:eastAsia="Times New Roman"/>
        </w:rPr>
      </w:pPr>
      <w:r>
        <w:rPr>
          <w:rFonts w:eastAsia="Times New Roman"/>
          <w:color w:val="000000"/>
          <w:sz w:val="20"/>
          <w:szCs w:val="20"/>
        </w:rPr>
        <w:t>The following table reconciles the numerators and denominators of the basic and diluted net income per common shares computation for the three and six months ended June 30, 2022 and 2021, respectively (in thousands, except per share amounts):</w:t>
      </w:r>
    </w:p>
    <w:tbl>
      <w:tblPr>
        <w:tblW w:w="4984" w:type="pct"/>
        <w:tblCellMar>
          <w:top w:w="15" w:type="dxa"/>
          <w:left w:w="15" w:type="dxa"/>
          <w:bottom w:w="15" w:type="dxa"/>
          <w:right w:w="15" w:type="dxa"/>
        </w:tblCellMar>
        <w:tblLook w:val="04A0" w:firstRow="1" w:lastRow="0" w:firstColumn="1" w:lastColumn="0" w:noHBand="0" w:noVBand="1"/>
      </w:tblPr>
      <w:tblGrid>
        <w:gridCol w:w="37"/>
        <w:gridCol w:w="3656"/>
        <w:gridCol w:w="36"/>
        <w:gridCol w:w="121"/>
        <w:gridCol w:w="859"/>
        <w:gridCol w:w="38"/>
        <w:gridCol w:w="37"/>
        <w:gridCol w:w="36"/>
        <w:gridCol w:w="36"/>
        <w:gridCol w:w="120"/>
        <w:gridCol w:w="859"/>
        <w:gridCol w:w="37"/>
        <w:gridCol w:w="36"/>
        <w:gridCol w:w="36"/>
        <w:gridCol w:w="36"/>
        <w:gridCol w:w="121"/>
        <w:gridCol w:w="859"/>
        <w:gridCol w:w="37"/>
        <w:gridCol w:w="37"/>
        <w:gridCol w:w="36"/>
        <w:gridCol w:w="36"/>
        <w:gridCol w:w="120"/>
        <w:gridCol w:w="800"/>
        <w:gridCol w:w="37"/>
        <w:gridCol w:w="36"/>
        <w:gridCol w:w="36"/>
        <w:gridCol w:w="36"/>
        <w:gridCol w:w="36"/>
        <w:gridCol w:w="36"/>
        <w:gridCol w:w="36"/>
      </w:tblGrid>
      <w:tr w:rsidR="00000000">
        <w:trPr>
          <w:divId w:val="486483667"/>
        </w:trPr>
        <w:tc>
          <w:tcPr>
            <w:tcW w:w="50" w:type="pct"/>
            <w:vAlign w:val="center"/>
            <w:hideMark/>
          </w:tcPr>
          <w:p w:rsidR="00000000" w:rsidRDefault="00D44B22">
            <w:pPr>
              <w:ind w:firstLine="720"/>
              <w:jc w:val="both"/>
              <w:rPr>
                <w:rFonts w:eastAsia="Times New Roman"/>
              </w:rPr>
            </w:pPr>
          </w:p>
        </w:tc>
        <w:tc>
          <w:tcPr>
            <w:tcW w:w="232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7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7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7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76"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divId w:val="486483667"/>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Numerator for basic and dilutive net income per common share – net income allocable to common shareholders</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603,381</w:t>
            </w:r>
          </w:p>
        </w:tc>
        <w:tc>
          <w:tcPr>
            <w:tcW w:w="0" w:type="auto"/>
            <w:gridSpan w:val="3"/>
            <w:tcMar>
              <w:top w:w="0" w:type="dxa"/>
              <w:left w:w="20" w:type="dxa"/>
              <w:bottom w:w="0" w:type="dxa"/>
              <w:right w:w="39"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346,249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1,067,505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732,059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Height w:val="30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Denominator for basic net income per share - weighted average common shares outstanding</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175,229</w:t>
            </w:r>
          </w:p>
        </w:tc>
        <w:tc>
          <w:tcPr>
            <w:tcW w:w="0" w:type="auto"/>
            <w:gridSpan w:val="3"/>
            <w:tcMar>
              <w:top w:w="0" w:type="dxa"/>
              <w:left w:w="20" w:type="dxa"/>
              <w:bottom w:w="0" w:type="dxa"/>
              <w:right w:w="39"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174,824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175,200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174,718</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Pr>
        <w:tc>
          <w:tcPr>
            <w:tcW w:w="0" w:type="auto"/>
            <w:gridSpan w:val="3"/>
            <w:tcMar>
              <w:top w:w="30" w:type="dxa"/>
              <w:left w:w="44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Net effect of dilutive stock options - based on treasury stock method</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1,083</w:t>
            </w:r>
          </w:p>
        </w:tc>
        <w:tc>
          <w:tcPr>
            <w:tcW w:w="0" w:type="auto"/>
            <w:gridSpan w:val="3"/>
            <w:tcMar>
              <w:top w:w="0" w:type="dxa"/>
              <w:left w:w="20" w:type="dxa"/>
              <w:bottom w:w="0" w:type="dxa"/>
              <w:right w:w="39"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723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476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Denominator for dilutive net income per share - weighted average common shares outstanding</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176,312</w:t>
            </w:r>
          </w:p>
        </w:tc>
        <w:tc>
          <w:tcPr>
            <w:tcW w:w="0" w:type="auto"/>
            <w:gridSpan w:val="3"/>
            <w:tcMar>
              <w:top w:w="0" w:type="dxa"/>
              <w:left w:w="20" w:type="dxa"/>
              <w:bottom w:w="0" w:type="dxa"/>
              <w:right w:w="39"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175,547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176,325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175,194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Height w:val="30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Net income per common share:</w:t>
            </w:r>
          </w:p>
        </w:tc>
        <w:tc>
          <w:tcPr>
            <w:tcW w:w="0" w:type="auto"/>
            <w:gridSpan w:val="3"/>
            <w:tcMar>
              <w:top w:w="0" w:type="dxa"/>
              <w:left w:w="20" w:type="dxa"/>
              <w:bottom w:w="0" w:type="dxa"/>
              <w:right w:w="20" w:type="dxa"/>
            </w:tcMar>
            <w:vAlign w:val="center"/>
            <w:hideMark/>
          </w:tcPr>
          <w:p w:rsidR="00000000" w:rsidRDefault="00D44B22">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Pr>
        <w:tc>
          <w:tcPr>
            <w:tcW w:w="0" w:type="auto"/>
            <w:gridSpan w:val="3"/>
            <w:tcMar>
              <w:top w:w="30" w:type="dxa"/>
              <w:left w:w="44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Basic</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3.44</w:t>
            </w:r>
          </w:p>
        </w:tc>
        <w:tc>
          <w:tcPr>
            <w:tcW w:w="0" w:type="auto"/>
            <w:gridSpan w:val="3"/>
            <w:tcMar>
              <w:top w:w="0" w:type="dxa"/>
              <w:left w:w="20" w:type="dxa"/>
              <w:bottom w:w="0" w:type="dxa"/>
              <w:right w:w="39"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6.09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4.19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86483667"/>
        </w:trPr>
        <w:tc>
          <w:tcPr>
            <w:tcW w:w="0" w:type="auto"/>
            <w:gridSpan w:val="3"/>
            <w:tcMar>
              <w:top w:w="30" w:type="dxa"/>
              <w:left w:w="44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20"/>
                <w:szCs w:val="20"/>
              </w:rPr>
              <w:t>Dilutive</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3.42</w:t>
            </w:r>
          </w:p>
        </w:tc>
        <w:tc>
          <w:tcPr>
            <w:tcW w:w="0" w:type="auto"/>
            <w:gridSpan w:val="3"/>
            <w:tcMar>
              <w:top w:w="0" w:type="dxa"/>
              <w:left w:w="20" w:type="dxa"/>
              <w:bottom w:w="0" w:type="dxa"/>
              <w:right w:w="39"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6.05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4.18</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jc w:val="both"/>
        <w:divId w:val="144392651"/>
        <w:rPr>
          <w:rFonts w:eastAsia="Times New Roman"/>
        </w:rPr>
      </w:pPr>
    </w:p>
    <w:p w:rsidR="00000000" w:rsidRDefault="00D44B22">
      <w:pPr>
        <w:jc w:val="center"/>
        <w:divId w:val="815145874"/>
        <w:rPr>
          <w:rFonts w:eastAsia="Times New Roman"/>
        </w:rPr>
      </w:pPr>
      <w:r>
        <w:rPr>
          <w:rFonts w:eastAsia="Times New Roman"/>
          <w:color w:val="000000"/>
          <w:sz w:val="20"/>
          <w:szCs w:val="20"/>
        </w:rPr>
        <w:t>20</w:t>
      </w:r>
    </w:p>
    <w:p w:rsidR="00000000" w:rsidRDefault="00D44B22">
      <w:pPr>
        <w:rPr>
          <w:rFonts w:eastAsia="Times New Roman"/>
        </w:rPr>
      </w:pPr>
      <w:r>
        <w:rPr>
          <w:rFonts w:eastAsia="Times New Roman"/>
        </w:rPr>
        <w:pict>
          <v:rect id="_x0000_i1046" style="width:0;height:1.5pt" o:hralign="center" o:hrstd="t" o:hr="t" fillcolor="#a0a0a0" stroked="f"/>
        </w:pict>
      </w:r>
    </w:p>
    <w:p w:rsidR="00000000" w:rsidRDefault="00D44B22">
      <w:pPr>
        <w:jc w:val="center"/>
        <w:divId w:val="1432968571"/>
        <w:rPr>
          <w:rFonts w:eastAsia="Times New Roman"/>
        </w:rPr>
      </w:pPr>
    </w:p>
    <w:p w:rsidR="00000000" w:rsidRDefault="00D44B22">
      <w:pPr>
        <w:jc w:val="center"/>
        <w:divId w:val="1432968571"/>
        <w:rPr>
          <w:rFonts w:eastAsia="Times New Roman"/>
        </w:rPr>
      </w:pPr>
      <w:r>
        <w:rPr>
          <w:rFonts w:eastAsia="Times New Roman"/>
          <w:b/>
          <w:bCs/>
          <w:color w:val="000000"/>
          <w:sz w:val="20"/>
          <w:szCs w:val="20"/>
        </w:rPr>
        <w:t>PUBLIC STORAGE</w:t>
      </w:r>
    </w:p>
    <w:p w:rsidR="00000000" w:rsidRDefault="00D44B22">
      <w:pPr>
        <w:jc w:val="center"/>
        <w:divId w:val="1432968571"/>
        <w:rPr>
          <w:rFonts w:eastAsia="Times New Roman"/>
        </w:rPr>
      </w:pPr>
      <w:r>
        <w:rPr>
          <w:rFonts w:eastAsia="Times New Roman"/>
          <w:b/>
          <w:bCs/>
          <w:color w:val="000000"/>
          <w:sz w:val="20"/>
          <w:szCs w:val="20"/>
        </w:rPr>
        <w:t>NOTES TO CONSOLIDATED FINANCIAL STATEMENTS</w:t>
      </w:r>
    </w:p>
    <w:p w:rsidR="00000000" w:rsidRDefault="00D44B22">
      <w:pPr>
        <w:jc w:val="center"/>
        <w:divId w:val="1432968571"/>
        <w:rPr>
          <w:rFonts w:eastAsia="Times New Roman"/>
        </w:rPr>
      </w:pPr>
      <w:r>
        <w:rPr>
          <w:rFonts w:eastAsia="Times New Roman"/>
          <w:b/>
          <w:bCs/>
          <w:color w:val="000000"/>
          <w:sz w:val="20"/>
          <w:szCs w:val="20"/>
        </w:rPr>
        <w:t>June 30, 2022</w:t>
      </w:r>
    </w:p>
    <w:p w:rsidR="00000000" w:rsidRDefault="00D44B22">
      <w:pPr>
        <w:jc w:val="center"/>
        <w:divId w:val="1432968571"/>
        <w:rPr>
          <w:rFonts w:eastAsia="Times New Roman"/>
        </w:rPr>
      </w:pPr>
      <w:r>
        <w:rPr>
          <w:rFonts w:eastAsia="Times New Roman"/>
          <w:b/>
          <w:bCs/>
          <w:color w:val="000000"/>
          <w:sz w:val="20"/>
          <w:szCs w:val="20"/>
        </w:rPr>
        <w:t>(Unaudited)</w:t>
      </w:r>
    </w:p>
    <w:p w:rsidR="00000000" w:rsidRDefault="00D44B22">
      <w:pPr>
        <w:jc w:val="center"/>
        <w:divId w:val="1432968571"/>
        <w:rPr>
          <w:rFonts w:eastAsia="Times New Roman"/>
        </w:rPr>
      </w:pPr>
    </w:p>
    <w:p w:rsidR="00000000" w:rsidRDefault="00D44B22">
      <w:pPr>
        <w:ind w:hanging="360"/>
        <w:jc w:val="both"/>
        <w:divId w:val="1501047875"/>
        <w:rPr>
          <w:rFonts w:eastAsia="Times New Roman"/>
        </w:rPr>
      </w:pPr>
      <w:r>
        <w:rPr>
          <w:rFonts w:eastAsia="Times New Roman"/>
          <w:color w:val="000000"/>
          <w:sz w:val="20"/>
          <w:szCs w:val="20"/>
        </w:rPr>
        <w:t>13.</w:t>
      </w:r>
      <w:r>
        <w:rPr>
          <w:rFonts w:eastAsia="Times New Roman"/>
          <w:color w:val="000000"/>
          <w:sz w:val="20"/>
          <w:szCs w:val="20"/>
          <w:u w:val="single"/>
        </w:rPr>
        <w:t>Segment Information</w:t>
      </w:r>
    </w:p>
    <w:p w:rsidR="00000000" w:rsidRDefault="00D44B22">
      <w:pPr>
        <w:ind w:firstLine="720"/>
        <w:jc w:val="both"/>
        <w:divId w:val="376661434"/>
        <w:rPr>
          <w:rFonts w:eastAsia="Times New Roman"/>
        </w:rPr>
      </w:pPr>
      <w:r>
        <w:rPr>
          <w:rFonts w:eastAsia="Times New Roman"/>
          <w:color w:val="000000"/>
          <w:sz w:val="20"/>
          <w:szCs w:val="20"/>
        </w:rPr>
        <w:t>Our operating segments reflect the significant components of our operations where discrete financial informat</w:t>
      </w:r>
      <w:r>
        <w:rPr>
          <w:rFonts w:eastAsia="Times New Roman"/>
          <w:color w:val="000000"/>
          <w:sz w:val="20"/>
          <w:szCs w:val="20"/>
        </w:rPr>
        <w:t xml:space="preserve">ion is evaluated separately by our chief operating decision maker. </w:t>
      </w:r>
    </w:p>
    <w:p w:rsidR="00000000" w:rsidRDefault="00D44B22">
      <w:pPr>
        <w:ind w:firstLine="1080"/>
        <w:divId w:val="1208299548"/>
        <w:rPr>
          <w:rFonts w:eastAsia="Times New Roman"/>
        </w:rPr>
      </w:pPr>
      <w:r>
        <w:rPr>
          <w:rFonts w:eastAsia="Times New Roman"/>
          <w:color w:val="000000"/>
          <w:sz w:val="20"/>
          <w:szCs w:val="20"/>
          <w:u w:val="single"/>
        </w:rPr>
        <w:t>Self-Storage Operations</w:t>
      </w:r>
    </w:p>
    <w:p w:rsidR="00000000" w:rsidRDefault="00D44B22">
      <w:pPr>
        <w:ind w:firstLine="720"/>
        <w:jc w:val="both"/>
        <w:divId w:val="844633745"/>
        <w:rPr>
          <w:rFonts w:eastAsia="Times New Roman"/>
        </w:rPr>
      </w:pPr>
      <w:r>
        <w:rPr>
          <w:rFonts w:eastAsia="Times New Roman"/>
          <w:color w:val="000000"/>
          <w:sz w:val="20"/>
          <w:szCs w:val="20"/>
        </w:rPr>
        <w:t>The Self-Storage Operations reportable segment reflects the aggregated rental operations from the self-storage facilities we own from (i) Same Store Facilities, (ii</w:t>
      </w:r>
      <w:r>
        <w:rPr>
          <w:rFonts w:eastAsia="Times New Roman"/>
          <w:color w:val="000000"/>
          <w:sz w:val="20"/>
          <w:szCs w:val="20"/>
        </w:rPr>
        <w:t>) Acquired Facilities, (iii) Developed and Expanded Facilities, and (iv) Other Non-Same Store Facilities. The presentation in the table below sets forth the Net Operating Income ("NOI") of this reportable segment, as well as the related depreciation expens</w:t>
      </w:r>
      <w:r>
        <w:rPr>
          <w:rFonts w:eastAsia="Times New Roman"/>
          <w:color w:val="000000"/>
          <w:sz w:val="20"/>
          <w:szCs w:val="20"/>
        </w:rPr>
        <w:t xml:space="preserve">e. For all periods presented, substantially all of our real estate facilities, goodwill and other intangible assets, other assets, and accrued and other liabilities are associated with the Self-Storage Operations reportable segment. </w:t>
      </w:r>
    </w:p>
    <w:p w:rsidR="00000000" w:rsidRDefault="00D44B22">
      <w:pPr>
        <w:ind w:firstLine="720"/>
        <w:jc w:val="both"/>
        <w:divId w:val="1324548332"/>
        <w:rPr>
          <w:rFonts w:eastAsia="Times New Roman"/>
        </w:rPr>
      </w:pPr>
      <w:r>
        <w:rPr>
          <w:rFonts w:eastAsia="Times New Roman"/>
          <w:color w:val="000000"/>
          <w:sz w:val="20"/>
          <w:szCs w:val="20"/>
          <w:u w:val="single"/>
        </w:rPr>
        <w:t>Ancillary Operations</w:t>
      </w:r>
    </w:p>
    <w:p w:rsidR="00000000" w:rsidRDefault="00D44B22">
      <w:pPr>
        <w:ind w:firstLine="720"/>
        <w:jc w:val="both"/>
        <w:divId w:val="1665205133"/>
        <w:rPr>
          <w:rFonts w:eastAsia="Times New Roman"/>
        </w:rPr>
      </w:pPr>
      <w:r>
        <w:rPr>
          <w:rFonts w:eastAsia="Times New Roman"/>
          <w:color w:val="000000"/>
          <w:sz w:val="20"/>
          <w:szCs w:val="20"/>
        </w:rPr>
        <w:t>T</w:t>
      </w:r>
      <w:r>
        <w:rPr>
          <w:rFonts w:eastAsia="Times New Roman"/>
          <w:color w:val="000000"/>
          <w:sz w:val="20"/>
          <w:szCs w:val="20"/>
        </w:rPr>
        <w:t xml:space="preserve">he Ancillary Operations reflects the combined operations of our tenant reinsurance, merchandise sales, and third party property management operating segments. </w:t>
      </w:r>
    </w:p>
    <w:p w:rsidR="00000000" w:rsidRDefault="00D44B22">
      <w:pPr>
        <w:ind w:firstLine="720"/>
        <w:jc w:val="both"/>
        <w:divId w:val="972099632"/>
        <w:rPr>
          <w:rFonts w:eastAsia="Times New Roman"/>
        </w:rPr>
      </w:pPr>
      <w:r>
        <w:rPr>
          <w:rFonts w:eastAsia="Times New Roman"/>
          <w:color w:val="000000"/>
          <w:sz w:val="20"/>
          <w:szCs w:val="20"/>
          <w:u w:val="single"/>
        </w:rPr>
        <w:t>Presentation of Segment Information</w:t>
      </w:r>
    </w:p>
    <w:p w:rsidR="00000000" w:rsidRDefault="00D44B22">
      <w:pPr>
        <w:ind w:firstLine="720"/>
        <w:jc w:val="both"/>
        <w:divId w:val="2069649204"/>
        <w:rPr>
          <w:rFonts w:eastAsia="Times New Roman"/>
        </w:rPr>
      </w:pPr>
      <w:r>
        <w:rPr>
          <w:rFonts w:eastAsia="Times New Roman"/>
          <w:color w:val="000000"/>
          <w:sz w:val="20"/>
          <w:szCs w:val="20"/>
        </w:rPr>
        <w:t>The following table reconciles NOI and net income attributable to our reportable segment to our consolidated net income:</w:t>
      </w:r>
    </w:p>
    <w:tbl>
      <w:tblPr>
        <w:tblW w:w="4886" w:type="pct"/>
        <w:jc w:val="center"/>
        <w:tblCellMar>
          <w:top w:w="15" w:type="dxa"/>
          <w:left w:w="15" w:type="dxa"/>
          <w:bottom w:w="15" w:type="dxa"/>
          <w:right w:w="15" w:type="dxa"/>
        </w:tblCellMar>
        <w:tblLook w:val="04A0" w:firstRow="1" w:lastRow="0" w:firstColumn="1" w:lastColumn="0" w:noHBand="0" w:noVBand="1"/>
      </w:tblPr>
      <w:tblGrid>
        <w:gridCol w:w="40"/>
        <w:gridCol w:w="3256"/>
        <w:gridCol w:w="39"/>
        <w:gridCol w:w="110"/>
        <w:gridCol w:w="928"/>
        <w:gridCol w:w="36"/>
        <w:gridCol w:w="36"/>
        <w:gridCol w:w="36"/>
        <w:gridCol w:w="36"/>
        <w:gridCol w:w="110"/>
        <w:gridCol w:w="928"/>
        <w:gridCol w:w="36"/>
        <w:gridCol w:w="36"/>
        <w:gridCol w:w="36"/>
        <w:gridCol w:w="36"/>
        <w:gridCol w:w="110"/>
        <w:gridCol w:w="928"/>
        <w:gridCol w:w="36"/>
        <w:gridCol w:w="36"/>
        <w:gridCol w:w="36"/>
        <w:gridCol w:w="36"/>
        <w:gridCol w:w="110"/>
        <w:gridCol w:w="874"/>
        <w:gridCol w:w="36"/>
        <w:gridCol w:w="36"/>
        <w:gridCol w:w="36"/>
        <w:gridCol w:w="36"/>
        <w:gridCol w:w="36"/>
        <w:gridCol w:w="36"/>
        <w:gridCol w:w="36"/>
      </w:tblGrid>
      <w:tr w:rsidR="00000000">
        <w:trPr>
          <w:divId w:val="1095327738"/>
          <w:jc w:val="center"/>
        </w:trPr>
        <w:tc>
          <w:tcPr>
            <w:tcW w:w="50" w:type="pct"/>
            <w:vAlign w:val="center"/>
            <w:hideMark/>
          </w:tcPr>
          <w:p w:rsidR="00000000" w:rsidRDefault="00D44B22">
            <w:pPr>
              <w:ind w:firstLine="720"/>
              <w:jc w:val="both"/>
              <w:rPr>
                <w:rFonts w:eastAsia="Times New Roman"/>
              </w:rPr>
            </w:pPr>
          </w:p>
        </w:tc>
        <w:tc>
          <w:tcPr>
            <w:tcW w:w="211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6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Six Months Ended June 30,</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21"/>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(amounts in thousands)</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i/>
                <w:iCs/>
                <w:color w:val="000000"/>
                <w:sz w:val="18"/>
                <w:szCs w:val="18"/>
              </w:rPr>
              <w:t>Self-Storage Operations Reportable Segment</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Revenue</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973,286 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776,993 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1,890,301 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1,493,340 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Cost of operations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(237,989)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(202,595)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(483,483)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(414,700)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735,297 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574,398 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1,406,818 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1,078,640 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(218,708)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(172,728)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(440,836)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(319,587)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Net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516,589 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401,670 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965,982 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759,053 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i/>
                <w:iCs/>
                <w:color w:val="000000"/>
                <w:sz w:val="18"/>
                <w:szCs w:val="18"/>
              </w:rPr>
              <w:t>Ancillary Operations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Revenue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58,759 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52,322 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115,189 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103,237 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Cost of operations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(17,210)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(15,991)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(32,725)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(32,309)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41,549 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36,331 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82,464 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70,928 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r>
              <w:rPr>
                <w:rFonts w:eastAsia="Times New Roman"/>
                <w:color w:val="000000"/>
                <w:sz w:val="18"/>
                <w:szCs w:val="18"/>
              </w:rPr>
              <w:t>Total net income allocated to segments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558,138 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438,001 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1,048,446 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829,981 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i/>
                <w:iCs/>
                <w:color w:val="000000"/>
                <w:sz w:val="18"/>
                <w:szCs w:val="18"/>
              </w:rPr>
              <w:t xml:space="preserve">Other items not allocated to segments: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General and administrative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(28,831)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w:t>
            </w:r>
            <w:r>
              <w:rPr>
                <w:rFonts w:eastAsia="Times New Roman"/>
                <w:color w:val="000000"/>
                <w:sz w:val="18"/>
                <w:szCs w:val="18"/>
              </w:rPr>
              <w:t>27,740)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(51,900)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(47,314)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Interest and other income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10,279 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13,658 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5,965 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Interest expense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(32,941)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(21,994)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(66,065)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(37,244)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Equity in earnings of unconsolidated real estate entities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48,525 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29,066 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91,949 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48,522 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101,723 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(12,707)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137,100 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32,678 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Gain on sale of real estate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3,991 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13,404 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1095327738"/>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656,893 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411,730 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1,173,188 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845,992 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jc w:val="center"/>
        <w:divId w:val="440227521"/>
        <w:rPr>
          <w:rFonts w:eastAsia="Times New Roman"/>
        </w:rPr>
      </w:pPr>
      <w:r>
        <w:rPr>
          <w:rFonts w:eastAsia="Times New Roman"/>
          <w:color w:val="000000"/>
          <w:sz w:val="20"/>
          <w:szCs w:val="20"/>
        </w:rPr>
        <w:t>21</w:t>
      </w:r>
    </w:p>
    <w:p w:rsidR="00000000" w:rsidRDefault="00D44B22">
      <w:pPr>
        <w:rPr>
          <w:rFonts w:eastAsia="Times New Roman"/>
        </w:rPr>
      </w:pPr>
      <w:r>
        <w:rPr>
          <w:rFonts w:eastAsia="Times New Roman"/>
        </w:rPr>
        <w:pict>
          <v:rect id="_x0000_i1047" style="width:0;height:1.5pt" o:hralign="center" o:hrstd="t" o:hr="t" fillcolor="#a0a0a0" stroked="f"/>
        </w:pict>
      </w:r>
    </w:p>
    <w:p w:rsidR="00000000" w:rsidRDefault="00D44B22">
      <w:pPr>
        <w:jc w:val="center"/>
        <w:divId w:val="1405830926"/>
        <w:rPr>
          <w:rFonts w:eastAsia="Times New Roman"/>
        </w:rPr>
      </w:pPr>
    </w:p>
    <w:p w:rsidR="00000000" w:rsidRDefault="00D44B22">
      <w:pPr>
        <w:jc w:val="center"/>
        <w:divId w:val="1405830926"/>
        <w:rPr>
          <w:rFonts w:eastAsia="Times New Roman"/>
        </w:rPr>
      </w:pPr>
      <w:r>
        <w:rPr>
          <w:rFonts w:eastAsia="Times New Roman"/>
          <w:b/>
          <w:bCs/>
          <w:color w:val="000000"/>
          <w:sz w:val="20"/>
          <w:szCs w:val="20"/>
        </w:rPr>
        <w:t>PUBLIC STORAGE</w:t>
      </w:r>
    </w:p>
    <w:p w:rsidR="00000000" w:rsidRDefault="00D44B22">
      <w:pPr>
        <w:jc w:val="center"/>
        <w:divId w:val="1405830926"/>
        <w:rPr>
          <w:rFonts w:eastAsia="Times New Roman"/>
        </w:rPr>
      </w:pPr>
      <w:r>
        <w:rPr>
          <w:rFonts w:eastAsia="Times New Roman"/>
          <w:b/>
          <w:bCs/>
          <w:color w:val="000000"/>
          <w:sz w:val="20"/>
          <w:szCs w:val="20"/>
        </w:rPr>
        <w:t>NOTES TO CONSOLIDATED FINANCIAL STATEMENTS</w:t>
      </w:r>
    </w:p>
    <w:p w:rsidR="00000000" w:rsidRDefault="00D44B22">
      <w:pPr>
        <w:jc w:val="center"/>
        <w:divId w:val="1405830926"/>
        <w:rPr>
          <w:rFonts w:eastAsia="Times New Roman"/>
        </w:rPr>
      </w:pPr>
      <w:r>
        <w:rPr>
          <w:rFonts w:eastAsia="Times New Roman"/>
          <w:b/>
          <w:bCs/>
          <w:color w:val="000000"/>
          <w:sz w:val="20"/>
          <w:szCs w:val="20"/>
        </w:rPr>
        <w:t>June 30, 2022</w:t>
      </w:r>
    </w:p>
    <w:p w:rsidR="00000000" w:rsidRDefault="00D44B22">
      <w:pPr>
        <w:jc w:val="center"/>
        <w:divId w:val="1405830926"/>
        <w:rPr>
          <w:rFonts w:eastAsia="Times New Roman"/>
        </w:rPr>
      </w:pPr>
      <w:r>
        <w:rPr>
          <w:rFonts w:eastAsia="Times New Roman"/>
          <w:b/>
          <w:bCs/>
          <w:color w:val="000000"/>
          <w:sz w:val="20"/>
          <w:szCs w:val="20"/>
        </w:rPr>
        <w:t>(Unaudited)</w:t>
      </w:r>
    </w:p>
    <w:p w:rsidR="00000000" w:rsidRDefault="00D44B22">
      <w:pPr>
        <w:jc w:val="center"/>
        <w:divId w:val="1405830926"/>
        <w:rPr>
          <w:rFonts w:eastAsia="Times New Roman"/>
        </w:rPr>
      </w:pPr>
    </w:p>
    <w:p w:rsidR="00000000" w:rsidRDefault="00D44B22">
      <w:pPr>
        <w:divId w:val="1954703245"/>
        <w:rPr>
          <w:rFonts w:eastAsia="Times New Roman"/>
        </w:rPr>
      </w:pPr>
      <w:r>
        <w:rPr>
          <w:rFonts w:eastAsia="Times New Roman"/>
          <w:color w:val="000000"/>
          <w:sz w:val="20"/>
          <w:szCs w:val="20"/>
        </w:rPr>
        <w:t xml:space="preserve">14. </w:t>
      </w:r>
      <w:r>
        <w:rPr>
          <w:rFonts w:eastAsia="Times New Roman"/>
          <w:color w:val="000000"/>
          <w:sz w:val="20"/>
          <w:szCs w:val="20"/>
          <w:u w:val="single"/>
        </w:rPr>
        <w:t>Commitments and Continge</w:t>
      </w:r>
      <w:r>
        <w:rPr>
          <w:rFonts w:eastAsia="Times New Roman"/>
          <w:color w:val="000000"/>
          <w:sz w:val="20"/>
          <w:szCs w:val="20"/>
          <w:u w:val="single"/>
        </w:rPr>
        <w:t>ncies</w:t>
      </w:r>
    </w:p>
    <w:p w:rsidR="00000000" w:rsidRDefault="00D44B22">
      <w:pPr>
        <w:ind w:firstLine="720"/>
        <w:jc w:val="both"/>
        <w:divId w:val="986587624"/>
        <w:rPr>
          <w:rFonts w:eastAsia="Times New Roman"/>
        </w:rPr>
      </w:pPr>
      <w:r>
        <w:rPr>
          <w:rFonts w:eastAsia="Times New Roman"/>
          <w:color w:val="000000"/>
          <w:sz w:val="20"/>
          <w:szCs w:val="20"/>
          <w:u w:val="single"/>
        </w:rPr>
        <w:t>Contingent Losses</w:t>
      </w:r>
    </w:p>
    <w:p w:rsidR="00000000" w:rsidRDefault="00D44B22">
      <w:pPr>
        <w:ind w:firstLine="720"/>
        <w:jc w:val="both"/>
        <w:divId w:val="1320965014"/>
        <w:rPr>
          <w:rFonts w:eastAsia="Times New Roman"/>
        </w:rPr>
      </w:pPr>
      <w:r>
        <w:rPr>
          <w:rFonts w:eastAsia="Times New Roman"/>
          <w:color w:val="000000"/>
          <w:sz w:val="20"/>
          <w:szCs w:val="20"/>
        </w:rPr>
        <w:t>We are a party to various legal proceedings and subject to various claims and complaints; however, we believe that the likelihood of these contingencies resulting in a material loss to the Company, either individually or in the aggr</w:t>
      </w:r>
      <w:r>
        <w:rPr>
          <w:rFonts w:eastAsia="Times New Roman"/>
          <w:color w:val="000000"/>
          <w:sz w:val="20"/>
          <w:szCs w:val="20"/>
        </w:rPr>
        <w:t>egate, is remote.</w:t>
      </w:r>
    </w:p>
    <w:p w:rsidR="00000000" w:rsidRDefault="00D44B22">
      <w:pPr>
        <w:ind w:firstLine="720"/>
        <w:jc w:val="both"/>
        <w:divId w:val="1087968163"/>
        <w:rPr>
          <w:rFonts w:eastAsia="Times New Roman"/>
        </w:rPr>
      </w:pPr>
      <w:r>
        <w:rPr>
          <w:rFonts w:eastAsia="Times New Roman"/>
          <w:color w:val="000000"/>
          <w:sz w:val="20"/>
          <w:szCs w:val="20"/>
          <w:u w:val="single"/>
        </w:rPr>
        <w:t>Insurance and Loss Exposure</w:t>
      </w:r>
    </w:p>
    <w:p w:rsidR="00000000" w:rsidRDefault="00D44B22">
      <w:pPr>
        <w:ind w:firstLine="720"/>
        <w:jc w:val="both"/>
        <w:divId w:val="1697776370"/>
        <w:rPr>
          <w:rFonts w:eastAsia="Times New Roman"/>
        </w:rPr>
      </w:pPr>
      <w:r>
        <w:rPr>
          <w:rFonts w:eastAsia="Times New Roman"/>
          <w:color w:val="000000"/>
          <w:sz w:val="20"/>
          <w:szCs w:val="20"/>
        </w:rPr>
        <w:t xml:space="preserve">We carry property, earthquake, general liability, employee medical insurance, and workers compensation coverage through internationally recognized insurance carriers, subject to deductibles. Our deductible for </w:t>
      </w:r>
      <w:r>
        <w:rPr>
          <w:rFonts w:eastAsia="Times New Roman"/>
          <w:color w:val="000000"/>
          <w:sz w:val="20"/>
          <w:szCs w:val="20"/>
        </w:rPr>
        <w:t>general liability is $2.0 million per occurrence. Our annual deductible for property loss is $25.0 million per occurrence. This deductible decreases to $5.0 million once we reach $35.0 million in aggregate losses for occurrences that exceed $5.0 million. I</w:t>
      </w:r>
      <w:r>
        <w:rPr>
          <w:rFonts w:eastAsia="Times New Roman"/>
          <w:color w:val="000000"/>
          <w:sz w:val="20"/>
          <w:szCs w:val="20"/>
        </w:rPr>
        <w:t xml:space="preserve">nsurance carriers’ aggregate limits on these policies of $75.0 million for property losses and $102.0 million for general liability losses are higher than estimates of maximum probable losses that could occur from individual catastrophic events determined </w:t>
      </w:r>
      <w:r>
        <w:rPr>
          <w:rFonts w:eastAsia="Times New Roman"/>
          <w:color w:val="000000"/>
          <w:sz w:val="20"/>
          <w:szCs w:val="20"/>
        </w:rPr>
        <w:t>in recent engineering and actuarial studies; however, in case of multiple catastrophic events, these limits could be exceeded.</w:t>
      </w:r>
    </w:p>
    <w:p w:rsidR="00000000" w:rsidRDefault="00D44B22">
      <w:pPr>
        <w:ind w:firstLine="720"/>
        <w:jc w:val="both"/>
        <w:divId w:val="371467241"/>
        <w:rPr>
          <w:rFonts w:eastAsia="Times New Roman"/>
        </w:rPr>
      </w:pPr>
      <w:r>
        <w:rPr>
          <w:rFonts w:eastAsia="Times New Roman"/>
          <w:color w:val="000000"/>
          <w:sz w:val="20"/>
          <w:szCs w:val="20"/>
        </w:rPr>
        <w:t>We reinsure a program that provides insurance to our customers from an independent third-party insurer. This program covers customer claims for losses to goods stored at our facilities as a result of specific named perils (earthquakes are not covered by th</w:t>
      </w:r>
      <w:r>
        <w:rPr>
          <w:rFonts w:eastAsia="Times New Roman"/>
          <w:color w:val="000000"/>
          <w:sz w:val="20"/>
          <w:szCs w:val="20"/>
        </w:rPr>
        <w:t>is program), up to a maximum limit of $5,000 per storage unit. We reinsure all risks in this program, but purchase insurance to cover this exposure for a limit of $15.0 million for losses in excess of $5.0 million per occurrence. We are subject to licensin</w:t>
      </w:r>
      <w:r>
        <w:rPr>
          <w:rFonts w:eastAsia="Times New Roman"/>
          <w:color w:val="000000"/>
          <w:sz w:val="20"/>
          <w:szCs w:val="20"/>
        </w:rPr>
        <w:t>g requirements and regulations in several states. Customers participate in the program at their option. At June 30, 2022, there were approximately 1.2 million certificates held by our self-storage customers, representing aggregate coverage of approximately</w:t>
      </w:r>
      <w:r>
        <w:rPr>
          <w:rFonts w:eastAsia="Times New Roman"/>
          <w:color w:val="000000"/>
          <w:sz w:val="20"/>
          <w:szCs w:val="20"/>
        </w:rPr>
        <w:t xml:space="preserve"> $5.5 billion.</w:t>
      </w:r>
    </w:p>
    <w:p w:rsidR="00000000" w:rsidRDefault="00D44B22">
      <w:pPr>
        <w:ind w:firstLine="720"/>
        <w:jc w:val="both"/>
        <w:divId w:val="894508910"/>
        <w:rPr>
          <w:rFonts w:eastAsia="Times New Roman"/>
        </w:rPr>
      </w:pPr>
      <w:r>
        <w:rPr>
          <w:rFonts w:eastAsia="Times New Roman"/>
          <w:color w:val="000000"/>
          <w:sz w:val="20"/>
          <w:szCs w:val="20"/>
          <w:u w:val="single"/>
        </w:rPr>
        <w:t>Commitments</w:t>
      </w:r>
    </w:p>
    <w:p w:rsidR="00000000" w:rsidRDefault="00D44B22">
      <w:pPr>
        <w:ind w:firstLine="720"/>
        <w:jc w:val="both"/>
        <w:divId w:val="1481388557"/>
        <w:rPr>
          <w:rFonts w:eastAsia="Times New Roman"/>
        </w:rPr>
      </w:pPr>
      <w:r>
        <w:rPr>
          <w:rFonts w:eastAsia="Times New Roman"/>
          <w:color w:val="000000"/>
          <w:sz w:val="20"/>
          <w:szCs w:val="20"/>
        </w:rPr>
        <w:t>We have construction commitments representing future expected payments for construction under contract totaling $267.5 million at June 30, 2022. We expect to pay approximately $155.7 million in the remainder of 2022, $106.1 milli</w:t>
      </w:r>
      <w:r>
        <w:rPr>
          <w:rFonts w:eastAsia="Times New Roman"/>
          <w:color w:val="000000"/>
          <w:sz w:val="20"/>
          <w:szCs w:val="20"/>
        </w:rPr>
        <w:t>on in 2023 and $5.7 million in 2024 for these construction commitments.</w:t>
      </w:r>
    </w:p>
    <w:p w:rsidR="00000000" w:rsidRDefault="00D44B22">
      <w:pPr>
        <w:ind w:firstLine="720"/>
        <w:jc w:val="both"/>
        <w:divId w:val="792677758"/>
        <w:rPr>
          <w:rFonts w:eastAsia="Times New Roman"/>
        </w:rPr>
      </w:pPr>
      <w:r>
        <w:rPr>
          <w:rFonts w:eastAsia="Times New Roman"/>
          <w:color w:val="000000"/>
          <w:sz w:val="20"/>
          <w:szCs w:val="20"/>
        </w:rPr>
        <w:t>We have future contractual payments on land, equipment and office space under various lease commitments totaling $64.9 million at June 30, 2022. We expect to pay approximately $1.4 mil</w:t>
      </w:r>
      <w:r>
        <w:rPr>
          <w:rFonts w:eastAsia="Times New Roman"/>
          <w:color w:val="000000"/>
          <w:sz w:val="20"/>
          <w:szCs w:val="20"/>
        </w:rPr>
        <w:t>lion in the remainder of 2022, $3.1 million in each of 2023, 2024 and 2025, $3.0 million in 2026 and $51.2 million thereafter for these commitments.</w:t>
      </w:r>
    </w:p>
    <w:p w:rsidR="00000000" w:rsidRDefault="00D44B22">
      <w:pPr>
        <w:ind w:hanging="360"/>
        <w:divId w:val="2131824305"/>
        <w:rPr>
          <w:rFonts w:eastAsia="Times New Roman"/>
        </w:rPr>
      </w:pPr>
      <w:r>
        <w:rPr>
          <w:rFonts w:eastAsia="Times New Roman"/>
          <w:color w:val="000000"/>
          <w:sz w:val="20"/>
          <w:szCs w:val="20"/>
        </w:rPr>
        <w:t>15.    </w:t>
      </w:r>
      <w:r>
        <w:rPr>
          <w:rFonts w:eastAsia="Times New Roman"/>
          <w:color w:val="000000"/>
          <w:sz w:val="20"/>
          <w:szCs w:val="20"/>
          <w:u w:val="single"/>
        </w:rPr>
        <w:t>Subsequent Events</w:t>
      </w:r>
    </w:p>
    <w:p w:rsidR="00000000" w:rsidRDefault="00D44B22">
      <w:pPr>
        <w:ind w:firstLine="720"/>
        <w:jc w:val="both"/>
        <w:divId w:val="576403029"/>
        <w:rPr>
          <w:rFonts w:eastAsia="Times New Roman"/>
        </w:rPr>
      </w:pPr>
      <w:r>
        <w:rPr>
          <w:rFonts w:eastAsia="Times New Roman"/>
          <w:color w:val="000000"/>
          <w:sz w:val="20"/>
          <w:szCs w:val="20"/>
        </w:rPr>
        <w:t>Subsequent to June 30, 2022, we acquired or were under contract to acquire 24 self</w:t>
      </w:r>
      <w:r>
        <w:rPr>
          <w:rFonts w:eastAsia="Times New Roman"/>
          <w:color w:val="000000"/>
          <w:sz w:val="20"/>
          <w:szCs w:val="20"/>
        </w:rPr>
        <w:t>-storage facilities across ten states with 1.7 million net rentable square feet, for $257.4 million. Additionally, on July 8, 2022, we acquired the commercial interests of PSB at three sites, totaling five properties, jointly occupied with our self-storage</w:t>
      </w:r>
      <w:r>
        <w:rPr>
          <w:rFonts w:eastAsia="Times New Roman"/>
          <w:color w:val="000000"/>
          <w:sz w:val="20"/>
          <w:szCs w:val="20"/>
        </w:rPr>
        <w:t xml:space="preserve"> facilities located in Maryland and Virginia, for $47.0 million.</w:t>
      </w:r>
    </w:p>
    <w:p w:rsidR="00000000" w:rsidRDefault="00D44B22">
      <w:pPr>
        <w:ind w:firstLine="720"/>
        <w:jc w:val="both"/>
        <w:divId w:val="1803452303"/>
        <w:rPr>
          <w:rFonts w:eastAsia="Times New Roman"/>
        </w:rPr>
      </w:pPr>
      <w:r>
        <w:rPr>
          <w:rFonts w:eastAsia="Times New Roman"/>
          <w:color w:val="000000"/>
          <w:sz w:val="20"/>
          <w:szCs w:val="20"/>
        </w:rPr>
        <w:t>On April 24, 2022, PSB entered into an Agreement and Plan of Merger whereby affiliates of Blackstone agreed to acquire all outstanding shares of PSB's common stock for $187.50 per share in ca</w:t>
      </w:r>
      <w:r>
        <w:rPr>
          <w:rFonts w:eastAsia="Times New Roman"/>
          <w:color w:val="000000"/>
          <w:sz w:val="20"/>
          <w:szCs w:val="20"/>
        </w:rPr>
        <w:t>sh. On July 20, 2022, PSB announced that it completed the merger transaction with Blackstone. Each share of PSB common stock and each common unit of partnership interest we held in PSB were converted into the right to receive the merger consideration of $1</w:t>
      </w:r>
      <w:r>
        <w:rPr>
          <w:rFonts w:eastAsia="Times New Roman"/>
          <w:color w:val="000000"/>
          <w:sz w:val="20"/>
          <w:szCs w:val="20"/>
        </w:rPr>
        <w:t>87.50 per share or unit and a $0.22 prorated quarterly cash dividend per share or unit, for a total of $187.72 per share or unit. At the close of the merger transaction, we received a total of $2.7 billion of cash proceeds and recognized a $2.1 billion gai</w:t>
      </w:r>
      <w:r>
        <w:rPr>
          <w:rFonts w:eastAsia="Times New Roman"/>
          <w:color w:val="000000"/>
          <w:sz w:val="20"/>
          <w:szCs w:val="20"/>
        </w:rPr>
        <w:t>n on the sale of our equity investment in PSB in the Consolidated Statement of Income for the third quarter of 2022.</w:t>
      </w:r>
    </w:p>
    <w:p w:rsidR="00000000" w:rsidRDefault="00D44B22">
      <w:pPr>
        <w:ind w:firstLine="720"/>
        <w:jc w:val="both"/>
        <w:divId w:val="1294560357"/>
        <w:rPr>
          <w:rFonts w:eastAsia="Times New Roman"/>
        </w:rPr>
      </w:pPr>
      <w:r>
        <w:rPr>
          <w:rFonts w:eastAsia="Times New Roman"/>
          <w:color w:val="000000"/>
          <w:sz w:val="20"/>
          <w:szCs w:val="20"/>
        </w:rPr>
        <w:t>In connection with the sale of our equity investment in PSB, on July 22, 2022, our Board of Trustees declared a special cash dividend of $1</w:t>
      </w:r>
      <w:r>
        <w:rPr>
          <w:rFonts w:eastAsia="Times New Roman"/>
          <w:color w:val="000000"/>
          <w:sz w:val="20"/>
          <w:szCs w:val="20"/>
        </w:rPr>
        <w:t>3.15 per common share. The special dividend is payable on August 4, 2022 to shareholders of record as of August 1, 2022.</w:t>
      </w:r>
    </w:p>
    <w:p w:rsidR="00000000" w:rsidRDefault="00D44B22">
      <w:pPr>
        <w:ind w:firstLine="720"/>
        <w:jc w:val="both"/>
        <w:divId w:val="425350959"/>
        <w:rPr>
          <w:rFonts w:eastAsia="Times New Roman"/>
        </w:rPr>
      </w:pPr>
      <w:r>
        <w:rPr>
          <w:rFonts w:eastAsia="Times New Roman"/>
          <w:color w:val="000000"/>
          <w:sz w:val="20"/>
          <w:szCs w:val="20"/>
        </w:rPr>
        <w:t>On July 26, 2022, the Company called for redemption on August 15, 2022 its 2.370% Senior Notes, with an aggregate outstanding principal amount of $500.0 million, due September 15, 2022.</w:t>
      </w:r>
    </w:p>
    <w:p w:rsidR="00000000" w:rsidRDefault="00D44B22">
      <w:pPr>
        <w:jc w:val="center"/>
        <w:divId w:val="1462648210"/>
        <w:rPr>
          <w:rFonts w:eastAsia="Times New Roman"/>
        </w:rPr>
      </w:pPr>
      <w:r>
        <w:rPr>
          <w:rFonts w:eastAsia="Times New Roman"/>
          <w:color w:val="000000"/>
          <w:sz w:val="20"/>
          <w:szCs w:val="20"/>
        </w:rPr>
        <w:t>22</w:t>
      </w:r>
    </w:p>
    <w:p w:rsidR="00000000" w:rsidRDefault="00D44B22">
      <w:pPr>
        <w:rPr>
          <w:rFonts w:eastAsia="Times New Roman"/>
        </w:rPr>
      </w:pPr>
      <w:r>
        <w:rPr>
          <w:rFonts w:eastAsia="Times New Roman"/>
        </w:rPr>
        <w:pict>
          <v:rect id="_x0000_i1048" style="width:0;height:1.5pt" o:hralign="center" o:hrstd="t" o:hr="t" fillcolor="#a0a0a0" stroked="f"/>
        </w:pict>
      </w:r>
    </w:p>
    <w:p w:rsidR="00000000" w:rsidRDefault="00D44B22">
      <w:pPr>
        <w:divId w:val="1495682991"/>
        <w:rPr>
          <w:rFonts w:eastAsia="Times New Roman"/>
        </w:rPr>
      </w:pPr>
    </w:p>
    <w:p w:rsidR="00000000" w:rsidRDefault="00D44B22">
      <w:pPr>
        <w:jc w:val="both"/>
        <w:divId w:val="702897722"/>
        <w:rPr>
          <w:rFonts w:eastAsia="Times New Roman"/>
        </w:rPr>
      </w:pPr>
      <w:r>
        <w:rPr>
          <w:rFonts w:eastAsia="Times New Roman"/>
          <w:b/>
          <w:bCs/>
          <w:color w:val="000000"/>
          <w:sz w:val="20"/>
          <w:szCs w:val="20"/>
        </w:rPr>
        <w:t>ITEM 2.    </w:t>
      </w:r>
      <w:r>
        <w:rPr>
          <w:rFonts w:eastAsia="Times New Roman"/>
          <w:b/>
          <w:bCs/>
          <w:color w:val="000000"/>
          <w:sz w:val="20"/>
          <w:szCs w:val="20"/>
          <w:u w:val="single"/>
        </w:rPr>
        <w:t>Management’s Disc</w:t>
      </w:r>
      <w:r>
        <w:rPr>
          <w:rFonts w:eastAsia="Times New Roman"/>
          <w:b/>
          <w:bCs/>
          <w:color w:val="000000"/>
          <w:sz w:val="20"/>
          <w:szCs w:val="20"/>
          <w:u w:val="single"/>
        </w:rPr>
        <w:t>ussion and Analysis of Financial Condition and Results of Operations</w:t>
      </w:r>
    </w:p>
    <w:p w:rsidR="00000000" w:rsidRDefault="00D44B22">
      <w:pPr>
        <w:jc w:val="both"/>
        <w:divId w:val="2100902671"/>
        <w:rPr>
          <w:rFonts w:eastAsia="Times New Roman"/>
        </w:rPr>
      </w:pPr>
      <w:r>
        <w:rPr>
          <w:rFonts w:eastAsia="Times New Roman"/>
          <w:b/>
          <w:bCs/>
          <w:color w:val="000000"/>
          <w:sz w:val="20"/>
          <w:szCs w:val="20"/>
          <w:u w:val="single"/>
        </w:rPr>
        <w:t>Cautionary Statement Regarding Forward Looking Statements</w:t>
      </w:r>
    </w:p>
    <w:p w:rsidR="00000000" w:rsidRDefault="00D44B22">
      <w:pPr>
        <w:ind w:firstLine="720"/>
        <w:jc w:val="both"/>
        <w:divId w:val="1372144378"/>
        <w:rPr>
          <w:rFonts w:eastAsia="Times New Roman"/>
        </w:rPr>
      </w:pPr>
      <w:r>
        <w:rPr>
          <w:rFonts w:eastAsia="Times New Roman"/>
          <w:color w:val="000000"/>
          <w:sz w:val="20"/>
          <w:szCs w:val="20"/>
        </w:rPr>
        <w:t>This Quarterly Report on Form 10-Q contains forward-looking statements within the meaning of the Private Securities Litigation Re</w:t>
      </w:r>
      <w:r>
        <w:rPr>
          <w:rFonts w:eastAsia="Times New Roman"/>
          <w:color w:val="000000"/>
          <w:sz w:val="20"/>
          <w:szCs w:val="20"/>
        </w:rPr>
        <w:t>form Act of 1995. Such forward-looking statements include statements relating to our 2022 outlook and all underlying assumptions, our expected acquisition, disposition, development and redevelopment activity, supply and demand for our self-storage faciliti</w:t>
      </w:r>
      <w:r>
        <w:rPr>
          <w:rFonts w:eastAsia="Times New Roman"/>
          <w:color w:val="000000"/>
          <w:sz w:val="20"/>
          <w:szCs w:val="20"/>
        </w:rPr>
        <w:t>es, information relating to operating trends in our markets, expectations regarding operating expenses, including property tax changes, our strategic priorities, expectations with respect to financing activities, rental rates, cap rates and yields, leasing</w:t>
      </w:r>
      <w:r>
        <w:rPr>
          <w:rFonts w:eastAsia="Times New Roman"/>
          <w:color w:val="000000"/>
          <w:sz w:val="20"/>
          <w:szCs w:val="20"/>
        </w:rPr>
        <w:t xml:space="preserve"> expectations, our credit ratings, and all other statements other than statements of historical fact. Such statements are based on management’s beliefs and assumptions made based on information currently available to management. All statements in this docu</w:t>
      </w:r>
      <w:r>
        <w:rPr>
          <w:rFonts w:eastAsia="Times New Roman"/>
          <w:color w:val="000000"/>
          <w:sz w:val="20"/>
          <w:szCs w:val="20"/>
        </w:rPr>
        <w:t>ment, other than statements of historical fact, are forward-looking statements that may be identified by the use of the words “outlook,” “guidance,” “expects,” “believes,” “anticipates,” “should,” “estimates,” and similar expressions.</w:t>
      </w:r>
    </w:p>
    <w:p w:rsidR="00000000" w:rsidRDefault="00D44B22">
      <w:pPr>
        <w:ind w:firstLine="720"/>
        <w:jc w:val="both"/>
        <w:divId w:val="212885069"/>
        <w:rPr>
          <w:rFonts w:eastAsia="Times New Roman"/>
        </w:rPr>
      </w:pPr>
      <w:r>
        <w:rPr>
          <w:rFonts w:eastAsia="Times New Roman"/>
          <w:color w:val="000000"/>
          <w:sz w:val="20"/>
          <w:szCs w:val="20"/>
        </w:rPr>
        <w:t>These forward-looking</w:t>
      </w:r>
      <w:r>
        <w:rPr>
          <w:rFonts w:eastAsia="Times New Roman"/>
          <w:color w:val="000000"/>
          <w:sz w:val="20"/>
          <w:szCs w:val="20"/>
        </w:rPr>
        <w:t xml:space="preserve"> statements involve known and unknown risks and uncertainties, which may cause our actual results and performance to be materially different from those expressed or implied in the forward-looking statements. Factors and risks that may impact future results</w:t>
      </w:r>
      <w:r>
        <w:rPr>
          <w:rFonts w:eastAsia="Times New Roman"/>
          <w:color w:val="000000"/>
          <w:sz w:val="20"/>
          <w:szCs w:val="20"/>
        </w:rPr>
        <w:t xml:space="preserve"> and performance include, but are not limited to those factors and risks described in Part 1, Item 1A, “Risk Factors” in our most recent Annual Report on Form 10-K for the year ended December 31, 2021 filed with the Securities and Exchange Commission (the </w:t>
      </w:r>
      <w:r>
        <w:rPr>
          <w:rFonts w:eastAsia="Times New Roman"/>
          <w:color w:val="000000"/>
          <w:sz w:val="20"/>
          <w:szCs w:val="20"/>
        </w:rPr>
        <w:t>“SEC”) on February 22, 2022 and in our other filings with the SEC including. These include changes in demand for our facilities, impacts of natural disasters, adverse changes in laws and regulations including governing property tax, evictions, rental rates</w:t>
      </w:r>
      <w:r>
        <w:rPr>
          <w:rFonts w:eastAsia="Times New Roman"/>
          <w:color w:val="000000"/>
          <w:sz w:val="20"/>
          <w:szCs w:val="20"/>
        </w:rPr>
        <w:t>, minimum wage levels, and insurance, adverse economic effects from the COVID-19 pandemic, international military conflicts, or similar events impacting public health and/or economic activity, increases in the costs of our primary customer acquisition chan</w:t>
      </w:r>
      <w:r>
        <w:rPr>
          <w:rFonts w:eastAsia="Times New Roman"/>
          <w:color w:val="000000"/>
          <w:sz w:val="20"/>
          <w:szCs w:val="20"/>
        </w:rPr>
        <w:t xml:space="preserve">nels, adverse impacts to us and our customers from inflation, unfavorable foreign currency rate fluctuations, changes in federal or state tax laws related to the taxation of REITs, and security breaches, including ransomware, or a failure of our networks, </w:t>
      </w:r>
      <w:r>
        <w:rPr>
          <w:rFonts w:eastAsia="Times New Roman"/>
          <w:color w:val="000000"/>
          <w:sz w:val="20"/>
          <w:szCs w:val="20"/>
        </w:rPr>
        <w:t>systems or technology.</w:t>
      </w:r>
    </w:p>
    <w:p w:rsidR="00000000" w:rsidRDefault="00D44B22">
      <w:pPr>
        <w:ind w:firstLine="720"/>
        <w:jc w:val="both"/>
        <w:divId w:val="1130512160"/>
        <w:rPr>
          <w:rFonts w:eastAsia="Times New Roman"/>
        </w:rPr>
      </w:pPr>
      <w:r>
        <w:rPr>
          <w:rFonts w:eastAsia="Times New Roman"/>
          <w:color w:val="000000"/>
          <w:sz w:val="20"/>
          <w:szCs w:val="20"/>
        </w:rPr>
        <w:t xml:space="preserve">These forward-looking statements speak only as of the date of this report or as of the dates indicated in the statements. All of our forward-looking statements, including those in this report, are qualified in their entirety by this </w:t>
      </w:r>
      <w:r>
        <w:rPr>
          <w:rFonts w:eastAsia="Times New Roman"/>
          <w:color w:val="000000"/>
          <w:sz w:val="20"/>
          <w:szCs w:val="20"/>
        </w:rPr>
        <w:t>cautionary statement. We expressly disclaim any obligation to update publicly or otherwise revise any forward-looking statements, whether because of new information, new estimates, or other factors, events or circumstances after the date of these forward-l</w:t>
      </w:r>
      <w:r>
        <w:rPr>
          <w:rFonts w:eastAsia="Times New Roman"/>
          <w:color w:val="000000"/>
          <w:sz w:val="20"/>
          <w:szCs w:val="20"/>
        </w:rPr>
        <w:t>ooking statements, except when expressly required by law. Given these risks and uncertainties, you should not rely on any forward-looking statements in this report, or which management may make orally or in writing from time to time, neither as predictions</w:t>
      </w:r>
      <w:r>
        <w:rPr>
          <w:rFonts w:eastAsia="Times New Roman"/>
          <w:color w:val="000000"/>
          <w:sz w:val="20"/>
          <w:szCs w:val="20"/>
        </w:rPr>
        <w:t xml:space="preserve"> of future events nor guarantees of future performance.</w:t>
      </w:r>
    </w:p>
    <w:p w:rsidR="00000000" w:rsidRDefault="00D44B22">
      <w:pPr>
        <w:jc w:val="both"/>
        <w:divId w:val="1450779243"/>
        <w:rPr>
          <w:rFonts w:eastAsia="Times New Roman"/>
        </w:rPr>
      </w:pPr>
      <w:r>
        <w:rPr>
          <w:rFonts w:eastAsia="Times New Roman"/>
          <w:b/>
          <w:bCs/>
          <w:color w:val="000000"/>
          <w:sz w:val="20"/>
          <w:szCs w:val="20"/>
        </w:rPr>
        <w:t>Critical Accounting Estimates</w:t>
      </w:r>
    </w:p>
    <w:p w:rsidR="00000000" w:rsidRDefault="00D44B22">
      <w:pPr>
        <w:ind w:firstLine="720"/>
        <w:jc w:val="both"/>
        <w:divId w:val="112529448"/>
        <w:rPr>
          <w:rFonts w:eastAsia="Times New Roman"/>
        </w:rPr>
      </w:pPr>
      <w:r>
        <w:rPr>
          <w:rFonts w:eastAsia="Times New Roman"/>
          <w:color w:val="000000"/>
          <w:sz w:val="20"/>
          <w:szCs w:val="20"/>
        </w:rPr>
        <w:t>The preparation of consolidated financial statements and related disclosures in conformity with U.S. generally accepted accounting principles (“GAAP”) requires us to make</w:t>
      </w:r>
      <w:r>
        <w:rPr>
          <w:rFonts w:eastAsia="Times New Roman"/>
          <w:color w:val="000000"/>
          <w:sz w:val="20"/>
          <w:szCs w:val="20"/>
        </w:rPr>
        <w:t xml:space="preserve"> judgments, assumptions, and estimates that affect the amounts reported. On an ongoing basis, we evaluate our estimates and assumptions. These estimates and assumptions are based on current facts, historical experience, and various other factors that we be</w:t>
      </w:r>
      <w:r>
        <w:rPr>
          <w:rFonts w:eastAsia="Times New Roman"/>
          <w:color w:val="000000"/>
          <w:sz w:val="20"/>
          <w:szCs w:val="20"/>
        </w:rPr>
        <w:t xml:space="preserve">lieve are reasonable under the circumstances to determine reported amounts of assets, liabilities, revenues, and expenses that are not readily apparent from other sources. </w:t>
      </w:r>
    </w:p>
    <w:p w:rsidR="00000000" w:rsidRDefault="00D44B22">
      <w:pPr>
        <w:ind w:firstLine="720"/>
        <w:jc w:val="both"/>
        <w:divId w:val="1500383803"/>
        <w:rPr>
          <w:rFonts w:eastAsia="Times New Roman"/>
        </w:rPr>
      </w:pPr>
      <w:r>
        <w:rPr>
          <w:rFonts w:eastAsia="Times New Roman"/>
          <w:color w:val="000000"/>
          <w:sz w:val="20"/>
          <w:szCs w:val="20"/>
        </w:rPr>
        <w:t>During the six months ended June 30, 2022, there were no material changes to our cr</w:t>
      </w:r>
      <w:r>
        <w:rPr>
          <w:rFonts w:eastAsia="Times New Roman"/>
          <w:color w:val="000000"/>
          <w:sz w:val="20"/>
          <w:szCs w:val="20"/>
        </w:rPr>
        <w:t>itical accounting estimates as compared to the critical accounting estimates disclosed in Management’s Discussion and Analysis of Financial Condition and Results of Operations contained in Part II, Item 7 of our Annual Report on Form 10-K for the year ende</w:t>
      </w:r>
      <w:r>
        <w:rPr>
          <w:rFonts w:eastAsia="Times New Roman"/>
          <w:color w:val="000000"/>
          <w:sz w:val="20"/>
          <w:szCs w:val="20"/>
        </w:rPr>
        <w:t>d December 31, 2021.</w:t>
      </w:r>
    </w:p>
    <w:p w:rsidR="00000000" w:rsidRDefault="00D44B22">
      <w:pPr>
        <w:jc w:val="center"/>
        <w:divId w:val="18043727"/>
        <w:rPr>
          <w:rFonts w:eastAsia="Times New Roman"/>
        </w:rPr>
      </w:pPr>
      <w:r>
        <w:rPr>
          <w:rFonts w:eastAsia="Times New Roman"/>
          <w:color w:val="000000"/>
          <w:sz w:val="20"/>
          <w:szCs w:val="20"/>
        </w:rPr>
        <w:t>23</w:t>
      </w:r>
    </w:p>
    <w:p w:rsidR="00000000" w:rsidRDefault="00D44B22">
      <w:pPr>
        <w:rPr>
          <w:rFonts w:eastAsia="Times New Roman"/>
        </w:rPr>
      </w:pPr>
      <w:r>
        <w:rPr>
          <w:rFonts w:eastAsia="Times New Roman"/>
        </w:rPr>
        <w:pict>
          <v:rect id="_x0000_i1049" style="width:0;height:1.5pt" o:hralign="center" o:hrstd="t" o:hr="t" fillcolor="#a0a0a0" stroked="f"/>
        </w:pict>
      </w:r>
    </w:p>
    <w:p w:rsidR="00000000" w:rsidRDefault="00D44B22">
      <w:pPr>
        <w:divId w:val="993996344"/>
        <w:rPr>
          <w:rFonts w:eastAsia="Times New Roman"/>
        </w:rPr>
      </w:pPr>
    </w:p>
    <w:p w:rsidR="00000000" w:rsidRDefault="00D44B22">
      <w:pPr>
        <w:jc w:val="both"/>
        <w:divId w:val="1086925938"/>
        <w:rPr>
          <w:rFonts w:eastAsia="Times New Roman"/>
        </w:rPr>
      </w:pPr>
      <w:r>
        <w:rPr>
          <w:rFonts w:eastAsia="Times New Roman"/>
          <w:b/>
          <w:bCs/>
          <w:color w:val="000000"/>
          <w:sz w:val="20"/>
          <w:szCs w:val="20"/>
        </w:rPr>
        <w:t xml:space="preserve">Overview </w:t>
      </w:r>
    </w:p>
    <w:p w:rsidR="00000000" w:rsidRDefault="00D44B22">
      <w:pPr>
        <w:ind w:firstLine="720"/>
        <w:jc w:val="both"/>
        <w:rPr>
          <w:rFonts w:eastAsia="Times New Roman"/>
        </w:rPr>
      </w:pPr>
      <w:r>
        <w:rPr>
          <w:rFonts w:eastAsia="Times New Roman"/>
          <w:color w:val="000000"/>
          <w:sz w:val="20"/>
          <w:szCs w:val="20"/>
        </w:rPr>
        <w:t>Our self-storage operations generate most of our net income and our earnings growth is impacted by the levels of growth within our Same Store Facilities (as defined below) as well as w</w:t>
      </w:r>
      <w:r>
        <w:rPr>
          <w:rFonts w:eastAsia="Times New Roman"/>
          <w:color w:val="000000"/>
          <w:sz w:val="20"/>
          <w:szCs w:val="20"/>
        </w:rPr>
        <w:t xml:space="preserve">ithin our Acquired Facilities and Newly Developed and Expanded Facilities (both as defined below). Accordingly, a significant portion of management’s time is devoted to maximizing cash flows from our existing self-storage facility portfolio. </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 xml:space="preserve">During the </w:t>
      </w:r>
      <w:r>
        <w:rPr>
          <w:rFonts w:eastAsia="Times New Roman"/>
          <w:color w:val="000000"/>
          <w:sz w:val="20"/>
          <w:szCs w:val="20"/>
        </w:rPr>
        <w:t>three and six months ended June 30, 2022, revenues generated by our Same Store Facilities increased by 15.9% ($108.4 million) and 15.9% ($210.5 million), respectively, as compared to the same periods in 2021, while Same Store cost of operations increased b</w:t>
      </w:r>
      <w:r>
        <w:rPr>
          <w:rFonts w:eastAsia="Times New Roman"/>
          <w:color w:val="000000"/>
          <w:sz w:val="20"/>
          <w:szCs w:val="20"/>
        </w:rPr>
        <w:t xml:space="preserve">y 7.6% ($12.7 million) and 5.5% ($19.2 million), respectively. Demand and operating trends remained strong, leading to increases in our self-storage rental rates while maintaining high levels of occupancy. </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In addition to managing our existing facilities</w:t>
      </w:r>
      <w:r>
        <w:rPr>
          <w:rFonts w:eastAsia="Times New Roman"/>
          <w:color w:val="000000"/>
          <w:sz w:val="20"/>
          <w:szCs w:val="20"/>
        </w:rPr>
        <w:t xml:space="preserve"> for organic growth, we have grown and plan to continue to grow through the acquisition and development of new facilities and expansion of our existing self-storage facilities. Since the beginning of 2020, we acquired a total of 314 facilities with 28.4 mi</w:t>
      </w:r>
      <w:r>
        <w:rPr>
          <w:rFonts w:eastAsia="Times New Roman"/>
          <w:color w:val="000000"/>
          <w:sz w:val="20"/>
          <w:szCs w:val="20"/>
        </w:rPr>
        <w:t>llion net rentable square feet for $6.2 billion. In our non-same store portfolio, we also have developed and expanded self-storage facilities of 16.9 million net rentable square feet for a total cost of $1.4 billion. During the three and six months ended J</w:t>
      </w:r>
      <w:r>
        <w:rPr>
          <w:rFonts w:eastAsia="Times New Roman"/>
          <w:color w:val="000000"/>
          <w:sz w:val="20"/>
          <w:szCs w:val="20"/>
        </w:rPr>
        <w:t>une 30, 2022, net operating income generated by our Acquired Facilities and Newly Developed and Expanded Facilities increased 121.5% ($59.9 million) and 165.1% ($127.8 million), respectively, as compared to the same periods in 2021.</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We have experienced r</w:t>
      </w:r>
      <w:r>
        <w:rPr>
          <w:rFonts w:eastAsia="Times New Roman"/>
          <w:color w:val="000000"/>
          <w:sz w:val="20"/>
          <w:szCs w:val="20"/>
        </w:rPr>
        <w:t>ecent inflationary impacts on our cost of operations, including labor, utilities and repairs and maintenance, and costs of development and expansion activities, and we may continue to experience such impacts in the future. We have implemented various initi</w:t>
      </w:r>
      <w:r>
        <w:rPr>
          <w:rFonts w:eastAsia="Times New Roman"/>
          <w:color w:val="000000"/>
          <w:sz w:val="20"/>
          <w:szCs w:val="20"/>
        </w:rPr>
        <w:t>atives to manage the adverse impacts, such as enhancements in operational processes and investments in technology to reduce payroll hours, achievement of economies of scale from recent acquisitions with supervisory payroll allocated over a broader number o</w:t>
      </w:r>
      <w:r>
        <w:rPr>
          <w:rFonts w:eastAsia="Times New Roman"/>
          <w:color w:val="000000"/>
          <w:sz w:val="20"/>
          <w:szCs w:val="20"/>
        </w:rPr>
        <w:t>f self-storage facilities, and investments in solar power and LED lights to lower utility usage.</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Our strong financial profile continues to enable effective access to capital markets in order to support our growth. During the six months ended June 30, 202</w:t>
      </w:r>
      <w:r>
        <w:rPr>
          <w:rFonts w:eastAsia="Times New Roman"/>
          <w:color w:val="000000"/>
          <w:sz w:val="20"/>
          <w:szCs w:val="20"/>
        </w:rPr>
        <w:t>2, we raised $250 million in a public offering of our preferred shares.</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In order to enhance the competitive position of certain of our facilities relative to local competitors (including newly developed facilities), we have embarked on our multi-year Pro</w:t>
      </w:r>
      <w:r>
        <w:rPr>
          <w:rFonts w:eastAsia="Times New Roman"/>
          <w:color w:val="000000"/>
          <w:sz w:val="20"/>
          <w:szCs w:val="20"/>
        </w:rPr>
        <w:t>perty of Tomorrow program to (i) rebrand our properties with more pronounced, attractive, and clearly identifiable color schemes and signage, (ii) enhance the energy efficiency of our properties, and (iii) upgrade the configuration and layout of the office</w:t>
      </w:r>
      <w:r>
        <w:rPr>
          <w:rFonts w:eastAsia="Times New Roman"/>
          <w:color w:val="000000"/>
          <w:sz w:val="20"/>
          <w:szCs w:val="20"/>
        </w:rPr>
        <w:t>s and other customer zones to improve the customer experience. We expect to complete the program by the end of 2025. We expect to spend approximately $180 million over 2022 on this effort.</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 xml:space="preserve">On April 24, 2022, PSB entered into an Agreement and Plan of Merger whereby affiliates of Blackstone agreed to acquire all outstanding shares of PSB's common stock for $187.50 per share in cash. On July 20, 2022, PSB announced that it completed the merger </w:t>
      </w:r>
      <w:r>
        <w:rPr>
          <w:rFonts w:eastAsia="Times New Roman"/>
          <w:color w:val="000000"/>
          <w:sz w:val="20"/>
          <w:szCs w:val="20"/>
        </w:rPr>
        <w:t>transaction with Blackstone. Each share of PSB common stock and each common unit of partnership interest we held in PSB were converted into the right to receive the merger consideration of $187.50 per share or unit and a $0.22 prorated quarterly cash divid</w:t>
      </w:r>
      <w:r>
        <w:rPr>
          <w:rFonts w:eastAsia="Times New Roman"/>
          <w:color w:val="000000"/>
          <w:sz w:val="20"/>
          <w:szCs w:val="20"/>
        </w:rPr>
        <w:t>end per share or unit, for a total of $187.72 per share or unit. At the close of the merger transaction, we received a total of $2.7 billion of cash proceeds and recognized a $2.1 billion gain on the sale of our equity investment in PSB in the Consolidated</w:t>
      </w:r>
      <w:r>
        <w:rPr>
          <w:rFonts w:eastAsia="Times New Roman"/>
          <w:color w:val="000000"/>
          <w:sz w:val="20"/>
          <w:szCs w:val="20"/>
        </w:rPr>
        <w:t xml:space="preserve"> Statement of Income for the third quarter of 2022.</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In connection with the sale of our equity investment in PSB, on July 22, 2022, our Board of Trustees declared a special cash dividend of $13.15 per common share. The special dividend is payable on Augus</w:t>
      </w:r>
      <w:r>
        <w:rPr>
          <w:rFonts w:eastAsia="Times New Roman"/>
          <w:color w:val="000000"/>
          <w:sz w:val="20"/>
          <w:szCs w:val="20"/>
        </w:rPr>
        <w:t>t 4, 2022 to shareholders of record as of August 1, 2022.</w:t>
      </w:r>
    </w:p>
    <w:p w:rsidR="00000000" w:rsidRDefault="00D44B22">
      <w:pPr>
        <w:ind w:firstLine="720"/>
        <w:jc w:val="both"/>
        <w:rPr>
          <w:rFonts w:eastAsia="Times New Roman"/>
        </w:rPr>
      </w:pPr>
    </w:p>
    <w:p w:rsidR="00000000" w:rsidRDefault="00D44B22">
      <w:pPr>
        <w:jc w:val="center"/>
        <w:divId w:val="492911346"/>
        <w:rPr>
          <w:rFonts w:eastAsia="Times New Roman"/>
        </w:rPr>
      </w:pPr>
      <w:r>
        <w:rPr>
          <w:rFonts w:eastAsia="Times New Roman"/>
          <w:color w:val="000000"/>
          <w:sz w:val="20"/>
          <w:szCs w:val="20"/>
        </w:rPr>
        <w:t>24</w:t>
      </w:r>
    </w:p>
    <w:p w:rsidR="00000000" w:rsidRDefault="00D44B22">
      <w:pPr>
        <w:rPr>
          <w:rFonts w:eastAsia="Times New Roman"/>
        </w:rPr>
      </w:pPr>
      <w:r>
        <w:rPr>
          <w:rFonts w:eastAsia="Times New Roman"/>
        </w:rPr>
        <w:pict>
          <v:rect id="_x0000_i1050" style="width:0;height:1.5pt" o:hralign="center" o:hrstd="t" o:hr="t" fillcolor="#a0a0a0" stroked="f"/>
        </w:pict>
      </w:r>
    </w:p>
    <w:p w:rsidR="00000000" w:rsidRDefault="00D44B22">
      <w:pPr>
        <w:divId w:val="2120367562"/>
        <w:rPr>
          <w:rFonts w:eastAsia="Times New Roman"/>
        </w:rPr>
      </w:pPr>
    </w:p>
    <w:p w:rsidR="00000000" w:rsidRDefault="00D44B22">
      <w:pPr>
        <w:divId w:val="1385594147"/>
        <w:rPr>
          <w:rFonts w:eastAsia="Times New Roman"/>
        </w:rPr>
      </w:pPr>
      <w:r>
        <w:rPr>
          <w:rFonts w:eastAsia="Times New Roman"/>
          <w:b/>
          <w:bCs/>
          <w:color w:val="000000"/>
          <w:sz w:val="20"/>
          <w:szCs w:val="20"/>
        </w:rPr>
        <w:t xml:space="preserve">Results of Operations </w:t>
      </w:r>
    </w:p>
    <w:p w:rsidR="00000000" w:rsidRDefault="00D44B22">
      <w:pPr>
        <w:jc w:val="both"/>
        <w:rPr>
          <w:rFonts w:eastAsia="Times New Roman"/>
        </w:rPr>
      </w:pPr>
    </w:p>
    <w:p w:rsidR="00000000" w:rsidRDefault="00D44B22">
      <w:pPr>
        <w:jc w:val="both"/>
        <w:rPr>
          <w:rFonts w:eastAsia="Times New Roman"/>
        </w:rPr>
      </w:pPr>
      <w:r>
        <w:rPr>
          <w:rFonts w:eastAsia="Times New Roman"/>
          <w:b/>
          <w:bCs/>
          <w:color w:val="000000"/>
          <w:sz w:val="20"/>
          <w:szCs w:val="20"/>
          <w:u w:val="single"/>
        </w:rPr>
        <w:t>Operating Results for the Three Months Ended June 30, 2022 and 2021</w:t>
      </w:r>
    </w:p>
    <w:p w:rsidR="00000000" w:rsidRDefault="00D44B22">
      <w:pPr>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For the three months ended June 30, 2022, net income allocable to our common shareholders was $603.4 million or $3.42 per diluted common share, compared to $346.2 million or $1.97 per diluted common share in 2021, representing an increase of $257.2 million</w:t>
      </w:r>
      <w:r>
        <w:rPr>
          <w:rFonts w:eastAsia="Times New Roman"/>
          <w:color w:val="000000"/>
          <w:sz w:val="20"/>
          <w:szCs w:val="20"/>
        </w:rPr>
        <w:t xml:space="preserve"> or $1.45 per diluted common share. The increase is due primarily to (i) a $160.9 million increase in self-storage net operating income, (ii) a $114.4 million increase in foreign currency exchange gains primarily associated with our Euro denominated notes </w:t>
      </w:r>
      <w:r>
        <w:rPr>
          <w:rFonts w:eastAsia="Times New Roman"/>
          <w:color w:val="000000"/>
          <w:sz w:val="20"/>
          <w:szCs w:val="20"/>
        </w:rPr>
        <w:t>payable, (iii) a $21.1 million increase in our equity share of gains on sale of real estate recorded by our unconsolidated real estate entities, and (iv) a $17.0 million decrease in allocations to preferred shareholders with respect to redemption of prefer</w:t>
      </w:r>
      <w:r>
        <w:rPr>
          <w:rFonts w:eastAsia="Times New Roman"/>
          <w:color w:val="000000"/>
          <w:sz w:val="20"/>
          <w:szCs w:val="20"/>
        </w:rPr>
        <w:t>red shares, partially offset by (v) a $46.0 million increase in depreciation and amortization expense and (vi) a $10.9 million increase in interest expense.</w:t>
      </w:r>
    </w:p>
    <w:p w:rsidR="00000000" w:rsidRDefault="00D44B22">
      <w:pPr>
        <w:ind w:firstLine="720"/>
        <w:jc w:val="both"/>
        <w:rPr>
          <w:rFonts w:eastAsia="Times New Roman"/>
        </w:rPr>
      </w:pPr>
    </w:p>
    <w:p w:rsidR="00000000" w:rsidRDefault="00D44B22">
      <w:pPr>
        <w:ind w:firstLine="720"/>
        <w:jc w:val="both"/>
        <w:divId w:val="1280648573"/>
        <w:rPr>
          <w:rFonts w:eastAsia="Times New Roman"/>
        </w:rPr>
      </w:pPr>
      <w:r>
        <w:rPr>
          <w:rFonts w:eastAsia="Times New Roman"/>
          <w:color w:val="000000"/>
          <w:sz w:val="20"/>
          <w:szCs w:val="20"/>
        </w:rPr>
        <w:t>The $160.9 million increase in self-storage net operating income in the three months ended June 3</w:t>
      </w:r>
      <w:r>
        <w:rPr>
          <w:rFonts w:eastAsia="Times New Roman"/>
          <w:color w:val="000000"/>
          <w:sz w:val="20"/>
          <w:szCs w:val="20"/>
        </w:rPr>
        <w:t>0, 2022 as compared to the same period in 2021 is a result of a $95.7 million increase attributable to our Same Store Facilities and a $65.2 million increase attributable to our non-same store facilities. Revenues for the Same Store Facilities increased 15</w:t>
      </w:r>
      <w:r>
        <w:rPr>
          <w:rFonts w:eastAsia="Times New Roman"/>
          <w:color w:val="000000"/>
          <w:sz w:val="20"/>
          <w:szCs w:val="20"/>
        </w:rPr>
        <w:t>.9% or $108.4 million in the three months ended June 30, 2022 as compared to 2021, due primarily to higher realized annual rent per available square foot. Cost of operations for the Same Store Facilities increased by 7.6% or $12.7 million in the three mont</w:t>
      </w:r>
      <w:r>
        <w:rPr>
          <w:rFonts w:eastAsia="Times New Roman"/>
          <w:color w:val="000000"/>
          <w:sz w:val="20"/>
          <w:szCs w:val="20"/>
        </w:rPr>
        <w:t>hs ended June 30, 2022 as compared to 2021, due primarily to increased property tax expense, on-site property manager payroll expense, marketing expense, other direct property costs, and centralized management costs. The increase in net operating income of</w:t>
      </w:r>
      <w:r>
        <w:rPr>
          <w:rFonts w:eastAsia="Times New Roman"/>
          <w:color w:val="000000"/>
          <w:sz w:val="20"/>
          <w:szCs w:val="20"/>
        </w:rPr>
        <w:t xml:space="preserve"> $65.2 million for the non-same store facilities is due primarily to the impact of facilities acquired in 2021 and the fill-up of recently developed and expanded facilities.</w:t>
      </w:r>
    </w:p>
    <w:p w:rsidR="00000000" w:rsidRDefault="00D44B22">
      <w:pPr>
        <w:jc w:val="both"/>
        <w:rPr>
          <w:rFonts w:eastAsia="Times New Roman"/>
        </w:rPr>
      </w:pPr>
      <w:r>
        <w:rPr>
          <w:rFonts w:eastAsia="Times New Roman"/>
          <w:b/>
          <w:bCs/>
          <w:color w:val="000000"/>
          <w:sz w:val="20"/>
          <w:szCs w:val="20"/>
          <w:u w:val="single"/>
        </w:rPr>
        <w:t>Operating Results for the Six Months Ended June 30, 2022 and 2021</w:t>
      </w:r>
    </w:p>
    <w:p w:rsidR="00000000" w:rsidRDefault="00D44B22">
      <w:pPr>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For the six mo</w:t>
      </w:r>
      <w:r>
        <w:rPr>
          <w:rFonts w:eastAsia="Times New Roman"/>
          <w:color w:val="000000"/>
          <w:sz w:val="20"/>
          <w:szCs w:val="20"/>
        </w:rPr>
        <w:t xml:space="preserve">nths ended June 30, 2022, net income allocable to our common shareholders was $1,067.5 million or $6.05 per diluted common share, compared to $732.1 million or $4.18 per diluted common share in 2021, representing an increase of $335.4 million or $1.87 per </w:t>
      </w:r>
      <w:r>
        <w:rPr>
          <w:rFonts w:eastAsia="Times New Roman"/>
          <w:color w:val="000000"/>
          <w:sz w:val="20"/>
          <w:szCs w:val="20"/>
        </w:rPr>
        <w:t>diluted common share. The increase is due primarily to (i) a $328.2 million increase in self-storage net operating income, (ii) a $104.4 million increase in foreign currency exchange gains primarily associated with our Euro denominated notes payable, (iii)</w:t>
      </w:r>
      <w:r>
        <w:rPr>
          <w:rFonts w:eastAsia="Times New Roman"/>
          <w:color w:val="000000"/>
          <w:sz w:val="20"/>
          <w:szCs w:val="20"/>
        </w:rPr>
        <w:t xml:space="preserve"> a $44.7 million increase in our equity share of gains on sale of real estate recorded by our unconsolidated real estate entities, and (iv) a $17.0 million decrease in allocations to preferred shareholders with respect to redemption of preferred shares, pa</w:t>
      </w:r>
      <w:r>
        <w:rPr>
          <w:rFonts w:eastAsia="Times New Roman"/>
          <w:color w:val="000000"/>
          <w:sz w:val="20"/>
          <w:szCs w:val="20"/>
        </w:rPr>
        <w:t>rtially offset by (v) a $121.2 million increase in depreciation and amortization expense and (vi) a $28.8 million increase in interest expense.</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The $328.2 million increase in self-storage net operating income in the six months ended June 30, 2022 as comp</w:t>
      </w:r>
      <w:r>
        <w:rPr>
          <w:rFonts w:eastAsia="Times New Roman"/>
          <w:color w:val="000000"/>
          <w:sz w:val="20"/>
          <w:szCs w:val="20"/>
        </w:rPr>
        <w:t>ared to the same period in 2021 is a result of a $191.3 million increase attributable to our Same Store Facilities and a $136.9 million increase attributable to our non-same store facilities. Revenues for the Same Store Facilities increased 15.9% or $210.5</w:t>
      </w:r>
      <w:r>
        <w:rPr>
          <w:rFonts w:eastAsia="Times New Roman"/>
          <w:color w:val="000000"/>
          <w:sz w:val="20"/>
          <w:szCs w:val="20"/>
        </w:rPr>
        <w:t> million in the six months ended June 30, 2022 as compared to 2021, due primarily to higher realized annual rent per available square foot. Cost of operations for the Same Store Facilities increased by 5.5% or $19.2 million in the six months ended June 30,</w:t>
      </w:r>
      <w:r>
        <w:rPr>
          <w:rFonts w:eastAsia="Times New Roman"/>
          <w:color w:val="000000"/>
          <w:sz w:val="20"/>
          <w:szCs w:val="20"/>
        </w:rPr>
        <w:t xml:space="preserve"> 2022 as compared to 2021, due primarily to increased property tax expense, on-site property manager payroll expense, other direct property costs, and centralized management costs. The increase in net operating income of $136.9 million for the non-same sto</w:t>
      </w:r>
      <w:r>
        <w:rPr>
          <w:rFonts w:eastAsia="Times New Roman"/>
          <w:color w:val="000000"/>
          <w:sz w:val="20"/>
          <w:szCs w:val="20"/>
        </w:rPr>
        <w:t>re facilities is due primarily to the impact of facilities acquired in 2021 and the fill-up of recently developed and expanded facilities.</w:t>
      </w:r>
    </w:p>
    <w:p w:rsidR="00000000" w:rsidRDefault="00D44B22">
      <w:pPr>
        <w:jc w:val="center"/>
        <w:divId w:val="745615690"/>
        <w:rPr>
          <w:rFonts w:eastAsia="Times New Roman"/>
        </w:rPr>
      </w:pPr>
      <w:r>
        <w:rPr>
          <w:rFonts w:eastAsia="Times New Roman"/>
          <w:color w:val="000000"/>
          <w:sz w:val="20"/>
          <w:szCs w:val="20"/>
        </w:rPr>
        <w:t>25</w:t>
      </w:r>
    </w:p>
    <w:p w:rsidR="00000000" w:rsidRDefault="00D44B22">
      <w:pPr>
        <w:rPr>
          <w:rFonts w:eastAsia="Times New Roman"/>
        </w:rPr>
      </w:pPr>
      <w:r>
        <w:rPr>
          <w:rFonts w:eastAsia="Times New Roman"/>
        </w:rPr>
        <w:pict>
          <v:rect id="_x0000_i1051" style="width:0;height:1.5pt" o:hralign="center" o:hrstd="t" o:hr="t" fillcolor="#a0a0a0" stroked="f"/>
        </w:pict>
      </w:r>
    </w:p>
    <w:p w:rsidR="00000000" w:rsidRDefault="00D44B22">
      <w:pPr>
        <w:divId w:val="496001481"/>
        <w:rPr>
          <w:rFonts w:eastAsia="Times New Roman"/>
        </w:rPr>
      </w:pPr>
    </w:p>
    <w:p w:rsidR="00000000" w:rsidRDefault="00D44B22">
      <w:pPr>
        <w:jc w:val="both"/>
        <w:rPr>
          <w:rFonts w:eastAsia="Times New Roman"/>
        </w:rPr>
      </w:pPr>
      <w:r>
        <w:rPr>
          <w:rFonts w:eastAsia="Times New Roman"/>
          <w:b/>
          <w:bCs/>
          <w:color w:val="000000"/>
          <w:sz w:val="20"/>
          <w:szCs w:val="20"/>
          <w:u w:val="single"/>
        </w:rPr>
        <w:t>Funds from Operations and Core Funds from Operations</w:t>
      </w:r>
    </w:p>
    <w:p w:rsidR="00000000" w:rsidRDefault="00D44B22">
      <w:pPr>
        <w:jc w:val="both"/>
        <w:rPr>
          <w:rFonts w:eastAsia="Times New Roman"/>
        </w:rPr>
      </w:pPr>
    </w:p>
    <w:p w:rsidR="00000000" w:rsidRDefault="00D44B22">
      <w:pPr>
        <w:ind w:firstLine="720"/>
        <w:jc w:val="both"/>
        <w:divId w:val="773984982"/>
        <w:rPr>
          <w:rFonts w:eastAsia="Times New Roman"/>
        </w:rPr>
      </w:pPr>
      <w:r>
        <w:rPr>
          <w:rFonts w:eastAsia="Times New Roman"/>
          <w:color w:val="000000"/>
          <w:sz w:val="20"/>
          <w:szCs w:val="20"/>
        </w:rPr>
        <w:t>Funds from Operations</w:t>
      </w:r>
      <w:r>
        <w:rPr>
          <w:rFonts w:eastAsia="Times New Roman"/>
          <w:color w:val="000000"/>
          <w:sz w:val="20"/>
          <w:szCs w:val="20"/>
        </w:rPr>
        <w:t xml:space="preserve"> (“FFO”) and FFO per share are non-GAAP measures defined by the National Association of Real Estate Investment Trusts and are considered helpful measures of REIT performance by REITs and many REIT analysts. FFO represents net income before depreciation and</w:t>
      </w:r>
      <w:r>
        <w:rPr>
          <w:rFonts w:eastAsia="Times New Roman"/>
          <w:color w:val="000000"/>
          <w:sz w:val="20"/>
          <w:szCs w:val="20"/>
        </w:rPr>
        <w:t xml:space="preserve"> amortization, which is excluded because it is based upon historical costs and assumes that building values diminish ratably over time, while we believe that real estate values fluctuate due to market conditions. FFO also excludes gains or losses on sale o</w:t>
      </w:r>
      <w:r>
        <w:rPr>
          <w:rFonts w:eastAsia="Times New Roman"/>
          <w:color w:val="000000"/>
          <w:sz w:val="20"/>
          <w:szCs w:val="20"/>
        </w:rPr>
        <w:t>f real estate assets and real estate impairment charges, which are also based upon historical costs and are impacted by historical depreciation. FFO and FFO per share are not a substitute for net income or earnings per share. FFO is not a substitute for ne</w:t>
      </w:r>
      <w:r>
        <w:rPr>
          <w:rFonts w:eastAsia="Times New Roman"/>
          <w:color w:val="000000"/>
          <w:sz w:val="20"/>
          <w:szCs w:val="20"/>
        </w:rPr>
        <w:t>t cash flow in evaluating our liquidity or ability to pay dividends, because it excludes investing and financing activities presented on our consolidated statements of cash flows. In addition, other REITs may compute these measures differently, so comparis</w:t>
      </w:r>
      <w:r>
        <w:rPr>
          <w:rFonts w:eastAsia="Times New Roman"/>
          <w:color w:val="000000"/>
          <w:sz w:val="20"/>
          <w:szCs w:val="20"/>
        </w:rPr>
        <w:t xml:space="preserve">ons among REITs may not be helpful. </w:t>
      </w:r>
    </w:p>
    <w:p w:rsidR="00000000" w:rsidRDefault="00D44B22">
      <w:pPr>
        <w:ind w:firstLine="720"/>
        <w:jc w:val="both"/>
        <w:divId w:val="505101187"/>
        <w:rPr>
          <w:rFonts w:eastAsia="Times New Roman"/>
        </w:rPr>
      </w:pPr>
      <w:r>
        <w:rPr>
          <w:rFonts w:eastAsia="Times New Roman"/>
          <w:color w:val="000000"/>
          <w:sz w:val="20"/>
          <w:szCs w:val="20"/>
        </w:rPr>
        <w:t xml:space="preserve">For the three months ended June 30, 2022, FFO was $4.58 per diluted common share as compared to $2.99 per diluted common share for the same period in 2021, representing an increase of 53.2%, or $1.59 per diluted common </w:t>
      </w:r>
      <w:r>
        <w:rPr>
          <w:rFonts w:eastAsia="Times New Roman"/>
          <w:color w:val="000000"/>
          <w:sz w:val="20"/>
          <w:szCs w:val="20"/>
        </w:rPr>
        <w:t>share.</w:t>
      </w:r>
    </w:p>
    <w:p w:rsidR="00000000" w:rsidRDefault="00D44B22">
      <w:pPr>
        <w:ind w:firstLine="720"/>
        <w:jc w:val="both"/>
        <w:divId w:val="767118637"/>
        <w:rPr>
          <w:rFonts w:eastAsia="Times New Roman"/>
        </w:rPr>
      </w:pPr>
      <w:r>
        <w:rPr>
          <w:rFonts w:eastAsia="Times New Roman"/>
          <w:color w:val="000000"/>
          <w:sz w:val="20"/>
          <w:szCs w:val="20"/>
        </w:rPr>
        <w:t>For the six months ended June </w:t>
      </w:r>
      <w:r>
        <w:rPr>
          <w:rFonts w:eastAsia="Times New Roman"/>
          <w:color w:val="000000"/>
          <w:sz w:val="20"/>
          <w:szCs w:val="20"/>
        </w:rPr>
        <w:t>30, 2022, FFO was $8.41 per diluted common share as compared to $6.07 per diluted common share for the same period in 2021, representing an increase of 38.6%, or $2.34 per diluted common share.</w:t>
      </w:r>
    </w:p>
    <w:p w:rsidR="00000000" w:rsidRDefault="00D44B22">
      <w:pPr>
        <w:ind w:firstLine="720"/>
        <w:jc w:val="both"/>
        <w:divId w:val="1524854327"/>
        <w:rPr>
          <w:rFonts w:eastAsia="Times New Roman"/>
        </w:rPr>
      </w:pPr>
      <w:r>
        <w:rPr>
          <w:rFonts w:eastAsia="Times New Roman"/>
          <w:color w:val="000000"/>
          <w:sz w:val="20"/>
          <w:szCs w:val="20"/>
        </w:rPr>
        <w:t xml:space="preserve">We also present “Core FFO” and “Core FFO per share,” non-GAAP </w:t>
      </w:r>
      <w:r>
        <w:rPr>
          <w:rFonts w:eastAsia="Times New Roman"/>
          <w:color w:val="000000"/>
          <w:sz w:val="20"/>
          <w:szCs w:val="20"/>
        </w:rPr>
        <w:t>measures that represent FFO and FFO per share excluding the impact of (i) foreign currency exchange gains and losses, (ii) charges related to the redemption of preferred securities, and (iii) certain other non-cash and/or nonrecurring income or expense ite</w:t>
      </w:r>
      <w:r>
        <w:rPr>
          <w:rFonts w:eastAsia="Times New Roman"/>
          <w:color w:val="000000"/>
          <w:sz w:val="20"/>
          <w:szCs w:val="20"/>
        </w:rPr>
        <w:t>ms primarily representing, with respect to the periods presented below, unrealized gain on private equity investments and our equity share of merger transaction costs, severance of a senior executive, and casualties from our equity investees</w:t>
      </w:r>
      <w:r>
        <w:rPr>
          <w:rFonts w:eastAsia="Times New Roman"/>
          <w:color w:val="000000"/>
          <w:sz w:val="18"/>
          <w:szCs w:val="18"/>
        </w:rPr>
        <w:t xml:space="preserve">. </w:t>
      </w:r>
      <w:r>
        <w:rPr>
          <w:rFonts w:eastAsia="Times New Roman"/>
          <w:color w:val="000000"/>
          <w:sz w:val="20"/>
          <w:szCs w:val="20"/>
        </w:rPr>
        <w:t>We review Cor</w:t>
      </w:r>
      <w:r>
        <w:rPr>
          <w:rFonts w:eastAsia="Times New Roman"/>
          <w:color w:val="000000"/>
          <w:sz w:val="20"/>
          <w:szCs w:val="20"/>
        </w:rPr>
        <w:t>e FFO and Core FFO per share to evaluate our ongoing operating performance and we believe they are used by investors and REIT analysts in a similar manner. However, Core FFO and Core FFO per share are not substitutes for net income and net income per share</w:t>
      </w:r>
      <w:r>
        <w:rPr>
          <w:rFonts w:eastAsia="Times New Roman"/>
          <w:color w:val="000000"/>
          <w:sz w:val="20"/>
          <w:szCs w:val="20"/>
        </w:rPr>
        <w:t>. Because other REITs may not compute Core FFO or Core FFO per share in the same manner as we do, may not use the same terminology or may not present such measures, Core FFO and Core FFO per share may not be comparable among REITs.</w:t>
      </w:r>
    </w:p>
    <w:p w:rsidR="00000000" w:rsidRDefault="00D44B22">
      <w:pPr>
        <w:jc w:val="center"/>
        <w:divId w:val="1637221142"/>
        <w:rPr>
          <w:rFonts w:eastAsia="Times New Roman"/>
        </w:rPr>
      </w:pPr>
      <w:r>
        <w:rPr>
          <w:rFonts w:eastAsia="Times New Roman"/>
          <w:color w:val="000000"/>
          <w:sz w:val="20"/>
          <w:szCs w:val="20"/>
        </w:rPr>
        <w:t>26</w:t>
      </w:r>
    </w:p>
    <w:p w:rsidR="00000000" w:rsidRDefault="00D44B22">
      <w:pPr>
        <w:rPr>
          <w:rFonts w:eastAsia="Times New Roman"/>
        </w:rPr>
      </w:pPr>
      <w:r>
        <w:rPr>
          <w:rFonts w:eastAsia="Times New Roman"/>
        </w:rPr>
        <w:pict>
          <v:rect id="_x0000_i1052" style="width:0;height:1.5pt" o:hralign="center" o:hrstd="t" o:hr="t" fillcolor="#a0a0a0" stroked="f"/>
        </w:pict>
      </w:r>
    </w:p>
    <w:p w:rsidR="00000000" w:rsidRDefault="00D44B22">
      <w:pPr>
        <w:divId w:val="13919854"/>
        <w:rPr>
          <w:rFonts w:eastAsia="Times New Roman"/>
        </w:rPr>
      </w:pPr>
    </w:p>
    <w:p w:rsidR="00000000" w:rsidRDefault="00D44B22">
      <w:pPr>
        <w:ind w:firstLine="720"/>
        <w:jc w:val="both"/>
        <w:divId w:val="2093114645"/>
        <w:rPr>
          <w:rFonts w:eastAsia="Times New Roman"/>
        </w:rPr>
      </w:pPr>
      <w:r>
        <w:rPr>
          <w:rFonts w:eastAsia="Times New Roman"/>
          <w:color w:val="000000"/>
          <w:sz w:val="20"/>
          <w:szCs w:val="20"/>
        </w:rPr>
        <w:t>The following table reconciles net income to FFO and Core FFO and reconciles diluted earnings per share to FFO per share and Core FFO per share:</w:t>
      </w:r>
      <w:r>
        <w:rPr>
          <w:rFonts w:eastAsia="Times New Roman"/>
          <w:color w:val="000000"/>
          <w:sz w:val="2"/>
          <w:szCs w:val="2"/>
          <w:shd w:val="clear" w:color="auto" w:fill="FFFF0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1684"/>
        <w:gridCol w:w="39"/>
        <w:gridCol w:w="110"/>
        <w:gridCol w:w="630"/>
        <w:gridCol w:w="36"/>
        <w:gridCol w:w="36"/>
        <w:gridCol w:w="36"/>
        <w:gridCol w:w="36"/>
        <w:gridCol w:w="110"/>
        <w:gridCol w:w="630"/>
        <w:gridCol w:w="36"/>
        <w:gridCol w:w="36"/>
        <w:gridCol w:w="36"/>
        <w:gridCol w:w="36"/>
        <w:gridCol w:w="92"/>
        <w:gridCol w:w="729"/>
        <w:gridCol w:w="170"/>
        <w:gridCol w:w="36"/>
        <w:gridCol w:w="36"/>
        <w:gridCol w:w="36"/>
        <w:gridCol w:w="110"/>
        <w:gridCol w:w="765"/>
        <w:gridCol w:w="36"/>
        <w:gridCol w:w="36"/>
        <w:gridCol w:w="36"/>
        <w:gridCol w:w="36"/>
        <w:gridCol w:w="110"/>
        <w:gridCol w:w="765"/>
        <w:gridCol w:w="36"/>
        <w:gridCol w:w="36"/>
        <w:gridCol w:w="36"/>
        <w:gridCol w:w="36"/>
        <w:gridCol w:w="92"/>
        <w:gridCol w:w="729"/>
        <w:gridCol w:w="17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44B22">
            <w:pPr>
              <w:ind w:firstLine="720"/>
              <w:jc w:val="both"/>
              <w:rPr>
                <w:rFonts w:eastAsia="Times New Roman"/>
              </w:rPr>
            </w:pPr>
          </w:p>
        </w:tc>
        <w:tc>
          <w:tcPr>
            <w:tcW w:w="20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9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9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9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2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2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9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Six Months Ended June 30,</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Percentage Change</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(Amounts in thousands, except per share data)</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b/>
                <w:bCs/>
                <w:color w:val="000000"/>
                <w:sz w:val="18"/>
                <w:szCs w:val="18"/>
                <w:u w:val="single"/>
              </w:rPr>
              <w:t>Reconciliation of Net Income to FFO and Core FFO:</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Net income allocable to common shareholders</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603,381 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346,249 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1,067,505 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732,059 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Eliminate items excluded from FFO:</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217,373 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171,738 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438,168 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317,607 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Depreciation from unconsolidated real estate investments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17,343 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34,386 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35,276 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Depreciation allocated to noncontrolling interests and restricted share unitholders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(1,533)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(1,124)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(3,190)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(2,095)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(29,306)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(9,197)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(53,184)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(18,584)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FFO allocable to common shares</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807,481 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525,009 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1,483,685 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1,064,263 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39.4 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Eliminate the impact of items excluded from Core FFO, including our equity share from investments:</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(101,723)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12,707 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(137,100)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(32,678)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Preferred share redemption charge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Other items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(1,781)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(2,194)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(2,543)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Core FFO allocable to common shares</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703,977 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552,511 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1,347,351 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1,046,031 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0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b/>
                <w:bCs/>
                <w:color w:val="000000"/>
                <w:sz w:val="18"/>
                <w:szCs w:val="18"/>
                <w:u w:val="single"/>
              </w:rPr>
              <w:t>Reconciliation of Diluted Earnings per Share to FFO per Share and Core FFO per Share: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Diluted Earnings per share</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Eliminate amounts per share excluded from FFO:</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Depreciation and amortization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Gains on sale of real estate investments, including our equity share from investments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(0.16)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(0.05)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(0.30)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(0.11)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FFO per share </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4.58 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18"/>
                <w:szCs w:val="18"/>
              </w:rPr>
              <w:t>Eliminate the per share impact of items excluded from Core FFO, including our equity share from investments:</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Foreign currency exchange (gain) loss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(0.58)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(0.78)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(0.19)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Preferred share redemption charge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Other items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(0.01)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(0.01)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(0.01)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Core FFO per share </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3.99 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7.64 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5.97 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18"/>
                <w:szCs w:val="18"/>
              </w:rPr>
              <w:t>Diluted weighted average common shares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176,312 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175,547 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176,325 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175,194 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ind w:hanging="180"/>
        <w:jc w:val="both"/>
        <w:divId w:val="7561452"/>
        <w:rPr>
          <w:rFonts w:eastAsia="Times New Roman"/>
        </w:rPr>
      </w:pPr>
    </w:p>
    <w:p w:rsidR="00000000" w:rsidRDefault="00D44B22">
      <w:pPr>
        <w:divId w:val="1451705281"/>
        <w:rPr>
          <w:rFonts w:eastAsia="Times New Roman"/>
        </w:rPr>
      </w:pPr>
      <w:r>
        <w:rPr>
          <w:rFonts w:eastAsia="Times New Roman"/>
          <w:b/>
          <w:bCs/>
          <w:color w:val="000000"/>
          <w:sz w:val="20"/>
          <w:szCs w:val="20"/>
        </w:rPr>
        <w:t>Analysis of Net Income - Self-Storage Operations</w:t>
      </w:r>
    </w:p>
    <w:p w:rsidR="00000000" w:rsidRDefault="00D44B22">
      <w:pPr>
        <w:ind w:firstLine="720"/>
        <w:jc w:val="both"/>
        <w:divId w:val="1749423802"/>
        <w:rPr>
          <w:rFonts w:eastAsia="Times New Roman"/>
        </w:rPr>
      </w:pPr>
      <w:r>
        <w:rPr>
          <w:rFonts w:eastAsia="Times New Roman"/>
          <w:color w:val="000000"/>
          <w:sz w:val="20"/>
          <w:szCs w:val="20"/>
        </w:rPr>
        <w:t>Our self-storage operations are analyzed in four groups: (i) the 2,282 facilities that we have owned and operated on a stabilized basis since January 1, 2020 (the “Same Store Facilities”),</w:t>
      </w:r>
      <w:r>
        <w:rPr>
          <w:rFonts w:eastAsia="Times New Roman"/>
          <w:color w:val="000000"/>
          <w:sz w:val="20"/>
          <w:szCs w:val="20"/>
        </w:rPr>
        <w:t xml:space="preserve"> (ii) 314 facilities we acquired since January 1, 2020 (the “Acquired Facilities”), (iii) 145 facilities that have been newly developed or expanded, or that will commence expansion by December 31, 2022 (the “Newly Developed and Expanded Facilities”), and (</w:t>
      </w:r>
      <w:r>
        <w:rPr>
          <w:rFonts w:eastAsia="Times New Roman"/>
          <w:color w:val="000000"/>
          <w:sz w:val="20"/>
          <w:szCs w:val="20"/>
        </w:rPr>
        <w:t>iv) 66 other facilities, which are otherwise not stabilized with respect to occupancies or rental rates since January 1, 2020 (the “Other Non-same Store Facilities”). See Note 13 to our June 30, 2022 consolidated financial statements “Segment Information,”</w:t>
      </w:r>
      <w:r>
        <w:rPr>
          <w:rFonts w:eastAsia="Times New Roman"/>
          <w:color w:val="000000"/>
          <w:sz w:val="20"/>
          <w:szCs w:val="20"/>
        </w:rPr>
        <w:t xml:space="preserve"> for a reconciliation of the amounts in the tables below to our total net income.</w:t>
      </w:r>
    </w:p>
    <w:p w:rsidR="00000000" w:rsidRDefault="00D44B22">
      <w:pPr>
        <w:jc w:val="center"/>
        <w:divId w:val="1731731224"/>
        <w:rPr>
          <w:rFonts w:eastAsia="Times New Roman"/>
        </w:rPr>
      </w:pPr>
      <w:r>
        <w:rPr>
          <w:rFonts w:eastAsia="Times New Roman"/>
          <w:color w:val="000000"/>
          <w:sz w:val="20"/>
          <w:szCs w:val="20"/>
        </w:rPr>
        <w:t>27</w:t>
      </w:r>
    </w:p>
    <w:p w:rsidR="00000000" w:rsidRDefault="00D44B22">
      <w:pPr>
        <w:rPr>
          <w:rFonts w:eastAsia="Times New Roman"/>
        </w:rPr>
      </w:pPr>
      <w:r>
        <w:rPr>
          <w:rFonts w:eastAsia="Times New Roman"/>
        </w:rPr>
        <w:pict>
          <v:rect id="_x0000_i1053" style="width:0;height:1.5pt" o:hralign="center" o:hrstd="t" o:hr="t" fillcolor="#a0a0a0" stroked="f"/>
        </w:pict>
      </w:r>
    </w:p>
    <w:p w:rsidR="00000000" w:rsidRDefault="00D44B22">
      <w:pPr>
        <w:divId w:val="204617610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1680"/>
        <w:gridCol w:w="38"/>
        <w:gridCol w:w="110"/>
        <w:gridCol w:w="630"/>
        <w:gridCol w:w="36"/>
        <w:gridCol w:w="36"/>
        <w:gridCol w:w="36"/>
        <w:gridCol w:w="36"/>
        <w:gridCol w:w="110"/>
        <w:gridCol w:w="630"/>
        <w:gridCol w:w="36"/>
        <w:gridCol w:w="36"/>
        <w:gridCol w:w="36"/>
        <w:gridCol w:w="36"/>
        <w:gridCol w:w="82"/>
        <w:gridCol w:w="740"/>
        <w:gridCol w:w="170"/>
        <w:gridCol w:w="36"/>
        <w:gridCol w:w="36"/>
        <w:gridCol w:w="36"/>
        <w:gridCol w:w="110"/>
        <w:gridCol w:w="765"/>
        <w:gridCol w:w="36"/>
        <w:gridCol w:w="36"/>
        <w:gridCol w:w="36"/>
        <w:gridCol w:w="36"/>
        <w:gridCol w:w="110"/>
        <w:gridCol w:w="765"/>
        <w:gridCol w:w="36"/>
        <w:gridCol w:w="36"/>
        <w:gridCol w:w="36"/>
        <w:gridCol w:w="36"/>
        <w:gridCol w:w="82"/>
        <w:gridCol w:w="740"/>
        <w:gridCol w:w="170"/>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44B22">
            <w:pPr>
              <w:rPr>
                <w:rFonts w:eastAsia="Times New Roman"/>
              </w:rPr>
            </w:pPr>
          </w:p>
        </w:tc>
        <w:tc>
          <w:tcPr>
            <w:tcW w:w="173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Self-Storage Operations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Summary</w:t>
            </w: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Six Months Ended June 30,</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Percentage Change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Percentage Change</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(Dollar amounts and square footage in thousands)</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Revenues: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Same Store Facilities</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788,938 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680,542 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1,538,208 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1,327,742 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95,498 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32,372 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181,869 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43,495 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318.1 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65,899 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46,214 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125,975 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87,691 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22,951 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17,865 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44,249 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34,412 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973,286 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776,993 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1,890,301 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1,493,340 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Cost of operations: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180,331 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167,653 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368,260 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349,072 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32,860 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11,961 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63,891 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19,138 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19,304 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17,300 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38,721 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34,635 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5,681 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12,611 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11,855 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237,989 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202,595 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483,483 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414,700 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Net operating income (a):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608,607 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512,889 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1,169,948 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978,670 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62,638 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20,411 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117,978 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24,357 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46,595 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28,914 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87,254 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53,056 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12,184 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31,638 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22,557 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40.3 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Total net operating income </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735,297 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574,398 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1,406,818 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1,078,640 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Depreciation and amortization expense:</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(116,780)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(111,481)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(230,031)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(222,143)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(76,255)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(38,591)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(160,720)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(50,064)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(14,781)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(13,243)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(29,409)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(28,512)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(10,892)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(9,413)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(20,676)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(18,868)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56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Total depreciation and amortization expense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(218,708)</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(172,728)</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(440,836)</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(319,587)</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Net income (loss):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Same Store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491,827 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401,408 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939,917 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756,527 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Acquired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(13,617)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(18,180)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(42,742)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(25,707)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Newly Developed and Expanded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31,814 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15,671 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103.0 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57,845 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24,544 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Non-Same Store Facilities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10,962 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3,689 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8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Total net income</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516,589 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401,670 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965,982 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759,053 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Number of facilities at period end:</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Same Store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2,282 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2,282 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Acquired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Newly Developed and Expanded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Non-Same Store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2,807 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2,649 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Net rentable square footage at period end:</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Same Store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149,476 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149,476 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Acquired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28,400 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13,223 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Newly Developed and Expanded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16,898 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15,531 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Other Non-Same Store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5,280 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200,083 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183,510 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jc w:val="center"/>
        <w:divId w:val="703680629"/>
        <w:rPr>
          <w:rFonts w:eastAsia="Times New Roman"/>
        </w:rPr>
      </w:pPr>
      <w:r>
        <w:rPr>
          <w:rFonts w:eastAsia="Times New Roman"/>
          <w:color w:val="000000"/>
          <w:sz w:val="20"/>
          <w:szCs w:val="20"/>
        </w:rPr>
        <w:t>28</w:t>
      </w:r>
    </w:p>
    <w:p w:rsidR="00000000" w:rsidRDefault="00D44B22">
      <w:pPr>
        <w:rPr>
          <w:rFonts w:eastAsia="Times New Roman"/>
        </w:rPr>
      </w:pPr>
      <w:r>
        <w:rPr>
          <w:rFonts w:eastAsia="Times New Roman"/>
        </w:rPr>
        <w:pict>
          <v:rect id="_x0000_i1054" style="width:0;height:1.5pt" o:hralign="center" o:hrstd="t" o:hr="t" fillcolor="#a0a0a0" stroked="f"/>
        </w:pict>
      </w:r>
    </w:p>
    <w:p w:rsidR="00000000" w:rsidRDefault="00D44B22">
      <w:pPr>
        <w:divId w:val="144710679"/>
        <w:rPr>
          <w:rFonts w:eastAsia="Times New Roman"/>
        </w:rPr>
      </w:pPr>
    </w:p>
    <w:p w:rsidR="00000000" w:rsidRDefault="00D44B22">
      <w:pPr>
        <w:ind w:hanging="360"/>
        <w:jc w:val="both"/>
        <w:divId w:val="268238894"/>
        <w:rPr>
          <w:rFonts w:eastAsia="Times New Roman"/>
        </w:rPr>
      </w:pPr>
      <w:r>
        <w:rPr>
          <w:rFonts w:eastAsia="Times New Roman"/>
          <w:color w:val="000000"/>
          <w:sz w:val="18"/>
          <w:szCs w:val="18"/>
        </w:rPr>
        <w:t xml:space="preserve">(a)Net operating income or “NOI” </w:t>
      </w:r>
      <w:r>
        <w:rPr>
          <w:rFonts w:eastAsia="Times New Roman"/>
          <w:color w:val="000000"/>
          <w:sz w:val="18"/>
          <w:szCs w:val="18"/>
        </w:rPr>
        <w:t>is a non-GAAP financial measure that excludes the impact of depreciation and amortization expense, which is based upon historical real estate costs and assumes that building values diminish ratably over time, while we believe that real estate values fluctu</w:t>
      </w:r>
      <w:r>
        <w:rPr>
          <w:rFonts w:eastAsia="Times New Roman"/>
          <w:color w:val="000000"/>
          <w:sz w:val="18"/>
          <w:szCs w:val="18"/>
        </w:rPr>
        <w:t>ate due to market conditions. We utilize NOI in determining current property values, evaluating property performance, and in evaluating property operating trends. We believe that investors and analysts utilize NOI in a similar manner. NOI is not a substitu</w:t>
      </w:r>
      <w:r>
        <w:rPr>
          <w:rFonts w:eastAsia="Times New Roman"/>
          <w:color w:val="000000"/>
          <w:sz w:val="18"/>
          <w:szCs w:val="18"/>
        </w:rPr>
        <w:t>te for net income, operating cash flow, or other related financial measures, in evaluating our operating results. See Note 13 to our June 30, 2022 consolidated financial statements for a reconciliation of NOI to our total net income for all periods present</w:t>
      </w:r>
      <w:r>
        <w:rPr>
          <w:rFonts w:eastAsia="Times New Roman"/>
          <w:color w:val="000000"/>
          <w:sz w:val="18"/>
          <w:szCs w:val="18"/>
        </w:rPr>
        <w:t>ed.</w:t>
      </w:r>
    </w:p>
    <w:p w:rsidR="00000000" w:rsidRDefault="00D44B22">
      <w:pPr>
        <w:ind w:firstLine="720"/>
        <w:jc w:val="both"/>
        <w:rPr>
          <w:rFonts w:eastAsia="Times New Roman"/>
        </w:rPr>
      </w:pPr>
      <w:r>
        <w:rPr>
          <w:rFonts w:eastAsia="Times New Roman"/>
          <w:i/>
          <w:iCs/>
          <w:color w:val="000000"/>
          <w:sz w:val="20"/>
          <w:szCs w:val="20"/>
        </w:rPr>
        <w:t>Same Store Facilities</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The Same Store Facilities consist of facilities we have owned and operated on a stabilized level of occupancy, revenues, and cost of operations since January 1, 2020. The composition of our Same Store Facilities allows us more e</w:t>
      </w:r>
      <w:r>
        <w:rPr>
          <w:rFonts w:eastAsia="Times New Roman"/>
          <w:color w:val="000000"/>
          <w:sz w:val="20"/>
          <w:szCs w:val="20"/>
        </w:rPr>
        <w:t>ffectively to evaluate the ongoing performance of our self-storage portfolio in 2020, 2021, and 2022 and exclude the impact of fill-up of unstabilized facilities, which can significantly affect operating trends. We believe investors and analysts use Same S</w:t>
      </w:r>
      <w:r>
        <w:rPr>
          <w:rFonts w:eastAsia="Times New Roman"/>
          <w:color w:val="000000"/>
          <w:sz w:val="20"/>
          <w:szCs w:val="20"/>
        </w:rPr>
        <w:t>tore information in a similar manner. However, because other REITs may not compute Same Store Facilities in the same manner as we do, may not use the same terminology or may not present such a measure, Same Store Facilities may not be comparable among REIT</w:t>
      </w:r>
      <w:r>
        <w:rPr>
          <w:rFonts w:eastAsia="Times New Roman"/>
          <w:color w:val="000000"/>
          <w:sz w:val="20"/>
          <w:szCs w:val="20"/>
        </w:rPr>
        <w:t xml:space="preserve">s. </w:t>
      </w:r>
    </w:p>
    <w:p w:rsidR="00000000" w:rsidRDefault="00D44B22">
      <w:pPr>
        <w:ind w:firstLine="720"/>
        <w:jc w:val="both"/>
        <w:rPr>
          <w:rFonts w:eastAsia="Times New Roman"/>
        </w:rPr>
      </w:pPr>
    </w:p>
    <w:p w:rsidR="00000000" w:rsidRDefault="00D44B22">
      <w:pPr>
        <w:ind w:firstLine="720"/>
        <w:jc w:val="both"/>
        <w:rPr>
          <w:rFonts w:eastAsia="Times New Roman"/>
        </w:rPr>
      </w:pPr>
      <w:r>
        <w:rPr>
          <w:rFonts w:eastAsia="Times New Roman"/>
          <w:color w:val="000000"/>
          <w:sz w:val="20"/>
          <w:szCs w:val="20"/>
        </w:rPr>
        <w:t>The following table summarizes the historical operating results of these 2,282 facilities (149.5 million net rentable square feet) that represent approximately 75% of the aggregate net rentable square feet of our U.S. consolidated self-storage portfo</w:t>
      </w:r>
      <w:r>
        <w:rPr>
          <w:rFonts w:eastAsia="Times New Roman"/>
          <w:color w:val="000000"/>
          <w:sz w:val="20"/>
          <w:szCs w:val="20"/>
        </w:rPr>
        <w:t xml:space="preserve">lio at June 30, 2022. It includes various measures and detail that we do not include in the analysis of the developed, acquired, and other non-same store facilities, due to the relative magnitude and importance of the Same Store Facilities relative to our </w:t>
      </w:r>
      <w:r>
        <w:rPr>
          <w:rFonts w:eastAsia="Times New Roman"/>
          <w:color w:val="000000"/>
          <w:sz w:val="20"/>
          <w:szCs w:val="20"/>
        </w:rPr>
        <w:t>other self-storage facilities.</w:t>
      </w:r>
    </w:p>
    <w:p w:rsidR="00000000" w:rsidRDefault="00D44B22">
      <w:pPr>
        <w:ind w:firstLine="720"/>
        <w:jc w:val="both"/>
        <w:rPr>
          <w:rFonts w:eastAsia="Times New Roman"/>
        </w:rPr>
      </w:pPr>
    </w:p>
    <w:p w:rsidR="00000000" w:rsidRDefault="00D44B22">
      <w:pPr>
        <w:jc w:val="center"/>
        <w:divId w:val="1804999659"/>
        <w:rPr>
          <w:rFonts w:eastAsia="Times New Roman"/>
        </w:rPr>
      </w:pPr>
      <w:r>
        <w:rPr>
          <w:rFonts w:eastAsia="Times New Roman"/>
          <w:color w:val="000000"/>
          <w:sz w:val="20"/>
          <w:szCs w:val="20"/>
        </w:rPr>
        <w:t>29</w:t>
      </w:r>
    </w:p>
    <w:p w:rsidR="00000000" w:rsidRDefault="00D44B22">
      <w:pPr>
        <w:rPr>
          <w:rFonts w:eastAsia="Times New Roman"/>
        </w:rPr>
      </w:pPr>
      <w:r>
        <w:rPr>
          <w:rFonts w:eastAsia="Times New Roman"/>
        </w:rPr>
        <w:pict>
          <v:rect id="_x0000_i1055" style="width:0;height:1.5pt" o:hralign="center" o:hrstd="t" o:hr="t" fillcolor="#a0a0a0" stroked="f"/>
        </w:pict>
      </w:r>
    </w:p>
    <w:p w:rsidR="00000000" w:rsidRDefault="00D44B22">
      <w:pPr>
        <w:divId w:val="1570769278"/>
        <w:rPr>
          <w:rFonts w:eastAsia="Times New Roman"/>
        </w:rPr>
      </w:pPr>
    </w:p>
    <w:p w:rsidR="00000000" w:rsidRDefault="00D44B22">
      <w:pPr>
        <w:divId w:val="548300416"/>
        <w:rPr>
          <w:rFonts w:eastAsia="Times New Roman"/>
        </w:rPr>
      </w:pPr>
      <w:r>
        <w:rPr>
          <w:rFonts w:eastAsia="Times New Roman"/>
          <w:b/>
          <w:bCs/>
          <w:color w:val="000000"/>
          <w:sz w:val="20"/>
          <w:szCs w:val="20"/>
        </w:rPr>
        <w:t>Selected Operating Data for the Same Store Facilities (2,282 facilities)</w:t>
      </w:r>
    </w:p>
    <w:p w:rsidR="00000000" w:rsidRDefault="00D44B22">
      <w:pPr>
        <w:jc w:val="both"/>
        <w:divId w:val="1640111722"/>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1416"/>
        <w:gridCol w:w="37"/>
        <w:gridCol w:w="120"/>
        <w:gridCol w:w="700"/>
        <w:gridCol w:w="36"/>
        <w:gridCol w:w="36"/>
        <w:gridCol w:w="36"/>
        <w:gridCol w:w="36"/>
        <w:gridCol w:w="120"/>
        <w:gridCol w:w="700"/>
        <w:gridCol w:w="36"/>
        <w:gridCol w:w="36"/>
        <w:gridCol w:w="36"/>
        <w:gridCol w:w="36"/>
        <w:gridCol w:w="91"/>
        <w:gridCol w:w="818"/>
        <w:gridCol w:w="36"/>
        <w:gridCol w:w="36"/>
        <w:gridCol w:w="36"/>
        <w:gridCol w:w="36"/>
        <w:gridCol w:w="120"/>
        <w:gridCol w:w="850"/>
        <w:gridCol w:w="36"/>
        <w:gridCol w:w="36"/>
        <w:gridCol w:w="36"/>
        <w:gridCol w:w="36"/>
        <w:gridCol w:w="120"/>
        <w:gridCol w:w="850"/>
        <w:gridCol w:w="36"/>
        <w:gridCol w:w="36"/>
        <w:gridCol w:w="36"/>
        <w:gridCol w:w="36"/>
        <w:gridCol w:w="91"/>
        <w:gridCol w:w="818"/>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44B22">
            <w:pPr>
              <w:jc w:val="both"/>
              <w:rPr>
                <w:rFonts w:eastAsia="Times New Roman"/>
              </w:rPr>
            </w:pPr>
          </w:p>
        </w:tc>
        <w:tc>
          <w:tcPr>
            <w:tcW w:w="171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6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6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Percentage Change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Percentage Change</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hideMark/>
          </w:tcPr>
          <w:p w:rsidR="00000000" w:rsidRDefault="00D44B22">
            <w:pPr>
              <w:spacing w:after="100"/>
              <w:jc w:val="center"/>
              <w:rPr>
                <w:rFonts w:eastAsia="Times New Roman"/>
              </w:rPr>
            </w:pPr>
            <w:r>
              <w:rPr>
                <w:rFonts w:eastAsia="Times New Roman"/>
                <w:color w:val="000000"/>
                <w:sz w:val="20"/>
                <w:szCs w:val="20"/>
              </w:rPr>
              <w:t>(Dollar amounts in thousands, except for per square foot data)</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Revenues (a):</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Rental income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765,081 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661,345 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1,490,514 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1,288,497 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Late charges and administrative fees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23,857 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19,197 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47,694 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39,245 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788,938 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680,542 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1,538,208 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1,327,742 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Direct cost of operations (a):</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Property taxes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71,227 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67,484 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141,231 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134,266 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On-site property manager payroll</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29,531 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25,650 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60,231 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54,394 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Repairs and maintenance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13,255 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13,107 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28,745 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26,128 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10.0%</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Utilities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10,143 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9,379 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21,589 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20,175 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7.0%</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Marketing</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8,648 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6,863 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26.0%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19,888 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21,473 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Other direct property costs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20,253 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18,311 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40,319 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36,675 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Total direct cost of operations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153,057 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140,794 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312,003 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293,111 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Direct net operating income (b)</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635,881 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539,748 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1,226,205 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1,034,631 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Indirect cost of operations (a):</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Supervisory payroll</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(8,739)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(9,214)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(18,306)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(19,544)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Centralized management costs</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(14,767)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(13,091)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(30,324)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(26,328)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Share-based compensation</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(3,768)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(4,554)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(7,627)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(10,089)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Net operating income</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608,607 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512,889 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1,169,948 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978,670 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20"/>
                <w:szCs w:val="20"/>
              </w:rPr>
              <w:t>Depreciation and amortization expense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(116,780)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(111,481)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(230,031)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(222,143)</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491,827 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401,408 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939,917 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756,527 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20"/>
                <w:szCs w:val="20"/>
              </w:rPr>
              <w:t>Gross margin (before indirect costs, depreciation and amortization expense)</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80.6%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79.3%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79.7%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77.9%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20"/>
                <w:szCs w:val="20"/>
              </w:rPr>
              <w:t>Gross margin (before depreciation and amortization expense)</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77.1%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75.4%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76.1%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73.7%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Weighted average for the period:</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59"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Square foot occupancy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95.8%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97.0%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96.3%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(0.6)%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20"/>
                <w:szCs w:val="20"/>
              </w:rPr>
              <w:t>Realized annual rental income per (c):</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Occupied square foot</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21.37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18.23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20.83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17.89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Available square foot</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20.47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17.69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19.94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17.23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591544969"/>
              <w:rPr>
                <w:rFonts w:eastAsia="Times New Roman"/>
              </w:rPr>
            </w:pPr>
            <w:r>
              <w:rPr>
                <w:rFonts w:eastAsia="Times New Roman"/>
                <w:color w:val="000000"/>
                <w:sz w:val="20"/>
                <w:szCs w:val="20"/>
              </w:rPr>
              <w:t>At June 30:</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1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Square foot occupancy</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94.8%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96.5%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20"/>
                <w:szCs w:val="20"/>
              </w:rPr>
              <w:t>Annual contract rent per occupied square foot (d)</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21.92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18.67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jc w:val="center"/>
        <w:divId w:val="953950624"/>
        <w:rPr>
          <w:rFonts w:eastAsia="Times New Roman"/>
        </w:rPr>
      </w:pPr>
      <w:r>
        <w:rPr>
          <w:rFonts w:eastAsia="Times New Roman"/>
          <w:color w:val="000000"/>
          <w:sz w:val="20"/>
          <w:szCs w:val="20"/>
        </w:rPr>
        <w:t>30</w:t>
      </w:r>
    </w:p>
    <w:p w:rsidR="00000000" w:rsidRDefault="00D44B22">
      <w:pPr>
        <w:rPr>
          <w:rFonts w:eastAsia="Times New Roman"/>
        </w:rPr>
      </w:pPr>
      <w:r>
        <w:rPr>
          <w:rFonts w:eastAsia="Times New Roman"/>
        </w:rPr>
        <w:pict>
          <v:rect id="_x0000_i1056" style="width:0;height:1.5pt" o:hralign="center" o:hrstd="t" o:hr="t" fillcolor="#a0a0a0" stroked="f"/>
        </w:pict>
      </w:r>
    </w:p>
    <w:p w:rsidR="00000000" w:rsidRDefault="00D44B22">
      <w:pPr>
        <w:divId w:val="1274093593"/>
        <w:rPr>
          <w:rFonts w:eastAsia="Times New Roman"/>
        </w:rPr>
      </w:pPr>
    </w:p>
    <w:p w:rsidR="00000000" w:rsidRDefault="00D44B22">
      <w:pPr>
        <w:ind w:hanging="360"/>
        <w:jc w:val="both"/>
        <w:divId w:val="164633392"/>
        <w:rPr>
          <w:rFonts w:eastAsia="Times New Roman"/>
        </w:rPr>
      </w:pPr>
      <w:r>
        <w:rPr>
          <w:rFonts w:eastAsia="Times New Roman"/>
          <w:color w:val="000000"/>
          <w:sz w:val="18"/>
          <w:szCs w:val="18"/>
        </w:rPr>
        <w:t>(a)</w:t>
      </w:r>
      <w:r>
        <w:rPr>
          <w:rFonts w:eastAsia="Times New Roman"/>
          <w:color w:val="000000"/>
          <w:sz w:val="18"/>
          <w:szCs w:val="18"/>
        </w:rPr>
        <w:t>Revenues and cost of operations do not include tenant reinsurance and merchandise sale revenues and expenses generated at the facilities. See “Ancillary Operations” below for more information.</w:t>
      </w:r>
    </w:p>
    <w:p w:rsidR="00000000" w:rsidRDefault="00D44B22">
      <w:pPr>
        <w:ind w:hanging="360"/>
        <w:jc w:val="both"/>
        <w:divId w:val="386026797"/>
        <w:rPr>
          <w:rFonts w:eastAsia="Times New Roman"/>
        </w:rPr>
      </w:pPr>
      <w:r>
        <w:rPr>
          <w:rFonts w:eastAsia="Times New Roman"/>
          <w:color w:val="000000"/>
          <w:sz w:val="18"/>
          <w:szCs w:val="18"/>
        </w:rPr>
        <w:t>(b)Direct net operating income (“Direct NOI”), a subtotal withi</w:t>
      </w:r>
      <w:r>
        <w:rPr>
          <w:rFonts w:eastAsia="Times New Roman"/>
          <w:color w:val="000000"/>
          <w:sz w:val="18"/>
          <w:szCs w:val="18"/>
        </w:rPr>
        <w:t>n NOI, is a non-GAAP financial measure that excludes the impact of supervisory payroll, centralized management costs and share-based compensation in addition to depreciation and amortization expense. We utilize direct net operating income in evaluating pro</w:t>
      </w:r>
      <w:r>
        <w:rPr>
          <w:rFonts w:eastAsia="Times New Roman"/>
          <w:color w:val="000000"/>
          <w:sz w:val="18"/>
          <w:szCs w:val="18"/>
        </w:rPr>
        <w:t xml:space="preserve">perty performance and in evaluating property operating trends as compared to our competitors. </w:t>
      </w:r>
    </w:p>
    <w:p w:rsidR="00000000" w:rsidRDefault="00D44B22">
      <w:pPr>
        <w:ind w:hanging="360"/>
        <w:jc w:val="both"/>
        <w:divId w:val="1695569226"/>
        <w:rPr>
          <w:rFonts w:eastAsia="Times New Roman"/>
        </w:rPr>
      </w:pPr>
      <w:r>
        <w:rPr>
          <w:rFonts w:eastAsia="Times New Roman"/>
          <w:color w:val="000000"/>
          <w:sz w:val="18"/>
          <w:szCs w:val="18"/>
        </w:rPr>
        <w:t>(c)Realized annual rent per occupied square foot is computed by dividing rental income, before late charges and administrative fees, by the weighted average occu</w:t>
      </w:r>
      <w:r>
        <w:rPr>
          <w:rFonts w:eastAsia="Times New Roman"/>
          <w:color w:val="000000"/>
          <w:sz w:val="18"/>
          <w:szCs w:val="18"/>
        </w:rPr>
        <w:t>pied square feet for the period. Realized annual rent per available square foot (“REVPAF”) is computed by dividing rental income, before late charges and administrative fees, by the total available net rentable square feet for the period. These measures ex</w:t>
      </w:r>
      <w:r>
        <w:rPr>
          <w:rFonts w:eastAsia="Times New Roman"/>
          <w:color w:val="000000"/>
          <w:sz w:val="18"/>
          <w:szCs w:val="18"/>
        </w:rPr>
        <w:t>clude late charges and administrative fees in order to provide a better measure of our ongoing level of revenue. Late charges are dependent upon the level of delinquency and administrative fees are dependent upon the level of move-ins. In addition, the rat</w:t>
      </w:r>
      <w:r>
        <w:rPr>
          <w:rFonts w:eastAsia="Times New Roman"/>
          <w:color w:val="000000"/>
          <w:sz w:val="18"/>
          <w:szCs w:val="18"/>
        </w:rPr>
        <w:t xml:space="preserve">es charged for late charges and administrative fees can vary independently from rental rates. These measures take into consideration promotional discounts, which reduce rental income. </w:t>
      </w:r>
    </w:p>
    <w:p w:rsidR="00000000" w:rsidRDefault="00D44B22">
      <w:pPr>
        <w:ind w:hanging="360"/>
        <w:jc w:val="both"/>
        <w:divId w:val="696276653"/>
        <w:rPr>
          <w:rFonts w:eastAsia="Times New Roman"/>
        </w:rPr>
      </w:pPr>
      <w:r>
        <w:rPr>
          <w:rFonts w:eastAsia="Times New Roman"/>
          <w:color w:val="000000"/>
          <w:sz w:val="18"/>
          <w:szCs w:val="18"/>
        </w:rPr>
        <w:t>(d)Annual contract rent represents the agreed upon monthly rate that is</w:t>
      </w:r>
      <w:r>
        <w:rPr>
          <w:rFonts w:eastAsia="Times New Roman"/>
          <w:color w:val="000000"/>
          <w:sz w:val="18"/>
          <w:szCs w:val="18"/>
        </w:rPr>
        <w:t xml:space="preserve"> paid by our tenants in place at the time of measurement. Contract rates are initially set in the lease agreement upon move-in and we adjust them from time to time with notice. Contract rent excludes other fees that are charged on a per-item basis, such as</w:t>
      </w:r>
      <w:r>
        <w:rPr>
          <w:rFonts w:eastAsia="Times New Roman"/>
          <w:color w:val="000000"/>
          <w:sz w:val="18"/>
          <w:szCs w:val="18"/>
        </w:rPr>
        <w:t xml:space="preserve"> late charges and administrative fees, does not reflect the impact of promotional discounts, and does not reflect the impact of rents that are written off as uncollectible.</w:t>
      </w:r>
    </w:p>
    <w:p w:rsidR="00000000" w:rsidRDefault="00D44B22">
      <w:pPr>
        <w:divId w:val="1081097728"/>
        <w:rPr>
          <w:rFonts w:eastAsia="Times New Roman"/>
        </w:rPr>
      </w:pPr>
      <w:r>
        <w:rPr>
          <w:rFonts w:eastAsia="Times New Roman"/>
          <w:i/>
          <w:iCs/>
          <w:color w:val="000000"/>
          <w:sz w:val="20"/>
          <w:szCs w:val="20"/>
        </w:rPr>
        <w:t>Analysis of Same Store Revenue</w:t>
      </w:r>
    </w:p>
    <w:p w:rsidR="00000000" w:rsidRDefault="00D44B22">
      <w:pPr>
        <w:ind w:firstLine="720"/>
        <w:jc w:val="both"/>
        <w:divId w:val="713896157"/>
        <w:rPr>
          <w:rFonts w:eastAsia="Times New Roman"/>
        </w:rPr>
      </w:pPr>
      <w:r>
        <w:rPr>
          <w:rFonts w:eastAsia="Times New Roman"/>
          <w:color w:val="000000"/>
          <w:sz w:val="20"/>
          <w:szCs w:val="20"/>
        </w:rPr>
        <w:t>We believe a balanced occupancy and rate strategy ma</w:t>
      </w:r>
      <w:r>
        <w:rPr>
          <w:rFonts w:eastAsia="Times New Roman"/>
          <w:color w:val="000000"/>
          <w:sz w:val="20"/>
          <w:szCs w:val="20"/>
        </w:rPr>
        <w:t xml:space="preserve">ximizes our revenues over time. We regularly adjust rental rates and promotional discounts offered (generally, “$1.00 rent for the first month”), as well as our marketing efforts to maximize revenue from new tenants to replace tenants that vacate. </w:t>
      </w:r>
    </w:p>
    <w:p w:rsidR="00000000" w:rsidRDefault="00D44B22">
      <w:pPr>
        <w:ind w:firstLine="720"/>
        <w:jc w:val="both"/>
        <w:divId w:val="913012727"/>
        <w:rPr>
          <w:rFonts w:eastAsia="Times New Roman"/>
        </w:rPr>
      </w:pPr>
      <w:r>
        <w:rPr>
          <w:rFonts w:eastAsia="Times New Roman"/>
          <w:color w:val="000000"/>
          <w:sz w:val="20"/>
          <w:szCs w:val="20"/>
        </w:rPr>
        <w:t>We typi</w:t>
      </w:r>
      <w:r>
        <w:rPr>
          <w:rFonts w:eastAsia="Times New Roman"/>
          <w:color w:val="000000"/>
          <w:sz w:val="20"/>
          <w:szCs w:val="20"/>
        </w:rPr>
        <w:t>cally increase rental rates to our long-term tenants (generally, those who have been with us for at least a year) every six to twelve months. As a result, the number of long-term tenants we have in our facilities is an important factor in our revenue growt</w:t>
      </w:r>
      <w:r>
        <w:rPr>
          <w:rFonts w:eastAsia="Times New Roman"/>
          <w:color w:val="000000"/>
          <w:sz w:val="20"/>
          <w:szCs w:val="20"/>
        </w:rPr>
        <w:t>h. The level of rate increases to long-term tenants is based upon evaluating the additional revenue from the increase against the negative impact of incremental move-outs, by considering the customer’s in-place rent and prevailing market rents, among other</w:t>
      </w:r>
      <w:r>
        <w:rPr>
          <w:rFonts w:eastAsia="Times New Roman"/>
          <w:color w:val="000000"/>
          <w:sz w:val="20"/>
          <w:szCs w:val="20"/>
        </w:rPr>
        <w:t xml:space="preserve"> factors. </w:t>
      </w:r>
    </w:p>
    <w:p w:rsidR="00000000" w:rsidRDefault="00D44B22">
      <w:pPr>
        <w:ind w:firstLine="720"/>
        <w:jc w:val="both"/>
        <w:divId w:val="1633712459"/>
        <w:rPr>
          <w:rFonts w:eastAsia="Times New Roman"/>
        </w:rPr>
      </w:pPr>
      <w:r>
        <w:rPr>
          <w:rFonts w:eastAsia="Times New Roman"/>
          <w:color w:val="000000"/>
          <w:sz w:val="20"/>
          <w:szCs w:val="20"/>
        </w:rPr>
        <w:t>Revenues generated by our Same Store Facilities increased 15.9% in each of the three and six months ended June 30, 2022, as compared to the same periods in 2021, due primarily to a 17.2% and 16.4% increase in realized annual rent per occupied sq</w:t>
      </w:r>
      <w:r>
        <w:rPr>
          <w:rFonts w:eastAsia="Times New Roman"/>
          <w:color w:val="000000"/>
          <w:sz w:val="20"/>
          <w:szCs w:val="20"/>
        </w:rPr>
        <w:t xml:space="preserve">uare foot for the three and six months ended June 30, 2022, respectively, as compared to the same periods in 2021. </w:t>
      </w:r>
    </w:p>
    <w:p w:rsidR="00000000" w:rsidRDefault="00D44B22">
      <w:pPr>
        <w:ind w:firstLine="720"/>
        <w:jc w:val="both"/>
        <w:divId w:val="1681350771"/>
        <w:rPr>
          <w:rFonts w:eastAsia="Times New Roman"/>
        </w:rPr>
      </w:pPr>
      <w:r>
        <w:rPr>
          <w:rFonts w:eastAsia="Times New Roman"/>
          <w:color w:val="000000"/>
          <w:sz w:val="20"/>
          <w:szCs w:val="20"/>
        </w:rPr>
        <w:t>Our growth in revenues, realized annual rent per occupied square foot, and REVPAF for the three and six months ended June 30, 2022 as compar</w:t>
      </w:r>
      <w:r>
        <w:rPr>
          <w:rFonts w:eastAsia="Times New Roman"/>
          <w:color w:val="000000"/>
          <w:sz w:val="20"/>
          <w:szCs w:val="20"/>
        </w:rPr>
        <w:t>ed to the same periods in 2021 was evident in each of our markets. Our weighted average square foot occupancy remained strong across our markets for the three and six months ended June 30, 2022.</w:t>
      </w:r>
    </w:p>
    <w:p w:rsidR="00000000" w:rsidRDefault="00D44B22">
      <w:pPr>
        <w:ind w:firstLine="720"/>
        <w:jc w:val="both"/>
        <w:divId w:val="1248419288"/>
        <w:rPr>
          <w:rFonts w:eastAsia="Times New Roman"/>
        </w:rPr>
      </w:pPr>
      <w:r>
        <w:rPr>
          <w:rFonts w:eastAsia="Times New Roman"/>
          <w:color w:val="000000"/>
          <w:sz w:val="20"/>
          <w:szCs w:val="20"/>
        </w:rPr>
        <w:t>The increase of realized annual rent per occupied square foot</w:t>
      </w:r>
      <w:r>
        <w:rPr>
          <w:rFonts w:eastAsia="Times New Roman"/>
          <w:color w:val="000000"/>
          <w:sz w:val="20"/>
          <w:szCs w:val="20"/>
        </w:rPr>
        <w:t xml:space="preserve"> in the three and six months ended June 30, 2022 as compared to the same periods in 2021 was due to rate increases to existing long-term tenants in substantially all of our markets in 2022 as compared to curtailed increases in certain markets in 2021, comb</w:t>
      </w:r>
      <w:r>
        <w:rPr>
          <w:rFonts w:eastAsia="Times New Roman"/>
          <w:color w:val="000000"/>
          <w:sz w:val="20"/>
          <w:szCs w:val="20"/>
        </w:rPr>
        <w:t>ined with a 12.3% and 14.0% increase in average rates per square foot charged to new tenants moving in during the three and six months ended June 30, 2022 as compared to the same periods in 2021, as a result of strong customer demand across all markets. At</w:t>
      </w:r>
      <w:r>
        <w:rPr>
          <w:rFonts w:eastAsia="Times New Roman"/>
          <w:color w:val="000000"/>
          <w:sz w:val="20"/>
          <w:szCs w:val="20"/>
        </w:rPr>
        <w:t xml:space="preserve"> June 30, 2022, annual contract rent per occupied square foot was 17.4% higher as compared to June 30, 2021.</w:t>
      </w:r>
    </w:p>
    <w:p w:rsidR="00000000" w:rsidRDefault="00D44B22">
      <w:pPr>
        <w:ind w:firstLine="720"/>
        <w:jc w:val="both"/>
        <w:divId w:val="1549996836"/>
        <w:rPr>
          <w:rFonts w:eastAsia="Times New Roman"/>
        </w:rPr>
      </w:pPr>
      <w:r>
        <w:rPr>
          <w:rFonts w:eastAsia="Times New Roman"/>
          <w:color w:val="000000"/>
          <w:sz w:val="20"/>
          <w:szCs w:val="20"/>
        </w:rPr>
        <w:t>We experienced high occupancy levels throughout the first six months of 2022, although our average square foot occupancy levels decreased 1.2% and 0.6% on a year over year basis during the three and six months ended June 30, 2022, respectively. Year over y</w:t>
      </w:r>
      <w:r>
        <w:rPr>
          <w:rFonts w:eastAsia="Times New Roman"/>
          <w:color w:val="000000"/>
          <w:sz w:val="20"/>
          <w:szCs w:val="20"/>
        </w:rPr>
        <w:t xml:space="preserve">ear move-out volumes increased 9.4% and 7.2% and year over year move-in volumes increased 2.7% and decreased 1.2% in the three and six months ended June 30, 2022, respectively, leading to a lower square foot occupancy at June 30, 2022 of 94.8% as compared </w:t>
      </w:r>
      <w:r>
        <w:rPr>
          <w:rFonts w:eastAsia="Times New Roman"/>
          <w:color w:val="000000"/>
          <w:sz w:val="20"/>
          <w:szCs w:val="20"/>
        </w:rPr>
        <w:t>to 96.5% at June 30, 2021. In addition, during the quarter ended June 30, 2022, move-out volumes exceeded move-in volumes resulting in lower occupancy at June 30, 2022 compared to March 31, 2022.</w:t>
      </w:r>
    </w:p>
    <w:p w:rsidR="00000000" w:rsidRDefault="00D44B22">
      <w:pPr>
        <w:ind w:firstLine="720"/>
        <w:jc w:val="both"/>
        <w:divId w:val="1415975152"/>
        <w:rPr>
          <w:rFonts w:eastAsia="Times New Roman"/>
        </w:rPr>
      </w:pPr>
      <w:r>
        <w:rPr>
          <w:rFonts w:eastAsia="Times New Roman"/>
          <w:color w:val="000000"/>
          <w:sz w:val="20"/>
          <w:szCs w:val="20"/>
        </w:rPr>
        <w:t>Move-out volumes were partially impacted by rental rates inc</w:t>
      </w:r>
      <w:r>
        <w:rPr>
          <w:rFonts w:eastAsia="Times New Roman"/>
          <w:color w:val="000000"/>
          <w:sz w:val="20"/>
          <w:szCs w:val="20"/>
        </w:rPr>
        <w:t>reases to our existing tenants in the three and six months ended June 30, 2022 as compared to the same periods in 2021. However, move-out activity from tenants not receiving increases was also higher in 2022 compared to the same periods in 2021 but remains</w:t>
      </w:r>
      <w:r>
        <w:rPr>
          <w:rFonts w:eastAsia="Times New Roman"/>
          <w:color w:val="000000"/>
          <w:sz w:val="20"/>
          <w:szCs w:val="20"/>
        </w:rPr>
        <w:t xml:space="preserve"> below pre-2020 levels. Average length of stay of our tenants increased in the three and six months ended June 30, 2022 as compared to the same </w:t>
      </w:r>
    </w:p>
    <w:p w:rsidR="00000000" w:rsidRDefault="00D44B22">
      <w:pPr>
        <w:jc w:val="center"/>
        <w:divId w:val="1357465619"/>
        <w:rPr>
          <w:rFonts w:eastAsia="Times New Roman"/>
        </w:rPr>
      </w:pPr>
      <w:r>
        <w:rPr>
          <w:rFonts w:eastAsia="Times New Roman"/>
          <w:color w:val="000000"/>
          <w:sz w:val="20"/>
          <w:szCs w:val="20"/>
        </w:rPr>
        <w:t>31</w:t>
      </w:r>
    </w:p>
    <w:p w:rsidR="00000000" w:rsidRDefault="00D44B22">
      <w:pPr>
        <w:rPr>
          <w:rFonts w:eastAsia="Times New Roman"/>
        </w:rPr>
      </w:pPr>
      <w:r>
        <w:rPr>
          <w:rFonts w:eastAsia="Times New Roman"/>
        </w:rPr>
        <w:pict>
          <v:rect id="_x0000_i1057" style="width:0;height:1.5pt" o:hralign="center" o:hrstd="t" o:hr="t" fillcolor="#a0a0a0" stroked="f"/>
        </w:pict>
      </w:r>
    </w:p>
    <w:p w:rsidR="00000000" w:rsidRDefault="00D44B22">
      <w:pPr>
        <w:divId w:val="867916604"/>
        <w:rPr>
          <w:rFonts w:eastAsia="Times New Roman"/>
        </w:rPr>
      </w:pPr>
    </w:p>
    <w:p w:rsidR="00000000" w:rsidRDefault="00D44B22">
      <w:pPr>
        <w:jc w:val="both"/>
        <w:divId w:val="1520121568"/>
        <w:rPr>
          <w:rFonts w:eastAsia="Times New Roman"/>
        </w:rPr>
      </w:pPr>
      <w:r>
        <w:rPr>
          <w:rFonts w:eastAsia="Times New Roman"/>
          <w:color w:val="000000"/>
          <w:sz w:val="20"/>
          <w:szCs w:val="20"/>
        </w:rPr>
        <w:t xml:space="preserve">periods in 2021, which supports our revenue growth by contributing to </w:t>
      </w:r>
      <w:r>
        <w:rPr>
          <w:rFonts w:eastAsia="Times New Roman"/>
          <w:color w:val="000000"/>
          <w:sz w:val="20"/>
          <w:szCs w:val="20"/>
        </w:rPr>
        <w:t>the number of tenants eligible for rental rate increases.</w:t>
      </w:r>
    </w:p>
    <w:p w:rsidR="00000000" w:rsidRDefault="00D44B22">
      <w:pPr>
        <w:ind w:firstLine="720"/>
        <w:jc w:val="both"/>
        <w:divId w:val="1495760788"/>
        <w:rPr>
          <w:rFonts w:eastAsia="Times New Roman"/>
        </w:rPr>
      </w:pPr>
      <w:r>
        <w:rPr>
          <w:rFonts w:eastAsia="Times New Roman"/>
          <w:color w:val="000000"/>
          <w:sz w:val="20"/>
          <w:szCs w:val="20"/>
        </w:rPr>
        <w:t>In order to attract more new tenants to replace those that vacated in the quarter ended June 30, 2022, we took a number of actions including increasing promotional discounting, moderating the year o</w:t>
      </w:r>
      <w:r>
        <w:rPr>
          <w:rFonts w:eastAsia="Times New Roman"/>
          <w:color w:val="000000"/>
          <w:sz w:val="20"/>
          <w:szCs w:val="20"/>
        </w:rPr>
        <w:t>ver year growth of rental rates to new customers and increasing marketing expense.</w:t>
      </w:r>
    </w:p>
    <w:p w:rsidR="00000000" w:rsidRDefault="00D44B22">
      <w:pPr>
        <w:ind w:firstLine="720"/>
        <w:jc w:val="both"/>
        <w:divId w:val="1966351783"/>
        <w:rPr>
          <w:rFonts w:eastAsia="Times New Roman"/>
        </w:rPr>
      </w:pPr>
      <w:r>
        <w:rPr>
          <w:rFonts w:eastAsia="Times New Roman"/>
          <w:color w:val="000000"/>
          <w:sz w:val="20"/>
          <w:szCs w:val="20"/>
        </w:rPr>
        <w:t>Demand historically has been higher in the summer months than in the winter months and, as a result, rental rates charged to new tenants have typically been higher in the su</w:t>
      </w:r>
      <w:r>
        <w:rPr>
          <w:rFonts w:eastAsia="Times New Roman"/>
          <w:color w:val="000000"/>
          <w:sz w:val="20"/>
          <w:szCs w:val="20"/>
        </w:rPr>
        <w:t>mmer months than in the winter months. Demand fluctuates due to various local and regional factors, including the overall economy. Demand into our system is also impacted by new supply of self-storage space as well as alternatives to self-storage.</w:t>
      </w:r>
    </w:p>
    <w:p w:rsidR="00000000" w:rsidRDefault="00D44B22">
      <w:pPr>
        <w:ind w:firstLine="720"/>
        <w:jc w:val="both"/>
        <w:divId w:val="378239366"/>
        <w:rPr>
          <w:rFonts w:eastAsia="Times New Roman"/>
        </w:rPr>
      </w:pPr>
      <w:r>
        <w:rPr>
          <w:rFonts w:eastAsia="Times New Roman"/>
          <w:color w:val="000000"/>
          <w:sz w:val="20"/>
          <w:szCs w:val="20"/>
        </w:rPr>
        <w:t>We expec</w:t>
      </w:r>
      <w:r>
        <w:rPr>
          <w:rFonts w:eastAsia="Times New Roman"/>
          <w:color w:val="000000"/>
          <w:sz w:val="20"/>
          <w:szCs w:val="20"/>
        </w:rPr>
        <w:t xml:space="preserve">t continued revenue growth for the remainder of 2022 supported by consistently high customer demand and a stable tenant base leading to increasing realized annual rent per occupied square foot while maintaining a high level of occupancy. </w:t>
      </w:r>
    </w:p>
    <w:p w:rsidR="00000000" w:rsidRDefault="00D44B22">
      <w:pPr>
        <w:ind w:firstLine="720"/>
        <w:jc w:val="both"/>
        <w:divId w:val="1146824787"/>
        <w:rPr>
          <w:rFonts w:eastAsia="Times New Roman"/>
        </w:rPr>
      </w:pPr>
      <w:r>
        <w:rPr>
          <w:rFonts w:eastAsia="Times New Roman"/>
          <w:color w:val="000000"/>
          <w:sz w:val="20"/>
          <w:szCs w:val="20"/>
          <w:u w:val="single"/>
        </w:rPr>
        <w:t xml:space="preserve">Late Charges and </w:t>
      </w:r>
      <w:r>
        <w:rPr>
          <w:rFonts w:eastAsia="Times New Roman"/>
          <w:color w:val="000000"/>
          <w:sz w:val="20"/>
          <w:szCs w:val="20"/>
          <w:u w:val="single"/>
        </w:rPr>
        <w:t>Administrative Fees</w:t>
      </w:r>
    </w:p>
    <w:p w:rsidR="00000000" w:rsidRDefault="00D44B22">
      <w:pPr>
        <w:ind w:firstLine="720"/>
        <w:jc w:val="both"/>
        <w:divId w:val="171532739"/>
        <w:rPr>
          <w:rFonts w:eastAsia="Times New Roman"/>
        </w:rPr>
      </w:pPr>
      <w:r>
        <w:rPr>
          <w:rFonts w:eastAsia="Times New Roman"/>
          <w:color w:val="000000"/>
          <w:sz w:val="20"/>
          <w:szCs w:val="20"/>
        </w:rPr>
        <w:t>Late charges and administrative fees increased 24.3% and 21.5% for the three and six months ended June 30, 2022, respectively, as compared to the same periods in 2021, due to (i) higher late charges collected on delinquent accounts driv</w:t>
      </w:r>
      <w:r>
        <w:rPr>
          <w:rFonts w:eastAsia="Times New Roman"/>
          <w:color w:val="000000"/>
          <w:sz w:val="20"/>
          <w:szCs w:val="20"/>
        </w:rPr>
        <w:t xml:space="preserve">en by more delinquent accounts compared to the same periods in 2021 and to a lesser extent (ii) higher administrative fees charged per move-in. </w:t>
      </w:r>
    </w:p>
    <w:p w:rsidR="00000000" w:rsidRDefault="00D44B22">
      <w:pPr>
        <w:ind w:firstLine="720"/>
        <w:jc w:val="both"/>
        <w:divId w:val="206914051"/>
        <w:rPr>
          <w:rFonts w:eastAsia="Times New Roman"/>
        </w:rPr>
      </w:pPr>
      <w:r>
        <w:rPr>
          <w:rFonts w:eastAsia="Times New Roman"/>
          <w:color w:val="000000"/>
          <w:sz w:val="20"/>
          <w:szCs w:val="20"/>
          <w:u w:val="single"/>
        </w:rPr>
        <w:t>Selected Key Statistical Data</w:t>
      </w:r>
    </w:p>
    <w:p w:rsidR="00000000" w:rsidRDefault="00D44B22">
      <w:pPr>
        <w:ind w:firstLine="720"/>
        <w:jc w:val="both"/>
        <w:divId w:val="355892324"/>
        <w:rPr>
          <w:rFonts w:eastAsia="Times New Roman"/>
        </w:rPr>
      </w:pPr>
      <w:r>
        <w:rPr>
          <w:rFonts w:eastAsia="Times New Roman"/>
          <w:color w:val="000000"/>
          <w:sz w:val="20"/>
          <w:szCs w:val="20"/>
        </w:rPr>
        <w:t>The following table sets forth average annual contract rent per square foot and t</w:t>
      </w:r>
      <w:r>
        <w:rPr>
          <w:rFonts w:eastAsia="Times New Roman"/>
          <w:color w:val="000000"/>
          <w:sz w:val="20"/>
          <w:szCs w:val="20"/>
        </w:rPr>
        <w:t>otal square footage for tenants moving in and moving out during the three and six months ended June 30, 2022 and 2021. It also includes promotional discounts, which vary based upon the move-in contractual rates, move-in volume, and percentage of tenants mo</w:t>
      </w:r>
      <w:r>
        <w:rPr>
          <w:rFonts w:eastAsia="Times New Roman"/>
          <w:color w:val="000000"/>
          <w:sz w:val="20"/>
          <w:szCs w:val="20"/>
        </w:rPr>
        <w:t xml:space="preserve">ving in who receive the discount.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286"/>
        <w:gridCol w:w="38"/>
        <w:gridCol w:w="120"/>
        <w:gridCol w:w="700"/>
        <w:gridCol w:w="36"/>
        <w:gridCol w:w="36"/>
        <w:gridCol w:w="36"/>
        <w:gridCol w:w="36"/>
        <w:gridCol w:w="120"/>
        <w:gridCol w:w="700"/>
        <w:gridCol w:w="36"/>
        <w:gridCol w:w="36"/>
        <w:gridCol w:w="36"/>
        <w:gridCol w:w="36"/>
        <w:gridCol w:w="58"/>
        <w:gridCol w:w="498"/>
        <w:gridCol w:w="36"/>
        <w:gridCol w:w="36"/>
        <w:gridCol w:w="36"/>
        <w:gridCol w:w="36"/>
        <w:gridCol w:w="120"/>
        <w:gridCol w:w="700"/>
        <w:gridCol w:w="36"/>
        <w:gridCol w:w="36"/>
        <w:gridCol w:w="36"/>
        <w:gridCol w:w="36"/>
        <w:gridCol w:w="120"/>
        <w:gridCol w:w="700"/>
        <w:gridCol w:w="36"/>
        <w:gridCol w:w="36"/>
        <w:gridCol w:w="36"/>
        <w:gridCol w:w="36"/>
        <w:gridCol w:w="73"/>
        <w:gridCol w:w="628"/>
        <w:gridCol w:w="38"/>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44B22">
            <w:pPr>
              <w:ind w:firstLine="720"/>
              <w:jc w:val="both"/>
              <w:rPr>
                <w:rFonts w:eastAsia="Times New Roman"/>
              </w:rPr>
            </w:pPr>
          </w:p>
        </w:tc>
        <w:tc>
          <w:tcPr>
            <w:tcW w:w="186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3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ind w:hanging="9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D44B22">
            <w:pPr>
              <w:spacing w:after="100"/>
              <w:ind w:hanging="9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ind w:hanging="90"/>
              <w:jc w:val="center"/>
              <w:rPr>
                <w:rFonts w:eastAsia="Times New Roman"/>
              </w:rPr>
            </w:pPr>
            <w:r>
              <w:rPr>
                <w:rFonts w:eastAsia="Times New Roman"/>
                <w:color w:val="000000"/>
                <w:sz w:val="20"/>
                <w:szCs w:val="20"/>
              </w:rPr>
              <w:t>Change</w:t>
            </w:r>
          </w:p>
        </w:tc>
        <w:tc>
          <w:tcPr>
            <w:tcW w:w="0" w:type="auto"/>
            <w:gridSpan w:val="3"/>
            <w:vAlign w:val="center"/>
            <w:hideMark/>
          </w:tcPr>
          <w:p w:rsidR="00000000" w:rsidRDefault="00D44B22">
            <w:pPr>
              <w:spacing w:after="100"/>
              <w:ind w:hanging="9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(Amounts in thousands, except for per square foot amounts)</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15"/>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Tenants moving in during the period:</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19.56 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17.41 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18.37 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14.0%</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23,916 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23,288 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47,283 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47,850 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Contract rents gained from move-ins</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116,949 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101,361 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434,294 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385,671 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Promotional discounts given</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9,665 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7,735 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25.0%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19,004 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24,312 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(21.8)%</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Tenants moving out during the period:</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20"/>
                <w:szCs w:val="20"/>
              </w:rPr>
              <w:t>Average annual contract rent per square foot</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20.29 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16.92 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19.84 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Square footage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24,324 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22,236 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47,253 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44,085 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Contract rents lost from move-outs</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123,383 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94,058 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468,750 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365,244 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ind w:firstLine="720"/>
        <w:jc w:val="both"/>
        <w:rPr>
          <w:rFonts w:eastAsia="Times New Roman"/>
        </w:rPr>
      </w:pPr>
    </w:p>
    <w:p w:rsidR="00000000" w:rsidRDefault="00D44B22">
      <w:pPr>
        <w:divId w:val="1982736217"/>
        <w:rPr>
          <w:rFonts w:eastAsia="Times New Roman"/>
        </w:rPr>
      </w:pPr>
      <w:r>
        <w:rPr>
          <w:rFonts w:eastAsia="Times New Roman"/>
          <w:i/>
          <w:iCs/>
          <w:color w:val="000000"/>
          <w:sz w:val="20"/>
          <w:szCs w:val="20"/>
        </w:rPr>
        <w:t xml:space="preserve">Analysis of Same Store Cost of Operations </w:t>
      </w:r>
    </w:p>
    <w:p w:rsidR="00000000" w:rsidRDefault="00D44B22">
      <w:pPr>
        <w:ind w:firstLine="720"/>
        <w:jc w:val="both"/>
        <w:divId w:val="336811806"/>
        <w:rPr>
          <w:rFonts w:eastAsia="Times New Roman"/>
        </w:rPr>
      </w:pPr>
      <w:r>
        <w:rPr>
          <w:rFonts w:eastAsia="Times New Roman"/>
          <w:color w:val="000000"/>
          <w:sz w:val="20"/>
          <w:szCs w:val="20"/>
        </w:rPr>
        <w:t>Cost of operations (excluding depreciation and amortization) increased 7.6% and 5.5% in the thre</w:t>
      </w:r>
      <w:r>
        <w:rPr>
          <w:rFonts w:eastAsia="Times New Roman"/>
          <w:color w:val="000000"/>
          <w:sz w:val="20"/>
          <w:szCs w:val="20"/>
        </w:rPr>
        <w:t>e and six months ended June 30, 2022, respectively, as compared to the same periods in 2021. The increase during the three-month period is due primarily to increased property tax expense, on-site property manager payroll expense, marketing expense, other d</w:t>
      </w:r>
      <w:r>
        <w:rPr>
          <w:rFonts w:eastAsia="Times New Roman"/>
          <w:color w:val="000000"/>
          <w:sz w:val="20"/>
          <w:szCs w:val="20"/>
        </w:rPr>
        <w:t>irect property costs and centralized management costs, while the increase during the six-month period is due primarily to increased property tax expense, on-site property manager payroll expense, other direct property costs and centralized management costs</w:t>
      </w:r>
      <w:r>
        <w:rPr>
          <w:rFonts w:eastAsia="Times New Roman"/>
          <w:color w:val="000000"/>
          <w:sz w:val="20"/>
          <w:szCs w:val="20"/>
        </w:rPr>
        <w:t>.</w:t>
      </w:r>
    </w:p>
    <w:p w:rsidR="00000000" w:rsidRDefault="00D44B22">
      <w:pPr>
        <w:ind w:firstLine="720"/>
        <w:jc w:val="both"/>
        <w:rPr>
          <w:rFonts w:eastAsia="Times New Roman"/>
        </w:rPr>
      </w:pPr>
      <w:r>
        <w:rPr>
          <w:rFonts w:eastAsia="Times New Roman"/>
          <w:color w:val="000000"/>
          <w:sz w:val="20"/>
          <w:szCs w:val="20"/>
        </w:rPr>
        <w:t xml:space="preserve">Property tax expense increased 5.5% and 5.2% in the three and six months ended June 30, 2022, respectively, as compared to the same periods in 2021, as a result of higher recently assessed values. </w:t>
      </w:r>
    </w:p>
    <w:p w:rsidR="00000000" w:rsidRDefault="00D44B22">
      <w:pPr>
        <w:jc w:val="center"/>
        <w:divId w:val="1147546953"/>
        <w:rPr>
          <w:rFonts w:eastAsia="Times New Roman"/>
        </w:rPr>
      </w:pPr>
      <w:r>
        <w:rPr>
          <w:rFonts w:eastAsia="Times New Roman"/>
          <w:color w:val="000000"/>
          <w:sz w:val="20"/>
          <w:szCs w:val="20"/>
        </w:rPr>
        <w:t>32</w:t>
      </w:r>
    </w:p>
    <w:p w:rsidR="00000000" w:rsidRDefault="00D44B22">
      <w:pPr>
        <w:rPr>
          <w:rFonts w:eastAsia="Times New Roman"/>
        </w:rPr>
      </w:pPr>
      <w:r>
        <w:rPr>
          <w:rFonts w:eastAsia="Times New Roman"/>
        </w:rPr>
        <w:pict>
          <v:rect id="_x0000_i1058" style="width:0;height:1.5pt" o:hralign="center" o:hrstd="t" o:hr="t" fillcolor="#a0a0a0" stroked="f"/>
        </w:pict>
      </w:r>
    </w:p>
    <w:p w:rsidR="00000000" w:rsidRDefault="00D44B22">
      <w:pPr>
        <w:divId w:val="318266802"/>
        <w:rPr>
          <w:rFonts w:eastAsia="Times New Roman"/>
        </w:rPr>
      </w:pPr>
    </w:p>
    <w:p w:rsidR="00000000" w:rsidRDefault="00D44B22">
      <w:pPr>
        <w:ind w:firstLine="720"/>
        <w:jc w:val="both"/>
        <w:divId w:val="1323789"/>
        <w:rPr>
          <w:rFonts w:eastAsia="Times New Roman"/>
        </w:rPr>
      </w:pPr>
      <w:r>
        <w:rPr>
          <w:rFonts w:eastAsia="Times New Roman"/>
          <w:color w:val="000000"/>
          <w:sz w:val="20"/>
          <w:szCs w:val="20"/>
        </w:rPr>
        <w:t>On-site property manager payroll expense increased 15.1% and 10.7% in the three and six months ended June 30, 2022, respectively, as compared to the same periods in 2021. The increase is primarily due to wage increases</w:t>
      </w:r>
      <w:r>
        <w:rPr>
          <w:rFonts w:eastAsia="Times New Roman"/>
          <w:color w:val="000000"/>
          <w:sz w:val="20"/>
          <w:szCs w:val="20"/>
        </w:rPr>
        <w:t xml:space="preserve"> effective in late 2021 in response to competitive labor conditions experienced in most geographical markets, partially offset by a year-over-year decline in hours worked due to staffing reductions from revisions to other operational processes. We expect o</w:t>
      </w:r>
      <w:r>
        <w:rPr>
          <w:rFonts w:eastAsia="Times New Roman"/>
          <w:color w:val="000000"/>
          <w:sz w:val="20"/>
          <w:szCs w:val="20"/>
        </w:rPr>
        <w:t>n-site property manager payroll expense to increase, to a lesser extent, in the remainder of 2022 as compared to 2021 due in part to continued competitive labor conditions.</w:t>
      </w:r>
    </w:p>
    <w:p w:rsidR="00000000" w:rsidRDefault="00D44B22">
      <w:pPr>
        <w:ind w:firstLine="634"/>
        <w:jc w:val="both"/>
        <w:divId w:val="506597367"/>
        <w:rPr>
          <w:rFonts w:eastAsia="Times New Roman"/>
        </w:rPr>
      </w:pPr>
      <w:r>
        <w:rPr>
          <w:rFonts w:eastAsia="Times New Roman"/>
          <w:color w:val="000000"/>
          <w:sz w:val="20"/>
          <w:szCs w:val="20"/>
        </w:rPr>
        <w:t>Marketing expense includes Internet advertising and the operating costs of our tele</w:t>
      </w:r>
      <w:r>
        <w:rPr>
          <w:rFonts w:eastAsia="Times New Roman"/>
          <w:color w:val="000000"/>
          <w:sz w:val="20"/>
          <w:szCs w:val="20"/>
        </w:rPr>
        <w:t>phone reservation center. Internet advertising expense, comprising keyword search fees assessed on a “per click” basis, varies based upon demand for self-storage space, the quantity of people inquiring about self-storage through online search, occupancy le</w:t>
      </w:r>
      <w:r>
        <w:rPr>
          <w:rFonts w:eastAsia="Times New Roman"/>
          <w:color w:val="000000"/>
          <w:sz w:val="20"/>
          <w:szCs w:val="20"/>
        </w:rPr>
        <w:t>vels, the number and aggressiveness of bidding competitors, and other factors. These factors are volatile; accordingly, Internet advertising can increase or decrease significantly in the short-term. We increased marketing expense by 26.0% in the three mont</w:t>
      </w:r>
      <w:r>
        <w:rPr>
          <w:rFonts w:eastAsia="Times New Roman"/>
          <w:color w:val="000000"/>
          <w:sz w:val="20"/>
          <w:szCs w:val="20"/>
        </w:rPr>
        <w:t xml:space="preserve">hs ended June 30, 2022 as compared to the same period in 2021 by a utilizing higher volume of online paid search programs to attract new tenants. Combined with the first quarter of 2022, marketing expense decreased by 7.4% on a year over year basis in the </w:t>
      </w:r>
      <w:r>
        <w:rPr>
          <w:rFonts w:eastAsia="Times New Roman"/>
          <w:color w:val="000000"/>
          <w:sz w:val="20"/>
          <w:szCs w:val="20"/>
        </w:rPr>
        <w:t>six months ended June 30, 2022.</w:t>
      </w:r>
    </w:p>
    <w:p w:rsidR="00000000" w:rsidRDefault="00D44B22">
      <w:pPr>
        <w:ind w:firstLine="634"/>
        <w:jc w:val="both"/>
        <w:divId w:val="96829051"/>
        <w:rPr>
          <w:rFonts w:eastAsia="Times New Roman"/>
        </w:rPr>
      </w:pPr>
      <w:r>
        <w:rPr>
          <w:rFonts w:eastAsia="Times New Roman"/>
          <w:color w:val="000000"/>
          <w:sz w:val="20"/>
          <w:szCs w:val="20"/>
        </w:rPr>
        <w:t>Other direct property costs include administrative expenses specific to each self-storage facility, such as property insurance, telephone and data communication lines, business license costs, bank charges related to processi</w:t>
      </w:r>
      <w:r>
        <w:rPr>
          <w:rFonts w:eastAsia="Times New Roman"/>
          <w:color w:val="000000"/>
          <w:sz w:val="20"/>
          <w:szCs w:val="20"/>
        </w:rPr>
        <w:t>ng the facilities’ cash receipts, tenant mailings, credit card fees, eviction costs, and the cost of operating each property’s rental office. These costs increased 10.6% and 9.9% in the three and six months ended June 30, 2022, respectively, as compared to</w:t>
      </w:r>
      <w:r>
        <w:rPr>
          <w:rFonts w:eastAsia="Times New Roman"/>
          <w:color w:val="000000"/>
          <w:sz w:val="20"/>
          <w:szCs w:val="20"/>
        </w:rPr>
        <w:t xml:space="preserve"> 2021. The increase was due primarily to an increase in credit card fees as result of a long-term trend of more customers paying with credit cards rather than cash, checks, or other methods of payment with lower transaction costs. </w:t>
      </w:r>
    </w:p>
    <w:p w:rsidR="00000000" w:rsidRDefault="00D44B22">
      <w:pPr>
        <w:ind w:firstLine="634"/>
        <w:jc w:val="both"/>
        <w:divId w:val="1559513639"/>
        <w:rPr>
          <w:rFonts w:eastAsia="Times New Roman"/>
        </w:rPr>
      </w:pPr>
      <w:r>
        <w:rPr>
          <w:rFonts w:eastAsia="Times New Roman"/>
          <w:color w:val="000000"/>
          <w:sz w:val="20"/>
          <w:szCs w:val="20"/>
        </w:rPr>
        <w:t>Centralized management c</w:t>
      </w:r>
      <w:r>
        <w:rPr>
          <w:rFonts w:eastAsia="Times New Roman"/>
          <w:color w:val="000000"/>
          <w:sz w:val="20"/>
          <w:szCs w:val="20"/>
        </w:rPr>
        <w:t xml:space="preserve">osts represents administrative and cash compensation expenses for shared general corporate functions to the extent their efforts are devoted to self-storage operations. Such functions include information technology support, hardware, and software, as well </w:t>
      </w:r>
      <w:r>
        <w:rPr>
          <w:rFonts w:eastAsia="Times New Roman"/>
          <w:color w:val="000000"/>
          <w:sz w:val="20"/>
          <w:szCs w:val="20"/>
        </w:rPr>
        <w:t>as centralized administration of payroll, benefits, training, facilities management, customer service, pricing and marketing, operational accounting and finance, and legal costs. Centralized management costs increased 12.8% and 15.2% in the three and six m</w:t>
      </w:r>
      <w:r>
        <w:rPr>
          <w:rFonts w:eastAsia="Times New Roman"/>
          <w:color w:val="000000"/>
          <w:sz w:val="20"/>
          <w:szCs w:val="20"/>
        </w:rPr>
        <w:t>onths ended June 30, 2022, respectively, as compared to the same periods in 2021. The increase was due primarily to an increase in technology and data team costs that support property operations. We expect increases in centralized management costs in the r</w:t>
      </w:r>
      <w:r>
        <w:rPr>
          <w:rFonts w:eastAsia="Times New Roman"/>
          <w:color w:val="000000"/>
          <w:sz w:val="20"/>
          <w:szCs w:val="20"/>
        </w:rPr>
        <w:t>emainder of 2022 due to continued investment in our technology and data platforms that support our property operations.</w:t>
      </w:r>
    </w:p>
    <w:p w:rsidR="00000000" w:rsidRDefault="00D44B22">
      <w:pPr>
        <w:jc w:val="center"/>
        <w:divId w:val="1558396850"/>
        <w:rPr>
          <w:rFonts w:eastAsia="Times New Roman"/>
        </w:rPr>
      </w:pPr>
      <w:r>
        <w:rPr>
          <w:rFonts w:eastAsia="Times New Roman"/>
          <w:color w:val="000000"/>
          <w:sz w:val="20"/>
          <w:szCs w:val="20"/>
        </w:rPr>
        <w:t>33</w:t>
      </w:r>
    </w:p>
    <w:p w:rsidR="00000000" w:rsidRDefault="00D44B22">
      <w:pPr>
        <w:rPr>
          <w:rFonts w:eastAsia="Times New Roman"/>
        </w:rPr>
      </w:pPr>
      <w:r>
        <w:rPr>
          <w:rFonts w:eastAsia="Times New Roman"/>
        </w:rPr>
        <w:pict>
          <v:rect id="_x0000_i1059" style="width:0;height:1.5pt" o:hralign="center" o:hrstd="t" o:hr="t" fillcolor="#a0a0a0" stroked="f"/>
        </w:pict>
      </w:r>
    </w:p>
    <w:p w:rsidR="00000000" w:rsidRDefault="00D44B22">
      <w:pPr>
        <w:divId w:val="1637030723"/>
        <w:rPr>
          <w:rFonts w:eastAsia="Times New Roman"/>
        </w:rPr>
      </w:pPr>
    </w:p>
    <w:p w:rsidR="00000000" w:rsidRDefault="00D44B22">
      <w:pPr>
        <w:jc w:val="both"/>
        <w:divId w:val="1245410380"/>
        <w:rPr>
          <w:rFonts w:eastAsia="Times New Roman"/>
        </w:rPr>
      </w:pPr>
      <w:r>
        <w:rPr>
          <w:rFonts w:eastAsia="Times New Roman"/>
          <w:b/>
          <w:bCs/>
          <w:color w:val="000000"/>
          <w:sz w:val="20"/>
          <w:szCs w:val="20"/>
          <w:u w:val="single"/>
        </w:rPr>
        <w:t>Analysis of Market Trends</w:t>
      </w:r>
    </w:p>
    <w:p w:rsidR="00000000" w:rsidRDefault="00D44B22">
      <w:pPr>
        <w:ind w:firstLine="720"/>
        <w:jc w:val="both"/>
        <w:divId w:val="818887237"/>
        <w:rPr>
          <w:rFonts w:eastAsia="Times New Roman"/>
        </w:rPr>
      </w:pPr>
      <w:r>
        <w:rPr>
          <w:rFonts w:eastAsia="Times New Roman"/>
          <w:color w:val="000000"/>
          <w:sz w:val="20"/>
          <w:szCs w:val="20"/>
        </w:rPr>
        <w:t>The following tables set forth selected market trends in our Same St</w:t>
      </w:r>
      <w:r>
        <w:rPr>
          <w:rFonts w:eastAsia="Times New Roman"/>
          <w:color w:val="000000"/>
          <w:sz w:val="20"/>
          <w:szCs w:val="20"/>
        </w:rPr>
        <w:t>ore Facilities:</w:t>
      </w:r>
    </w:p>
    <w:p w:rsidR="00000000" w:rsidRDefault="00D44B22">
      <w:pPr>
        <w:divId w:val="16081975"/>
        <w:rPr>
          <w:rFonts w:eastAsia="Times New Roman"/>
        </w:rPr>
      </w:pPr>
      <w:r>
        <w:rPr>
          <w:rFonts w:eastAsia="Times New Roman"/>
          <w:b/>
          <w:bCs/>
          <w:color w:val="000000"/>
          <w:sz w:val="20"/>
          <w:szCs w:val="20"/>
        </w:rPr>
        <w:t>Same Store Facilities Operating Trends by Market</w:t>
      </w:r>
    </w:p>
    <w:tbl>
      <w:tblPr>
        <w:tblW w:w="5000" w:type="pct"/>
        <w:tblCellMar>
          <w:top w:w="15" w:type="dxa"/>
          <w:left w:w="15" w:type="dxa"/>
          <w:bottom w:w="15" w:type="dxa"/>
          <w:right w:w="15" w:type="dxa"/>
        </w:tblCellMar>
        <w:tblLook w:val="04A0" w:firstRow="1" w:lastRow="0" w:firstColumn="1" w:lastColumn="0" w:noHBand="0" w:noVBand="1"/>
      </w:tblPr>
      <w:tblGrid>
        <w:gridCol w:w="47"/>
        <w:gridCol w:w="1306"/>
        <w:gridCol w:w="38"/>
        <w:gridCol w:w="88"/>
        <w:gridCol w:w="529"/>
        <w:gridCol w:w="38"/>
        <w:gridCol w:w="95"/>
        <w:gridCol w:w="568"/>
        <w:gridCol w:w="36"/>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1733313253"/>
        </w:trPr>
        <w:tc>
          <w:tcPr>
            <w:tcW w:w="50" w:type="pct"/>
            <w:vAlign w:val="center"/>
            <w:hideMark/>
          </w:tcPr>
          <w:p w:rsidR="00000000" w:rsidRDefault="00D44B22">
            <w:pPr>
              <w:rPr>
                <w:rFonts w:eastAsia="Times New Roman"/>
              </w:rPr>
            </w:pPr>
          </w:p>
        </w:tc>
        <w:tc>
          <w:tcPr>
            <w:tcW w:w="103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1733313253"/>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As of June 30, 2022</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Three Months Ended June 30,</w:t>
            </w:r>
          </w:p>
        </w:tc>
      </w:tr>
      <w:tr w:rsidR="00000000">
        <w:trPr>
          <w:divId w:val="1733313253"/>
          <w:trHeight w:val="420"/>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1733313253"/>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D44B22">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D44B22">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212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15.3</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31.88 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26.97 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98.3 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30.98 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26.52 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San Francisco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128</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7.8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New York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Miami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27.54 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Seattle-Tacoma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86</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5.7</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21.54 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Washington DC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Dallas-Ft. Worth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106</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7.0</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17.02 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14.33 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Atlanta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101</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16.27 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Chicago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16.15 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15.64 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Houston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95</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6.8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Orlando-Daytona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70</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4.5</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14.39 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13.95 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Philadelphia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West Palm Beach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37</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2.6</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25.03 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24.19 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20.02 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Tampa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51</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3.4</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15.02 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Charlotte</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All other markets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898</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56.7</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73331325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2,282</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149.5</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21.37 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18.23 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20.47 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bl>
    <w:p w:rsidR="00000000" w:rsidRDefault="00D44B22">
      <w:pPr>
        <w:jc w:val="center"/>
        <w:divId w:val="1540316053"/>
        <w:rPr>
          <w:rFonts w:eastAsia="Times New Roman"/>
        </w:rPr>
      </w:pPr>
    </w:p>
    <w:p w:rsidR="00000000" w:rsidRDefault="00D44B22">
      <w:pPr>
        <w:jc w:val="center"/>
        <w:divId w:val="2118090390"/>
        <w:rPr>
          <w:rFonts w:eastAsia="Times New Roman"/>
        </w:rPr>
      </w:pPr>
      <w:r>
        <w:rPr>
          <w:rFonts w:eastAsia="Times New Roman"/>
          <w:color w:val="000000"/>
          <w:sz w:val="20"/>
          <w:szCs w:val="20"/>
        </w:rPr>
        <w:t>34</w:t>
      </w:r>
    </w:p>
    <w:p w:rsidR="00000000" w:rsidRDefault="00D44B22">
      <w:pPr>
        <w:rPr>
          <w:rFonts w:eastAsia="Times New Roman"/>
        </w:rPr>
      </w:pPr>
      <w:r>
        <w:rPr>
          <w:rFonts w:eastAsia="Times New Roman"/>
        </w:rPr>
        <w:pict>
          <v:rect id="_x0000_i1060" style="width:0;height:1.5pt" o:hralign="center" o:hrstd="t" o:hr="t" fillcolor="#a0a0a0" stroked="f"/>
        </w:pict>
      </w:r>
    </w:p>
    <w:p w:rsidR="00000000" w:rsidRDefault="00D44B22">
      <w:pPr>
        <w:divId w:val="1073043226"/>
        <w:rPr>
          <w:rFonts w:eastAsia="Times New Roman"/>
        </w:rPr>
      </w:pPr>
    </w:p>
    <w:p w:rsidR="00000000" w:rsidRDefault="00D44B22">
      <w:pPr>
        <w:divId w:val="1824539066"/>
        <w:rPr>
          <w:rFonts w:eastAsia="Times New Roman"/>
        </w:rPr>
      </w:pPr>
      <w:r>
        <w:rPr>
          <w:rFonts w:eastAsia="Times New Roman"/>
          <w:b/>
          <w:bCs/>
          <w:color w:val="000000"/>
          <w:sz w:val="20"/>
          <w:szCs w:val="20"/>
        </w:rPr>
        <w:t>Same Store Facilities Operating Trends by Market (Contin</w:t>
      </w:r>
      <w:r>
        <w:rPr>
          <w:rFonts w:eastAsia="Times New Roman"/>
          <w:b/>
          <w:bCs/>
          <w:color w:val="000000"/>
          <w:sz w:val="20"/>
          <w:szCs w:val="20"/>
        </w:rPr>
        <w:t>ued)</w:t>
      </w: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630"/>
        <w:gridCol w:w="36"/>
        <w:gridCol w:w="110"/>
        <w:gridCol w:w="630"/>
        <w:gridCol w:w="36"/>
        <w:gridCol w:w="75"/>
        <w:gridCol w:w="447"/>
        <w:gridCol w:w="170"/>
        <w:gridCol w:w="110"/>
        <w:gridCol w:w="630"/>
        <w:gridCol w:w="36"/>
        <w:gridCol w:w="110"/>
        <w:gridCol w:w="630"/>
        <w:gridCol w:w="36"/>
        <w:gridCol w:w="75"/>
        <w:gridCol w:w="447"/>
        <w:gridCol w:w="170"/>
        <w:gridCol w:w="110"/>
        <w:gridCol w:w="540"/>
        <w:gridCol w:w="36"/>
        <w:gridCol w:w="110"/>
        <w:gridCol w:w="540"/>
        <w:gridCol w:w="36"/>
        <w:gridCol w:w="75"/>
        <w:gridCol w:w="447"/>
        <w:gridCol w:w="170"/>
        <w:gridCol w:w="110"/>
        <w:gridCol w:w="630"/>
        <w:gridCol w:w="36"/>
        <w:gridCol w:w="110"/>
        <w:gridCol w:w="630"/>
        <w:gridCol w:w="36"/>
        <w:gridCol w:w="75"/>
        <w:gridCol w:w="447"/>
        <w:gridCol w:w="170"/>
      </w:tblGrid>
      <w:tr w:rsidR="00000000">
        <w:trPr>
          <w:divId w:val="724187211"/>
        </w:trPr>
        <w:tc>
          <w:tcPr>
            <w:tcW w:w="50" w:type="pct"/>
            <w:vAlign w:val="center"/>
            <w:hideMark/>
          </w:tcPr>
          <w:p w:rsidR="00000000" w:rsidRDefault="00D44B22">
            <w:pPr>
              <w:rPr>
                <w:rFonts w:eastAsia="Times New Roman"/>
              </w:rPr>
            </w:pPr>
          </w:p>
        </w:tc>
        <w:tc>
          <w:tcPr>
            <w:tcW w:w="67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724187211"/>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48" w:type="dxa"/>
              <w:bottom w:w="30" w:type="dxa"/>
              <w:right w:w="48" w:type="dxa"/>
            </w:tcMar>
            <w:hideMark/>
          </w:tcPr>
          <w:p w:rsidR="00000000" w:rsidRDefault="00D44B22">
            <w:pPr>
              <w:spacing w:after="100"/>
              <w:jc w:val="center"/>
              <w:rPr>
                <w:rFonts w:eastAsia="Times New Roman"/>
              </w:rPr>
            </w:pPr>
            <w:r>
              <w:rPr>
                <w:rFonts w:eastAsia="Times New Roman"/>
                <w:color w:val="000000"/>
                <w:sz w:val="16"/>
                <w:szCs w:val="16"/>
              </w:rPr>
              <w:t>Three Months Ended June 30,</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44B22">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44B22">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44B22">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D44B22">
            <w:pPr>
              <w:spacing w:after="100"/>
              <w:jc w:val="center"/>
              <w:rPr>
                <w:rFonts w:eastAsia="Times New Roman"/>
              </w:rPr>
            </w:pPr>
            <w:r>
              <w:rPr>
                <w:rFonts w:eastAsia="Times New Roman"/>
                <w:color w:val="000000"/>
                <w:sz w:val="16"/>
                <w:szCs w:val="16"/>
              </w:rPr>
              <w:t>Net Operating Income ($000's)</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120,804 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103,244 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15,214 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13,767 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2,733 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2,618 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102,857 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86,859 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59,564 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53,845 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8,364 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7,847 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49,476 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44,394 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47,217 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42,970 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11,246 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10,089 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1,339 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34,632 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31,572 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39,968 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31,745 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6,816 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6,392 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1,005 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32,147 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24,344 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34,489 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30,235 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5,612 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27,941 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23,841 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33,725 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30,361 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6,744 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25,944 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22,879 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29,424 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25,063 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6,365 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21,928 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18,071 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28,272 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23,539 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5,608 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21,493 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37,804 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32,809 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22,364 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19,610 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25,947 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22,124 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7,262 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6,966 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17,681 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19,544 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16,141 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3,646 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15,039 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11,988 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18,072 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16,121 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3,878 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13,561 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16,415 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13,557 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2,777 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12,774 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10,282 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15,527 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12,722 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611 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11,820 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9,323 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13,978 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11,160 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8,891 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248,188 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214,560 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49,788 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46,641 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10,610 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10,276 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187,790 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157,643 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724187211"/>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788,938 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680,542 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153,057 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140,794 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27,274 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26,859 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608,607 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512,889 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bl>
    <w:p w:rsidR="00000000" w:rsidRDefault="00D44B22">
      <w:pPr>
        <w:ind w:firstLine="720"/>
        <w:jc w:val="both"/>
        <w:divId w:val="759564003"/>
        <w:rPr>
          <w:rFonts w:eastAsia="Times New Roman"/>
        </w:rPr>
      </w:pPr>
    </w:p>
    <w:p w:rsidR="00000000" w:rsidRDefault="00D44B22">
      <w:pPr>
        <w:jc w:val="center"/>
        <w:divId w:val="1104303153"/>
        <w:rPr>
          <w:rFonts w:eastAsia="Times New Roman"/>
        </w:rPr>
      </w:pPr>
      <w:r>
        <w:rPr>
          <w:rFonts w:eastAsia="Times New Roman"/>
          <w:color w:val="000000"/>
          <w:sz w:val="20"/>
          <w:szCs w:val="20"/>
        </w:rPr>
        <w:t>35</w:t>
      </w:r>
    </w:p>
    <w:p w:rsidR="00000000" w:rsidRDefault="00D44B22">
      <w:pPr>
        <w:rPr>
          <w:rFonts w:eastAsia="Times New Roman"/>
        </w:rPr>
      </w:pPr>
      <w:r>
        <w:rPr>
          <w:rFonts w:eastAsia="Times New Roman"/>
        </w:rPr>
        <w:pict>
          <v:rect id="_x0000_i1061" style="width:0;height:1.5pt" o:hralign="center" o:hrstd="t" o:hr="t" fillcolor="#a0a0a0" stroked="f"/>
        </w:pict>
      </w:r>
    </w:p>
    <w:p w:rsidR="00000000" w:rsidRDefault="00D44B22">
      <w:pPr>
        <w:divId w:val="780731905"/>
        <w:rPr>
          <w:rFonts w:eastAsia="Times New Roman"/>
        </w:rPr>
      </w:pPr>
    </w:p>
    <w:p w:rsidR="00000000" w:rsidRDefault="00D44B22">
      <w:pPr>
        <w:divId w:val="1920208790"/>
        <w:rPr>
          <w:rFonts w:eastAsia="Times New Roman"/>
        </w:rPr>
      </w:pPr>
      <w:r>
        <w:rPr>
          <w:rFonts w:eastAsia="Times New Roman"/>
          <w:b/>
          <w:bCs/>
          <w:color w:val="000000"/>
          <w:sz w:val="20"/>
          <w:szCs w:val="20"/>
        </w:rPr>
        <w:t>Same Store Facilities Operating Trends by Market (Continued)</w:t>
      </w:r>
    </w:p>
    <w:tbl>
      <w:tblPr>
        <w:tblW w:w="5000" w:type="pct"/>
        <w:tblCellMar>
          <w:top w:w="15" w:type="dxa"/>
          <w:left w:w="15" w:type="dxa"/>
          <w:bottom w:w="15" w:type="dxa"/>
          <w:right w:w="15" w:type="dxa"/>
        </w:tblCellMar>
        <w:tblLook w:val="04A0" w:firstRow="1" w:lastRow="0" w:firstColumn="1" w:lastColumn="0" w:noHBand="0" w:noVBand="1"/>
      </w:tblPr>
      <w:tblGrid>
        <w:gridCol w:w="42"/>
        <w:gridCol w:w="1311"/>
        <w:gridCol w:w="38"/>
        <w:gridCol w:w="88"/>
        <w:gridCol w:w="529"/>
        <w:gridCol w:w="38"/>
        <w:gridCol w:w="95"/>
        <w:gridCol w:w="568"/>
        <w:gridCol w:w="36"/>
        <w:gridCol w:w="110"/>
        <w:gridCol w:w="450"/>
        <w:gridCol w:w="36"/>
        <w:gridCol w:w="110"/>
        <w:gridCol w:w="450"/>
        <w:gridCol w:w="36"/>
        <w:gridCol w:w="75"/>
        <w:gridCol w:w="447"/>
        <w:gridCol w:w="170"/>
        <w:gridCol w:w="55"/>
        <w:gridCol w:w="325"/>
        <w:gridCol w:w="171"/>
        <w:gridCol w:w="55"/>
        <w:gridCol w:w="325"/>
        <w:gridCol w:w="170"/>
        <w:gridCol w:w="75"/>
        <w:gridCol w:w="447"/>
        <w:gridCol w:w="170"/>
        <w:gridCol w:w="110"/>
        <w:gridCol w:w="450"/>
        <w:gridCol w:w="36"/>
        <w:gridCol w:w="110"/>
        <w:gridCol w:w="450"/>
        <w:gridCol w:w="36"/>
        <w:gridCol w:w="75"/>
        <w:gridCol w:w="447"/>
        <w:gridCol w:w="170"/>
      </w:tblGrid>
      <w:tr w:rsidR="00000000">
        <w:trPr>
          <w:divId w:val="1164903009"/>
        </w:trPr>
        <w:tc>
          <w:tcPr>
            <w:tcW w:w="50" w:type="pct"/>
            <w:vAlign w:val="center"/>
            <w:hideMark/>
          </w:tcPr>
          <w:p w:rsidR="00000000" w:rsidRDefault="00D44B22">
            <w:pPr>
              <w:rPr>
                <w:rFonts w:eastAsia="Times New Roman"/>
              </w:rPr>
            </w:pPr>
          </w:p>
        </w:tc>
        <w:tc>
          <w:tcPr>
            <w:tcW w:w="1033"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1164903009"/>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6"/>
                <w:szCs w:val="16"/>
              </w:rPr>
              <w:t> </w:t>
            </w:r>
          </w:p>
        </w:tc>
        <w:tc>
          <w:tcPr>
            <w:tcW w:w="0" w:type="auto"/>
            <w:gridSpan w:val="6"/>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As of June 30, 2022</w:t>
            </w:r>
          </w:p>
        </w:tc>
        <w:tc>
          <w:tcPr>
            <w:tcW w:w="0" w:type="auto"/>
            <w:gridSpan w:val="27"/>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Six Months Ended June 30,</w:t>
            </w:r>
          </w:p>
        </w:tc>
      </w:tr>
      <w:tr w:rsidR="00000000">
        <w:trPr>
          <w:divId w:val="1164903009"/>
          <w:trHeight w:val="420"/>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6"/>
                <w:szCs w:val="16"/>
              </w:rPr>
              <w:t> </w:t>
            </w:r>
          </w:p>
        </w:tc>
        <w:tc>
          <w:tcPr>
            <w:tcW w:w="0" w:type="auto"/>
            <w:gridSpan w:val="3"/>
            <w:vMerge w:val="restart"/>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Number</w:t>
            </w:r>
            <w:r>
              <w:rPr>
                <w:rFonts w:eastAsia="Times New Roman"/>
                <w:color w:val="000000"/>
                <w:sz w:val="16"/>
                <w:szCs w:val="16"/>
              </w:rPr>
              <w:br/>
              <w:t xml:space="preserve">of </w:t>
            </w:r>
            <w:r>
              <w:rPr>
                <w:rFonts w:eastAsia="Times New Roman"/>
                <w:color w:val="000000"/>
                <w:sz w:val="16"/>
                <w:szCs w:val="16"/>
              </w:rPr>
              <w:br/>
              <w:t>Facilities</w:t>
            </w:r>
          </w:p>
        </w:tc>
        <w:tc>
          <w:tcPr>
            <w:tcW w:w="0" w:type="auto"/>
            <w:gridSpan w:val="3"/>
            <w:vMerge w:val="restart"/>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Square</w:t>
            </w:r>
            <w:r>
              <w:rPr>
                <w:rFonts w:eastAsia="Times New Roman"/>
                <w:color w:val="000000"/>
                <w:sz w:val="16"/>
                <w:szCs w:val="16"/>
              </w:rPr>
              <w:br/>
              <w:t>Feet</w:t>
            </w:r>
            <w:r>
              <w:rPr>
                <w:rFonts w:eastAsia="Times New Roman"/>
                <w:color w:val="000000"/>
                <w:sz w:val="16"/>
                <w:szCs w:val="16"/>
              </w:rPr>
              <w:br/>
              <w:t>(millions)</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Occupied Square Foot</w:t>
            </w:r>
          </w:p>
        </w:tc>
        <w:tc>
          <w:tcPr>
            <w:tcW w:w="0" w:type="auto"/>
            <w:gridSpan w:val="9"/>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Average Occupancy</w:t>
            </w:r>
          </w:p>
        </w:tc>
        <w:tc>
          <w:tcPr>
            <w:tcW w:w="0" w:type="auto"/>
            <w:gridSpan w:val="9"/>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Realized Rent per</w:t>
            </w:r>
            <w:r>
              <w:rPr>
                <w:rFonts w:eastAsia="Times New Roman"/>
                <w:color w:val="000000"/>
                <w:sz w:val="16"/>
                <w:szCs w:val="16"/>
              </w:rPr>
              <w:br/>
              <w:t>Available Square Foot</w:t>
            </w:r>
          </w:p>
        </w:tc>
      </w:tr>
      <w:tr w:rsidR="00000000">
        <w:trPr>
          <w:divId w:val="1164903009"/>
          <w:trHeight w:val="240"/>
        </w:trPr>
        <w:tc>
          <w:tcPr>
            <w:tcW w:w="0" w:type="auto"/>
            <w:gridSpan w:val="3"/>
            <w:tcBorders>
              <w:right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6"/>
                <w:szCs w:val="16"/>
              </w:rPr>
              <w:t> </w:t>
            </w:r>
          </w:p>
        </w:tc>
        <w:tc>
          <w:tcPr>
            <w:tcW w:w="0" w:type="auto"/>
            <w:gridSpan w:val="3"/>
            <w:vMerge/>
            <w:tcBorders>
              <w:top w:val="single" w:sz="8" w:space="0" w:color="000000"/>
              <w:left w:val="single" w:sz="8" w:space="0" w:color="000000"/>
              <w:right w:val="single" w:sz="8" w:space="0" w:color="000000"/>
            </w:tcBorders>
            <w:vAlign w:val="center"/>
            <w:hideMark/>
          </w:tcPr>
          <w:p w:rsidR="00000000" w:rsidRDefault="00D44B22">
            <w:pPr>
              <w:spacing w:after="100"/>
              <w:rPr>
                <w:rFonts w:eastAsia="Times New Roman"/>
              </w:rPr>
            </w:pPr>
          </w:p>
        </w:tc>
        <w:tc>
          <w:tcPr>
            <w:tcW w:w="0" w:type="auto"/>
            <w:gridSpan w:val="3"/>
            <w:vMerge/>
            <w:tcBorders>
              <w:top w:val="single" w:sz="8" w:space="0" w:color="000000"/>
              <w:left w:val="single" w:sz="8" w:space="0" w:color="000000"/>
            </w:tcBorders>
            <w:vAlign w:val="center"/>
            <w:hideMark/>
          </w:tcPr>
          <w:p w:rsidR="00000000" w:rsidRDefault="00D44B22">
            <w:pPr>
              <w:spacing w:after="100"/>
              <w:rPr>
                <w:rFonts w:eastAsia="Times New Roman"/>
              </w:rPr>
            </w:pP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Los Angeles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212</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15.3</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30.66 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26.66 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98.1 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(0.6)</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29.88 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26.15 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San Francisco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128</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7.8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27.35 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New York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6.4</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Miami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83</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25.81 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Seattle-Tacoma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86</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5.7</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24.18 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Washington DC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90</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5.5</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23.18 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20.84 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Dallas-Ft. Worth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106</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7.0</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13.96 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15.84 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Atlanta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101</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6.6</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15.80 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Chicago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129</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8.1</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15.79 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(0.9)</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Houston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95</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6.8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15.23 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12.96 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94.3 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Orlando-Daytona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70</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4.5</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13.52 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Philadelphia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56</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3.5</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17.77 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West Palm Beach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37</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2.6</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24.34 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19.93 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19.29 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Tampa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51</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3.4</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Charlotte</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50</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3.8</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All other markets </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898</w:t>
            </w: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56.7</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14.81 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(0.6)</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16.52 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1164903009"/>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Totals</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2,282</w:t>
            </w:r>
          </w:p>
        </w:tc>
        <w:tc>
          <w:tcPr>
            <w:tcW w:w="0" w:type="auto"/>
            <w:gridSpan w:val="3"/>
            <w:tcBorders>
              <w:top w:val="single" w:sz="8" w:space="0" w:color="000000"/>
              <w:bottom w:val="double" w:sz="6"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149.5</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20.83 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17.89 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(0.6)</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19.94 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17.23 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bl>
    <w:p w:rsidR="00000000" w:rsidRDefault="00D44B22">
      <w:pPr>
        <w:jc w:val="center"/>
        <w:divId w:val="1502358073"/>
        <w:rPr>
          <w:rFonts w:eastAsia="Times New Roman"/>
        </w:rPr>
      </w:pPr>
      <w:r>
        <w:rPr>
          <w:rFonts w:eastAsia="Times New Roman"/>
          <w:color w:val="000000"/>
          <w:sz w:val="20"/>
          <w:szCs w:val="20"/>
        </w:rPr>
        <w:t>36</w:t>
      </w:r>
    </w:p>
    <w:p w:rsidR="00000000" w:rsidRDefault="00D44B22">
      <w:pPr>
        <w:rPr>
          <w:rFonts w:eastAsia="Times New Roman"/>
        </w:rPr>
      </w:pPr>
      <w:r>
        <w:rPr>
          <w:rFonts w:eastAsia="Times New Roman"/>
        </w:rPr>
        <w:pict>
          <v:rect id="_x0000_i1062" style="width:0;height:1.5pt" o:hralign="center" o:hrstd="t" o:hr="t" fillcolor="#a0a0a0" stroked="f"/>
        </w:pict>
      </w:r>
    </w:p>
    <w:p w:rsidR="00000000" w:rsidRDefault="00D44B22">
      <w:pPr>
        <w:divId w:val="2122651751"/>
        <w:rPr>
          <w:rFonts w:eastAsia="Times New Roman"/>
        </w:rPr>
      </w:pPr>
    </w:p>
    <w:p w:rsidR="00000000" w:rsidRDefault="00D44B22">
      <w:pPr>
        <w:divId w:val="827867943"/>
        <w:rPr>
          <w:rFonts w:eastAsia="Times New Roman"/>
        </w:rPr>
      </w:pPr>
      <w:r>
        <w:rPr>
          <w:rFonts w:eastAsia="Times New Roman"/>
          <w:b/>
          <w:bCs/>
          <w:color w:val="000000"/>
          <w:sz w:val="20"/>
          <w:szCs w:val="20"/>
        </w:rPr>
        <w:t>Same Store Facilities Operating Trends by Market (Continue</w:t>
      </w:r>
      <w:r>
        <w:rPr>
          <w:rFonts w:eastAsia="Times New Roman"/>
          <w:b/>
          <w:bCs/>
          <w:color w:val="000000"/>
          <w:sz w:val="20"/>
          <w:szCs w:val="20"/>
        </w:rPr>
        <w:t>d)</w:t>
      </w:r>
    </w:p>
    <w:tbl>
      <w:tblPr>
        <w:tblW w:w="5000" w:type="pct"/>
        <w:tblCellMar>
          <w:top w:w="15" w:type="dxa"/>
          <w:left w:w="15" w:type="dxa"/>
          <w:bottom w:w="15" w:type="dxa"/>
          <w:right w:w="15" w:type="dxa"/>
        </w:tblCellMar>
        <w:tblLook w:val="04A0" w:firstRow="1" w:lastRow="0" w:firstColumn="1" w:lastColumn="0" w:noHBand="0" w:noVBand="1"/>
      </w:tblPr>
      <w:tblGrid>
        <w:gridCol w:w="63"/>
        <w:gridCol w:w="842"/>
        <w:gridCol w:w="38"/>
        <w:gridCol w:w="110"/>
        <w:gridCol w:w="765"/>
        <w:gridCol w:w="36"/>
        <w:gridCol w:w="110"/>
        <w:gridCol w:w="765"/>
        <w:gridCol w:w="36"/>
        <w:gridCol w:w="75"/>
        <w:gridCol w:w="447"/>
        <w:gridCol w:w="170"/>
        <w:gridCol w:w="110"/>
        <w:gridCol w:w="630"/>
        <w:gridCol w:w="36"/>
        <w:gridCol w:w="110"/>
        <w:gridCol w:w="630"/>
        <w:gridCol w:w="36"/>
        <w:gridCol w:w="75"/>
        <w:gridCol w:w="447"/>
        <w:gridCol w:w="170"/>
        <w:gridCol w:w="110"/>
        <w:gridCol w:w="540"/>
        <w:gridCol w:w="36"/>
        <w:gridCol w:w="110"/>
        <w:gridCol w:w="540"/>
        <w:gridCol w:w="36"/>
        <w:gridCol w:w="75"/>
        <w:gridCol w:w="447"/>
        <w:gridCol w:w="170"/>
        <w:gridCol w:w="110"/>
        <w:gridCol w:w="765"/>
        <w:gridCol w:w="36"/>
        <w:gridCol w:w="110"/>
        <w:gridCol w:w="630"/>
        <w:gridCol w:w="36"/>
        <w:gridCol w:w="75"/>
        <w:gridCol w:w="447"/>
        <w:gridCol w:w="170"/>
      </w:tblGrid>
      <w:tr w:rsidR="00000000">
        <w:trPr>
          <w:divId w:val="266040982"/>
        </w:trPr>
        <w:tc>
          <w:tcPr>
            <w:tcW w:w="50" w:type="pct"/>
            <w:vAlign w:val="center"/>
            <w:hideMark/>
          </w:tcPr>
          <w:p w:rsidR="00000000" w:rsidRDefault="00D44B22">
            <w:pPr>
              <w:rPr>
                <w:rFonts w:eastAsia="Times New Roman"/>
              </w:rPr>
            </w:pPr>
          </w:p>
        </w:tc>
        <w:tc>
          <w:tcPr>
            <w:tcW w:w="67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30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266040982"/>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16"/>
                <w:szCs w:val="16"/>
              </w:rPr>
              <w:t> </w:t>
            </w:r>
          </w:p>
        </w:tc>
        <w:tc>
          <w:tcPr>
            <w:tcW w:w="0" w:type="auto"/>
            <w:gridSpan w:val="36"/>
            <w:tcBorders>
              <w:top w:val="single" w:sz="8" w:space="0" w:color="000000"/>
              <w:left w:val="single" w:sz="8" w:space="0" w:color="000000"/>
              <w:bottom w:val="single" w:sz="8" w:space="0" w:color="000000"/>
              <w:right w:val="single" w:sz="8" w:space="0" w:color="000000"/>
            </w:tcBorders>
            <w:tcMar>
              <w:top w:w="30" w:type="dxa"/>
              <w:left w:w="48" w:type="dxa"/>
              <w:bottom w:w="30" w:type="dxa"/>
              <w:right w:w="48" w:type="dxa"/>
            </w:tcMar>
            <w:hideMark/>
          </w:tcPr>
          <w:p w:rsidR="00000000" w:rsidRDefault="00D44B22">
            <w:pPr>
              <w:spacing w:after="100"/>
              <w:jc w:val="center"/>
              <w:rPr>
                <w:rFonts w:eastAsia="Times New Roman"/>
              </w:rPr>
            </w:pPr>
            <w:r>
              <w:rPr>
                <w:rFonts w:eastAsia="Times New Roman"/>
                <w:color w:val="000000"/>
                <w:sz w:val="16"/>
                <w:szCs w:val="16"/>
              </w:rPr>
              <w:t>Six Months Ended June 30,</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6"/>
                <w:szCs w:val="16"/>
              </w:rPr>
              <w:t> </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44B22">
            <w:pPr>
              <w:spacing w:after="100"/>
              <w:jc w:val="center"/>
              <w:rPr>
                <w:rFonts w:eastAsia="Times New Roman"/>
              </w:rPr>
            </w:pPr>
            <w:r>
              <w:rPr>
                <w:rFonts w:eastAsia="Times New Roman"/>
                <w:color w:val="000000"/>
                <w:sz w:val="16"/>
                <w:szCs w:val="16"/>
              </w:rPr>
              <w:t>Revenues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44B22">
            <w:pPr>
              <w:spacing w:after="100"/>
              <w:jc w:val="center"/>
              <w:rPr>
                <w:rFonts w:eastAsia="Times New Roman"/>
              </w:rPr>
            </w:pPr>
            <w:r>
              <w:rPr>
                <w:rFonts w:eastAsia="Times New Roman"/>
                <w:color w:val="000000"/>
                <w:sz w:val="16"/>
                <w:szCs w:val="16"/>
              </w:rPr>
              <w:t>Direct Expenses ($000's)</w:t>
            </w:r>
          </w:p>
        </w:tc>
        <w:tc>
          <w:tcPr>
            <w:tcW w:w="0" w:type="auto"/>
            <w:gridSpan w:val="9"/>
            <w:tcBorders>
              <w:top w:val="single" w:sz="8" w:space="0" w:color="000000"/>
              <w:left w:val="single" w:sz="8" w:space="0" w:color="000000"/>
            </w:tcBorders>
            <w:tcMar>
              <w:top w:w="30" w:type="dxa"/>
              <w:left w:w="48" w:type="dxa"/>
              <w:bottom w:w="30" w:type="dxa"/>
              <w:right w:w="48" w:type="dxa"/>
            </w:tcMar>
            <w:vAlign w:val="center"/>
            <w:hideMark/>
          </w:tcPr>
          <w:p w:rsidR="00000000" w:rsidRDefault="00D44B22">
            <w:pPr>
              <w:spacing w:after="100"/>
              <w:jc w:val="center"/>
              <w:rPr>
                <w:rFonts w:eastAsia="Times New Roman"/>
              </w:rPr>
            </w:pPr>
            <w:r>
              <w:rPr>
                <w:rFonts w:eastAsia="Times New Roman"/>
                <w:color w:val="000000"/>
                <w:sz w:val="16"/>
                <w:szCs w:val="16"/>
              </w:rPr>
              <w:t>Indirect Expenses ($000's)</w:t>
            </w:r>
          </w:p>
        </w:tc>
        <w:tc>
          <w:tcPr>
            <w:tcW w:w="0" w:type="auto"/>
            <w:gridSpan w:val="9"/>
            <w:tcBorders>
              <w:top w:val="single" w:sz="8" w:space="0" w:color="000000"/>
              <w:left w:val="single" w:sz="8" w:space="0" w:color="000000"/>
              <w:right w:val="single" w:sz="8" w:space="0" w:color="000000"/>
            </w:tcBorders>
            <w:tcMar>
              <w:top w:w="30" w:type="dxa"/>
              <w:left w:w="48" w:type="dxa"/>
              <w:bottom w:w="30" w:type="dxa"/>
              <w:right w:w="48" w:type="dxa"/>
            </w:tcMar>
            <w:vAlign w:val="center"/>
            <w:hideMark/>
          </w:tcPr>
          <w:p w:rsidR="00000000" w:rsidRDefault="00D44B22">
            <w:pPr>
              <w:spacing w:after="100"/>
              <w:jc w:val="center"/>
              <w:rPr>
                <w:rFonts w:eastAsia="Times New Roman"/>
              </w:rPr>
            </w:pPr>
            <w:r>
              <w:rPr>
                <w:rFonts w:eastAsia="Times New Roman"/>
                <w:color w:val="000000"/>
                <w:sz w:val="16"/>
                <w:szCs w:val="16"/>
              </w:rPr>
              <w:t>Net Operating Income ($000's)</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6"/>
                <w:szCs w:val="16"/>
              </w:rPr>
              <w:t> </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2022</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2021</w:t>
            </w:r>
          </w:p>
        </w:tc>
        <w:tc>
          <w:tcPr>
            <w:tcW w:w="0" w:type="auto"/>
            <w:gridSpan w:val="3"/>
            <w:tcBorders>
              <w:top w:val="single" w:sz="8" w:space="0" w:color="000000"/>
              <w:right w:val="single" w:sz="8" w:space="0" w:color="000000"/>
            </w:tcBorders>
            <w:tcMar>
              <w:top w:w="30" w:type="dxa"/>
              <w:left w:w="20" w:type="dxa"/>
              <w:bottom w:w="30" w:type="dxa"/>
              <w:right w:w="20" w:type="dxa"/>
            </w:tcMar>
            <w:vAlign w:val="center"/>
            <w:hideMark/>
          </w:tcPr>
          <w:p w:rsidR="00000000" w:rsidRDefault="00D44B22">
            <w:pPr>
              <w:spacing w:after="100"/>
              <w:jc w:val="center"/>
              <w:rPr>
                <w:rFonts w:eastAsia="Times New Roman"/>
              </w:rPr>
            </w:pPr>
            <w:r>
              <w:rPr>
                <w:rFonts w:eastAsia="Times New Roman"/>
                <w:color w:val="000000"/>
                <w:sz w:val="16"/>
                <w:szCs w:val="16"/>
              </w:rPr>
              <w:t>Change</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Los Angeles </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233,150 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203,574 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30,992 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29,087 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5,633 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5,580 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0.9 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196,525 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168,907 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16.4 </w:t>
            </w:r>
          </w:p>
        </w:tc>
        <w:tc>
          <w:tcPr>
            <w:tcW w:w="0" w:type="auto"/>
            <w:tcBorders>
              <w:top w:val="single" w:sz="8"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San Francisco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116,722 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105,932 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17,199 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16,400 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3,434 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96,089 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86,120 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New York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92,825 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84,788 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23,440 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21,352 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2,707 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2,773 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66,678 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60,663 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Miami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77,559 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61,503 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13,658 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12,863 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61,838 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46,498 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Seattle-Tacoma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67,296 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58,784 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11,329 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2,070 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53,802 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45,385 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Washington DC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66,102 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59,300 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13,960 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13,346 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2,077 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2,068 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50,065 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43,886 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Dallas-Ft. Worth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57,352 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48,408 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18.5 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12,750 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12,206 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42,314 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33,833 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Atlanta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55,034 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45,531 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10,677 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9,555 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2,430 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2,534 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41,927 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33,442 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Chicago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73,631 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63,560 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28,904 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24,287 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3,023 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2,934 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41,704 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36,339 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Houston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50,647 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43,023 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14,050 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13,705 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2,120 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2,257 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(6.1)</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34,477 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27,061 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Orlando-Daytona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37,944 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31,360 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7,338 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6,866 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1,775 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1,685 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28,831 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22,809 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Philadelphia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35,572 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31,642 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8,019 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7,726 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1,365 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1,381 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26,188 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22,535 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West Palm Beach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32,009 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26,179 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6,306 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5,644 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963 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1,041 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(7.5)</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24,740 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19,494 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26.9 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Tampa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30,349 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24,616 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23.3 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6,246 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5,787 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7.9 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1,217 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1,245 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22,886 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17,584 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30.2 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Charlotte</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27,180 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22,255 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4,649 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4,386 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1,160 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1,116 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3.9 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21,371 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16,753 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27.6 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xml:space="preserve">All other markets </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484,836 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417,287 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16.2 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102,267 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98,572 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3.7 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22,056 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21,354 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360,513 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297,361 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21.2 </w:t>
            </w:r>
          </w:p>
        </w:tc>
        <w:tc>
          <w:tcPr>
            <w:tcW w:w="0" w:type="auto"/>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r w:rsidR="00000000">
        <w:trPr>
          <w:divId w:val="26604098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Totals</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1,538,208 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1,327,742 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15.9 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312,003 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293,111 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6.4 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56,257 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55,961 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1,169,948 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978,670 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18"/>
                <w:szCs w:val="18"/>
              </w:rPr>
              <w:t>19.5 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r>
    </w:tbl>
    <w:p w:rsidR="00000000" w:rsidRDefault="00D44B22">
      <w:pPr>
        <w:divId w:val="211381141"/>
        <w:rPr>
          <w:rFonts w:eastAsia="Times New Roman"/>
        </w:rPr>
      </w:pPr>
    </w:p>
    <w:p w:rsidR="00000000" w:rsidRDefault="00D44B22">
      <w:pPr>
        <w:jc w:val="center"/>
        <w:divId w:val="1563785084"/>
        <w:rPr>
          <w:rFonts w:eastAsia="Times New Roman"/>
        </w:rPr>
      </w:pPr>
      <w:r>
        <w:rPr>
          <w:rFonts w:eastAsia="Times New Roman"/>
          <w:color w:val="000000"/>
          <w:sz w:val="20"/>
          <w:szCs w:val="20"/>
        </w:rPr>
        <w:t>37</w:t>
      </w:r>
    </w:p>
    <w:p w:rsidR="00000000" w:rsidRDefault="00D44B22">
      <w:pPr>
        <w:rPr>
          <w:rFonts w:eastAsia="Times New Roman"/>
        </w:rPr>
      </w:pPr>
      <w:r>
        <w:rPr>
          <w:rFonts w:eastAsia="Times New Roman"/>
        </w:rPr>
        <w:pict>
          <v:rect id="_x0000_i1063" style="width:0;height:1.5pt" o:hralign="center" o:hrstd="t" o:hr="t" fillcolor="#a0a0a0" stroked="f"/>
        </w:pict>
      </w:r>
    </w:p>
    <w:p w:rsidR="00000000" w:rsidRDefault="00D44B22">
      <w:pPr>
        <w:divId w:val="202598489"/>
        <w:rPr>
          <w:rFonts w:eastAsia="Times New Roman"/>
        </w:rPr>
      </w:pPr>
    </w:p>
    <w:p w:rsidR="00000000" w:rsidRDefault="00D44B22">
      <w:pPr>
        <w:ind w:firstLine="720"/>
        <w:jc w:val="both"/>
        <w:divId w:val="1664966691"/>
        <w:rPr>
          <w:rFonts w:eastAsia="Times New Roman"/>
        </w:rPr>
      </w:pPr>
      <w:r>
        <w:rPr>
          <w:rFonts w:eastAsia="Times New Roman"/>
          <w:b/>
          <w:bCs/>
          <w:i/>
          <w:iCs/>
          <w:color w:val="000000"/>
          <w:sz w:val="20"/>
          <w:szCs w:val="20"/>
          <w:u w:val="single"/>
        </w:rPr>
        <w:t>Acquired Facilities</w:t>
      </w:r>
    </w:p>
    <w:p w:rsidR="00000000" w:rsidRDefault="00D44B22">
      <w:pPr>
        <w:ind w:firstLine="720"/>
        <w:jc w:val="both"/>
        <w:divId w:val="1092318648"/>
        <w:rPr>
          <w:rFonts w:eastAsia="Times New Roman"/>
        </w:rPr>
      </w:pPr>
      <w:r>
        <w:rPr>
          <w:rFonts w:eastAsia="Times New Roman"/>
          <w:color w:val="000000"/>
          <w:sz w:val="20"/>
          <w:szCs w:val="20"/>
        </w:rPr>
        <w:t xml:space="preserve">The Acquired Facilities represent </w:t>
      </w:r>
      <w:r>
        <w:rPr>
          <w:rFonts w:eastAsia="Times New Roman"/>
          <w:color w:val="000000"/>
          <w:sz w:val="20"/>
          <w:szCs w:val="20"/>
        </w:rPr>
        <w:t>314 facilities that we acquired in 2020, 2021, and 2022. As a result of the stabilization process and timing of when these facilities were acquired, year-over-year changes can be significant. The following table summarizes operating data with respect to th</w:t>
      </w:r>
      <w:r>
        <w:rPr>
          <w:rFonts w:eastAsia="Times New Roman"/>
          <w:color w:val="000000"/>
          <w:sz w:val="20"/>
          <w:szCs w:val="20"/>
        </w:rPr>
        <w:t>e Acquired Facilities: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520"/>
        <w:gridCol w:w="36"/>
        <w:gridCol w:w="122"/>
        <w:gridCol w:w="715"/>
        <w:gridCol w:w="39"/>
        <w:gridCol w:w="37"/>
        <w:gridCol w:w="111"/>
        <w:gridCol w:w="37"/>
        <w:gridCol w:w="122"/>
        <w:gridCol w:w="715"/>
        <w:gridCol w:w="39"/>
        <w:gridCol w:w="48"/>
        <w:gridCol w:w="190"/>
        <w:gridCol w:w="48"/>
        <w:gridCol w:w="122"/>
        <w:gridCol w:w="662"/>
        <w:gridCol w:w="37"/>
        <w:gridCol w:w="36"/>
        <w:gridCol w:w="36"/>
        <w:gridCol w:w="36"/>
        <w:gridCol w:w="122"/>
        <w:gridCol w:w="751"/>
        <w:gridCol w:w="38"/>
        <w:gridCol w:w="36"/>
        <w:gridCol w:w="36"/>
        <w:gridCol w:w="36"/>
        <w:gridCol w:w="122"/>
        <w:gridCol w:w="715"/>
        <w:gridCol w:w="39"/>
        <w:gridCol w:w="36"/>
        <w:gridCol w:w="36"/>
        <w:gridCol w:w="36"/>
        <w:gridCol w:w="122"/>
        <w:gridCol w:w="751"/>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44B22">
            <w:pPr>
              <w:ind w:firstLine="720"/>
              <w:jc w:val="both"/>
              <w:rPr>
                <w:rFonts w:eastAsia="Times New Roman"/>
              </w:rPr>
            </w:pPr>
          </w:p>
        </w:tc>
        <w:tc>
          <w:tcPr>
            <w:tcW w:w="174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 xml:space="preserve">ACQUIRED FACILITIES </w:t>
            </w: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 (a)</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 amounts in thousands, except for per square foot amounts)</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092047682"/>
              <w:rPr>
                <w:rFonts w:eastAsia="Times New Roman"/>
              </w:rPr>
            </w:pPr>
            <w:r>
              <w:rPr>
                <w:rFonts w:eastAsia="Times New Roman"/>
                <w:color w:val="000000"/>
                <w:sz w:val="20"/>
                <w:szCs w:val="20"/>
              </w:rPr>
              <w:t>2020 Acquisitions</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18,413</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12,547</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5,866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35,481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22,838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12,643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695272011"/>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75,350</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19,825</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55,525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144,175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20,657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123,518</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2039039076"/>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1,735</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1,735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2,213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2,213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    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95,498</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32,372</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63,126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181,869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43,495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138,374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39"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985935005"/>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6,263</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6,251</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13,077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12,877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200</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546576389"/>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25,359</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5,710</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19,649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49,257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6,261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42,996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2016150788"/>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1,238</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1,557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32,860</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11,961</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20,899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63,891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19,138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44,753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39"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Net operating income:</w:t>
            </w:r>
          </w:p>
        </w:tc>
        <w:tc>
          <w:tcPr>
            <w:tcW w:w="0" w:type="auto"/>
            <w:gridSpan w:val="3"/>
            <w:tcMar>
              <w:top w:w="0" w:type="dxa"/>
              <w:left w:w="20" w:type="dxa"/>
              <w:bottom w:w="0" w:type="dxa"/>
              <w:right w:w="39"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39"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14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39"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728992562"/>
              <w:rPr>
                <w:rFonts w:eastAsia="Times New Roman"/>
              </w:rPr>
            </w:pPr>
            <w:r>
              <w:rPr>
                <w:rFonts w:eastAsia="Times New Roman"/>
                <w:color w:val="000000"/>
                <w:sz w:val="20"/>
                <w:szCs w:val="20"/>
              </w:rPr>
              <w:t>2020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12,150</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6,296</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5,854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22,404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9,961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12,443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930843331"/>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49,991</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14,115</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35,876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94,918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14,396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80,522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514611528"/>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497</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656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656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62,638</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20,411</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42,227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117,978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24,357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93,621</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Depreciation and amortization expense</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(76,255)</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(38,591)</w:t>
            </w:r>
          </w:p>
        </w:tc>
        <w:tc>
          <w:tcPr>
            <w:tcW w:w="0" w:type="auto"/>
            <w:gridSpan w:val="3"/>
            <w:tcMar>
              <w:top w:w="0" w:type="dxa"/>
              <w:left w:w="20" w:type="dxa"/>
              <w:bottom w:w="0" w:type="dxa"/>
              <w:right w:w="26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(37,664)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(160,720)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(50,064)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(110,656)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Net loss</w:t>
            </w: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(13,617)</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(18,180)</w:t>
            </w:r>
          </w:p>
        </w:tc>
        <w:tc>
          <w:tcPr>
            <w:tcW w:w="0" w:type="auto"/>
            <w:gridSpan w:val="3"/>
            <w:tcMar>
              <w:top w:w="0" w:type="dxa"/>
              <w:left w:w="20" w:type="dxa"/>
              <w:bottom w:w="0" w:type="dxa"/>
              <w:right w:w="14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4,563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(42,742)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(25,707)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(17,035)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319117535"/>
              <w:rPr>
                <w:rFonts w:eastAsia="Times New Roman"/>
              </w:rPr>
            </w:pPr>
            <w:r>
              <w:rPr>
                <w:rFonts w:eastAsia="Times New Roman"/>
                <w:color w:val="000000"/>
                <w:sz w:val="20"/>
                <w:szCs w:val="20"/>
                <w:u w:val="single"/>
              </w:rPr>
              <w:t>At June 30:</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Square foot occupancy:</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2030527157"/>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91.6%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88.7%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915895234"/>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86.0%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86.2%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(0.2)%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187913641"/>
              <w:rPr>
                <w:rFonts w:eastAsia="Times New Roman"/>
              </w:rPr>
            </w:pPr>
            <w:r>
              <w:rPr>
                <w:rFonts w:eastAsia="Times New Roman"/>
                <w:color w:val="000000"/>
                <w:sz w:val="20"/>
                <w:szCs w:val="20"/>
              </w:rPr>
              <w:t>2022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68.0%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86.1%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87.1%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80" w:type="dxa"/>
              <w:bottom w:w="30" w:type="dxa"/>
              <w:right w:w="20" w:type="dxa"/>
            </w:tcMar>
            <w:vAlign w:val="bottom"/>
            <w:hideMark/>
          </w:tcPr>
          <w:p w:rsidR="00000000" w:rsidRDefault="00D44B22">
            <w:pPr>
              <w:spacing w:after="100"/>
              <w:ind w:hanging="90"/>
              <w:rPr>
                <w:rFonts w:eastAsia="Times New Roman"/>
              </w:rPr>
            </w:pPr>
            <w:r>
              <w:rPr>
                <w:rFonts w:eastAsia="Times New Roman"/>
                <w:color w:val="000000"/>
                <w:sz w:val="20"/>
                <w:szCs w:val="20"/>
              </w:rPr>
              <w:t>Annual contract rent per occupied square foot:</w:t>
            </w:r>
          </w:p>
        </w:tc>
        <w:tc>
          <w:tcPr>
            <w:tcW w:w="0" w:type="auto"/>
            <w:gridSpan w:val="3"/>
            <w:tcMar>
              <w:top w:w="0" w:type="dxa"/>
              <w:left w:w="20" w:type="dxa"/>
              <w:bottom w:w="0" w:type="dxa"/>
              <w:right w:w="20" w:type="dxa"/>
            </w:tcMar>
            <w:vAlign w:val="center"/>
            <w:hideMark/>
          </w:tcPr>
          <w:p w:rsidR="00000000" w:rsidRDefault="00D44B22">
            <w:pPr>
              <w:spacing w:after="100"/>
              <w:ind w:hanging="9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658845129"/>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16.31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12.75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27.9%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532771884"/>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16.67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17.97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727948303"/>
              <w:rPr>
                <w:rFonts w:eastAsia="Times New Roman"/>
              </w:rPr>
            </w:pPr>
            <w:r>
              <w:rPr>
                <w:rFonts w:eastAsia="Times New Roman"/>
                <w:color w:val="000000"/>
                <w:sz w:val="20"/>
                <w:szCs w:val="20"/>
              </w:rPr>
              <w:t>2022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11.74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140"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16.41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15.94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Number of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30230667"/>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482307943"/>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232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970015859"/>
              <w:rPr>
                <w:rFonts w:eastAsia="Times New Roman"/>
              </w:rPr>
            </w:pPr>
            <w:r>
              <w:rPr>
                <w:rFonts w:eastAsia="Times New Roman"/>
                <w:color w:val="000000"/>
                <w:sz w:val="20"/>
                <w:szCs w:val="20"/>
              </w:rPr>
              <w:t>2022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314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Net rentable square feet (in thousands) (c):</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367678907"/>
              <w:rPr>
                <w:rFonts w:eastAsia="Times New Roman"/>
              </w:rPr>
            </w:pPr>
            <w:r>
              <w:rPr>
                <w:rFonts w:eastAsia="Times New Roman"/>
                <w:color w:val="000000"/>
                <w:sz w:val="20"/>
                <w:szCs w:val="20"/>
              </w:rPr>
              <w:t>2020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5,075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1474827733"/>
              <w:rPr>
                <w:rFonts w:eastAsia="Times New Roman"/>
              </w:rPr>
            </w:pPr>
            <w:r>
              <w:rPr>
                <w:rFonts w:eastAsia="Times New Roman"/>
                <w:color w:val="000000"/>
                <w:sz w:val="20"/>
                <w:szCs w:val="20"/>
              </w:rPr>
              <w:t>2021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21,830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8,148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13,682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divId w:val="277415531"/>
              <w:rPr>
                <w:rFonts w:eastAsia="Times New Roman"/>
              </w:rPr>
            </w:pPr>
            <w:r>
              <w:rPr>
                <w:rFonts w:eastAsia="Times New Roman"/>
                <w:color w:val="000000"/>
                <w:sz w:val="20"/>
                <w:szCs w:val="20"/>
              </w:rPr>
              <w:t>2022 Acquisitions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1,495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1,495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28,400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13,223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15,177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jc w:val="center"/>
        <w:divId w:val="2010518686"/>
        <w:rPr>
          <w:rFonts w:eastAsia="Times New Roman"/>
        </w:rPr>
      </w:pPr>
      <w:r>
        <w:rPr>
          <w:rFonts w:eastAsia="Times New Roman"/>
          <w:color w:val="000000"/>
          <w:sz w:val="20"/>
          <w:szCs w:val="20"/>
        </w:rPr>
        <w:t>38</w:t>
      </w:r>
    </w:p>
    <w:p w:rsidR="00000000" w:rsidRDefault="00D44B22">
      <w:pPr>
        <w:rPr>
          <w:rFonts w:eastAsia="Times New Roman"/>
        </w:rPr>
      </w:pPr>
      <w:r>
        <w:rPr>
          <w:rFonts w:eastAsia="Times New Roman"/>
        </w:rPr>
        <w:pict>
          <v:rect id="_x0000_i1064" style="width:0;height:1.5pt" o:hralign="center" o:hrstd="t" o:hr="t" fillcolor="#a0a0a0" stroked="f"/>
        </w:pict>
      </w:r>
    </w:p>
    <w:p w:rsidR="00000000" w:rsidRDefault="00D44B22">
      <w:pPr>
        <w:divId w:val="1972862107"/>
        <w:rPr>
          <w:rFonts w:eastAsia="Times New Roman"/>
        </w:rPr>
      </w:pPr>
    </w:p>
    <w:p w:rsidR="00000000" w:rsidRDefault="00D44B22">
      <w:pPr>
        <w:divId w:val="922185239"/>
        <w:rPr>
          <w:rFonts w:eastAsia="Times New Roman"/>
        </w:rPr>
      </w:pPr>
      <w:r>
        <w:rPr>
          <w:rFonts w:eastAsia="Times New Roman"/>
          <w:b/>
          <w:bCs/>
          <w:color w:val="000000"/>
          <w:sz w:val="20"/>
          <w:szCs w:val="20"/>
        </w:rPr>
        <w:t xml:space="preserve">ACQUIRED FACILITIES (Continued) </w:t>
      </w:r>
    </w:p>
    <w:tbl>
      <w:tblPr>
        <w:tblW w:w="4287" w:type="pct"/>
        <w:tblCellMar>
          <w:top w:w="15" w:type="dxa"/>
          <w:left w:w="15" w:type="dxa"/>
          <w:bottom w:w="15" w:type="dxa"/>
          <w:right w:w="15" w:type="dxa"/>
        </w:tblCellMar>
        <w:tblLook w:val="04A0" w:firstRow="1" w:lastRow="0" w:firstColumn="1" w:lastColumn="0" w:noHBand="0" w:noVBand="1"/>
      </w:tblPr>
      <w:tblGrid>
        <w:gridCol w:w="38"/>
        <w:gridCol w:w="5557"/>
        <w:gridCol w:w="37"/>
        <w:gridCol w:w="122"/>
        <w:gridCol w:w="1331"/>
        <w:gridCol w:w="37"/>
      </w:tblGrid>
      <w:tr w:rsidR="00000000">
        <w:trPr>
          <w:divId w:val="165706032"/>
        </w:trPr>
        <w:tc>
          <w:tcPr>
            <w:tcW w:w="50" w:type="pct"/>
            <w:vAlign w:val="center"/>
            <w:hideMark/>
          </w:tcPr>
          <w:p w:rsidR="00000000" w:rsidRDefault="00D44B22">
            <w:pPr>
              <w:rPr>
                <w:rFonts w:eastAsia="Times New Roman"/>
              </w:rPr>
            </w:pPr>
          </w:p>
        </w:tc>
        <w:tc>
          <w:tcPr>
            <w:tcW w:w="392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96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165706032"/>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 xml:space="preserve">As of </w:t>
            </w:r>
          </w:p>
          <w:p w:rsidR="00000000" w:rsidRDefault="00D44B22">
            <w:pPr>
              <w:spacing w:after="100"/>
              <w:jc w:val="center"/>
              <w:rPr>
                <w:rFonts w:eastAsia="Times New Roman"/>
              </w:rPr>
            </w:pPr>
            <w:r>
              <w:rPr>
                <w:rFonts w:eastAsia="Times New Roman"/>
                <w:color w:val="000000"/>
                <w:sz w:val="20"/>
                <w:szCs w:val="20"/>
              </w:rPr>
              <w:t>June 30, 2022</w:t>
            </w:r>
          </w:p>
        </w:tc>
      </w:tr>
      <w:tr w:rsidR="00000000">
        <w:trPr>
          <w:divId w:val="16570603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Costs to acquire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r>
      <w:tr w:rsidR="00000000">
        <w:trPr>
          <w:divId w:val="165706032"/>
        </w:trPr>
        <w:tc>
          <w:tcPr>
            <w:tcW w:w="0" w:type="auto"/>
            <w:gridSpan w:val="3"/>
            <w:tcMar>
              <w:top w:w="30" w:type="dxa"/>
              <w:left w:w="20" w:type="dxa"/>
              <w:bottom w:w="30" w:type="dxa"/>
              <w:right w:w="20" w:type="dxa"/>
            </w:tcMar>
            <w:vAlign w:val="bottom"/>
            <w:hideMark/>
          </w:tcPr>
          <w:p w:rsidR="00000000" w:rsidRDefault="00D44B22">
            <w:pPr>
              <w:spacing w:after="100"/>
              <w:divId w:val="379937203"/>
              <w:rPr>
                <w:rFonts w:eastAsia="Times New Roman"/>
              </w:rPr>
            </w:pPr>
            <w:r>
              <w:rPr>
                <w:rFonts w:eastAsia="Times New Roman"/>
                <w:color w:val="000000"/>
                <w:sz w:val="20"/>
                <w:szCs w:val="20"/>
              </w:rPr>
              <w:t>2020 Acquisitions</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796,065</w:t>
            </w:r>
          </w:p>
        </w:tc>
      </w:tr>
      <w:tr w:rsidR="00000000">
        <w:trPr>
          <w:divId w:val="165706032"/>
        </w:trPr>
        <w:tc>
          <w:tcPr>
            <w:tcW w:w="0" w:type="auto"/>
            <w:gridSpan w:val="3"/>
            <w:tcMar>
              <w:top w:w="30" w:type="dxa"/>
              <w:left w:w="20" w:type="dxa"/>
              <w:bottom w:w="30" w:type="dxa"/>
              <w:right w:w="20" w:type="dxa"/>
            </w:tcMar>
            <w:vAlign w:val="bottom"/>
            <w:hideMark/>
          </w:tcPr>
          <w:p w:rsidR="00000000" w:rsidRDefault="00D44B22">
            <w:pPr>
              <w:spacing w:after="100"/>
              <w:divId w:val="995916323"/>
              <w:rPr>
                <w:rFonts w:eastAsia="Times New Roman"/>
              </w:rPr>
            </w:pPr>
            <w:r>
              <w:rPr>
                <w:rFonts w:eastAsia="Times New Roman"/>
                <w:color w:val="000000"/>
                <w:sz w:val="20"/>
                <w:szCs w:val="20"/>
              </w:rPr>
              <w:t>2021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5,115,276</w:t>
            </w:r>
          </w:p>
        </w:tc>
      </w:tr>
      <w:tr w:rsidR="00000000">
        <w:trPr>
          <w:divId w:val="165706032"/>
        </w:trPr>
        <w:tc>
          <w:tcPr>
            <w:tcW w:w="0" w:type="auto"/>
            <w:gridSpan w:val="3"/>
            <w:tcMar>
              <w:top w:w="30" w:type="dxa"/>
              <w:left w:w="20" w:type="dxa"/>
              <w:bottom w:w="30" w:type="dxa"/>
              <w:right w:w="20" w:type="dxa"/>
            </w:tcMar>
            <w:vAlign w:val="bottom"/>
            <w:hideMark/>
          </w:tcPr>
          <w:p w:rsidR="00000000" w:rsidRDefault="00D44B22">
            <w:pPr>
              <w:spacing w:after="100"/>
              <w:divId w:val="766313081"/>
              <w:rPr>
                <w:rFonts w:eastAsia="Times New Roman"/>
              </w:rPr>
            </w:pPr>
            <w:r>
              <w:rPr>
                <w:rFonts w:eastAsia="Times New Roman"/>
                <w:color w:val="000000"/>
                <w:sz w:val="20"/>
                <w:szCs w:val="20"/>
              </w:rPr>
              <w:t>2022 Acquisitions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251,282</w:t>
            </w:r>
          </w:p>
        </w:tc>
      </w:tr>
      <w:tr w:rsidR="00000000">
        <w:trPr>
          <w:divId w:val="165706032"/>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6,162,623</w:t>
            </w:r>
          </w:p>
        </w:tc>
      </w:tr>
    </w:tbl>
    <w:p w:rsidR="00000000" w:rsidRDefault="00D44B22">
      <w:pPr>
        <w:ind w:hanging="360"/>
        <w:jc w:val="both"/>
        <w:divId w:val="1134759376"/>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D44B22">
      <w:pPr>
        <w:ind w:hanging="360"/>
        <w:jc w:val="both"/>
        <w:divId w:val="55473421"/>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 revenues and expenses generated at the facilities. See “Ancillary Operations” below for more information.</w:t>
      </w:r>
    </w:p>
    <w:p w:rsidR="00000000" w:rsidRDefault="00D44B22">
      <w:pPr>
        <w:ind w:hanging="360"/>
        <w:jc w:val="both"/>
        <w:divId w:val="461851345"/>
        <w:rPr>
          <w:rFonts w:eastAsia="Times New Roman"/>
        </w:rPr>
      </w:pPr>
      <w:r>
        <w:rPr>
          <w:rFonts w:eastAsia="Times New Roman"/>
          <w:color w:val="000000"/>
          <w:sz w:val="18"/>
          <w:szCs w:val="18"/>
        </w:rPr>
        <w:t>(c)The Acquired Facilities have an aggregate of approximately 28.4 million net rentable square feet, including 11.0 million in T</w:t>
      </w:r>
      <w:r>
        <w:rPr>
          <w:rFonts w:eastAsia="Times New Roman"/>
          <w:color w:val="000000"/>
          <w:sz w:val="18"/>
          <w:szCs w:val="18"/>
        </w:rPr>
        <w:t>exas, 3.8 million in Maryland, 1.1 million in Virginia, 0.9 million in North Carolina, 0.8 million in Colorado, 0.7 million in Arizona, 0.6 million in each of California, Florida, Georgia, Illinois, Minnesota, Ohio and Oklahoma, 0.5 million in each of Idah</w:t>
      </w:r>
      <w:r>
        <w:rPr>
          <w:rFonts w:eastAsia="Times New Roman"/>
          <w:color w:val="000000"/>
          <w:sz w:val="18"/>
          <w:szCs w:val="18"/>
        </w:rPr>
        <w:t>o, Michigan, Missouri, Nebraska, Oregon and Pennsylvania, 0.4 million in each of Indiana, South Carolina and Tennessee, and 0.3 million in each of Alabama, Nevada and Washington, and 0.8 million in other states.</w:t>
      </w:r>
    </w:p>
    <w:p w:rsidR="00000000" w:rsidRDefault="00D44B22">
      <w:pPr>
        <w:ind w:firstLine="720"/>
        <w:jc w:val="both"/>
        <w:divId w:val="1328971570"/>
        <w:rPr>
          <w:rFonts w:eastAsia="Times New Roman"/>
        </w:rPr>
      </w:pPr>
      <w:r>
        <w:rPr>
          <w:rFonts w:eastAsia="Times New Roman"/>
          <w:color w:val="000000"/>
          <w:sz w:val="20"/>
          <w:szCs w:val="20"/>
        </w:rPr>
        <w:t xml:space="preserve">We have been active in acquiring facilities </w:t>
      </w:r>
      <w:r>
        <w:rPr>
          <w:rFonts w:eastAsia="Times New Roman"/>
          <w:color w:val="000000"/>
          <w:sz w:val="20"/>
          <w:szCs w:val="20"/>
        </w:rPr>
        <w:t>in recent years. Since the beginning of 2020, we acquired a total of 314 facilities with 28.4 million net rentable square feet for $6.2 billion. During the three and six months ended June 30, 2022, these facilities contributed net operating income of $62.6</w:t>
      </w:r>
      <w:r>
        <w:rPr>
          <w:rFonts w:eastAsia="Times New Roman"/>
          <w:color w:val="000000"/>
          <w:sz w:val="20"/>
          <w:szCs w:val="20"/>
        </w:rPr>
        <w:t xml:space="preserve"> million and $118.0 million, respectively.</w:t>
      </w:r>
    </w:p>
    <w:p w:rsidR="00000000" w:rsidRDefault="00D44B22">
      <w:pPr>
        <w:ind w:firstLine="720"/>
        <w:jc w:val="both"/>
        <w:divId w:val="1351028511"/>
        <w:rPr>
          <w:rFonts w:eastAsia="Times New Roman"/>
        </w:rPr>
      </w:pPr>
      <w:r>
        <w:rPr>
          <w:rFonts w:eastAsia="Times New Roman"/>
          <w:color w:val="000000"/>
          <w:sz w:val="20"/>
          <w:szCs w:val="20"/>
        </w:rPr>
        <w:t>During 2021, we acquired the ezStorage portfolio, consisting of 48 properties (4.1 million net rentable square feet) for acquisition cost of $1.8 billion, which includes 47 self-storage facilities and one property</w:t>
      </w:r>
      <w:r>
        <w:rPr>
          <w:rFonts w:eastAsia="Times New Roman"/>
          <w:color w:val="000000"/>
          <w:sz w:val="20"/>
          <w:szCs w:val="20"/>
        </w:rPr>
        <w:t xml:space="preserve"> that was under construction. Included in the Acquisition results in the table above are ezStorage portfolio revenues of $48.7 million, NOI of $38.3 million (including Direct NOI of $39.7 million), and average square footage occupancy of 89.7% for the six </w:t>
      </w:r>
      <w:r>
        <w:rPr>
          <w:rFonts w:eastAsia="Times New Roman"/>
          <w:color w:val="000000"/>
          <w:sz w:val="20"/>
          <w:szCs w:val="20"/>
        </w:rPr>
        <w:t xml:space="preserve">months ended June 30, 2022. </w:t>
      </w:r>
    </w:p>
    <w:p w:rsidR="00000000" w:rsidRDefault="00D44B22">
      <w:pPr>
        <w:ind w:firstLine="720"/>
        <w:jc w:val="both"/>
        <w:divId w:val="839199960"/>
        <w:rPr>
          <w:rFonts w:eastAsia="Times New Roman"/>
        </w:rPr>
      </w:pPr>
      <w:r>
        <w:rPr>
          <w:rFonts w:eastAsia="Times New Roman"/>
          <w:color w:val="000000"/>
          <w:sz w:val="20"/>
          <w:szCs w:val="20"/>
        </w:rPr>
        <w:t>During 2021, we acquired the All Storage portfolio, consisting of 56 properties (7.5 million net rentable square feet) for $1.5 billion, with 55 properties closed in the fourth quarter of 2021 and one property closed in Februar</w:t>
      </w:r>
      <w:r>
        <w:rPr>
          <w:rFonts w:eastAsia="Times New Roman"/>
          <w:color w:val="000000"/>
          <w:sz w:val="20"/>
          <w:szCs w:val="20"/>
        </w:rPr>
        <w:t>y 2022. Included in the Acquisition results in the table above are All Storage portfolio revenues of $35.2 million, NOI of $21.4 million (including Direct NOI of $22.8 million), and average square footage occupancy of 78.4% for the six months ended June 30</w:t>
      </w:r>
      <w:r>
        <w:rPr>
          <w:rFonts w:eastAsia="Times New Roman"/>
          <w:color w:val="000000"/>
          <w:sz w:val="20"/>
          <w:szCs w:val="20"/>
        </w:rPr>
        <w:t xml:space="preserve">, 2022. </w:t>
      </w:r>
    </w:p>
    <w:p w:rsidR="00000000" w:rsidRDefault="00D44B22">
      <w:pPr>
        <w:ind w:firstLine="720"/>
        <w:jc w:val="both"/>
        <w:rPr>
          <w:rFonts w:eastAsia="Times New Roman"/>
        </w:rPr>
      </w:pPr>
      <w:r>
        <w:rPr>
          <w:rFonts w:eastAsia="Times New Roman"/>
          <w:color w:val="000000"/>
          <w:sz w:val="20"/>
          <w:szCs w:val="20"/>
        </w:rPr>
        <w:t>We remain active in seeking to acquire additional self-storage facilities through 2022. Subsequent to June </w:t>
      </w:r>
      <w:r>
        <w:rPr>
          <w:rFonts w:eastAsia="Times New Roman"/>
          <w:color w:val="000000"/>
          <w:sz w:val="20"/>
          <w:szCs w:val="20"/>
        </w:rPr>
        <w:t>30, 2022, we acquired or were under contract to acquire 24 self-storage facilities across ten states with 1.7 million net rentable square feet, for $257.4 million.</w:t>
      </w:r>
    </w:p>
    <w:p w:rsidR="00000000" w:rsidRDefault="00D44B22">
      <w:pPr>
        <w:ind w:firstLine="720"/>
        <w:jc w:val="both"/>
        <w:rPr>
          <w:rFonts w:eastAsia="Times New Roman"/>
        </w:rPr>
      </w:pPr>
    </w:p>
    <w:p w:rsidR="00000000" w:rsidRDefault="00D44B22">
      <w:pPr>
        <w:divId w:val="2128428276"/>
        <w:rPr>
          <w:rFonts w:eastAsia="Times New Roman"/>
        </w:rPr>
      </w:pPr>
    </w:p>
    <w:p w:rsidR="00000000" w:rsidRDefault="00D44B22">
      <w:pPr>
        <w:jc w:val="center"/>
        <w:divId w:val="2094815662"/>
        <w:rPr>
          <w:rFonts w:eastAsia="Times New Roman"/>
        </w:rPr>
      </w:pPr>
      <w:r>
        <w:rPr>
          <w:rFonts w:eastAsia="Times New Roman"/>
          <w:color w:val="000000"/>
          <w:sz w:val="20"/>
          <w:szCs w:val="20"/>
        </w:rPr>
        <w:t>39</w:t>
      </w:r>
    </w:p>
    <w:p w:rsidR="00000000" w:rsidRDefault="00D44B22">
      <w:pPr>
        <w:rPr>
          <w:rFonts w:eastAsia="Times New Roman"/>
        </w:rPr>
      </w:pPr>
      <w:r>
        <w:rPr>
          <w:rFonts w:eastAsia="Times New Roman"/>
        </w:rPr>
        <w:pict>
          <v:rect id="_x0000_i1065" style="width:0;height:1.5pt" o:hralign="center" o:hrstd="t" o:hr="t" fillcolor="#a0a0a0" stroked="f"/>
        </w:pict>
      </w:r>
    </w:p>
    <w:p w:rsidR="00000000" w:rsidRDefault="00D44B22">
      <w:pPr>
        <w:divId w:val="454835869"/>
        <w:rPr>
          <w:rFonts w:eastAsia="Times New Roman"/>
        </w:rPr>
      </w:pPr>
    </w:p>
    <w:p w:rsidR="00000000" w:rsidRDefault="00D44B22">
      <w:pPr>
        <w:divId w:val="1978994705"/>
        <w:rPr>
          <w:rFonts w:eastAsia="Times New Roman"/>
        </w:rPr>
      </w:pPr>
      <w:r>
        <w:rPr>
          <w:rFonts w:eastAsia="Times New Roman"/>
          <w:b/>
          <w:bCs/>
          <w:i/>
          <w:iCs/>
          <w:color w:val="000000"/>
          <w:sz w:val="20"/>
          <w:szCs w:val="20"/>
          <w:u w:val="single"/>
        </w:rPr>
        <w:t>Developed and Expanded Facilities</w:t>
      </w:r>
    </w:p>
    <w:p w:rsidR="00000000" w:rsidRDefault="00D44B22">
      <w:pPr>
        <w:ind w:firstLine="720"/>
        <w:jc w:val="both"/>
        <w:divId w:val="2068215519"/>
        <w:rPr>
          <w:rFonts w:eastAsia="Times New Roman"/>
        </w:rPr>
      </w:pPr>
      <w:r>
        <w:rPr>
          <w:rFonts w:eastAsia="Times New Roman"/>
          <w:color w:val="000000"/>
          <w:sz w:val="20"/>
          <w:szCs w:val="20"/>
        </w:rPr>
        <w:t>The develope</w:t>
      </w:r>
      <w:r>
        <w:rPr>
          <w:rFonts w:eastAsia="Times New Roman"/>
          <w:color w:val="000000"/>
          <w:sz w:val="20"/>
          <w:szCs w:val="20"/>
        </w:rPr>
        <w:t xml:space="preserve">d and expanded facilities include 54 facilities that were developed on new sites since January 1, 2017, and 91 facilities expanded to increase their net rentable square footage. Of these expansions, 51 were completed before 2021, 22 were completed in 2021 </w:t>
      </w:r>
      <w:r>
        <w:rPr>
          <w:rFonts w:eastAsia="Times New Roman"/>
          <w:color w:val="000000"/>
          <w:sz w:val="20"/>
          <w:szCs w:val="20"/>
        </w:rPr>
        <w:t>or 2022, and 18 are currently in process at June 30, 2022. The following table summarizes operating data with respect to the Developed and Expanded Facilities: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376"/>
        <w:gridCol w:w="38"/>
        <w:gridCol w:w="122"/>
        <w:gridCol w:w="662"/>
        <w:gridCol w:w="36"/>
        <w:gridCol w:w="36"/>
        <w:gridCol w:w="36"/>
        <w:gridCol w:w="36"/>
        <w:gridCol w:w="120"/>
        <w:gridCol w:w="600"/>
        <w:gridCol w:w="36"/>
        <w:gridCol w:w="36"/>
        <w:gridCol w:w="36"/>
        <w:gridCol w:w="36"/>
        <w:gridCol w:w="120"/>
        <w:gridCol w:w="600"/>
        <w:gridCol w:w="36"/>
        <w:gridCol w:w="36"/>
        <w:gridCol w:w="36"/>
        <w:gridCol w:w="36"/>
        <w:gridCol w:w="122"/>
        <w:gridCol w:w="662"/>
        <w:gridCol w:w="37"/>
        <w:gridCol w:w="36"/>
        <w:gridCol w:w="36"/>
        <w:gridCol w:w="36"/>
        <w:gridCol w:w="120"/>
        <w:gridCol w:w="600"/>
        <w:gridCol w:w="36"/>
        <w:gridCol w:w="36"/>
        <w:gridCol w:w="36"/>
        <w:gridCol w:w="36"/>
        <w:gridCol w:w="120"/>
        <w:gridCol w:w="600"/>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44B22">
            <w:pPr>
              <w:ind w:firstLine="720"/>
              <w:jc w:val="both"/>
              <w:rPr>
                <w:rFonts w:eastAsia="Times New Roman"/>
              </w:rPr>
            </w:pPr>
          </w:p>
        </w:tc>
        <w:tc>
          <w:tcPr>
            <w:tcW w:w="173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6"/>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DEVELOPED AND EXPANDED FACILITIES</w:t>
            </w:r>
          </w:p>
        </w:tc>
        <w:tc>
          <w:tcPr>
            <w:tcW w:w="0" w:type="auto"/>
            <w:gridSpan w:val="3"/>
            <w:vAlign w:val="center"/>
            <w:hideMark/>
          </w:tcPr>
          <w:p w:rsidR="00000000" w:rsidRDefault="00D44B22">
            <w:pPr>
              <w:spacing w:after="100"/>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 (a)</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 (a)</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 amounts in thousands, except for per square foot amounts)</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Revenues (b):</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2017</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8,599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6,661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16,541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12,704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3,837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8,990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6,769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2,221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17,283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12,822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4,461</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3,997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2,819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1,178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7,623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5,157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2,466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1,676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662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3,158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1,031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2,127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1,931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1,787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3,360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3,212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completed before 2021</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23,401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16,424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6,977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44,817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30,695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14,122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completed in 2021 or 2022</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11,055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6,568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4,487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20,856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12,831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8,025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6,250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6,167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12,337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12,303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r>
              <w:rPr>
                <w:rFonts w:eastAsia="Times New Roman"/>
                <w:color w:val="000000"/>
                <w:sz w:val="20"/>
                <w:szCs w:val="20"/>
              </w:rPr>
              <w:t xml:space="preserve">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65,899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46,214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19,685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125,975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87,691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38,284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 xml:space="preserve">Cost of operations (b):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2,696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2,418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278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5,324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4,921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403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2,432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2,543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4,987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5,105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(118)</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1,504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1,287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2,872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2,695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427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444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855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843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832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407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1,687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1,197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completed before 2021</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7,442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7,292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15,043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14,368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675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completed in 2021 or 2022</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2,747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1,642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1,105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5,444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3,531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1,913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1,267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2,509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2,682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     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19,304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17,300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2,004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38,721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34,635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4,086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20"/>
                <w:szCs w:val="20"/>
              </w:rPr>
              <w:t>Net operating income (loss):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39"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2017</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5,903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4,243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1,660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11,217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7,783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3,434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6,558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4,226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2,332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12,296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7,717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4,579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2,493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1,532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961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4,751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2,462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2,289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1,249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1,031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2,303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2,115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1,099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(263)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1,362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1,673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(342)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2,015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completed before 2021</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15,959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9,132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6,827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29,774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16,327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13,447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completed in 2021 or 2022</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8,308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4,926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3,382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15,412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9,300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6,112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in process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5,026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9,828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9,621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     Net operating income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46,595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28,914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17,681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87,254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53,056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34,198</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14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Depreciation and amortization expense</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(14,781)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(13,243)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(29,409)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(28,512)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(897)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32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Net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31,814</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15,671 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16,143 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57,845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24,544 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44B22">
            <w:pPr>
              <w:spacing w:after="100"/>
              <w:jc w:val="right"/>
              <w:rPr>
                <w:rFonts w:eastAsia="Times New Roman"/>
              </w:rPr>
            </w:pPr>
            <w:r>
              <w:rPr>
                <w:rFonts w:eastAsia="Times New Roman"/>
                <w:color w:val="000000"/>
                <w:sz w:val="20"/>
                <w:szCs w:val="20"/>
              </w:rPr>
              <w:t>33,301 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jc w:val="right"/>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divId w:val="426001740"/>
        <w:rPr>
          <w:rFonts w:eastAsia="Times New Roman"/>
        </w:rPr>
      </w:pPr>
    </w:p>
    <w:p w:rsidR="00000000" w:rsidRDefault="00D44B22">
      <w:pPr>
        <w:divId w:val="391196005"/>
        <w:rPr>
          <w:rFonts w:eastAsia="Times New Roman"/>
        </w:rPr>
      </w:pPr>
    </w:p>
    <w:p w:rsidR="00000000" w:rsidRDefault="00D44B22">
      <w:pPr>
        <w:jc w:val="both"/>
        <w:rPr>
          <w:rFonts w:eastAsia="Times New Roman"/>
        </w:rPr>
      </w:pPr>
    </w:p>
    <w:p w:rsidR="00000000" w:rsidRDefault="00D44B22">
      <w:pPr>
        <w:jc w:val="center"/>
        <w:divId w:val="552691981"/>
        <w:rPr>
          <w:rFonts w:eastAsia="Times New Roman"/>
        </w:rPr>
      </w:pPr>
      <w:r>
        <w:rPr>
          <w:rFonts w:eastAsia="Times New Roman"/>
          <w:color w:val="000000"/>
          <w:sz w:val="20"/>
          <w:szCs w:val="20"/>
        </w:rPr>
        <w:t>40</w:t>
      </w:r>
    </w:p>
    <w:p w:rsidR="00000000" w:rsidRDefault="00D44B22">
      <w:pPr>
        <w:rPr>
          <w:rFonts w:eastAsia="Times New Roman"/>
        </w:rPr>
      </w:pPr>
      <w:r>
        <w:rPr>
          <w:rFonts w:eastAsia="Times New Roman"/>
        </w:rPr>
        <w:pict>
          <v:rect id="_x0000_i1066" style="width:0;height:1.5pt" o:hralign="center" o:hrstd="t" o:hr="t" fillcolor="#a0a0a0" stroked="f"/>
        </w:pict>
      </w:r>
    </w:p>
    <w:p w:rsidR="00000000" w:rsidRDefault="00D44B22">
      <w:pPr>
        <w:divId w:val="46231065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613"/>
        <w:gridCol w:w="36"/>
        <w:gridCol w:w="36"/>
        <w:gridCol w:w="651"/>
        <w:gridCol w:w="36"/>
        <w:gridCol w:w="36"/>
        <w:gridCol w:w="36"/>
        <w:gridCol w:w="36"/>
        <w:gridCol w:w="36"/>
        <w:gridCol w:w="651"/>
        <w:gridCol w:w="36"/>
        <w:gridCol w:w="36"/>
        <w:gridCol w:w="36"/>
        <w:gridCol w:w="36"/>
        <w:gridCol w:w="36"/>
        <w:gridCol w:w="653"/>
        <w:gridCol w:w="36"/>
        <w:gridCol w:w="36"/>
        <w:gridCol w:w="36"/>
        <w:gridCol w:w="36"/>
        <w:gridCol w:w="112"/>
        <w:gridCol w:w="653"/>
        <w:gridCol w:w="37"/>
        <w:gridCol w:w="36"/>
        <w:gridCol w:w="36"/>
        <w:gridCol w:w="36"/>
        <w:gridCol w:w="112"/>
        <w:gridCol w:w="619"/>
        <w:gridCol w:w="37"/>
        <w:gridCol w:w="36"/>
        <w:gridCol w:w="36"/>
        <w:gridCol w:w="36"/>
        <w:gridCol w:w="59"/>
        <w:gridCol w:w="59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jc w:val="center"/>
        </w:trPr>
        <w:tc>
          <w:tcPr>
            <w:tcW w:w="50" w:type="pct"/>
            <w:vAlign w:val="center"/>
            <w:hideMark/>
          </w:tcPr>
          <w:p w:rsidR="00000000" w:rsidRDefault="00D44B22">
            <w:pPr>
              <w:rPr>
                <w:rFonts w:eastAsia="Times New Roman"/>
              </w:rPr>
            </w:pPr>
          </w:p>
        </w:tc>
        <w:tc>
          <w:tcPr>
            <w:tcW w:w="173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b/>
                <w:bCs/>
                <w:color w:val="000000"/>
                <w:sz w:val="18"/>
                <w:szCs w:val="18"/>
              </w:rPr>
              <w:t>DEVELOPED AND EXPANDED FACILITIES (Continued)</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As of June 30,</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Change (a)</w:t>
            </w:r>
          </w:p>
        </w:tc>
        <w:tc>
          <w:tcPr>
            <w:tcW w:w="0" w:type="auto"/>
            <w:gridSpan w:val="3"/>
            <w:vAlign w:val="center"/>
            <w:hideMark/>
          </w:tcPr>
          <w:p w:rsidR="00000000" w:rsidRDefault="00D44B22">
            <w:pPr>
              <w:spacing w:after="100"/>
              <w:jc w:val="center"/>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18"/>
                <w:szCs w:val="18"/>
              </w:rPr>
              <w:t>($ amounts in thousands, except for per square foot amounts)</w:t>
            </w: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c>
          <w:tcPr>
            <w:tcW w:w="0" w:type="auto"/>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Square foot occupancy:</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vAlign w:val="center"/>
            <w:hideMark/>
          </w:tcPr>
          <w:p w:rsidR="00000000" w:rsidRDefault="00D44B22">
            <w:pPr>
              <w:spacing w:after="100"/>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2017</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93.2%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94.5%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2018</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91.2%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92.2%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(1.1)%</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2019</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88.9%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91.3%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2020</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92.6%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84.6%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9.5%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2021</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80.7%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45.7%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76.6%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completed before 2021</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89.9%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87.5%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completed in 2021 or 2022</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83.2%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89.8%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(7.3)%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in process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85.2%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93.1%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87.8%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88.9%</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Annual contract rent per occupied square foot:</w:t>
            </w:r>
          </w:p>
        </w:tc>
        <w:tc>
          <w:tcPr>
            <w:tcW w:w="0" w:type="auto"/>
            <w:gridSpan w:val="3"/>
            <w:tcMar>
              <w:top w:w="0" w:type="dxa"/>
              <w:left w:w="20" w:type="dxa"/>
              <w:bottom w:w="0" w:type="dxa"/>
              <w:right w:w="20" w:type="dxa"/>
            </w:tcMar>
            <w:vAlign w:val="center"/>
            <w:hideMark/>
          </w:tcPr>
          <w:p w:rsidR="00000000" w:rsidRDefault="00D44B22">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2017</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18.27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14.05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30.0%</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2018</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19.48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14.91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30.7%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2019</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17.45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12.51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39.5%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2020</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20.44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13.01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57.1%</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2021</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16.52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11.48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43.9%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completed before 2021</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15.39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11.90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29.3%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completed in 2021 or 2022</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21.24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19.09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11.3%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in process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24.66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21.62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14.1%</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18.18</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18"/>
                <w:szCs w:val="18"/>
              </w:rPr>
              <w:t>$</w:t>
            </w:r>
          </w:p>
        </w:tc>
        <w:tc>
          <w:tcPr>
            <w:tcW w:w="0" w:type="auto"/>
            <w:gridSpan w:val="2"/>
            <w:tcBorders>
              <w:top w:val="single" w:sz="8"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14.25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27.6%</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Number of facilities: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2017</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2018</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2019</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2020</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2021</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completed before 2021</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51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completed in 2021 or 2022</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in process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145</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140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5</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0" w:type="dxa"/>
              <w:bottom w:w="30" w:type="dxa"/>
              <w:right w:w="20" w:type="dxa"/>
            </w:tcMar>
            <w:vAlign w:val="bottom"/>
            <w:hideMark/>
          </w:tcPr>
          <w:p w:rsidR="00000000" w:rsidRDefault="00D44B22">
            <w:pPr>
              <w:spacing w:after="100"/>
              <w:ind w:hanging="180"/>
              <w:rPr>
                <w:rFonts w:eastAsia="Times New Roman"/>
              </w:rPr>
            </w:pPr>
            <w:r>
              <w:rPr>
                <w:rFonts w:eastAsia="Times New Roman"/>
                <w:color w:val="000000"/>
                <w:sz w:val="18"/>
                <w:szCs w:val="18"/>
              </w:rPr>
              <w:t>Net rentable square feet (in thousands) (c):</w:t>
            </w:r>
          </w:p>
        </w:tc>
        <w:tc>
          <w:tcPr>
            <w:tcW w:w="0" w:type="auto"/>
            <w:gridSpan w:val="3"/>
            <w:tcMar>
              <w:top w:w="0" w:type="dxa"/>
              <w:left w:w="20" w:type="dxa"/>
              <w:bottom w:w="0" w:type="dxa"/>
              <w:right w:w="20" w:type="dxa"/>
            </w:tcMar>
            <w:vAlign w:val="center"/>
            <w:hideMark/>
          </w:tcPr>
          <w:p w:rsidR="00000000" w:rsidRDefault="00D44B22">
            <w:pPr>
              <w:spacing w:after="100"/>
              <w:ind w:hanging="18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double" w:sz="6" w:space="0" w:color="000000"/>
            </w:tcBorders>
            <w:tcMar>
              <w:top w:w="30" w:type="dxa"/>
              <w:left w:w="20" w:type="dxa"/>
              <w:bottom w:w="30" w:type="dxa"/>
              <w:right w:w="140" w:type="dxa"/>
            </w:tcMar>
            <w:vAlign w:val="bottom"/>
            <w:hideMark/>
          </w:tcPr>
          <w:p w:rsidR="00000000" w:rsidRDefault="00D44B22">
            <w:pPr>
              <w:spacing w:after="100"/>
              <w:jc w:val="right"/>
              <w:rPr>
                <w:rFonts w:eastAsia="Times New Roman"/>
              </w:rPr>
            </w:pPr>
            <w:r>
              <w:rPr>
                <w:rFonts w:eastAsia="Times New Roman"/>
                <w:color w:val="000000"/>
                <w:sz w:val="18"/>
                <w:szCs w:val="18"/>
              </w:rPr>
              <w:t> </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2017</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2,040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2018</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2,069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2019</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1,057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2020</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347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Developed in 2021</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681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359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322</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completed before 2021</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6,879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6,879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completed in 2021 or 2022</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2,645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1,556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1,089</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Expansions in process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1,180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1,224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(44)</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16,898</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15,531</w:t>
            </w:r>
          </w:p>
        </w:tc>
        <w:tc>
          <w:tcPr>
            <w:tcW w:w="0" w:type="auto"/>
            <w:gridSpan w:val="3"/>
            <w:tcBorders>
              <w:top w:val="single" w:sz="8" w:space="0" w:color="000000"/>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bottom w:val="double" w:sz="6"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18"/>
                <w:szCs w:val="18"/>
              </w:rPr>
              <w:t>1,367</w:t>
            </w:r>
          </w:p>
        </w:tc>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c>
          <w:tcPr>
            <w:tcW w:w="0" w:type="auto"/>
            <w:gridSpan w:val="3"/>
            <w:vAlign w:val="center"/>
            <w:hideMark/>
          </w:tcPr>
          <w:p w:rsidR="00000000" w:rsidRDefault="00D44B22">
            <w:pPr>
              <w:spacing w:after="100"/>
              <w:rPr>
                <w:rFonts w:eastAsia="Times New Roman"/>
                <w:sz w:val="20"/>
                <w:szCs w:val="20"/>
              </w:rPr>
            </w:pPr>
          </w:p>
        </w:tc>
      </w:tr>
    </w:tbl>
    <w:p w:rsidR="00000000" w:rsidRDefault="00D44B22">
      <w:pPr>
        <w:jc w:val="center"/>
        <w:divId w:val="1924407665"/>
        <w:rPr>
          <w:rFonts w:eastAsia="Times New Roman"/>
        </w:rPr>
      </w:pPr>
      <w:r>
        <w:rPr>
          <w:rFonts w:eastAsia="Times New Roman"/>
          <w:color w:val="000000"/>
          <w:sz w:val="20"/>
          <w:szCs w:val="20"/>
        </w:rPr>
        <w:t>41</w:t>
      </w:r>
    </w:p>
    <w:p w:rsidR="00000000" w:rsidRDefault="00D44B22">
      <w:pPr>
        <w:rPr>
          <w:rFonts w:eastAsia="Times New Roman"/>
        </w:rPr>
      </w:pPr>
      <w:r>
        <w:rPr>
          <w:rFonts w:eastAsia="Times New Roman"/>
        </w:rPr>
        <w:pict>
          <v:rect id="_x0000_i1067" style="width:0;height:1.5pt" o:hralign="center" o:hrstd="t" o:hr="t" fillcolor="#a0a0a0" stroked="f"/>
        </w:pict>
      </w:r>
    </w:p>
    <w:p w:rsidR="00000000" w:rsidRDefault="00D44B22">
      <w:pPr>
        <w:divId w:val="2011758865"/>
        <w:rPr>
          <w:rFonts w:eastAsia="Times New Roman"/>
        </w:rPr>
      </w:pPr>
    </w:p>
    <w:tbl>
      <w:tblPr>
        <w:tblW w:w="4257" w:type="pct"/>
        <w:tblCellMar>
          <w:top w:w="15" w:type="dxa"/>
          <w:left w:w="15" w:type="dxa"/>
          <w:bottom w:w="15" w:type="dxa"/>
          <w:right w:w="15" w:type="dxa"/>
        </w:tblCellMar>
        <w:tblLook w:val="04A0" w:firstRow="1" w:lastRow="0" w:firstColumn="1" w:lastColumn="0" w:noHBand="0" w:noVBand="1"/>
      </w:tblPr>
      <w:tblGrid>
        <w:gridCol w:w="38"/>
        <w:gridCol w:w="5506"/>
        <w:gridCol w:w="37"/>
        <w:gridCol w:w="121"/>
        <w:gridCol w:w="1333"/>
        <w:gridCol w:w="37"/>
      </w:tblGrid>
      <w:tr w:rsidR="00000000">
        <w:trPr>
          <w:divId w:val="416828043"/>
        </w:trPr>
        <w:tc>
          <w:tcPr>
            <w:tcW w:w="50" w:type="pct"/>
            <w:vAlign w:val="center"/>
            <w:hideMark/>
          </w:tcPr>
          <w:p w:rsidR="00000000" w:rsidRDefault="00D44B22">
            <w:pPr>
              <w:rPr>
                <w:rFonts w:eastAsia="Times New Roman"/>
              </w:rPr>
            </w:pPr>
          </w:p>
        </w:tc>
        <w:tc>
          <w:tcPr>
            <w:tcW w:w="3921"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96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416828043"/>
        </w:trPr>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p>
          <w:p w:rsidR="00000000" w:rsidRDefault="00D44B22">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 xml:space="preserve">As of </w:t>
            </w:r>
          </w:p>
          <w:p w:rsidR="00000000" w:rsidRDefault="00D44B22">
            <w:pPr>
              <w:spacing w:after="100"/>
              <w:jc w:val="center"/>
              <w:rPr>
                <w:rFonts w:eastAsia="Times New Roman"/>
              </w:rPr>
            </w:pPr>
            <w:r>
              <w:rPr>
                <w:rFonts w:eastAsia="Times New Roman"/>
                <w:color w:val="000000"/>
                <w:sz w:val="20"/>
                <w:szCs w:val="20"/>
              </w:rPr>
              <w:t>June 30, 2022</w:t>
            </w:r>
          </w:p>
        </w:tc>
      </w:tr>
      <w:tr w:rsidR="00000000">
        <w:trPr>
          <w:divId w:val="41682804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Costs to develop (in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r>
      <w:tr w:rsidR="00000000">
        <w:trPr>
          <w:divId w:val="416828043"/>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2017</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239,871</w:t>
            </w:r>
          </w:p>
        </w:tc>
      </w:tr>
      <w:tr w:rsidR="00000000">
        <w:trPr>
          <w:divId w:val="416828043"/>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2018</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262,187</w:t>
            </w:r>
          </w:p>
        </w:tc>
      </w:tr>
      <w:tr w:rsidR="00000000">
        <w:trPr>
          <w:divId w:val="416828043"/>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2019</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150,387</w:t>
            </w:r>
          </w:p>
        </w:tc>
      </w:tr>
      <w:tr w:rsidR="00000000">
        <w:trPr>
          <w:divId w:val="416828043"/>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2020</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42,063</w:t>
            </w:r>
          </w:p>
        </w:tc>
      </w:tr>
      <w:tr w:rsidR="00000000">
        <w:trPr>
          <w:divId w:val="416828043"/>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Developed in 2021</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115,632</w:t>
            </w:r>
          </w:p>
        </w:tc>
      </w:tr>
      <w:tr w:rsidR="00000000">
        <w:trPr>
          <w:divId w:val="416828043"/>
        </w:trPr>
        <w:tc>
          <w:tcPr>
            <w:tcW w:w="0" w:type="auto"/>
            <w:gridSpan w:val="3"/>
            <w:vAlign w:val="center"/>
            <w:hideMark/>
          </w:tcPr>
          <w:p w:rsidR="00000000" w:rsidRDefault="00D44B22">
            <w:pPr>
              <w:spacing w:after="100"/>
              <w:jc w:val="right"/>
              <w:rPr>
                <w:rFonts w:eastAsia="Times New Roman"/>
              </w:rPr>
            </w:pPr>
          </w:p>
        </w:tc>
        <w:tc>
          <w:tcPr>
            <w:tcW w:w="0" w:type="auto"/>
            <w:gridSpan w:val="3"/>
            <w:vAlign w:val="center"/>
            <w:hideMark/>
          </w:tcPr>
          <w:p w:rsidR="00000000" w:rsidRDefault="00D44B22">
            <w:pPr>
              <w:spacing w:after="100"/>
              <w:rPr>
                <w:rFonts w:eastAsia="Times New Roman"/>
                <w:sz w:val="20"/>
                <w:szCs w:val="20"/>
              </w:rPr>
            </w:pPr>
          </w:p>
        </w:tc>
      </w:tr>
      <w:tr w:rsidR="00000000">
        <w:trPr>
          <w:divId w:val="416828043"/>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completed before 2021 (d)</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478,659</w:t>
            </w:r>
          </w:p>
        </w:tc>
      </w:tr>
      <w:tr w:rsidR="00000000">
        <w:trPr>
          <w:divId w:val="416828043"/>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Expansions completed in 2021 or 2022 (d)</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160,386</w:t>
            </w:r>
          </w:p>
        </w:tc>
      </w:tr>
      <w:tr w:rsidR="00000000">
        <w:trPr>
          <w:divId w:val="416828043"/>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1,449,185</w:t>
            </w:r>
          </w:p>
        </w:tc>
      </w:tr>
    </w:tbl>
    <w:p w:rsidR="00000000" w:rsidRDefault="00D44B22">
      <w:pPr>
        <w:ind w:hanging="360"/>
        <w:jc w:val="both"/>
        <w:divId w:val="1631781188"/>
        <w:rPr>
          <w:rFonts w:eastAsia="Times New Roman"/>
        </w:rPr>
      </w:pPr>
      <w:r>
        <w:rPr>
          <w:rFonts w:eastAsia="Times New Roman"/>
          <w:color w:val="000000"/>
          <w:sz w:val="18"/>
          <w:szCs w:val="18"/>
        </w:rPr>
        <w:t>(a)</w:t>
      </w:r>
      <w:r>
        <w:rPr>
          <w:rFonts w:eastAsia="Times New Roman"/>
          <w:color w:val="000000"/>
          <w:sz w:val="18"/>
          <w:szCs w:val="18"/>
        </w:rPr>
        <w:t xml:space="preserve">Represents the percentage change with respect to square foot occupancy and annual contract rent per occupied square foot, and the absolute nominal change with respect to all other items. </w:t>
      </w:r>
    </w:p>
    <w:p w:rsidR="00000000" w:rsidRDefault="00D44B22">
      <w:pPr>
        <w:ind w:hanging="360"/>
        <w:jc w:val="both"/>
        <w:divId w:val="229778613"/>
        <w:rPr>
          <w:rFonts w:eastAsia="Times New Roman"/>
        </w:rPr>
      </w:pPr>
      <w:r>
        <w:rPr>
          <w:rFonts w:eastAsia="Times New Roman"/>
          <w:color w:val="000000"/>
          <w:sz w:val="18"/>
          <w:szCs w:val="18"/>
        </w:rPr>
        <w:t>(b)Revenues and cost of operations do not include tenant reinsurance</w:t>
      </w:r>
      <w:r>
        <w:rPr>
          <w:rFonts w:eastAsia="Times New Roman"/>
          <w:color w:val="000000"/>
          <w:sz w:val="18"/>
          <w:szCs w:val="18"/>
        </w:rPr>
        <w:t xml:space="preserve"> and merchandise sales generated at the facilities. See “Ancillary Operations” below for more information.</w:t>
      </w:r>
    </w:p>
    <w:p w:rsidR="00000000" w:rsidRDefault="00D44B22">
      <w:pPr>
        <w:ind w:hanging="360"/>
        <w:jc w:val="both"/>
        <w:divId w:val="976573330"/>
        <w:rPr>
          <w:rFonts w:eastAsia="Times New Roman"/>
        </w:rPr>
      </w:pPr>
      <w:r>
        <w:rPr>
          <w:rFonts w:eastAsia="Times New Roman"/>
          <w:color w:val="000000"/>
          <w:sz w:val="18"/>
          <w:szCs w:val="18"/>
        </w:rPr>
        <w:t xml:space="preserve">(c)The facilities included above have an aggregate of approximately 16.9 million net rentable square feet at June 30, 2022, including 5.0 million in </w:t>
      </w:r>
      <w:r>
        <w:rPr>
          <w:rFonts w:eastAsia="Times New Roman"/>
          <w:color w:val="000000"/>
          <w:sz w:val="18"/>
          <w:szCs w:val="18"/>
        </w:rPr>
        <w:t xml:space="preserve">Texas, 2.9 million in Florida, 2.2 million in California, 1.5 million in Colorado, 1.4 million in Minnesota, 0.9 million in North Carolina, 0.6 million in Michigan, 0.4 million in each of Missouri, South Carolina and Washington, 0.3 million in each of New </w:t>
      </w:r>
      <w:r>
        <w:rPr>
          <w:rFonts w:eastAsia="Times New Roman"/>
          <w:color w:val="000000"/>
          <w:sz w:val="18"/>
          <w:szCs w:val="18"/>
        </w:rPr>
        <w:t>Jersey and Virginia and 0.6 million in other states.</w:t>
      </w:r>
    </w:p>
    <w:p w:rsidR="00000000" w:rsidRDefault="00D44B22">
      <w:pPr>
        <w:ind w:hanging="360"/>
        <w:jc w:val="both"/>
        <w:divId w:val="557939331"/>
        <w:rPr>
          <w:rFonts w:eastAsia="Times New Roman"/>
        </w:rPr>
      </w:pPr>
      <w:r>
        <w:rPr>
          <w:rFonts w:eastAsia="Times New Roman"/>
          <w:color w:val="000000"/>
          <w:sz w:val="18"/>
          <w:szCs w:val="18"/>
        </w:rPr>
        <w:t>(d)These amounts only include the direct cost incurred to expand and renovate these facilities, and do not include (i) the original cost to develop or acquire the facility or (ii) the lost revenue on spa</w:t>
      </w:r>
      <w:r>
        <w:rPr>
          <w:rFonts w:eastAsia="Times New Roman"/>
          <w:color w:val="000000"/>
          <w:sz w:val="18"/>
          <w:szCs w:val="18"/>
        </w:rPr>
        <w:t xml:space="preserve">ce demolished during the construction and fill-up period. </w:t>
      </w:r>
    </w:p>
    <w:p w:rsidR="00000000" w:rsidRDefault="00D44B22">
      <w:pPr>
        <w:ind w:firstLine="720"/>
        <w:jc w:val="both"/>
        <w:divId w:val="598178167"/>
        <w:rPr>
          <w:rFonts w:eastAsia="Times New Roman"/>
        </w:rPr>
      </w:pPr>
      <w:r>
        <w:rPr>
          <w:rFonts w:eastAsia="Times New Roman"/>
          <w:color w:val="000000"/>
          <w:sz w:val="20"/>
          <w:szCs w:val="20"/>
        </w:rPr>
        <w:t xml:space="preserve">It typically takes at least three to four years for a newly developed or expanded self-storage facility to stabilize with respect to revenues. Physical occupancy can be achieved as early as two to </w:t>
      </w:r>
      <w:r>
        <w:rPr>
          <w:rFonts w:eastAsia="Times New Roman"/>
          <w:color w:val="000000"/>
          <w:sz w:val="20"/>
          <w:szCs w:val="20"/>
        </w:rPr>
        <w:t>three years following completion of the development or expansion through offering lower rental rates during fill-up. As a result, even after achieving high occupancy, there can still be a period of elevated revenue growth as the tenant base matures and hig</w:t>
      </w:r>
      <w:r>
        <w:rPr>
          <w:rFonts w:eastAsia="Times New Roman"/>
          <w:color w:val="000000"/>
          <w:sz w:val="20"/>
          <w:szCs w:val="20"/>
        </w:rPr>
        <w:t xml:space="preserve">her rental rates are achieved. </w:t>
      </w:r>
    </w:p>
    <w:p w:rsidR="00000000" w:rsidRDefault="00D44B22">
      <w:pPr>
        <w:ind w:firstLine="720"/>
        <w:jc w:val="both"/>
        <w:divId w:val="1786924135"/>
        <w:rPr>
          <w:rFonts w:eastAsia="Times New Roman"/>
        </w:rPr>
      </w:pPr>
      <w:r>
        <w:rPr>
          <w:rFonts w:eastAsia="Times New Roman"/>
          <w:color w:val="000000"/>
          <w:sz w:val="20"/>
          <w:szCs w:val="20"/>
        </w:rPr>
        <w:t>We believe that our development and redevelopment activities generate favorable risk-adjusted returns over the long run. However, in the short run, our earnings are diluted during the construction and stabilization period du</w:t>
      </w:r>
      <w:r>
        <w:rPr>
          <w:rFonts w:eastAsia="Times New Roman"/>
          <w:color w:val="000000"/>
          <w:sz w:val="20"/>
          <w:szCs w:val="20"/>
        </w:rPr>
        <w:t xml:space="preserve">e to the cost of capital to fund the development cost, as well as the related construction and development overhead expenses included in general and administrative expense. </w:t>
      </w:r>
    </w:p>
    <w:p w:rsidR="00000000" w:rsidRDefault="00D44B22">
      <w:pPr>
        <w:ind w:firstLine="720"/>
        <w:jc w:val="both"/>
        <w:divId w:val="974599283"/>
        <w:rPr>
          <w:rFonts w:eastAsia="Times New Roman"/>
        </w:rPr>
      </w:pPr>
      <w:r>
        <w:rPr>
          <w:rFonts w:eastAsia="Times New Roman"/>
          <w:color w:val="000000"/>
          <w:sz w:val="20"/>
          <w:szCs w:val="20"/>
        </w:rPr>
        <w:t>We typically underwrite new developments to stabilize at approximately an 8.0% NOI</w:t>
      </w:r>
      <w:r>
        <w:rPr>
          <w:rFonts w:eastAsia="Times New Roman"/>
          <w:color w:val="000000"/>
          <w:sz w:val="20"/>
          <w:szCs w:val="20"/>
        </w:rPr>
        <w:t xml:space="preserve"> yield on cost. Our developed facilities have thus far leased up as expected and are at various stages of their revenue stabilization periods. The actual annualized yields that we may achieve on these facilities upon stabilization will depend on many facto</w:t>
      </w:r>
      <w:r>
        <w:rPr>
          <w:rFonts w:eastAsia="Times New Roman"/>
          <w:color w:val="000000"/>
          <w:sz w:val="20"/>
          <w:szCs w:val="20"/>
        </w:rPr>
        <w:t>rs, including local and current market conditions in the vicinity of each property and the level of new and existing supply.</w:t>
      </w:r>
    </w:p>
    <w:p w:rsidR="00000000" w:rsidRDefault="00D44B22">
      <w:pPr>
        <w:ind w:firstLine="720"/>
        <w:jc w:val="both"/>
        <w:divId w:val="1062020052"/>
        <w:rPr>
          <w:rFonts w:eastAsia="Times New Roman"/>
        </w:rPr>
      </w:pPr>
      <w:r>
        <w:rPr>
          <w:rFonts w:eastAsia="Times New Roman"/>
          <w:color w:val="000000"/>
          <w:sz w:val="20"/>
          <w:szCs w:val="20"/>
        </w:rPr>
        <w:t>The facilities under “expansions completed” represent those facilities where the expansions have been completed at June 30, 2022. W</w:t>
      </w:r>
      <w:r>
        <w:rPr>
          <w:rFonts w:eastAsia="Times New Roman"/>
          <w:color w:val="000000"/>
          <w:sz w:val="20"/>
          <w:szCs w:val="20"/>
        </w:rPr>
        <w:t xml:space="preserve">e incurred a total of $639.0 million in direct cost to expand these facilities, demolished a total of 1.1 million net rentable square feet of storage space, and built a total of 6.0 million net rentable square feet of new storage space. </w:t>
      </w:r>
    </w:p>
    <w:p w:rsidR="00000000" w:rsidRDefault="00D44B22">
      <w:pPr>
        <w:ind w:firstLine="720"/>
        <w:jc w:val="both"/>
        <w:divId w:val="369115242"/>
        <w:rPr>
          <w:rFonts w:eastAsia="Times New Roman"/>
        </w:rPr>
      </w:pPr>
      <w:r>
        <w:rPr>
          <w:rFonts w:eastAsia="Times New Roman"/>
          <w:color w:val="000000"/>
          <w:sz w:val="20"/>
          <w:szCs w:val="20"/>
        </w:rPr>
        <w:t xml:space="preserve">At June 30, 2022, </w:t>
      </w:r>
      <w:r>
        <w:rPr>
          <w:rFonts w:eastAsia="Times New Roman"/>
          <w:color w:val="000000"/>
          <w:sz w:val="20"/>
          <w:szCs w:val="20"/>
        </w:rPr>
        <w:t xml:space="preserve">we had 30 additional facilities in development, which will have a total of 2.6 million net rentable square feet of storage space and have an aggregate development cost totaling approximately $480.3 million. We expect these facilities to open over the next </w:t>
      </w:r>
      <w:r>
        <w:rPr>
          <w:rFonts w:eastAsia="Times New Roman"/>
          <w:color w:val="000000"/>
          <w:sz w:val="20"/>
          <w:szCs w:val="20"/>
        </w:rPr>
        <w:t xml:space="preserve">18 to 24 months. </w:t>
      </w:r>
    </w:p>
    <w:p w:rsidR="00000000" w:rsidRDefault="00D44B22">
      <w:pPr>
        <w:ind w:firstLine="720"/>
        <w:jc w:val="both"/>
        <w:divId w:val="816266107"/>
        <w:rPr>
          <w:rFonts w:eastAsia="Times New Roman"/>
        </w:rPr>
      </w:pPr>
      <w:r>
        <w:rPr>
          <w:rFonts w:eastAsia="Times New Roman"/>
          <w:color w:val="000000"/>
          <w:sz w:val="20"/>
          <w:szCs w:val="20"/>
        </w:rPr>
        <w:t xml:space="preserve">The facilities under "expansion in process" represent those facilities where construction is in process at June 30, 2022, and together with additional future expansion activities primarily related to our Same Store Facilities at June 30, </w:t>
      </w:r>
      <w:r>
        <w:rPr>
          <w:rFonts w:eastAsia="Times New Roman"/>
          <w:color w:val="000000"/>
          <w:sz w:val="20"/>
          <w:szCs w:val="20"/>
        </w:rPr>
        <w:t xml:space="preserve">2022, we expect to add a total of 2.8 million net rentable square feet of storage space by expanding existing self-storage facilities for an aggregate direct development cost of $547.0 million. </w:t>
      </w:r>
    </w:p>
    <w:p w:rsidR="00000000" w:rsidRDefault="00D44B22">
      <w:pPr>
        <w:jc w:val="both"/>
        <w:divId w:val="1895198528"/>
        <w:rPr>
          <w:rFonts w:eastAsia="Times New Roman"/>
        </w:rPr>
      </w:pPr>
    </w:p>
    <w:p w:rsidR="00000000" w:rsidRDefault="00D44B22">
      <w:pPr>
        <w:jc w:val="center"/>
        <w:divId w:val="270211465"/>
        <w:rPr>
          <w:rFonts w:eastAsia="Times New Roman"/>
        </w:rPr>
      </w:pPr>
      <w:r>
        <w:rPr>
          <w:rFonts w:eastAsia="Times New Roman"/>
          <w:color w:val="000000"/>
          <w:sz w:val="20"/>
          <w:szCs w:val="20"/>
        </w:rPr>
        <w:t>42</w:t>
      </w:r>
    </w:p>
    <w:p w:rsidR="00000000" w:rsidRDefault="00D44B22">
      <w:pPr>
        <w:rPr>
          <w:rFonts w:eastAsia="Times New Roman"/>
        </w:rPr>
      </w:pPr>
      <w:r>
        <w:rPr>
          <w:rFonts w:eastAsia="Times New Roman"/>
        </w:rPr>
        <w:pict>
          <v:rect id="_x0000_i1068" style="width:0;height:1.5pt" o:hralign="center" o:hrstd="t" o:hr="t" fillcolor="#a0a0a0" stroked="f"/>
        </w:pict>
      </w:r>
    </w:p>
    <w:p w:rsidR="00000000" w:rsidRDefault="00D44B22">
      <w:pPr>
        <w:divId w:val="29454517"/>
        <w:rPr>
          <w:rFonts w:eastAsia="Times New Roman"/>
        </w:rPr>
      </w:pPr>
    </w:p>
    <w:p w:rsidR="00000000" w:rsidRDefault="00D44B22">
      <w:pPr>
        <w:jc w:val="both"/>
        <w:divId w:val="408237620"/>
        <w:rPr>
          <w:rFonts w:eastAsia="Times New Roman"/>
        </w:rPr>
      </w:pPr>
      <w:r>
        <w:rPr>
          <w:rFonts w:eastAsia="Times New Roman"/>
          <w:b/>
          <w:bCs/>
          <w:i/>
          <w:iCs/>
          <w:color w:val="000000"/>
          <w:sz w:val="20"/>
          <w:szCs w:val="20"/>
          <w:u w:val="single"/>
        </w:rPr>
        <w:t>Other Non-Same Store Facilities</w:t>
      </w:r>
    </w:p>
    <w:p w:rsidR="00000000" w:rsidRDefault="00D44B22">
      <w:pPr>
        <w:ind w:firstLine="720"/>
        <w:jc w:val="both"/>
        <w:divId w:val="47345247"/>
        <w:rPr>
          <w:rFonts w:eastAsia="Times New Roman"/>
        </w:rPr>
      </w:pPr>
      <w:r>
        <w:rPr>
          <w:rFonts w:eastAsia="Times New Roman"/>
          <w:color w:val="000000"/>
          <w:sz w:val="20"/>
          <w:szCs w:val="20"/>
        </w:rPr>
        <w:t>The “Other Non-Same Store Facilities” represent facilities which, while not newly acquired, developed, or expanded, are not fully stabilized since January 1, 2020, including facilities under fill-up as well as facilities dam</w:t>
      </w:r>
      <w:r>
        <w:rPr>
          <w:rFonts w:eastAsia="Times New Roman"/>
          <w:color w:val="000000"/>
          <w:sz w:val="20"/>
          <w:szCs w:val="20"/>
        </w:rPr>
        <w:t xml:space="preserve">aged in casualty events such as hurricanes, floods, and fires. </w:t>
      </w:r>
    </w:p>
    <w:p w:rsidR="00000000" w:rsidRDefault="00D44B22">
      <w:pPr>
        <w:ind w:firstLine="720"/>
        <w:jc w:val="both"/>
        <w:divId w:val="1695374609"/>
        <w:rPr>
          <w:rFonts w:eastAsia="Times New Roman"/>
        </w:rPr>
      </w:pPr>
      <w:r>
        <w:rPr>
          <w:rFonts w:eastAsia="Times New Roman"/>
          <w:color w:val="000000"/>
          <w:sz w:val="20"/>
          <w:szCs w:val="20"/>
        </w:rPr>
        <w:t>The Other Non-Same Store Facilities have an aggregate of 5.3 million net rentable square feet, including 1.1 million in Texas, 0.6 million in each of Florida and Washington, 0.4 million in eac</w:t>
      </w:r>
      <w:r>
        <w:rPr>
          <w:rFonts w:eastAsia="Times New Roman"/>
          <w:color w:val="000000"/>
          <w:sz w:val="20"/>
          <w:szCs w:val="20"/>
        </w:rPr>
        <w:t xml:space="preserve">h of California and Virginia, 0.3 million in each of Indiana and South Carolina, 0.2 million in each of Georgia, Kentucky, Massachusetts and Tennessee and 0.8 million in other states. </w:t>
      </w:r>
    </w:p>
    <w:p w:rsidR="00000000" w:rsidRDefault="00D44B22">
      <w:pPr>
        <w:ind w:firstLine="720"/>
        <w:jc w:val="both"/>
        <w:divId w:val="1757479720"/>
        <w:rPr>
          <w:rFonts w:eastAsia="Times New Roman"/>
        </w:rPr>
      </w:pPr>
      <w:r>
        <w:rPr>
          <w:rFonts w:eastAsia="Times New Roman"/>
          <w:color w:val="000000"/>
          <w:sz w:val="20"/>
          <w:szCs w:val="20"/>
        </w:rPr>
        <w:t>During the three and six months ended June 30, 2022 and 2021, the avera</w:t>
      </w:r>
      <w:r>
        <w:rPr>
          <w:rFonts w:eastAsia="Times New Roman"/>
          <w:color w:val="000000"/>
          <w:sz w:val="20"/>
          <w:szCs w:val="20"/>
        </w:rPr>
        <w:t>ge occupancy for these facilities totaled 93.1% and 92.4%, respectively, as compared to 93.9% and 92.3% for the same periods in 2021, and the realized rent per occupied square foot totaled $18.02 and $17.47, respectively, as compared to $13.86 and $13.54 f</w:t>
      </w:r>
      <w:r>
        <w:rPr>
          <w:rFonts w:eastAsia="Times New Roman"/>
          <w:color w:val="000000"/>
          <w:sz w:val="20"/>
          <w:szCs w:val="20"/>
        </w:rPr>
        <w:t>or the same periods in 2021.</w:t>
      </w:r>
    </w:p>
    <w:p w:rsidR="00000000" w:rsidRDefault="00D44B22">
      <w:pPr>
        <w:jc w:val="both"/>
        <w:divId w:val="318114307"/>
        <w:rPr>
          <w:rFonts w:eastAsia="Times New Roman"/>
        </w:rPr>
      </w:pPr>
      <w:r>
        <w:rPr>
          <w:rFonts w:eastAsia="Times New Roman"/>
          <w:b/>
          <w:bCs/>
          <w:i/>
          <w:iCs/>
          <w:color w:val="000000"/>
          <w:sz w:val="20"/>
          <w:szCs w:val="20"/>
          <w:u w:val="single"/>
        </w:rPr>
        <w:t>Depreciation and amortization expense</w:t>
      </w:r>
    </w:p>
    <w:p w:rsidR="00000000" w:rsidRDefault="00D44B22">
      <w:pPr>
        <w:ind w:firstLine="720"/>
        <w:jc w:val="both"/>
        <w:divId w:val="401410993"/>
        <w:rPr>
          <w:rFonts w:eastAsia="Times New Roman"/>
        </w:rPr>
      </w:pPr>
      <w:r>
        <w:rPr>
          <w:rFonts w:eastAsia="Times New Roman"/>
          <w:color w:val="000000"/>
          <w:sz w:val="20"/>
          <w:szCs w:val="20"/>
        </w:rPr>
        <w:t>Depreciation and amortization expense for Self-Storage Operations increased $46.0 million and $121.2 million in the three and six months ended June 30, 2022, respectively, as compared to th</w:t>
      </w:r>
      <w:r>
        <w:rPr>
          <w:rFonts w:eastAsia="Times New Roman"/>
          <w:color w:val="000000"/>
          <w:sz w:val="20"/>
          <w:szCs w:val="20"/>
        </w:rPr>
        <w:t>e same periods in 2021, primarily due to newly acquired facilities of $5.1 billion in 2021. We expect continued increases in depreciation expense in the remainder of 2022 as a result of elevated levels of capital expenditures and new facilities that are ac</w:t>
      </w:r>
      <w:r>
        <w:rPr>
          <w:rFonts w:eastAsia="Times New Roman"/>
          <w:color w:val="000000"/>
          <w:sz w:val="20"/>
          <w:szCs w:val="20"/>
        </w:rPr>
        <w:t>quired, developed or expanded in the remainder of 2022.</w:t>
      </w:r>
    </w:p>
    <w:p w:rsidR="00000000" w:rsidRDefault="00D44B22">
      <w:pPr>
        <w:jc w:val="center"/>
        <w:divId w:val="232936363"/>
        <w:rPr>
          <w:rFonts w:eastAsia="Times New Roman"/>
        </w:rPr>
      </w:pPr>
      <w:r>
        <w:rPr>
          <w:rFonts w:eastAsia="Times New Roman"/>
          <w:color w:val="000000"/>
          <w:sz w:val="20"/>
          <w:szCs w:val="20"/>
        </w:rPr>
        <w:t>43</w:t>
      </w:r>
    </w:p>
    <w:p w:rsidR="00000000" w:rsidRDefault="00D44B22">
      <w:pPr>
        <w:rPr>
          <w:rFonts w:eastAsia="Times New Roman"/>
        </w:rPr>
      </w:pPr>
      <w:r>
        <w:rPr>
          <w:rFonts w:eastAsia="Times New Roman"/>
        </w:rPr>
        <w:pict>
          <v:rect id="_x0000_i1069" style="width:0;height:1.5pt" o:hralign="center" o:hrstd="t" o:hr="t" fillcolor="#a0a0a0" stroked="f"/>
        </w:pict>
      </w:r>
    </w:p>
    <w:p w:rsidR="00000000" w:rsidRDefault="00D44B22">
      <w:pPr>
        <w:divId w:val="1590653340"/>
        <w:rPr>
          <w:rFonts w:eastAsia="Times New Roman"/>
        </w:rPr>
      </w:pPr>
    </w:p>
    <w:p w:rsidR="00000000" w:rsidRDefault="00D44B22">
      <w:pPr>
        <w:jc w:val="both"/>
        <w:divId w:val="1580943404"/>
        <w:rPr>
          <w:rFonts w:eastAsia="Times New Roman"/>
        </w:rPr>
      </w:pPr>
      <w:r>
        <w:rPr>
          <w:rFonts w:eastAsia="Times New Roman"/>
          <w:b/>
          <w:bCs/>
          <w:color w:val="000000"/>
          <w:sz w:val="20"/>
          <w:szCs w:val="20"/>
          <w:u w:val="single"/>
        </w:rPr>
        <w:t>Ancillary Operations</w:t>
      </w:r>
    </w:p>
    <w:p w:rsidR="00000000" w:rsidRDefault="00D44B22">
      <w:pPr>
        <w:ind w:firstLine="720"/>
        <w:jc w:val="both"/>
        <w:divId w:val="1814638931"/>
        <w:rPr>
          <w:rFonts w:eastAsia="Times New Roman"/>
        </w:rPr>
      </w:pPr>
      <w:r>
        <w:rPr>
          <w:rFonts w:eastAsia="Times New Roman"/>
          <w:color w:val="000000"/>
          <w:sz w:val="20"/>
          <w:szCs w:val="20"/>
        </w:rPr>
        <w:t xml:space="preserve">Ancillary revenues and expenses include amounts associated with the reinsurance of policies against losses to goods stored by tenants in </w:t>
      </w:r>
      <w:r>
        <w:rPr>
          <w:rFonts w:eastAsia="Times New Roman"/>
          <w:color w:val="000000"/>
          <w:sz w:val="20"/>
          <w:szCs w:val="20"/>
        </w:rPr>
        <w:t>our self-storage facilities, sale of merchandise at our self-storage facilities, and management of property owned by unrelated third parties. The following table sets forth our ancillary operations:</w:t>
      </w:r>
      <w:r>
        <w:rPr>
          <w:rFonts w:eastAsia="Times New Roman"/>
          <w:color w:val="000000"/>
          <w:sz w:val="2"/>
          <w:szCs w:val="2"/>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81"/>
        <w:gridCol w:w="37"/>
        <w:gridCol w:w="121"/>
        <w:gridCol w:w="681"/>
        <w:gridCol w:w="37"/>
        <w:gridCol w:w="36"/>
        <w:gridCol w:w="36"/>
        <w:gridCol w:w="36"/>
        <w:gridCol w:w="121"/>
        <w:gridCol w:w="681"/>
        <w:gridCol w:w="37"/>
        <w:gridCol w:w="36"/>
        <w:gridCol w:w="36"/>
        <w:gridCol w:w="36"/>
        <w:gridCol w:w="121"/>
        <w:gridCol w:w="681"/>
        <w:gridCol w:w="36"/>
        <w:gridCol w:w="36"/>
        <w:gridCol w:w="36"/>
        <w:gridCol w:w="36"/>
        <w:gridCol w:w="121"/>
        <w:gridCol w:w="681"/>
        <w:gridCol w:w="37"/>
        <w:gridCol w:w="36"/>
        <w:gridCol w:w="36"/>
        <w:gridCol w:w="36"/>
        <w:gridCol w:w="121"/>
        <w:gridCol w:w="619"/>
        <w:gridCol w:w="37"/>
        <w:gridCol w:w="36"/>
        <w:gridCol w:w="36"/>
        <w:gridCol w:w="36"/>
        <w:gridCol w:w="121"/>
        <w:gridCol w:w="620"/>
        <w:gridCol w:w="36"/>
      </w:tblGrid>
      <w:tr w:rsidR="00000000">
        <w:trPr>
          <w:jc w:val="center"/>
        </w:trPr>
        <w:tc>
          <w:tcPr>
            <w:tcW w:w="50" w:type="pct"/>
            <w:vAlign w:val="center"/>
            <w:hideMark/>
          </w:tcPr>
          <w:p w:rsidR="00000000" w:rsidRDefault="00D44B22">
            <w:pPr>
              <w:ind w:firstLine="720"/>
              <w:jc w:val="both"/>
              <w:rPr>
                <w:rFonts w:eastAsia="Times New Roman"/>
              </w:rPr>
            </w:pPr>
          </w:p>
        </w:tc>
        <w:tc>
          <w:tcPr>
            <w:tcW w:w="173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Revenues: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Tenant reinsurance premiums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46,687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40,816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5,871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91,882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80,497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11,385</w:t>
            </w: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7,534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7,512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14,405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14,548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(143)</w:t>
            </w: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4,538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3,994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544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8,902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8,192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710</w:t>
            </w: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Total revenues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58,759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52,322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6,437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115,189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103,237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11,952</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Cost of operations: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8,198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7,262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936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15,475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15,086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389</w:t>
            </w: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4,527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4,706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8,431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8,672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(241)</w:t>
            </w: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4,485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4,023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462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8,819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8,551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268</w:t>
            </w: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Total cost of operations </w:t>
            </w: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17,210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15,991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1,219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32,725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32,309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416</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Net operating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Tenant reinsurance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38,489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33,554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4,935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76,407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65,411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10,996</w:t>
            </w: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Merchandise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3,007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2,806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5,974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5,876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98</w:t>
            </w: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Third party property management</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(359)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442</w:t>
            </w:r>
          </w:p>
        </w:tc>
      </w:tr>
      <w:tr w:rsidR="00000000">
        <w:trPr>
          <w:jc w:val="center"/>
        </w:trPr>
        <w:tc>
          <w:tcPr>
            <w:tcW w:w="0" w:type="auto"/>
            <w:gridSpan w:val="3"/>
            <w:tcMar>
              <w:top w:w="30" w:type="dxa"/>
              <w:left w:w="44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Total net operating income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41,549</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36,331</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5,218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82,464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70,928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11,536</w:t>
            </w:r>
          </w:p>
        </w:tc>
      </w:tr>
    </w:tbl>
    <w:p w:rsidR="00000000" w:rsidRDefault="00D44B22">
      <w:pPr>
        <w:ind w:firstLine="720"/>
        <w:jc w:val="both"/>
        <w:divId w:val="831987117"/>
        <w:rPr>
          <w:rFonts w:eastAsia="Times New Roman"/>
        </w:rPr>
      </w:pPr>
      <w:r>
        <w:rPr>
          <w:rFonts w:eastAsia="Times New Roman"/>
          <w:b/>
          <w:bCs/>
          <w:i/>
          <w:iCs/>
          <w:color w:val="000000"/>
          <w:sz w:val="20"/>
          <w:szCs w:val="20"/>
        </w:rPr>
        <w:t xml:space="preserve">Tenant reinsurance operations: </w:t>
      </w:r>
      <w:r>
        <w:rPr>
          <w:rFonts w:eastAsia="Times New Roman"/>
          <w:color w:val="000000"/>
          <w:sz w:val="20"/>
          <w:szCs w:val="20"/>
        </w:rPr>
        <w:t>Tenant reinsurance premium revenue increased $5.9 million or 14.</w:t>
      </w:r>
      <w:r>
        <w:rPr>
          <w:rFonts w:eastAsia="Times New Roman"/>
          <w:color w:val="000000"/>
          <w:sz w:val="20"/>
          <w:szCs w:val="20"/>
        </w:rPr>
        <w:t>4% for the three months ended June 30, 2022, and increased $11.4 million or 14.1% for the six months ended June 30, 2022, in each case as compared to the same period in 2021, as a result of an increase in our tenant base with respect to acquired, newly dev</w:t>
      </w:r>
      <w:r>
        <w:rPr>
          <w:rFonts w:eastAsia="Times New Roman"/>
          <w:color w:val="000000"/>
          <w:sz w:val="20"/>
          <w:szCs w:val="20"/>
        </w:rPr>
        <w:t>eloped, and expanded facilities and the third party properties we manage. Tenant reinsurance premium revenue generated from tenants at our Same-Store Facilities were $34.8 million and $69.2 million for the three and six months ended June 30, 2022, respecti</w:t>
      </w:r>
      <w:r>
        <w:rPr>
          <w:rFonts w:eastAsia="Times New Roman"/>
          <w:color w:val="000000"/>
          <w:sz w:val="20"/>
          <w:szCs w:val="20"/>
        </w:rPr>
        <w:t>vely, as compared to $33.3 million and $66.5 million for the same periods in 2021, representing an increase of 4.5% and 4.1%, respectively.</w:t>
      </w:r>
    </w:p>
    <w:p w:rsidR="00000000" w:rsidRDefault="00D44B22">
      <w:pPr>
        <w:ind w:firstLine="720"/>
        <w:jc w:val="both"/>
        <w:divId w:val="2142451760"/>
        <w:rPr>
          <w:rFonts w:eastAsia="Times New Roman"/>
        </w:rPr>
      </w:pPr>
      <w:r>
        <w:rPr>
          <w:rFonts w:eastAsia="Times New Roman"/>
          <w:color w:val="000000"/>
          <w:sz w:val="20"/>
          <w:szCs w:val="20"/>
        </w:rPr>
        <w:t>We expect future growth will come primarily from customers of newly acquired and developed facilities, as well as ad</w:t>
      </w:r>
      <w:r>
        <w:rPr>
          <w:rFonts w:eastAsia="Times New Roman"/>
          <w:color w:val="000000"/>
          <w:sz w:val="20"/>
          <w:szCs w:val="20"/>
        </w:rPr>
        <w:t>ditional tenants at our existing unstabilized self-storage facilities.</w:t>
      </w:r>
    </w:p>
    <w:p w:rsidR="00000000" w:rsidRDefault="00D44B22">
      <w:pPr>
        <w:ind w:firstLine="720"/>
        <w:jc w:val="both"/>
        <w:divId w:val="474224418"/>
        <w:rPr>
          <w:rFonts w:eastAsia="Times New Roman"/>
        </w:rPr>
      </w:pPr>
      <w:r>
        <w:rPr>
          <w:rFonts w:eastAsia="Times New Roman"/>
          <w:color w:val="000000"/>
          <w:sz w:val="20"/>
          <w:szCs w:val="20"/>
        </w:rPr>
        <w:t>Cost of operations primarily includes claims paid as well as claims adjustment expenses. Claims expenses vary based upon the number of insured tenants and the volume of events which dri</w:t>
      </w:r>
      <w:r>
        <w:rPr>
          <w:rFonts w:eastAsia="Times New Roman"/>
          <w:color w:val="000000"/>
          <w:sz w:val="20"/>
          <w:szCs w:val="20"/>
        </w:rPr>
        <w:t>ve covered customer losses, such as burglary, as well as catastrophic weather events affecting multiple properties such as hurricanes and floods.</w:t>
      </w:r>
    </w:p>
    <w:p w:rsidR="00000000" w:rsidRDefault="00D44B22">
      <w:pPr>
        <w:ind w:firstLine="720"/>
        <w:jc w:val="both"/>
        <w:divId w:val="2016610835"/>
        <w:rPr>
          <w:rFonts w:eastAsia="Times New Roman"/>
        </w:rPr>
      </w:pPr>
      <w:r>
        <w:rPr>
          <w:rFonts w:eastAsia="Times New Roman"/>
          <w:b/>
          <w:bCs/>
          <w:i/>
          <w:iCs/>
          <w:color w:val="000000"/>
          <w:sz w:val="20"/>
          <w:szCs w:val="20"/>
        </w:rPr>
        <w:t>Merchandise sales:</w:t>
      </w:r>
      <w:r>
        <w:rPr>
          <w:rFonts w:eastAsia="Times New Roman"/>
          <w:i/>
          <w:iCs/>
          <w:color w:val="000000"/>
          <w:sz w:val="20"/>
          <w:szCs w:val="20"/>
        </w:rPr>
        <w:t xml:space="preserve"> </w:t>
      </w:r>
      <w:r>
        <w:rPr>
          <w:rFonts w:eastAsia="Times New Roman"/>
          <w:color w:val="000000"/>
          <w:sz w:val="20"/>
          <w:szCs w:val="20"/>
        </w:rPr>
        <w:t>Sales of locks, boxes, and packing supplies at our self-storage facilities are primarily im</w:t>
      </w:r>
      <w:r>
        <w:rPr>
          <w:rFonts w:eastAsia="Times New Roman"/>
          <w:color w:val="000000"/>
          <w:sz w:val="20"/>
          <w:szCs w:val="20"/>
        </w:rPr>
        <w:t>pacted by the level of move-ins and other customer traffic at our self-storage facilities. We do not expect any significant changes in revenues or profitability from our merchandise sales in the remainder of 2022.</w:t>
      </w:r>
    </w:p>
    <w:p w:rsidR="00000000" w:rsidRDefault="00D44B22">
      <w:pPr>
        <w:ind w:firstLine="720"/>
        <w:jc w:val="both"/>
        <w:divId w:val="142045526"/>
        <w:rPr>
          <w:rFonts w:eastAsia="Times New Roman"/>
        </w:rPr>
      </w:pPr>
      <w:r>
        <w:rPr>
          <w:rFonts w:eastAsia="Times New Roman"/>
          <w:b/>
          <w:bCs/>
          <w:i/>
          <w:iCs/>
          <w:color w:val="000000"/>
          <w:sz w:val="20"/>
          <w:szCs w:val="20"/>
        </w:rPr>
        <w:t xml:space="preserve">Third-party property management: </w:t>
      </w:r>
      <w:r>
        <w:rPr>
          <w:rFonts w:eastAsia="Times New Roman"/>
          <w:color w:val="000000"/>
          <w:sz w:val="20"/>
          <w:szCs w:val="20"/>
        </w:rPr>
        <w:t>At June 3</w:t>
      </w:r>
      <w:r>
        <w:rPr>
          <w:rFonts w:eastAsia="Times New Roman"/>
          <w:color w:val="000000"/>
          <w:sz w:val="20"/>
          <w:szCs w:val="20"/>
        </w:rPr>
        <w:t>0, 2022, we managed 103 facilities for unrelated third parties, and were under contract to manage 63 additional facilities including 57 facilities that are currently under construction. During the six months ended June 30, 2022, we added 27 facilities to t</w:t>
      </w:r>
      <w:r>
        <w:rPr>
          <w:rFonts w:eastAsia="Times New Roman"/>
          <w:color w:val="000000"/>
          <w:sz w:val="20"/>
          <w:szCs w:val="20"/>
        </w:rPr>
        <w:t xml:space="preserve">he program, acquired three facilities from the program, and had ten properties exit the program due to sales to other buyers. While we expect this business to increase in scope and size, we do not expect any significant changes in overall profitability of </w:t>
      </w:r>
      <w:r>
        <w:rPr>
          <w:rFonts w:eastAsia="Times New Roman"/>
          <w:color w:val="000000"/>
          <w:sz w:val="20"/>
          <w:szCs w:val="20"/>
        </w:rPr>
        <w:t>this business in the near term as we seek new properties to manage and are in the earlier stages of fill-up for newly managed properties.</w:t>
      </w:r>
    </w:p>
    <w:p w:rsidR="00000000" w:rsidRDefault="00D44B22">
      <w:pPr>
        <w:jc w:val="center"/>
        <w:divId w:val="734816410"/>
        <w:rPr>
          <w:rFonts w:eastAsia="Times New Roman"/>
        </w:rPr>
      </w:pPr>
      <w:r>
        <w:rPr>
          <w:rFonts w:eastAsia="Times New Roman"/>
          <w:color w:val="000000"/>
          <w:sz w:val="20"/>
          <w:szCs w:val="20"/>
        </w:rPr>
        <w:t>44</w:t>
      </w:r>
    </w:p>
    <w:p w:rsidR="00000000" w:rsidRDefault="00D44B22">
      <w:pPr>
        <w:rPr>
          <w:rFonts w:eastAsia="Times New Roman"/>
        </w:rPr>
      </w:pPr>
      <w:r>
        <w:rPr>
          <w:rFonts w:eastAsia="Times New Roman"/>
        </w:rPr>
        <w:pict>
          <v:rect id="_x0000_i1070" style="width:0;height:1.5pt" o:hralign="center" o:hrstd="t" o:hr="t" fillcolor="#a0a0a0" stroked="f"/>
        </w:pict>
      </w:r>
    </w:p>
    <w:p w:rsidR="00000000" w:rsidRDefault="00D44B22">
      <w:pPr>
        <w:divId w:val="798959163"/>
        <w:rPr>
          <w:rFonts w:eastAsia="Times New Roman"/>
        </w:rPr>
      </w:pPr>
    </w:p>
    <w:p w:rsidR="00000000" w:rsidRDefault="00D44B22">
      <w:pPr>
        <w:jc w:val="both"/>
        <w:divId w:val="1694843743"/>
        <w:rPr>
          <w:rFonts w:eastAsia="Times New Roman"/>
        </w:rPr>
      </w:pPr>
      <w:r>
        <w:rPr>
          <w:rFonts w:eastAsia="Times New Roman"/>
          <w:b/>
          <w:bCs/>
          <w:color w:val="000000"/>
          <w:sz w:val="20"/>
          <w:szCs w:val="20"/>
        </w:rPr>
        <w:t>Analysis of items not allocated to segments</w:t>
      </w:r>
    </w:p>
    <w:p w:rsidR="00000000" w:rsidRDefault="00D44B22">
      <w:pPr>
        <w:jc w:val="both"/>
        <w:divId w:val="780104698"/>
        <w:rPr>
          <w:rFonts w:eastAsia="Times New Roman"/>
        </w:rPr>
      </w:pPr>
      <w:r>
        <w:rPr>
          <w:rFonts w:eastAsia="Times New Roman"/>
          <w:b/>
          <w:bCs/>
          <w:i/>
          <w:iCs/>
          <w:color w:val="000000"/>
          <w:sz w:val="20"/>
          <w:szCs w:val="20"/>
        </w:rPr>
        <w:t>Equity in earnings of unconsolid</w:t>
      </w:r>
      <w:r>
        <w:rPr>
          <w:rFonts w:eastAsia="Times New Roman"/>
          <w:b/>
          <w:bCs/>
          <w:i/>
          <w:iCs/>
          <w:color w:val="000000"/>
          <w:sz w:val="20"/>
          <w:szCs w:val="20"/>
        </w:rPr>
        <w:t>ated real estate entities</w:t>
      </w:r>
    </w:p>
    <w:p w:rsidR="00000000" w:rsidRDefault="00D44B22">
      <w:pPr>
        <w:ind w:firstLine="720"/>
        <w:jc w:val="both"/>
        <w:divId w:val="1571112244"/>
        <w:rPr>
          <w:rFonts w:eastAsia="Times New Roman"/>
        </w:rPr>
      </w:pPr>
      <w:r>
        <w:rPr>
          <w:rFonts w:eastAsia="Times New Roman"/>
          <w:color w:val="000000"/>
          <w:sz w:val="20"/>
          <w:szCs w:val="20"/>
        </w:rPr>
        <w:t>For all periods presented, we have equity investments in PSB and Shurgard, which we account for using the equity method and record our pro-rata share of the net income of these entities. The following table, and the discussion bel</w:t>
      </w:r>
      <w:r>
        <w:rPr>
          <w:rFonts w:eastAsia="Times New Roman"/>
          <w:color w:val="000000"/>
          <w:sz w:val="20"/>
          <w:szCs w:val="20"/>
        </w:rPr>
        <w:t>ow, sets forth our equity in earnings of unconsolidated real estate entities: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82"/>
        <w:gridCol w:w="37"/>
        <w:gridCol w:w="121"/>
        <w:gridCol w:w="681"/>
        <w:gridCol w:w="37"/>
        <w:gridCol w:w="36"/>
        <w:gridCol w:w="36"/>
        <w:gridCol w:w="36"/>
        <w:gridCol w:w="121"/>
        <w:gridCol w:w="681"/>
        <w:gridCol w:w="37"/>
        <w:gridCol w:w="36"/>
        <w:gridCol w:w="36"/>
        <w:gridCol w:w="36"/>
        <w:gridCol w:w="121"/>
        <w:gridCol w:w="681"/>
        <w:gridCol w:w="36"/>
        <w:gridCol w:w="36"/>
        <w:gridCol w:w="36"/>
        <w:gridCol w:w="36"/>
        <w:gridCol w:w="121"/>
        <w:gridCol w:w="681"/>
        <w:gridCol w:w="37"/>
        <w:gridCol w:w="36"/>
        <w:gridCol w:w="36"/>
        <w:gridCol w:w="36"/>
        <w:gridCol w:w="121"/>
        <w:gridCol w:w="619"/>
        <w:gridCol w:w="37"/>
        <w:gridCol w:w="36"/>
        <w:gridCol w:w="36"/>
        <w:gridCol w:w="36"/>
        <w:gridCol w:w="121"/>
        <w:gridCol w:w="620"/>
        <w:gridCol w:w="36"/>
      </w:tblGrid>
      <w:tr w:rsidR="00000000">
        <w:trPr>
          <w:jc w:val="center"/>
        </w:trPr>
        <w:tc>
          <w:tcPr>
            <w:tcW w:w="50" w:type="pct"/>
            <w:vAlign w:val="center"/>
            <w:hideMark/>
          </w:tcPr>
          <w:p w:rsidR="00000000" w:rsidRDefault="00D44B22">
            <w:pPr>
              <w:ind w:firstLine="720"/>
              <w:jc w:val="both"/>
              <w:rPr>
                <w:rFonts w:eastAsia="Times New Roman"/>
              </w:rPr>
            </w:pPr>
          </w:p>
        </w:tc>
        <w:tc>
          <w:tcPr>
            <w:tcW w:w="173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(Amounts in thousands)</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Equity in earnings:</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PSB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40,124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20,908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19,216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77,010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35,384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41,626</w:t>
            </w:r>
          </w:p>
        </w:tc>
      </w:tr>
      <w:tr w:rsidR="00000000">
        <w:trPr>
          <w:jc w:val="center"/>
        </w:trPr>
        <w:tc>
          <w:tcPr>
            <w:tcW w:w="0" w:type="auto"/>
            <w:gridSpan w:val="3"/>
            <w:tcMar>
              <w:top w:w="30" w:type="dxa"/>
              <w:left w:w="212"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Shurgard</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8,401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8,158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243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14,939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13,138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1,801</w:t>
            </w:r>
          </w:p>
        </w:tc>
      </w:tr>
      <w:tr w:rsidR="00000000">
        <w:trPr>
          <w:jc w:val="center"/>
        </w:trPr>
        <w:tc>
          <w:tcPr>
            <w:tcW w:w="0" w:type="auto"/>
            <w:gridSpan w:val="3"/>
            <w:tcMar>
              <w:top w:w="30" w:type="dxa"/>
              <w:left w:w="83"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Total equity in earnings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48,525</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29,066</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19,459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91,949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48,522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43,427</w:t>
            </w:r>
          </w:p>
        </w:tc>
      </w:tr>
    </w:tbl>
    <w:p w:rsidR="00000000" w:rsidRDefault="00D44B22">
      <w:pPr>
        <w:ind w:firstLine="720"/>
        <w:jc w:val="both"/>
        <w:divId w:val="1901791212"/>
        <w:rPr>
          <w:rFonts w:eastAsia="Times New Roman"/>
        </w:rPr>
      </w:pPr>
      <w:r>
        <w:rPr>
          <w:rFonts w:eastAsia="Times New Roman"/>
          <w:b/>
          <w:bCs/>
          <w:i/>
          <w:iCs/>
          <w:color w:val="000000"/>
          <w:sz w:val="20"/>
          <w:szCs w:val="20"/>
        </w:rPr>
        <w:t>Investment</w:t>
      </w:r>
      <w:r>
        <w:rPr>
          <w:rFonts w:eastAsia="Times New Roman"/>
          <w:b/>
          <w:bCs/>
          <w:i/>
          <w:iCs/>
          <w:color w:val="000000"/>
          <w:sz w:val="20"/>
          <w:szCs w:val="20"/>
        </w:rPr>
        <w:t xml:space="preserve"> in PSB:</w:t>
      </w:r>
      <w:r>
        <w:rPr>
          <w:rFonts w:eastAsia="Times New Roman"/>
          <w:i/>
          <w:iCs/>
          <w:color w:val="000000"/>
          <w:sz w:val="20"/>
          <w:szCs w:val="20"/>
        </w:rPr>
        <w:t xml:space="preserve"> </w:t>
      </w:r>
      <w:r>
        <w:rPr>
          <w:rFonts w:eastAsia="Times New Roman"/>
          <w:color w:val="000000"/>
          <w:sz w:val="20"/>
          <w:szCs w:val="20"/>
        </w:rPr>
        <w:t>Included in our equity earnings from PSB for the three and six months ended June 30, 2022 is our equity share of gains on sale of real estate totaling $25.5 million and $49.1 million, respectively, as compared to $8.0 million for each of the three</w:t>
      </w:r>
      <w:r>
        <w:rPr>
          <w:rFonts w:eastAsia="Times New Roman"/>
          <w:color w:val="000000"/>
          <w:sz w:val="20"/>
          <w:szCs w:val="20"/>
        </w:rPr>
        <w:t xml:space="preserve"> and six months ended June 30, 2021. For the three and six months ended June 30, 2022, our equity share of earnings from PSB contributed $26.6 million and $52.1 million, respectively, to Core FFO, as compared to $25.4 million and $49.6 million for the same</w:t>
      </w:r>
      <w:r>
        <w:rPr>
          <w:rFonts w:eastAsia="Times New Roman"/>
          <w:color w:val="000000"/>
          <w:sz w:val="20"/>
          <w:szCs w:val="20"/>
        </w:rPr>
        <w:t xml:space="preserve"> periods in 2021.</w:t>
      </w:r>
    </w:p>
    <w:p w:rsidR="00000000" w:rsidRDefault="00D44B22">
      <w:pPr>
        <w:ind w:firstLine="720"/>
        <w:jc w:val="both"/>
        <w:divId w:val="1643197086"/>
        <w:rPr>
          <w:rFonts w:eastAsia="Times New Roman"/>
        </w:rPr>
      </w:pPr>
      <w:r>
        <w:rPr>
          <w:rFonts w:eastAsia="Times New Roman"/>
          <w:color w:val="000000"/>
          <w:sz w:val="20"/>
          <w:szCs w:val="20"/>
        </w:rPr>
        <w:t>On April 24, 2022, PSB entered into an Agreement and Plan of Merger whereby affiliates of Blackstone agreed to acquire all outstanding shares of PSB's common stock for $187.50 per share in cash. On July 20, 2022, PSB announced that it com</w:t>
      </w:r>
      <w:r>
        <w:rPr>
          <w:rFonts w:eastAsia="Times New Roman"/>
          <w:color w:val="000000"/>
          <w:sz w:val="20"/>
          <w:szCs w:val="20"/>
        </w:rPr>
        <w:t>pleted the merger transaction with Blackstone. Each share of PSB common stock and each common unit of partnership interest we held in PSB were converted into the right to receive the merger consideration of $187.50 per share or unit and a $0.22 prorated qu</w:t>
      </w:r>
      <w:r>
        <w:rPr>
          <w:rFonts w:eastAsia="Times New Roman"/>
          <w:color w:val="000000"/>
          <w:sz w:val="20"/>
          <w:szCs w:val="20"/>
        </w:rPr>
        <w:t>arterly cash dividend per share or unit, for a total of $187.72 per share or unit. At the close of the merger transaction, we received a total of $2.7 billion of cash proceeds and recognized a $2.1 billion gain on the sale of our equity investment in PSB i</w:t>
      </w:r>
      <w:r>
        <w:rPr>
          <w:rFonts w:eastAsia="Times New Roman"/>
          <w:color w:val="000000"/>
          <w:sz w:val="20"/>
          <w:szCs w:val="20"/>
        </w:rPr>
        <w:t>n the Consolidated Statement of Income for the third quarter of 2022.</w:t>
      </w:r>
    </w:p>
    <w:p w:rsidR="00000000" w:rsidRDefault="00D44B22">
      <w:pPr>
        <w:ind w:firstLine="720"/>
        <w:jc w:val="both"/>
        <w:divId w:val="2010938345"/>
        <w:rPr>
          <w:rFonts w:eastAsia="Times New Roman"/>
        </w:rPr>
      </w:pPr>
      <w:r>
        <w:rPr>
          <w:rFonts w:eastAsia="Times New Roman"/>
          <w:color w:val="000000"/>
          <w:sz w:val="20"/>
          <w:szCs w:val="20"/>
        </w:rPr>
        <w:t xml:space="preserve">In connection with the sale of our equity investment in PSB, on July 22, 2022, our Board of Trustees declared a special cash dividend of $13.15 per common share. The special dividend is </w:t>
      </w:r>
      <w:r>
        <w:rPr>
          <w:rFonts w:eastAsia="Times New Roman"/>
          <w:color w:val="000000"/>
          <w:sz w:val="20"/>
          <w:szCs w:val="20"/>
        </w:rPr>
        <w:t>payable on August 4, 2022 to shareholders of record as of August 1, 2022.</w:t>
      </w:r>
    </w:p>
    <w:p w:rsidR="00000000" w:rsidRDefault="00D44B22">
      <w:pPr>
        <w:ind w:firstLine="720"/>
        <w:jc w:val="both"/>
        <w:divId w:val="911499575"/>
        <w:rPr>
          <w:rFonts w:eastAsia="Times New Roman"/>
        </w:rPr>
      </w:pPr>
      <w:r>
        <w:rPr>
          <w:rFonts w:eastAsia="Times New Roman"/>
          <w:color w:val="000000"/>
          <w:sz w:val="20"/>
          <w:szCs w:val="20"/>
        </w:rPr>
        <w:t>As a result of closing the sale of PSB, we will record significantly lower equity in earnings of unconsolidated subsidiaries in future periods than we have in historical periods.</w:t>
      </w:r>
    </w:p>
    <w:p w:rsidR="00000000" w:rsidRDefault="00D44B22">
      <w:pPr>
        <w:ind w:firstLine="720"/>
        <w:jc w:val="both"/>
        <w:divId w:val="275066159"/>
        <w:rPr>
          <w:rFonts w:eastAsia="Times New Roman"/>
        </w:rPr>
      </w:pPr>
      <w:r>
        <w:rPr>
          <w:rFonts w:eastAsia="Times New Roman"/>
          <w:b/>
          <w:bCs/>
          <w:i/>
          <w:iCs/>
          <w:color w:val="000000"/>
          <w:sz w:val="20"/>
          <w:szCs w:val="20"/>
        </w:rPr>
        <w:t>Inv</w:t>
      </w:r>
      <w:r>
        <w:rPr>
          <w:rFonts w:eastAsia="Times New Roman"/>
          <w:b/>
          <w:bCs/>
          <w:i/>
          <w:iCs/>
          <w:color w:val="000000"/>
          <w:sz w:val="20"/>
          <w:szCs w:val="20"/>
        </w:rPr>
        <w:t>estment in Shurgard:</w:t>
      </w:r>
      <w:r>
        <w:rPr>
          <w:rFonts w:eastAsia="Times New Roman"/>
          <w:i/>
          <w:iCs/>
          <w:color w:val="000000"/>
          <w:sz w:val="20"/>
          <w:szCs w:val="20"/>
        </w:rPr>
        <w:t xml:space="preserve"> </w:t>
      </w:r>
      <w:r>
        <w:rPr>
          <w:rFonts w:eastAsia="Times New Roman"/>
          <w:color w:val="000000"/>
          <w:sz w:val="20"/>
          <w:szCs w:val="20"/>
        </w:rPr>
        <w:t>Included in our equity earnings from Shurgard for each of the three and six months ended June 30, 2022 is our equity share of gains on sale of real estate totaling $3.5 million.</w:t>
      </w:r>
    </w:p>
    <w:p w:rsidR="00000000" w:rsidRDefault="00D44B22">
      <w:pPr>
        <w:ind w:firstLine="720"/>
        <w:jc w:val="both"/>
        <w:divId w:val="1768816937"/>
        <w:rPr>
          <w:rFonts w:eastAsia="Times New Roman"/>
        </w:rPr>
      </w:pPr>
      <w:r>
        <w:rPr>
          <w:rFonts w:eastAsia="Times New Roman"/>
          <w:color w:val="000000"/>
          <w:sz w:val="20"/>
          <w:szCs w:val="20"/>
        </w:rPr>
        <w:t>For purposes of recording our equity in earnings from Shu</w:t>
      </w:r>
      <w:r>
        <w:rPr>
          <w:rFonts w:eastAsia="Times New Roman"/>
          <w:color w:val="000000"/>
          <w:sz w:val="20"/>
          <w:szCs w:val="20"/>
        </w:rPr>
        <w:t xml:space="preserve">rgard, the Euro was translated at exchange rates of approximately 1.045 U.S. Dollars per Euro at June 30, 2022 (1.134 at December 31, 2021), and average exchange rates of 1.065 and 1.205 for the three months ended June 30, 2022 and 2021, respectively, and </w:t>
      </w:r>
      <w:r>
        <w:rPr>
          <w:rFonts w:eastAsia="Times New Roman"/>
          <w:color w:val="000000"/>
          <w:sz w:val="20"/>
          <w:szCs w:val="20"/>
        </w:rPr>
        <w:t xml:space="preserve">average exchange rates of 1.093 and 1.205 for the six months ended June 30, 2022 and 2021, respectively. </w:t>
      </w:r>
    </w:p>
    <w:p w:rsidR="00000000" w:rsidRDefault="00D44B22">
      <w:pPr>
        <w:ind w:firstLine="720"/>
        <w:jc w:val="both"/>
        <w:divId w:val="2024816655"/>
        <w:rPr>
          <w:rFonts w:eastAsia="Times New Roman"/>
        </w:rPr>
      </w:pPr>
    </w:p>
    <w:p w:rsidR="00000000" w:rsidRDefault="00D44B22">
      <w:pPr>
        <w:jc w:val="center"/>
        <w:divId w:val="701128643"/>
        <w:rPr>
          <w:rFonts w:eastAsia="Times New Roman"/>
        </w:rPr>
      </w:pPr>
      <w:r>
        <w:rPr>
          <w:rFonts w:eastAsia="Times New Roman"/>
          <w:color w:val="000000"/>
          <w:sz w:val="20"/>
          <w:szCs w:val="20"/>
        </w:rPr>
        <w:t>45</w:t>
      </w:r>
    </w:p>
    <w:p w:rsidR="00000000" w:rsidRDefault="00D44B22">
      <w:pPr>
        <w:rPr>
          <w:rFonts w:eastAsia="Times New Roman"/>
        </w:rPr>
      </w:pPr>
      <w:r>
        <w:rPr>
          <w:rFonts w:eastAsia="Times New Roman"/>
        </w:rPr>
        <w:pict>
          <v:rect id="_x0000_i1071" style="width:0;height:1.5pt" o:hralign="center" o:hrstd="t" o:hr="t" fillcolor="#a0a0a0" stroked="f"/>
        </w:pict>
      </w:r>
    </w:p>
    <w:p w:rsidR="00000000" w:rsidRDefault="00D44B22">
      <w:pPr>
        <w:divId w:val="662659084"/>
        <w:rPr>
          <w:rFonts w:eastAsia="Times New Roman"/>
        </w:rPr>
      </w:pPr>
    </w:p>
    <w:p w:rsidR="00000000" w:rsidRDefault="00D44B22">
      <w:pPr>
        <w:ind w:firstLine="720"/>
        <w:jc w:val="both"/>
        <w:rPr>
          <w:rFonts w:eastAsia="Times New Roman"/>
        </w:rPr>
      </w:pPr>
      <w:r>
        <w:rPr>
          <w:rFonts w:eastAsia="Times New Roman"/>
          <w:b/>
          <w:bCs/>
          <w:i/>
          <w:iCs/>
          <w:color w:val="000000"/>
          <w:sz w:val="20"/>
          <w:szCs w:val="20"/>
        </w:rPr>
        <w:t>General and administrative expense:</w:t>
      </w:r>
      <w:r>
        <w:rPr>
          <w:rFonts w:eastAsia="Times New Roman"/>
          <w:color w:val="000000"/>
          <w:sz w:val="20"/>
          <w:szCs w:val="20"/>
        </w:rPr>
        <w:t xml:space="preserve"> The following table sets forth our general and administrative expense:</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83"/>
        <w:gridCol w:w="36"/>
        <w:gridCol w:w="121"/>
        <w:gridCol w:w="681"/>
        <w:gridCol w:w="37"/>
        <w:gridCol w:w="36"/>
        <w:gridCol w:w="36"/>
        <w:gridCol w:w="36"/>
        <w:gridCol w:w="121"/>
        <w:gridCol w:w="681"/>
        <w:gridCol w:w="37"/>
        <w:gridCol w:w="36"/>
        <w:gridCol w:w="36"/>
        <w:gridCol w:w="36"/>
        <w:gridCol w:w="121"/>
        <w:gridCol w:w="681"/>
        <w:gridCol w:w="36"/>
        <w:gridCol w:w="36"/>
        <w:gridCol w:w="36"/>
        <w:gridCol w:w="36"/>
        <w:gridCol w:w="121"/>
        <w:gridCol w:w="681"/>
        <w:gridCol w:w="37"/>
        <w:gridCol w:w="36"/>
        <w:gridCol w:w="36"/>
        <w:gridCol w:w="36"/>
        <w:gridCol w:w="121"/>
        <w:gridCol w:w="620"/>
        <w:gridCol w:w="37"/>
        <w:gridCol w:w="36"/>
        <w:gridCol w:w="36"/>
        <w:gridCol w:w="36"/>
        <w:gridCol w:w="121"/>
        <w:gridCol w:w="620"/>
        <w:gridCol w:w="36"/>
      </w:tblGrid>
      <w:tr w:rsidR="00000000">
        <w:trPr>
          <w:jc w:val="center"/>
        </w:trPr>
        <w:tc>
          <w:tcPr>
            <w:tcW w:w="50" w:type="pct"/>
            <w:vAlign w:val="center"/>
            <w:hideMark/>
          </w:tcPr>
          <w:p w:rsidR="00000000" w:rsidRDefault="00D44B22">
            <w:pPr>
              <w:ind w:firstLine="720"/>
              <w:jc w:val="both"/>
              <w:rPr>
                <w:rFonts w:eastAsia="Times New Roman"/>
              </w:rPr>
            </w:pPr>
          </w:p>
        </w:tc>
        <w:tc>
          <w:tcPr>
            <w:tcW w:w="173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jc w:val="both"/>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Three Months Ended June 30,</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Six Months Ended June 30,</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w:t>
            </w:r>
          </w:p>
        </w:tc>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Change</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w:t>
            </w:r>
          </w:p>
        </w:tc>
        <w:tc>
          <w:tcPr>
            <w:tcW w:w="0" w:type="auto"/>
            <w:gridSpan w:val="33"/>
            <w:tcMar>
              <w:top w:w="30" w:type="dxa"/>
              <w:left w:w="20" w:type="dxa"/>
              <w:bottom w:w="30" w:type="dxa"/>
              <w:right w:w="20" w:type="dxa"/>
            </w:tcMar>
            <w:vAlign w:val="bottom"/>
            <w:hideMark/>
          </w:tcPr>
          <w:p w:rsidR="00000000" w:rsidRDefault="00D44B22">
            <w:pPr>
              <w:spacing w:after="100"/>
              <w:jc w:val="center"/>
              <w:rPr>
                <w:rFonts w:eastAsia="Times New Roman"/>
              </w:rPr>
            </w:pPr>
            <w:r>
              <w:rPr>
                <w:rFonts w:eastAsia="Times New Roman"/>
                <w:color w:val="000000"/>
                <w:sz w:val="20"/>
                <w:szCs w:val="20"/>
              </w:rPr>
              <w:t>(Amounts in thousands)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D44B22">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Share-based compensation expense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12,034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12,864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(830)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20,832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20,544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288</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Development and acquisition costs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3,674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2,888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786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6,514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4,695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1,819</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Tax compliance costs and taxes paid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3,381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2,346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1,035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6,115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3,955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2,160</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Legal costs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980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(220)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1,220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2,343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(1,123)</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Corporate management costs</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4,848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4,738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10,694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8,914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1,780</w:t>
            </w:r>
          </w:p>
        </w:tc>
      </w:tr>
      <w:tr w:rsidR="00000000">
        <w:trPr>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Other costs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3,914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3,704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210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6,525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6,863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(338)</w:t>
            </w:r>
          </w:p>
        </w:tc>
      </w:tr>
      <w:tr w:rsidR="00000000">
        <w:trPr>
          <w:jc w:val="center"/>
        </w:trPr>
        <w:tc>
          <w:tcPr>
            <w:tcW w:w="0" w:type="auto"/>
            <w:gridSpan w:val="3"/>
            <w:tcMar>
              <w:top w:w="30" w:type="dxa"/>
              <w:left w:w="327"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Total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28,831</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27,740</w:t>
            </w:r>
          </w:p>
        </w:tc>
        <w:tc>
          <w:tcPr>
            <w:tcW w:w="0" w:type="auto"/>
            <w:gridSpan w:val="3"/>
            <w:tcBorders>
              <w:bottom w:val="double" w:sz="6" w:space="0" w:color="000000"/>
            </w:tcBorders>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1,091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51,900</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47,314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4,586</w:t>
            </w:r>
          </w:p>
        </w:tc>
      </w:tr>
    </w:tbl>
    <w:p w:rsidR="00000000" w:rsidRDefault="00D44B22">
      <w:pPr>
        <w:ind w:firstLine="720"/>
        <w:jc w:val="both"/>
        <w:divId w:val="1218585117"/>
        <w:rPr>
          <w:rFonts w:eastAsia="Times New Roman"/>
        </w:rPr>
      </w:pPr>
      <w:r>
        <w:rPr>
          <w:rFonts w:eastAsia="Times New Roman"/>
          <w:color w:val="000000"/>
          <w:sz w:val="20"/>
          <w:szCs w:val="20"/>
        </w:rPr>
        <w:t>Development and acquisition costs primarily represent internal and external expenses related to our development and acquisition of real estate facilities and varies primarily based upon the level of activities. The amounts in the above table are net of $4.</w:t>
      </w:r>
      <w:r>
        <w:rPr>
          <w:rFonts w:eastAsia="Times New Roman"/>
          <w:color w:val="000000"/>
          <w:sz w:val="20"/>
          <w:szCs w:val="20"/>
        </w:rPr>
        <w:t>1 million and $8.4 million for the three and six months ended June 30, 2022, respectively, as compared to $3.3 million and $6.5 million for the same periods in 2021, in development costs that were capitalized to newly developed and redeveloped self-storage</w:t>
      </w:r>
      <w:r>
        <w:rPr>
          <w:rFonts w:eastAsia="Times New Roman"/>
          <w:color w:val="000000"/>
          <w:sz w:val="20"/>
          <w:szCs w:val="20"/>
        </w:rPr>
        <w:t xml:space="preserve"> facilities.</w:t>
      </w:r>
    </w:p>
    <w:p w:rsidR="00000000" w:rsidRDefault="00D44B22">
      <w:pPr>
        <w:ind w:firstLine="720"/>
        <w:jc w:val="both"/>
        <w:divId w:val="901479806"/>
        <w:rPr>
          <w:rFonts w:eastAsia="Times New Roman"/>
        </w:rPr>
      </w:pPr>
      <w:r>
        <w:rPr>
          <w:rFonts w:eastAsia="Times New Roman"/>
          <w:b/>
          <w:bCs/>
          <w:i/>
          <w:iCs/>
          <w:color w:val="000000"/>
          <w:sz w:val="20"/>
          <w:szCs w:val="20"/>
        </w:rPr>
        <w:t>Interest and other income:</w:t>
      </w:r>
      <w:r>
        <w:rPr>
          <w:rFonts w:eastAsia="Times New Roman"/>
          <w:color w:val="000000"/>
          <w:sz w:val="20"/>
          <w:szCs w:val="20"/>
        </w:rPr>
        <w:t xml:space="preserve"> </w:t>
      </w:r>
      <w:r>
        <w:rPr>
          <w:rFonts w:eastAsia="Times New Roman"/>
          <w:color w:val="000000"/>
          <w:sz w:val="20"/>
          <w:szCs w:val="20"/>
        </w:rPr>
        <w:t xml:space="preserve">Interest and other income is comprised of the revenue and cost associated with our commercial operations, interest earned on cash balances, and trademark license fees received from Shurgard, as well as sundry other income items that are received from time </w:t>
      </w:r>
      <w:r>
        <w:rPr>
          <w:rFonts w:eastAsia="Times New Roman"/>
          <w:color w:val="000000"/>
          <w:sz w:val="20"/>
          <w:szCs w:val="20"/>
        </w:rPr>
        <w:t>to time in varying amounts. For the three and six months ended June 30, 2022, we recognized $10.3 million and $13.7 million interest and other income, respectively, as compared to $3.1 million and $6.0 million for the same periods in 2021. Amounts attribut</w:t>
      </w:r>
      <w:r>
        <w:rPr>
          <w:rFonts w:eastAsia="Times New Roman"/>
          <w:color w:val="000000"/>
          <w:sz w:val="20"/>
          <w:szCs w:val="20"/>
        </w:rPr>
        <w:t>able to commercial operations was $2.2 million in each of the three months ended June 30, 2022 and 2021, and $4.2 million in each of the six months ended June 30, 2022 and 2021. Excluding the aforementioned amounts attributable to our commercial operations</w:t>
      </w:r>
      <w:r>
        <w:rPr>
          <w:rFonts w:eastAsia="Times New Roman"/>
          <w:color w:val="000000"/>
          <w:sz w:val="20"/>
          <w:szCs w:val="20"/>
        </w:rPr>
        <w:t>, interest and other income increased $7.2 million and $7.7 million from the three and six months ended June 30, 2021 to the same periods in 2022, primarily due to (i) a $4.3 million unrealized gain on private equity investments recognized during the three</w:t>
      </w:r>
      <w:r>
        <w:rPr>
          <w:rFonts w:eastAsia="Times New Roman"/>
          <w:color w:val="000000"/>
          <w:sz w:val="20"/>
          <w:szCs w:val="20"/>
        </w:rPr>
        <w:t xml:space="preserve"> and six months ended June 30, 2022 and (ii) $2.0 million and $2.1 million increase in interest earned on higher cash balances during the three and six months ended June 30, 2022, respectively, as compared to the same periods in 2021. </w:t>
      </w:r>
    </w:p>
    <w:p w:rsidR="00000000" w:rsidRDefault="00D44B22">
      <w:pPr>
        <w:ind w:firstLine="720"/>
        <w:jc w:val="both"/>
        <w:divId w:val="1968075036"/>
        <w:rPr>
          <w:rFonts w:eastAsia="Times New Roman"/>
        </w:rPr>
      </w:pPr>
      <w:r>
        <w:rPr>
          <w:rFonts w:eastAsia="Times New Roman"/>
          <w:b/>
          <w:bCs/>
          <w:i/>
          <w:iCs/>
          <w:color w:val="000000"/>
          <w:sz w:val="20"/>
          <w:szCs w:val="20"/>
        </w:rPr>
        <w:t>Interest expense:</w:t>
      </w:r>
      <w:r>
        <w:rPr>
          <w:rFonts w:eastAsia="Times New Roman"/>
          <w:color w:val="000000"/>
          <w:sz w:val="20"/>
          <w:szCs w:val="20"/>
        </w:rPr>
        <w:t xml:space="preserve"> Fo</w:t>
      </w:r>
      <w:r>
        <w:rPr>
          <w:rFonts w:eastAsia="Times New Roman"/>
          <w:color w:val="000000"/>
          <w:sz w:val="20"/>
          <w:szCs w:val="20"/>
        </w:rPr>
        <w:t>r the three and six months ended June 30, 2022, we incurred $34.3 million and $68.6 million, respectively, of interest on our outstanding notes payable, as compared to $22.7 million and $38.9 million for the same periods in 2021. In determining interest ex</w:t>
      </w:r>
      <w:r>
        <w:rPr>
          <w:rFonts w:eastAsia="Times New Roman"/>
          <w:color w:val="000000"/>
          <w:sz w:val="20"/>
          <w:szCs w:val="20"/>
        </w:rPr>
        <w:t>pense, these amounts were offset by capitalized interest of $1.4 million and $2.6 million during the three and six months ended June 30, 2022, respectively, associated with our development activities, as compared to $0.7 million and $1.7 million for the sa</w:t>
      </w:r>
      <w:r>
        <w:rPr>
          <w:rFonts w:eastAsia="Times New Roman"/>
          <w:color w:val="000000"/>
          <w:sz w:val="20"/>
          <w:szCs w:val="20"/>
        </w:rPr>
        <w:t>me periods in 2021. The increase of interest expense in the three and six months ended June 30, 2022 as compared to the same periods in 2021 is due to our issuances of debt to fund our 2021 acquisition activity. At June 30, 2022, we had $7.3 billion of not</w:t>
      </w:r>
      <w:r>
        <w:rPr>
          <w:rFonts w:eastAsia="Times New Roman"/>
          <w:color w:val="000000"/>
          <w:sz w:val="20"/>
          <w:szCs w:val="20"/>
        </w:rPr>
        <w:t>es payable outstanding, with a weighted average interest rate of approximately 1.9%.</w:t>
      </w:r>
    </w:p>
    <w:p w:rsidR="00000000" w:rsidRDefault="00D44B22">
      <w:pPr>
        <w:ind w:firstLine="720"/>
        <w:jc w:val="both"/>
        <w:divId w:val="1492259815"/>
        <w:rPr>
          <w:rFonts w:eastAsia="Times New Roman"/>
        </w:rPr>
      </w:pPr>
      <w:r>
        <w:rPr>
          <w:rFonts w:eastAsia="Times New Roman"/>
          <w:b/>
          <w:bCs/>
          <w:i/>
          <w:iCs/>
          <w:color w:val="000000"/>
          <w:sz w:val="20"/>
          <w:szCs w:val="20"/>
        </w:rPr>
        <w:t>Foreign Currency Exchange Gain (Loss):</w:t>
      </w:r>
      <w:r>
        <w:rPr>
          <w:rFonts w:eastAsia="Times New Roman"/>
          <w:color w:val="000000"/>
          <w:sz w:val="20"/>
          <w:szCs w:val="20"/>
        </w:rPr>
        <w:t xml:space="preserve"> For the three and six months ended June 30, 2022, we recorded foreign currency gains of $101.7 million and $137.1 million, respectiv</w:t>
      </w:r>
      <w:r>
        <w:rPr>
          <w:rFonts w:eastAsia="Times New Roman"/>
          <w:color w:val="000000"/>
          <w:sz w:val="20"/>
          <w:szCs w:val="20"/>
        </w:rPr>
        <w:t xml:space="preserve">ely, representing primarily the changes in the U.S. Dollar equivalent of our Euro-denominated unsecured notes due to fluctuations in exchange rates. For the three and six months ended June 30, 2021, we recorded foreign currency losses of $12.7 million and </w:t>
      </w:r>
      <w:r>
        <w:rPr>
          <w:rFonts w:eastAsia="Times New Roman"/>
          <w:color w:val="000000"/>
          <w:sz w:val="20"/>
          <w:szCs w:val="20"/>
        </w:rPr>
        <w:t>gains of $32.7 million, respectively. The Euro was translated at exchange rates of approximately 1.045 U.S. Dollars per Euro at June 30, 2022, 1.134 at December 31, 2021, 1.188 at June 30, 2021 and 1.226 at December 31, 2020. Future gains and losses on for</w:t>
      </w:r>
      <w:r>
        <w:rPr>
          <w:rFonts w:eastAsia="Times New Roman"/>
          <w:color w:val="000000"/>
          <w:sz w:val="20"/>
          <w:szCs w:val="20"/>
        </w:rPr>
        <w:t xml:space="preserve">eign currency will be dependent upon changes in the relative value of the Euro to the U.S. Dollar and the level of Euro-denominated notes payable outstanding. </w:t>
      </w:r>
    </w:p>
    <w:p w:rsidR="00000000" w:rsidRDefault="00D44B22">
      <w:pPr>
        <w:ind w:firstLine="720"/>
        <w:jc w:val="both"/>
        <w:divId w:val="389616422"/>
        <w:rPr>
          <w:rFonts w:eastAsia="Times New Roman"/>
        </w:rPr>
      </w:pPr>
      <w:r>
        <w:rPr>
          <w:rFonts w:eastAsia="Times New Roman"/>
          <w:b/>
          <w:bCs/>
          <w:i/>
          <w:iCs/>
          <w:color w:val="000000"/>
          <w:sz w:val="20"/>
          <w:szCs w:val="20"/>
        </w:rPr>
        <w:t>Gain on Sale of Real Estate:</w:t>
      </w:r>
      <w:r>
        <w:rPr>
          <w:rFonts w:eastAsia="Times New Roman"/>
          <w:color w:val="000000"/>
          <w:sz w:val="20"/>
          <w:szCs w:val="20"/>
        </w:rPr>
        <w:t xml:space="preserve"> In the three and six months ended June 30, 2021, we recorded gains </w:t>
      </w:r>
      <w:r>
        <w:rPr>
          <w:rFonts w:eastAsia="Times New Roman"/>
          <w:color w:val="000000"/>
          <w:sz w:val="20"/>
          <w:szCs w:val="20"/>
        </w:rPr>
        <w:t>totaling $4.0 million and $13.4 million, respectively, in connection with the partial or complete sale of real estate facilities pursuant to eminent domain proceedings (none in the three and six months ended June 30, 2022).</w:t>
      </w:r>
    </w:p>
    <w:p w:rsidR="00000000" w:rsidRDefault="00D44B22">
      <w:pPr>
        <w:jc w:val="center"/>
        <w:divId w:val="814638794"/>
        <w:rPr>
          <w:rFonts w:eastAsia="Times New Roman"/>
        </w:rPr>
      </w:pPr>
      <w:r>
        <w:rPr>
          <w:rFonts w:eastAsia="Times New Roman"/>
          <w:color w:val="000000"/>
          <w:sz w:val="20"/>
          <w:szCs w:val="20"/>
        </w:rPr>
        <w:t>46</w:t>
      </w:r>
    </w:p>
    <w:p w:rsidR="00000000" w:rsidRDefault="00D44B22">
      <w:pPr>
        <w:rPr>
          <w:rFonts w:eastAsia="Times New Roman"/>
        </w:rPr>
      </w:pPr>
      <w:r>
        <w:rPr>
          <w:rFonts w:eastAsia="Times New Roman"/>
        </w:rPr>
        <w:pict>
          <v:rect id="_x0000_i1072" style="width:0;height:1.5pt" o:hralign="center" o:hrstd="t" o:hr="t" fillcolor="#a0a0a0" stroked="f"/>
        </w:pict>
      </w:r>
    </w:p>
    <w:p w:rsidR="00000000" w:rsidRDefault="00D44B22">
      <w:pPr>
        <w:divId w:val="1344937782"/>
        <w:rPr>
          <w:rFonts w:eastAsia="Times New Roman"/>
        </w:rPr>
      </w:pPr>
    </w:p>
    <w:p w:rsidR="00000000" w:rsidRDefault="00D44B22">
      <w:pPr>
        <w:divId w:val="315383285"/>
        <w:rPr>
          <w:rFonts w:eastAsia="Times New Roman"/>
        </w:rPr>
      </w:pPr>
      <w:r>
        <w:rPr>
          <w:rFonts w:eastAsia="Times New Roman"/>
          <w:b/>
          <w:bCs/>
          <w:color w:val="000000"/>
          <w:sz w:val="20"/>
          <w:szCs w:val="20"/>
        </w:rPr>
        <w:t>Liquidity and Capital Resources</w:t>
      </w:r>
    </w:p>
    <w:p w:rsidR="00000000" w:rsidRDefault="00D44B22">
      <w:pPr>
        <w:ind w:firstLine="720"/>
        <w:divId w:val="823855205"/>
        <w:rPr>
          <w:rFonts w:eastAsia="Times New Roman"/>
        </w:rPr>
      </w:pPr>
      <w:r>
        <w:rPr>
          <w:rFonts w:eastAsia="Times New Roman"/>
          <w:b/>
          <w:bCs/>
          <w:color w:val="000000"/>
          <w:sz w:val="20"/>
          <w:szCs w:val="20"/>
          <w:u w:val="single"/>
        </w:rPr>
        <w:t>Overview</w:t>
      </w:r>
    </w:p>
    <w:p w:rsidR="00000000" w:rsidRDefault="00D44B22">
      <w:pPr>
        <w:divId w:val="356740748"/>
        <w:rPr>
          <w:rFonts w:eastAsia="Times New Roman"/>
        </w:rPr>
      </w:pPr>
    </w:p>
    <w:p w:rsidR="00000000" w:rsidRDefault="00D44B22">
      <w:pPr>
        <w:ind w:firstLine="720"/>
        <w:jc w:val="both"/>
        <w:divId w:val="621545565"/>
        <w:rPr>
          <w:rFonts w:eastAsia="Times New Roman"/>
        </w:rPr>
      </w:pPr>
      <w:r>
        <w:rPr>
          <w:rFonts w:eastAsia="Times New Roman"/>
          <w:color w:val="000000"/>
          <w:sz w:val="20"/>
          <w:szCs w:val="20"/>
        </w:rPr>
        <w:t>As of June 30, 2022, our expected material cash requirements for the next twelve months and thereafter comprised (i) contractually obligated expenditures, including payments of principal and interest; (i</w:t>
      </w:r>
      <w:r>
        <w:rPr>
          <w:rFonts w:eastAsia="Times New Roman"/>
          <w:color w:val="000000"/>
          <w:sz w:val="20"/>
          <w:szCs w:val="20"/>
        </w:rPr>
        <w:t>i) other essential expenditures, including property operating expenses, maintenance capital expenditures and dividends paid in accordance with REIT distribution requirements; and (iii) opportunistic expenditures, including acquisitions and developments and</w:t>
      </w:r>
      <w:r>
        <w:rPr>
          <w:rFonts w:eastAsia="Times New Roman"/>
          <w:color w:val="000000"/>
          <w:sz w:val="20"/>
          <w:szCs w:val="20"/>
        </w:rPr>
        <w:t xml:space="preserve"> repurchases of our securities. We expect to satisfy these cash requirements through operating cash flow and opportunistic debt and equity financing.</w:t>
      </w:r>
    </w:p>
    <w:p w:rsidR="00000000" w:rsidRDefault="00D44B22">
      <w:pPr>
        <w:ind w:firstLine="720"/>
        <w:divId w:val="1476871672"/>
        <w:rPr>
          <w:rFonts w:eastAsia="Times New Roman"/>
        </w:rPr>
      </w:pPr>
      <w:r>
        <w:rPr>
          <w:rFonts w:eastAsia="Times New Roman"/>
          <w:b/>
          <w:bCs/>
          <w:color w:val="000000"/>
          <w:sz w:val="20"/>
          <w:szCs w:val="20"/>
          <w:u w:val="single"/>
        </w:rPr>
        <w:t>Sources of Capital</w:t>
      </w:r>
    </w:p>
    <w:p w:rsidR="00000000" w:rsidRDefault="00D44B22">
      <w:pPr>
        <w:ind w:firstLine="720"/>
        <w:divId w:val="1778023329"/>
        <w:rPr>
          <w:rFonts w:eastAsia="Times New Roman"/>
        </w:rPr>
      </w:pPr>
    </w:p>
    <w:p w:rsidR="00000000" w:rsidRDefault="00D44B22">
      <w:pPr>
        <w:ind w:firstLine="720"/>
        <w:jc w:val="both"/>
        <w:divId w:val="2119524649"/>
        <w:rPr>
          <w:rFonts w:eastAsia="Times New Roman"/>
        </w:rPr>
      </w:pPr>
      <w:r>
        <w:rPr>
          <w:rFonts w:eastAsia="Times New Roman"/>
          <w:color w:val="000000"/>
          <w:sz w:val="20"/>
          <w:szCs w:val="20"/>
        </w:rPr>
        <w:t>While operating as a REIT allows us to minimize the payment of U.S. federal corporate</w:t>
      </w:r>
      <w:r>
        <w:rPr>
          <w:rFonts w:eastAsia="Times New Roman"/>
          <w:color w:val="000000"/>
          <w:sz w:val="20"/>
          <w:szCs w:val="20"/>
        </w:rPr>
        <w:t xml:space="preserve"> income tax expense, we are required to distribute at least 90% of our taxable income to our shareholders. Notwithstanding this requirement, we are nonetheless able to retain operating cash flow to the extent that our tax depreciation exceeds our maintenan</w:t>
      </w:r>
      <w:r>
        <w:rPr>
          <w:rFonts w:eastAsia="Times New Roman"/>
          <w:color w:val="000000"/>
          <w:sz w:val="20"/>
          <w:szCs w:val="20"/>
        </w:rPr>
        <w:t>ce capital expenditures. Retained operating cash flow represents our expected cash flow provided by operating activities, less shareholder distributions and capital expenditures. Our annual operating retained cash flow increased from $200 million to $300 m</w:t>
      </w:r>
      <w:r>
        <w:rPr>
          <w:rFonts w:eastAsia="Times New Roman"/>
          <w:color w:val="000000"/>
          <w:sz w:val="20"/>
          <w:szCs w:val="20"/>
        </w:rPr>
        <w:t>illion per year in recent years to approximately $700 million in 2021. We anticipate retained operating cash flow over the next twelve months will be similar to 2021.</w:t>
      </w:r>
    </w:p>
    <w:p w:rsidR="00000000" w:rsidRDefault="00D44B22">
      <w:pPr>
        <w:ind w:firstLine="720"/>
        <w:jc w:val="both"/>
        <w:divId w:val="331882576"/>
        <w:rPr>
          <w:rFonts w:eastAsia="Times New Roman"/>
        </w:rPr>
      </w:pPr>
      <w:r>
        <w:rPr>
          <w:rFonts w:eastAsia="Times New Roman"/>
          <w:color w:val="000000"/>
          <w:sz w:val="20"/>
          <w:szCs w:val="20"/>
        </w:rPr>
        <w:t>The REIT distribution requirement limits cash flow from operations that can be retained a</w:t>
      </w:r>
      <w:r>
        <w:rPr>
          <w:rFonts w:eastAsia="Times New Roman"/>
          <w:color w:val="000000"/>
          <w:sz w:val="20"/>
          <w:szCs w:val="20"/>
        </w:rPr>
        <w:t>nd reinvested in the business, increasing our reliance upon raising capital to fund growth. Capital needs in excess of retained cash flow are met with: (i) medium and long-term debt, (ii) preferred equity, and (iii) common equity. We select among these sou</w:t>
      </w:r>
      <w:r>
        <w:rPr>
          <w:rFonts w:eastAsia="Times New Roman"/>
          <w:color w:val="000000"/>
          <w:sz w:val="20"/>
          <w:szCs w:val="20"/>
        </w:rPr>
        <w:t xml:space="preserve">rces of capital based upon relative cost, availability, the desire for leverage, and considering potential constraints caused by certain features of capital sources, such as debt covenants. We view our line of credit, as well as any short-term bank loans, </w:t>
      </w:r>
      <w:r>
        <w:rPr>
          <w:rFonts w:eastAsia="Times New Roman"/>
          <w:color w:val="000000"/>
          <w:sz w:val="20"/>
          <w:szCs w:val="20"/>
        </w:rPr>
        <w:t xml:space="preserve">as bridge financing. </w:t>
      </w:r>
    </w:p>
    <w:p w:rsidR="00000000" w:rsidRDefault="00D44B22">
      <w:pPr>
        <w:ind w:firstLine="720"/>
        <w:jc w:val="both"/>
        <w:divId w:val="782068630"/>
        <w:rPr>
          <w:rFonts w:eastAsia="Times New Roman"/>
        </w:rPr>
      </w:pPr>
      <w:r>
        <w:rPr>
          <w:rFonts w:eastAsia="Times New Roman"/>
          <w:color w:val="000000"/>
          <w:sz w:val="20"/>
          <w:szCs w:val="20"/>
        </w:rPr>
        <w:t>Because raising capital is important to our growth, we endeavor to maintain a strong financial profile characterized by strong credit metrics, including low leverage relative to our total capitalization and operating cash flows. We ar</w:t>
      </w:r>
      <w:r>
        <w:rPr>
          <w:rFonts w:eastAsia="Times New Roman"/>
          <w:color w:val="000000"/>
          <w:sz w:val="20"/>
          <w:szCs w:val="20"/>
        </w:rPr>
        <w:t>e one of the highest rated REITs, as rated by major rating agencies Moody’s and Standard &amp; Poor’s. Our senior notes payable have an “A” credit rating by Standard &amp; Poor’s and “A2” by Moody’s. Our credit ratings on each of our series of preferred shares are</w:t>
      </w:r>
      <w:r>
        <w:rPr>
          <w:rFonts w:eastAsia="Times New Roman"/>
          <w:color w:val="000000"/>
          <w:sz w:val="20"/>
          <w:szCs w:val="20"/>
        </w:rPr>
        <w:t xml:space="preserve"> “A3” by Moody’s and “BBB+” by Standard &amp; Poor’s. Our credit profile enables us to effectively access both the public and private capital markets to raise capital.</w:t>
      </w:r>
    </w:p>
    <w:p w:rsidR="00000000" w:rsidRDefault="00D44B22">
      <w:pPr>
        <w:ind w:firstLine="720"/>
        <w:jc w:val="both"/>
        <w:divId w:val="2023510652"/>
        <w:rPr>
          <w:rFonts w:eastAsia="Times New Roman"/>
        </w:rPr>
      </w:pPr>
      <w:r>
        <w:rPr>
          <w:rFonts w:eastAsia="Times New Roman"/>
          <w:color w:val="000000"/>
          <w:sz w:val="20"/>
          <w:szCs w:val="20"/>
        </w:rPr>
        <w:t>We have a $500.0 million revolving line of credit which we are able to use as temporary “bri</w:t>
      </w:r>
      <w:r>
        <w:rPr>
          <w:rFonts w:eastAsia="Times New Roman"/>
          <w:color w:val="000000"/>
          <w:sz w:val="20"/>
          <w:szCs w:val="20"/>
        </w:rPr>
        <w:t>dge” financing until we are able to raise longer term capital. As of June 30, 2022 and August 4, 2022, there were no borrowings outstanding on the revolving line of credit; however, we do have approximately $18.6 million of outstanding letters of credit wh</w:t>
      </w:r>
      <w:r>
        <w:rPr>
          <w:rFonts w:eastAsia="Times New Roman"/>
          <w:color w:val="000000"/>
          <w:sz w:val="20"/>
          <w:szCs w:val="20"/>
        </w:rPr>
        <w:t xml:space="preserve">ich limits our borrowing capacity to $481.4 million as of August 4, 2022. Our line of credit matures on April 19, 2024. </w:t>
      </w:r>
    </w:p>
    <w:p w:rsidR="00000000" w:rsidRDefault="00D44B22">
      <w:pPr>
        <w:ind w:firstLine="720"/>
        <w:jc w:val="both"/>
        <w:divId w:val="240985601"/>
        <w:rPr>
          <w:rFonts w:eastAsia="Times New Roman"/>
        </w:rPr>
      </w:pPr>
      <w:r>
        <w:rPr>
          <w:rFonts w:eastAsia="Times New Roman"/>
          <w:color w:val="000000"/>
          <w:sz w:val="20"/>
          <w:szCs w:val="20"/>
        </w:rPr>
        <w:t>We believe that we have significant financial flexibility to adapt to changing conditions and opportunities and we have significant acc</w:t>
      </w:r>
      <w:r>
        <w:rPr>
          <w:rFonts w:eastAsia="Times New Roman"/>
          <w:color w:val="000000"/>
          <w:sz w:val="20"/>
          <w:szCs w:val="20"/>
        </w:rPr>
        <w:t>ess to sources of capital including debt and preferred equity. Based upon our substantial current liquidity relative to our capital requirements noted below, we would not expect any potential capital market dislocations to have a material impact upon our e</w:t>
      </w:r>
      <w:r>
        <w:rPr>
          <w:rFonts w:eastAsia="Times New Roman"/>
          <w:color w:val="000000"/>
          <w:sz w:val="20"/>
          <w:szCs w:val="20"/>
        </w:rPr>
        <w:t>xpected capital and growth plans over the next 12 months. However, if capital market conditions were to change significantly in the long run, our access to or cost of debt and preferred equity capital could be negatively impacted and potentially affect fut</w:t>
      </w:r>
      <w:r>
        <w:rPr>
          <w:rFonts w:eastAsia="Times New Roman"/>
          <w:color w:val="000000"/>
          <w:sz w:val="20"/>
          <w:szCs w:val="20"/>
        </w:rPr>
        <w:t>ure investment activities.</w:t>
      </w:r>
    </w:p>
    <w:p w:rsidR="00000000" w:rsidRDefault="00D44B22">
      <w:pPr>
        <w:ind w:firstLine="720"/>
        <w:jc w:val="both"/>
        <w:divId w:val="2030639457"/>
        <w:rPr>
          <w:rFonts w:eastAsia="Times New Roman"/>
        </w:rPr>
      </w:pPr>
      <w:r>
        <w:rPr>
          <w:rFonts w:eastAsia="Times New Roman"/>
          <w:color w:val="000000"/>
          <w:sz w:val="20"/>
          <w:szCs w:val="20"/>
        </w:rPr>
        <w:t xml:space="preserve">We believe that our cash provided by our operating activities will continue to be sufficient to enable us to meet our ongoing cash requirements for interest payments on debt, maintenance capital expenditures and distributions to </w:t>
      </w:r>
      <w:r>
        <w:rPr>
          <w:rFonts w:eastAsia="Times New Roman"/>
          <w:color w:val="000000"/>
          <w:sz w:val="20"/>
          <w:szCs w:val="20"/>
        </w:rPr>
        <w:t xml:space="preserve">our shareholders for the foreseeable future. </w:t>
      </w:r>
    </w:p>
    <w:p w:rsidR="00000000" w:rsidRDefault="00D44B22">
      <w:pPr>
        <w:ind w:firstLine="720"/>
        <w:jc w:val="both"/>
        <w:divId w:val="914702826"/>
        <w:rPr>
          <w:rFonts w:eastAsia="Times New Roman"/>
        </w:rPr>
      </w:pPr>
      <w:r>
        <w:rPr>
          <w:rFonts w:eastAsia="Times New Roman"/>
          <w:color w:val="000000"/>
          <w:sz w:val="20"/>
          <w:szCs w:val="20"/>
        </w:rPr>
        <w:t>Our expected capital resources include: (i) $1.0 billion of cash as of June 30, 2022, (ii) approximately $700.0 million of expected retained operating cash flow over the next twelve months and (iii) approximate</w:t>
      </w:r>
      <w:r>
        <w:rPr>
          <w:rFonts w:eastAsia="Times New Roman"/>
          <w:color w:val="000000"/>
          <w:sz w:val="20"/>
          <w:szCs w:val="20"/>
        </w:rPr>
        <w:t>ly $400.0 million of cash proceeds we will retain from the sale of our equity investment in PSB after the payment of a $2.3 billion special dividend.</w:t>
      </w:r>
    </w:p>
    <w:p w:rsidR="00000000" w:rsidRDefault="00D44B22">
      <w:pPr>
        <w:jc w:val="center"/>
        <w:divId w:val="1321692714"/>
        <w:rPr>
          <w:rFonts w:eastAsia="Times New Roman"/>
        </w:rPr>
      </w:pPr>
      <w:r>
        <w:rPr>
          <w:rFonts w:eastAsia="Times New Roman"/>
          <w:color w:val="000000"/>
          <w:sz w:val="20"/>
          <w:szCs w:val="20"/>
        </w:rPr>
        <w:t>47</w:t>
      </w:r>
    </w:p>
    <w:p w:rsidR="00000000" w:rsidRDefault="00D44B22">
      <w:pPr>
        <w:rPr>
          <w:rFonts w:eastAsia="Times New Roman"/>
        </w:rPr>
      </w:pPr>
      <w:r>
        <w:rPr>
          <w:rFonts w:eastAsia="Times New Roman"/>
        </w:rPr>
        <w:pict>
          <v:rect id="_x0000_i1073" style="width:0;height:1.5pt" o:hralign="center" o:hrstd="t" o:hr="t" fillcolor="#a0a0a0" stroked="f"/>
        </w:pict>
      </w:r>
    </w:p>
    <w:p w:rsidR="00000000" w:rsidRDefault="00D44B22">
      <w:pPr>
        <w:divId w:val="2022387863"/>
        <w:rPr>
          <w:rFonts w:eastAsia="Times New Roman"/>
        </w:rPr>
      </w:pPr>
    </w:p>
    <w:p w:rsidR="00000000" w:rsidRDefault="00D44B22">
      <w:pPr>
        <w:ind w:firstLine="720"/>
        <w:jc w:val="both"/>
        <w:divId w:val="1660697046"/>
        <w:rPr>
          <w:rFonts w:eastAsia="Times New Roman"/>
        </w:rPr>
      </w:pPr>
      <w:r>
        <w:rPr>
          <w:rFonts w:eastAsia="Times New Roman"/>
          <w:color w:val="000000"/>
          <w:sz w:val="20"/>
          <w:szCs w:val="20"/>
        </w:rPr>
        <w:t xml:space="preserve">Over the long term, to the extent that our capital needs exceed </w:t>
      </w:r>
      <w:r>
        <w:rPr>
          <w:rFonts w:eastAsia="Times New Roman"/>
          <w:color w:val="000000"/>
          <w:sz w:val="20"/>
          <w:szCs w:val="20"/>
        </w:rPr>
        <w:t>our capital resources, we believe we have a variety of possibilities to raise additional capital including issuing common or preferred securities, issuing debt, or entering into joint venture arrangements to acquire or develop facilities.</w:t>
      </w:r>
    </w:p>
    <w:p w:rsidR="00000000" w:rsidRDefault="00D44B22">
      <w:pPr>
        <w:ind w:firstLine="720"/>
        <w:jc w:val="both"/>
        <w:divId w:val="1807358609"/>
        <w:rPr>
          <w:rFonts w:eastAsia="Times New Roman"/>
        </w:rPr>
      </w:pPr>
      <w:r>
        <w:rPr>
          <w:rFonts w:eastAsia="Times New Roman"/>
          <w:b/>
          <w:bCs/>
          <w:color w:val="000000"/>
          <w:sz w:val="20"/>
          <w:szCs w:val="20"/>
          <w:u w:val="single"/>
        </w:rPr>
        <w:t>Cash Requirements</w:t>
      </w:r>
    </w:p>
    <w:p w:rsidR="00000000" w:rsidRDefault="00D44B22">
      <w:pPr>
        <w:ind w:firstLine="720"/>
        <w:jc w:val="both"/>
        <w:divId w:val="1193574285"/>
        <w:rPr>
          <w:rFonts w:eastAsia="Times New Roman"/>
        </w:rPr>
      </w:pPr>
      <w:r>
        <w:rPr>
          <w:rFonts w:eastAsia="Times New Roman"/>
          <w:color w:val="000000"/>
          <w:sz w:val="20"/>
          <w:szCs w:val="20"/>
        </w:rPr>
        <w:t>The following summarizes our expected material cash requirements which comprise (i) contractually obligated expenditures, (ii) other essential expenditures, and (iii) opportunistic expenditures. We expect our capital needs to increase over the next year as</w:t>
      </w:r>
      <w:r>
        <w:rPr>
          <w:rFonts w:eastAsia="Times New Roman"/>
          <w:color w:val="000000"/>
          <w:sz w:val="20"/>
          <w:szCs w:val="20"/>
        </w:rPr>
        <w:t xml:space="preserve"> we add projects to our development pipeline and acquire additional properties.</w:t>
      </w:r>
    </w:p>
    <w:p w:rsidR="00000000" w:rsidRDefault="00D44B22">
      <w:pPr>
        <w:ind w:firstLine="720"/>
        <w:jc w:val="both"/>
        <w:divId w:val="1697268251"/>
        <w:rPr>
          <w:rFonts w:eastAsia="Times New Roman"/>
        </w:rPr>
      </w:pPr>
      <w:r>
        <w:rPr>
          <w:rFonts w:eastAsia="Times New Roman"/>
          <w:b/>
          <w:bCs/>
          <w:i/>
          <w:iCs/>
          <w:color w:val="000000"/>
          <w:sz w:val="20"/>
          <w:szCs w:val="20"/>
        </w:rPr>
        <w:t>Required Debt Repayments:</w:t>
      </w:r>
      <w:r>
        <w:rPr>
          <w:rFonts w:eastAsia="Times New Roman"/>
          <w:b/>
          <w:bCs/>
          <w:color w:val="000000"/>
          <w:sz w:val="20"/>
          <w:szCs w:val="20"/>
        </w:rPr>
        <w:t xml:space="preserve"> </w:t>
      </w:r>
      <w:r>
        <w:rPr>
          <w:rFonts w:eastAsia="Times New Roman"/>
          <w:color w:val="000000"/>
          <w:sz w:val="20"/>
          <w:szCs w:val="20"/>
        </w:rPr>
        <w:t>As of June 30, 2022, the principal outstanding on our debt totaled approximately $7.4 billion, consisting of $22.8 million of secured notes payable, $</w:t>
      </w:r>
      <w:r>
        <w:rPr>
          <w:rFonts w:eastAsia="Times New Roman"/>
          <w:color w:val="000000"/>
          <w:sz w:val="20"/>
          <w:szCs w:val="20"/>
        </w:rPr>
        <w:t>1.6 billion of Euro-denominated unsecured notes payable and $5.8 billion of U.S. Dollar denominated unsecured notes payable. Approximate principal maturities and interest payments are as follows (amounts in thousands):</w:t>
      </w:r>
    </w:p>
    <w:tbl>
      <w:tblPr>
        <w:tblW w:w="5595" w:type="dxa"/>
        <w:jc w:val="center"/>
        <w:tblCellMar>
          <w:top w:w="15" w:type="dxa"/>
          <w:left w:w="15" w:type="dxa"/>
          <w:bottom w:w="15" w:type="dxa"/>
          <w:right w:w="15" w:type="dxa"/>
        </w:tblCellMar>
        <w:tblLook w:val="04A0" w:firstRow="1" w:lastRow="0" w:firstColumn="1" w:lastColumn="0" w:noHBand="0" w:noVBand="1"/>
      </w:tblPr>
      <w:tblGrid>
        <w:gridCol w:w="36"/>
        <w:gridCol w:w="4033"/>
        <w:gridCol w:w="36"/>
        <w:gridCol w:w="120"/>
        <w:gridCol w:w="1334"/>
        <w:gridCol w:w="36"/>
      </w:tblGrid>
      <w:tr w:rsidR="00000000">
        <w:trPr>
          <w:jc w:val="center"/>
        </w:trPr>
        <w:tc>
          <w:tcPr>
            <w:tcW w:w="20" w:type="dxa"/>
            <w:vAlign w:val="center"/>
            <w:hideMark/>
          </w:tcPr>
          <w:p w:rsidR="00000000" w:rsidRDefault="00D44B22">
            <w:pPr>
              <w:ind w:firstLine="720"/>
              <w:jc w:val="both"/>
              <w:rPr>
                <w:rFonts w:eastAsia="Times New Roman"/>
              </w:rPr>
            </w:pPr>
          </w:p>
        </w:tc>
        <w:tc>
          <w:tcPr>
            <w:tcW w:w="4160" w:type="dxa"/>
            <w:vAlign w:val="center"/>
            <w:hideMark/>
          </w:tcPr>
          <w:p w:rsidR="00000000" w:rsidRDefault="00D44B22">
            <w:pPr>
              <w:spacing w:after="100"/>
              <w:rPr>
                <w:rFonts w:eastAsia="Times New Roman"/>
                <w:sz w:val="20"/>
                <w:szCs w:val="20"/>
              </w:rPr>
            </w:pPr>
          </w:p>
        </w:tc>
        <w:tc>
          <w:tcPr>
            <w:tcW w:w="20" w:type="dxa"/>
            <w:vAlign w:val="center"/>
            <w:hideMark/>
          </w:tcPr>
          <w:p w:rsidR="00000000" w:rsidRDefault="00D44B22">
            <w:pPr>
              <w:spacing w:after="100"/>
              <w:rPr>
                <w:rFonts w:eastAsia="Times New Roman"/>
                <w:sz w:val="20"/>
                <w:szCs w:val="20"/>
              </w:rPr>
            </w:pPr>
          </w:p>
        </w:tc>
        <w:tc>
          <w:tcPr>
            <w:tcW w:w="20" w:type="dxa"/>
            <w:vAlign w:val="center"/>
            <w:hideMark/>
          </w:tcPr>
          <w:p w:rsidR="00000000" w:rsidRDefault="00D44B22">
            <w:pPr>
              <w:spacing w:after="100"/>
              <w:rPr>
                <w:rFonts w:eastAsia="Times New Roman"/>
                <w:sz w:val="20"/>
                <w:szCs w:val="20"/>
              </w:rPr>
            </w:pPr>
          </w:p>
        </w:tc>
        <w:tc>
          <w:tcPr>
            <w:tcW w:w="1355" w:type="dxa"/>
            <w:vAlign w:val="center"/>
            <w:hideMark/>
          </w:tcPr>
          <w:p w:rsidR="00000000" w:rsidRDefault="00D44B22">
            <w:pPr>
              <w:spacing w:after="100"/>
              <w:rPr>
                <w:rFonts w:eastAsia="Times New Roman"/>
                <w:sz w:val="20"/>
                <w:szCs w:val="20"/>
              </w:rPr>
            </w:pPr>
          </w:p>
        </w:tc>
        <w:tc>
          <w:tcPr>
            <w:tcW w:w="20" w:type="dxa"/>
            <w:vAlign w:val="center"/>
            <w:hideMark/>
          </w:tcPr>
          <w:p w:rsidR="00000000" w:rsidRDefault="00D44B22">
            <w:pPr>
              <w:spacing w:after="100"/>
              <w:rPr>
                <w:rFonts w:eastAsia="Times New Roman"/>
                <w:sz w:val="20"/>
                <w:szCs w:val="20"/>
              </w:rPr>
            </w:pP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44B22">
            <w:pPr>
              <w:spacing w:after="100"/>
              <w:divId w:val="317537217"/>
              <w:rPr>
                <w:rFonts w:eastAsia="Times New Roman"/>
              </w:rPr>
            </w:pPr>
            <w:r>
              <w:rPr>
                <w:rFonts w:eastAsia="Times New Roman"/>
                <w:color w:val="000000"/>
                <w:sz w:val="20"/>
                <w:szCs w:val="20"/>
              </w:rPr>
              <w:t>Remainder of 2022</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561,767</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2023</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135,268</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2024</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917,052</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2025</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361,149</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2026</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1,251,200</w:t>
            </w:r>
          </w:p>
        </w:tc>
      </w:tr>
      <w:tr w:rsidR="00000000">
        <w:trPr>
          <w:trHeight w:val="300"/>
          <w:jc w:val="center"/>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Thereafter </w:t>
            </w: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4,905,242</w:t>
            </w:r>
          </w:p>
        </w:tc>
      </w:tr>
      <w:tr w:rsidR="00000000">
        <w:trPr>
          <w:trHeight w:val="300"/>
          <w:jc w:val="center"/>
        </w:trPr>
        <w:tc>
          <w:tcPr>
            <w:tcW w:w="0" w:type="auto"/>
            <w:gridSpan w:val="3"/>
            <w:tcMar>
              <w:top w:w="30" w:type="dxa"/>
              <w:left w:w="20" w:type="dxa"/>
              <w:bottom w:w="30" w:type="dxa"/>
              <w:right w:w="20" w:type="dxa"/>
            </w:tcMar>
            <w:vAlign w:val="center"/>
            <w:hideMark/>
          </w:tcPr>
          <w:p w:rsidR="00000000" w:rsidRDefault="00D44B22">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8,131,678</w:t>
            </w:r>
          </w:p>
        </w:tc>
      </w:tr>
    </w:tbl>
    <w:p w:rsidR="00000000" w:rsidRDefault="00D44B22">
      <w:pPr>
        <w:ind w:firstLine="720"/>
        <w:jc w:val="both"/>
        <w:divId w:val="1315718935"/>
        <w:rPr>
          <w:rFonts w:eastAsia="Times New Roman"/>
        </w:rPr>
      </w:pPr>
      <w:r>
        <w:rPr>
          <w:rFonts w:eastAsia="Times New Roman"/>
          <w:color w:val="000000"/>
          <w:sz w:val="20"/>
          <w:szCs w:val="20"/>
        </w:rPr>
        <w:t>On July 26, 2022, the Company called for redemption on August 15, 2022 its 2.370% Senior Notes, with an aggregate outstanding principal amount of $500.0 million, due September 15, 2022.</w:t>
      </w:r>
    </w:p>
    <w:p w:rsidR="00000000" w:rsidRDefault="00D44B22">
      <w:pPr>
        <w:ind w:firstLine="720"/>
        <w:jc w:val="both"/>
        <w:divId w:val="1209413146"/>
        <w:rPr>
          <w:rFonts w:eastAsia="Times New Roman"/>
        </w:rPr>
      </w:pPr>
      <w:r>
        <w:rPr>
          <w:rFonts w:eastAsia="Times New Roman"/>
          <w:b/>
          <w:bCs/>
          <w:i/>
          <w:iCs/>
          <w:color w:val="000000"/>
          <w:sz w:val="20"/>
          <w:szCs w:val="20"/>
        </w:rPr>
        <w:t>Capital Expenditure Requirements:</w:t>
      </w:r>
      <w:r>
        <w:rPr>
          <w:rFonts w:eastAsia="Times New Roman"/>
          <w:color w:val="000000"/>
          <w:sz w:val="20"/>
          <w:szCs w:val="20"/>
        </w:rPr>
        <w:t xml:space="preserve"> Capital expenditures include general</w:t>
      </w:r>
      <w:r>
        <w:rPr>
          <w:rFonts w:eastAsia="Times New Roman"/>
          <w:color w:val="000000"/>
          <w:sz w:val="20"/>
          <w:szCs w:val="20"/>
        </w:rPr>
        <w:t xml:space="preserve"> maintenance, major repairs or replacements to elements of our facilities to keep our facilities in good operating condition and maintain their visual appeal. Capital expenditures do not include costs relating to the development of new facilities or redeve</w:t>
      </w:r>
      <w:r>
        <w:rPr>
          <w:rFonts w:eastAsia="Times New Roman"/>
          <w:color w:val="000000"/>
          <w:sz w:val="20"/>
          <w:szCs w:val="20"/>
        </w:rPr>
        <w:t xml:space="preserve">lopment of existing facilities to increase their available rentable square footage. </w:t>
      </w:r>
    </w:p>
    <w:p w:rsidR="00000000" w:rsidRDefault="00D44B22">
      <w:pPr>
        <w:ind w:firstLine="720"/>
        <w:jc w:val="both"/>
        <w:divId w:val="623973351"/>
        <w:rPr>
          <w:rFonts w:eastAsia="Times New Roman"/>
        </w:rPr>
      </w:pPr>
      <w:r>
        <w:rPr>
          <w:rFonts w:eastAsia="Times New Roman"/>
          <w:color w:val="000000"/>
          <w:sz w:val="20"/>
          <w:szCs w:val="20"/>
        </w:rPr>
        <w:t>Capital expenditures totaled $205.6 million in the first six months of 2022 and are expected to approximate $300 million for the year ending December 31, 2022. In addition</w:t>
      </w:r>
      <w:r>
        <w:rPr>
          <w:rFonts w:eastAsia="Times New Roman"/>
          <w:color w:val="000000"/>
          <w:sz w:val="20"/>
          <w:szCs w:val="20"/>
        </w:rPr>
        <w:t xml:space="preserve"> to standard capital repairs of building elements reaching the end of their useful lives, our capital expenditures in recent years have included incremental expenditures to enhance the competitive position of certain of our facilities relative to local com</w:t>
      </w:r>
      <w:r>
        <w:rPr>
          <w:rFonts w:eastAsia="Times New Roman"/>
          <w:color w:val="000000"/>
          <w:sz w:val="20"/>
          <w:szCs w:val="20"/>
        </w:rPr>
        <w:t xml:space="preserve">petitors pursuant to a multi-year program. Such investments include development of more pronounced, attractive, and clearly identifiable color schemes and signage, upgrades to the configuration and layout of the offices and other customer zones to improve </w:t>
      </w:r>
      <w:r>
        <w:rPr>
          <w:rFonts w:eastAsia="Times New Roman"/>
          <w:color w:val="000000"/>
          <w:sz w:val="20"/>
          <w:szCs w:val="20"/>
        </w:rPr>
        <w:t>the customer experience. We spent approximately $105 million in the first six months of 2022 and expect to spend $180 million in 2022 on this effort. In addition, we have made investments in LED lighting and the installation of solar panels, which approxim</w:t>
      </w:r>
      <w:r>
        <w:rPr>
          <w:rFonts w:eastAsia="Times New Roman"/>
          <w:color w:val="000000"/>
          <w:sz w:val="20"/>
          <w:szCs w:val="20"/>
        </w:rPr>
        <w:t>ated $24 million for the six months ended June 30, 2022 and we expect to spend $30 million in 2022.</w:t>
      </w:r>
    </w:p>
    <w:p w:rsidR="00000000" w:rsidRDefault="00D44B22">
      <w:pPr>
        <w:ind w:firstLine="720"/>
        <w:jc w:val="both"/>
        <w:divId w:val="205072737"/>
        <w:rPr>
          <w:rFonts w:eastAsia="Times New Roman"/>
        </w:rPr>
      </w:pPr>
      <w:r>
        <w:rPr>
          <w:rFonts w:eastAsia="Times New Roman"/>
          <w:color w:val="000000"/>
          <w:sz w:val="20"/>
          <w:szCs w:val="20"/>
        </w:rPr>
        <w:t>We believe that these incremental investments improve customer satisfaction, the attractiveness and competitiveness of our facilities to new and existing cu</w:t>
      </w:r>
      <w:r>
        <w:rPr>
          <w:rFonts w:eastAsia="Times New Roman"/>
          <w:color w:val="000000"/>
          <w:sz w:val="20"/>
          <w:szCs w:val="20"/>
        </w:rPr>
        <w:t xml:space="preserve">stomers and, in the case of LED lighting and solar panels, reduce operating costs. </w:t>
      </w:r>
    </w:p>
    <w:p w:rsidR="00000000" w:rsidRDefault="00D44B22">
      <w:pPr>
        <w:ind w:firstLine="720"/>
        <w:jc w:val="both"/>
        <w:divId w:val="1892425254"/>
        <w:rPr>
          <w:rFonts w:eastAsia="Times New Roman"/>
        </w:rPr>
      </w:pPr>
      <w:r>
        <w:rPr>
          <w:rFonts w:eastAsia="Times New Roman"/>
          <w:b/>
          <w:bCs/>
          <w:i/>
          <w:iCs/>
          <w:color w:val="000000"/>
          <w:sz w:val="20"/>
          <w:szCs w:val="20"/>
        </w:rPr>
        <w:t>Requirement to Pay Distributions:</w:t>
      </w:r>
      <w:r>
        <w:rPr>
          <w:rFonts w:eastAsia="Times New Roman"/>
          <w:color w:val="000000"/>
          <w:sz w:val="20"/>
          <w:szCs w:val="20"/>
        </w:rPr>
        <w:t xml:space="preserve"> For all periods presented herein, we have elected to be treated as a REIT, as defined in the Code. For each taxable year in which we quali</w:t>
      </w:r>
      <w:r>
        <w:rPr>
          <w:rFonts w:eastAsia="Times New Roman"/>
          <w:color w:val="000000"/>
          <w:sz w:val="20"/>
          <w:szCs w:val="20"/>
        </w:rPr>
        <w:t>fy for taxation as a REIT, we will not be subject to U.S. federal corporate income tax on our “REIT taxable income” (generally, taxable income subject to specified adjustments, including a deduction for dividends paid and excluding our net capital gain) th</w:t>
      </w:r>
      <w:r>
        <w:rPr>
          <w:rFonts w:eastAsia="Times New Roman"/>
          <w:color w:val="000000"/>
          <w:sz w:val="20"/>
          <w:szCs w:val="20"/>
        </w:rPr>
        <w:t>at is distributed to our shareholders. We believe we have met these requirements in all periods presented herein, and we expect to continue to qualify as a REIT.</w:t>
      </w:r>
      <w:r>
        <w:rPr>
          <w:rFonts w:eastAsia="Times New Roman"/>
          <w:color w:val="000000"/>
        </w:rPr>
        <w:t xml:space="preserve"> </w:t>
      </w:r>
    </w:p>
    <w:p w:rsidR="00000000" w:rsidRDefault="00D44B22">
      <w:pPr>
        <w:ind w:firstLine="720"/>
        <w:jc w:val="both"/>
        <w:divId w:val="888340911"/>
        <w:rPr>
          <w:rFonts w:eastAsia="Times New Roman"/>
        </w:rPr>
      </w:pPr>
      <w:r>
        <w:rPr>
          <w:rFonts w:eastAsia="Times New Roman"/>
          <w:color w:val="000000"/>
          <w:sz w:val="20"/>
          <w:szCs w:val="20"/>
        </w:rPr>
        <w:t>On July 22, 2022, our Board of Trustees declared a special cash dividend of $13.15 per common</w:t>
      </w:r>
      <w:r>
        <w:rPr>
          <w:rFonts w:eastAsia="Times New Roman"/>
          <w:color w:val="000000"/>
          <w:sz w:val="20"/>
          <w:szCs w:val="20"/>
        </w:rPr>
        <w:t xml:space="preserve"> share totaling approximately $2.3 billion, in connection with the sale of our equity investment in PSB. The special dividend is payable on August 4, 2022 to shareholders of record as of August 1, 2022.</w:t>
      </w:r>
    </w:p>
    <w:p w:rsidR="00000000" w:rsidRDefault="00D44B22">
      <w:pPr>
        <w:jc w:val="center"/>
        <w:divId w:val="435906786"/>
        <w:rPr>
          <w:rFonts w:eastAsia="Times New Roman"/>
        </w:rPr>
      </w:pPr>
      <w:r>
        <w:rPr>
          <w:rFonts w:eastAsia="Times New Roman"/>
          <w:color w:val="000000"/>
          <w:sz w:val="20"/>
          <w:szCs w:val="20"/>
        </w:rPr>
        <w:t>48</w:t>
      </w:r>
    </w:p>
    <w:p w:rsidR="00000000" w:rsidRDefault="00D44B22">
      <w:pPr>
        <w:rPr>
          <w:rFonts w:eastAsia="Times New Roman"/>
        </w:rPr>
      </w:pPr>
      <w:r>
        <w:rPr>
          <w:rFonts w:eastAsia="Times New Roman"/>
        </w:rPr>
        <w:pict>
          <v:rect id="_x0000_i1074" style="width:0;height:1.5pt" o:hralign="center" o:hrstd="t" o:hr="t" fillcolor="#a0a0a0" stroked="f"/>
        </w:pict>
      </w:r>
    </w:p>
    <w:p w:rsidR="00000000" w:rsidRDefault="00D44B22">
      <w:pPr>
        <w:divId w:val="201404617"/>
        <w:rPr>
          <w:rFonts w:eastAsia="Times New Roman"/>
        </w:rPr>
      </w:pPr>
    </w:p>
    <w:p w:rsidR="00000000" w:rsidRDefault="00D44B22">
      <w:pPr>
        <w:ind w:firstLine="720"/>
        <w:jc w:val="both"/>
        <w:divId w:val="1290016421"/>
        <w:rPr>
          <w:rFonts w:eastAsia="Times New Roman"/>
        </w:rPr>
      </w:pPr>
      <w:r>
        <w:rPr>
          <w:rFonts w:eastAsia="Times New Roman"/>
          <w:color w:val="000000"/>
          <w:sz w:val="20"/>
          <w:szCs w:val="20"/>
        </w:rPr>
        <w:t>On August 3,</w:t>
      </w:r>
      <w:r>
        <w:rPr>
          <w:rFonts w:eastAsia="Times New Roman"/>
          <w:color w:val="000000"/>
          <w:sz w:val="20"/>
          <w:szCs w:val="20"/>
        </w:rPr>
        <w:t xml:space="preserve"> 2022, our Board declared a regular common quarterly dividend of $2.00 per common share totaling approximately $350 million, which will be paid at the end of September 2022. Our consistent, long-term dividend policy has been to distribute our taxable incom</w:t>
      </w:r>
      <w:r>
        <w:rPr>
          <w:rFonts w:eastAsia="Times New Roman"/>
          <w:color w:val="000000"/>
          <w:sz w:val="20"/>
          <w:szCs w:val="20"/>
        </w:rPr>
        <w:t xml:space="preserve">e. Future quarterly distributions with respect to the common shares will continue to be determined based upon our REIT distribution requirements after taking into consideration distributions to the preferred shareholders and will be funded with cash flows </w:t>
      </w:r>
      <w:r>
        <w:rPr>
          <w:rFonts w:eastAsia="Times New Roman"/>
          <w:color w:val="000000"/>
          <w:sz w:val="20"/>
          <w:szCs w:val="20"/>
        </w:rPr>
        <w:t xml:space="preserve">from operating activities. </w:t>
      </w:r>
    </w:p>
    <w:p w:rsidR="00000000" w:rsidRDefault="00D44B22">
      <w:pPr>
        <w:ind w:firstLine="720"/>
        <w:jc w:val="both"/>
        <w:divId w:val="1116754902"/>
        <w:rPr>
          <w:rFonts w:eastAsia="Times New Roman"/>
        </w:rPr>
      </w:pPr>
      <w:r>
        <w:rPr>
          <w:rFonts w:eastAsia="Times New Roman"/>
          <w:color w:val="000000"/>
          <w:sz w:val="20"/>
          <w:szCs w:val="20"/>
        </w:rPr>
        <w:t xml:space="preserve">The annual distribution requirement with respect to our Preferred Shares outstanding at June 30, 2022 is approximately $194.7 million per year. </w:t>
      </w:r>
    </w:p>
    <w:p w:rsidR="00000000" w:rsidRDefault="00D44B22">
      <w:pPr>
        <w:ind w:firstLine="720"/>
        <w:jc w:val="both"/>
        <w:divId w:val="1639533152"/>
        <w:rPr>
          <w:rFonts w:eastAsia="Times New Roman"/>
        </w:rPr>
      </w:pPr>
      <w:r>
        <w:rPr>
          <w:rFonts w:eastAsia="Times New Roman"/>
          <w:b/>
          <w:bCs/>
          <w:i/>
          <w:iCs/>
          <w:color w:val="000000"/>
          <w:sz w:val="20"/>
          <w:szCs w:val="20"/>
        </w:rPr>
        <w:t>Real Estate Investment Activities:</w:t>
      </w:r>
      <w:r>
        <w:rPr>
          <w:rFonts w:eastAsia="Times New Roman"/>
          <w:b/>
          <w:bCs/>
          <w:color w:val="000000"/>
          <w:sz w:val="20"/>
          <w:szCs w:val="20"/>
        </w:rPr>
        <w:t xml:space="preserve"> </w:t>
      </w:r>
      <w:r>
        <w:rPr>
          <w:rFonts w:eastAsia="Times New Roman"/>
          <w:color w:val="000000"/>
          <w:sz w:val="20"/>
          <w:szCs w:val="20"/>
        </w:rPr>
        <w:t>We continue to seek to acquire additional self-s</w:t>
      </w:r>
      <w:r>
        <w:rPr>
          <w:rFonts w:eastAsia="Times New Roman"/>
          <w:color w:val="000000"/>
          <w:sz w:val="20"/>
          <w:szCs w:val="20"/>
        </w:rPr>
        <w:t>torage facilities from third parties. Subsequent to June 30, 2022, we acquired or were under contract to acquire 24 self-storage facilities for a total purchase price of $257.4 million. Additionally, on July 8, 2022, we acquired the commercial interests of</w:t>
      </w:r>
      <w:r>
        <w:rPr>
          <w:rFonts w:eastAsia="Times New Roman"/>
          <w:color w:val="000000"/>
          <w:sz w:val="20"/>
          <w:szCs w:val="20"/>
        </w:rPr>
        <w:t xml:space="preserve"> PSB at three sites, totaling five properties, jointly occupied with our self-storage facilities located in Maryland and Virginia, for $47.0 million. </w:t>
      </w:r>
    </w:p>
    <w:p w:rsidR="00000000" w:rsidRDefault="00D44B22">
      <w:pPr>
        <w:ind w:firstLine="720"/>
        <w:jc w:val="both"/>
        <w:divId w:val="1621450318"/>
        <w:rPr>
          <w:rFonts w:eastAsia="Times New Roman"/>
        </w:rPr>
      </w:pPr>
      <w:r>
        <w:rPr>
          <w:rFonts w:eastAsia="Times New Roman"/>
          <w:color w:val="000000"/>
          <w:sz w:val="20"/>
          <w:szCs w:val="20"/>
        </w:rPr>
        <w:t xml:space="preserve">We are actively seeking to acquire additional facilities. However, future acquisition volume will depend </w:t>
      </w:r>
      <w:r>
        <w:rPr>
          <w:rFonts w:eastAsia="Times New Roman"/>
          <w:color w:val="000000"/>
          <w:sz w:val="20"/>
          <w:szCs w:val="20"/>
        </w:rPr>
        <w:t xml:space="preserve">upon whether additional owners will be motivated to market their facilities, which will in turn depend upon factors such as economic conditions and the level of seller confidence. </w:t>
      </w:r>
    </w:p>
    <w:p w:rsidR="00000000" w:rsidRDefault="00D44B22">
      <w:pPr>
        <w:ind w:firstLine="720"/>
        <w:jc w:val="both"/>
        <w:divId w:val="1771006703"/>
        <w:rPr>
          <w:rFonts w:eastAsia="Times New Roman"/>
        </w:rPr>
      </w:pPr>
      <w:r>
        <w:rPr>
          <w:rFonts w:eastAsia="Times New Roman"/>
          <w:color w:val="000000"/>
          <w:sz w:val="20"/>
          <w:szCs w:val="20"/>
        </w:rPr>
        <w:t>As of June 30, 2022, we had development and expansion projects at a total c</w:t>
      </w:r>
      <w:r>
        <w:rPr>
          <w:rFonts w:eastAsia="Times New Roman"/>
          <w:color w:val="000000"/>
          <w:sz w:val="20"/>
          <w:szCs w:val="20"/>
        </w:rPr>
        <w:t>ost of approximately $1.0 billion. Costs incurred through June 30, 2022 were $380.1 million, with the remaining cost to complete of $647.3 million expected to be incurred primarily in the next 18 to 24 months. Some of these projects are subject to continge</w:t>
      </w:r>
      <w:r>
        <w:rPr>
          <w:rFonts w:eastAsia="Times New Roman"/>
          <w:color w:val="000000"/>
          <w:sz w:val="20"/>
          <w:szCs w:val="20"/>
        </w:rPr>
        <w:t>ncies such as entitlement approval. We expect to continue to seek to add projects to maintain and increase our robust pipeline. Our ability to do so continues to be challenged by various constraints such as difficulty in finding projects that meet our risk</w:t>
      </w:r>
      <w:r>
        <w:rPr>
          <w:rFonts w:eastAsia="Times New Roman"/>
          <w:color w:val="000000"/>
          <w:sz w:val="20"/>
          <w:szCs w:val="20"/>
        </w:rPr>
        <w:t>-adjusted yield expectations, and challenges in obtaining building permits for self-storage facilities in certain municipalities.</w:t>
      </w:r>
    </w:p>
    <w:p w:rsidR="00000000" w:rsidRDefault="00D44B22">
      <w:pPr>
        <w:ind w:firstLine="720"/>
        <w:jc w:val="both"/>
        <w:divId w:val="1934120243"/>
        <w:rPr>
          <w:rFonts w:eastAsia="Times New Roman"/>
        </w:rPr>
      </w:pPr>
      <w:r>
        <w:rPr>
          <w:rFonts w:eastAsia="Times New Roman"/>
          <w:b/>
          <w:bCs/>
          <w:i/>
          <w:iCs/>
          <w:color w:val="000000"/>
          <w:sz w:val="20"/>
          <w:szCs w:val="20"/>
        </w:rPr>
        <w:t>Property Operating Expenses:</w:t>
      </w:r>
      <w:r>
        <w:rPr>
          <w:rFonts w:eastAsia="Times New Roman"/>
          <w:color w:val="000000"/>
          <w:sz w:val="20"/>
          <w:szCs w:val="20"/>
        </w:rPr>
        <w:t xml:space="preserve"> The direct and indirect cost of our operations impose significant cash requirements. Direct opera</w:t>
      </w:r>
      <w:r>
        <w:rPr>
          <w:rFonts w:eastAsia="Times New Roman"/>
          <w:color w:val="000000"/>
          <w:sz w:val="20"/>
          <w:szCs w:val="20"/>
        </w:rPr>
        <w:t>ting costs include property taxes, on-site property manager payroll, repairs and maintenance, utilities and marketing. Indirect operating costs include supervisory payroll and centralized management costs. The cash requirements from these operating costs w</w:t>
      </w:r>
      <w:r>
        <w:rPr>
          <w:rFonts w:eastAsia="Times New Roman"/>
          <w:color w:val="000000"/>
          <w:sz w:val="20"/>
          <w:szCs w:val="20"/>
        </w:rPr>
        <w:t>ill vary year to year based on, among other things, changes in the size of our portfolio and changes in property tax rates and assessed values, wage rates and marketing costs in our markets.</w:t>
      </w:r>
    </w:p>
    <w:p w:rsidR="00000000" w:rsidRDefault="00D44B22">
      <w:pPr>
        <w:ind w:firstLine="720"/>
        <w:jc w:val="both"/>
        <w:divId w:val="621616670"/>
        <w:rPr>
          <w:rFonts w:eastAsia="Times New Roman"/>
        </w:rPr>
      </w:pPr>
      <w:r>
        <w:rPr>
          <w:rFonts w:eastAsia="Times New Roman"/>
          <w:b/>
          <w:bCs/>
          <w:i/>
          <w:iCs/>
          <w:color w:val="000000"/>
          <w:sz w:val="20"/>
          <w:szCs w:val="20"/>
        </w:rPr>
        <w:t>Redemption of Preferred Securities</w:t>
      </w:r>
      <w:r>
        <w:rPr>
          <w:rFonts w:eastAsia="Times New Roman"/>
          <w:color w:val="000000"/>
          <w:sz w:val="20"/>
          <w:szCs w:val="20"/>
        </w:rPr>
        <w:t>: Historically, we have taken advantage of refinancing higher coupon preferred securities with lower coupon preferred securities. In the future, we may also elect to finance the redemption of preferred securities with proc</w:t>
      </w:r>
      <w:r>
        <w:rPr>
          <w:rFonts w:eastAsia="Times New Roman"/>
          <w:color w:val="000000"/>
          <w:sz w:val="20"/>
          <w:szCs w:val="20"/>
        </w:rPr>
        <w:t>eeds from the issuance of debt. As of August 4, 2022, we have two series of preferred securities that are eligible for redemption, at our option and with 30 days’ notice; our 5.150% Series F Preferred Shares ($280.0 million) and our 5.050% Series G Preferr</w:t>
      </w:r>
      <w:r>
        <w:rPr>
          <w:rFonts w:eastAsia="Times New Roman"/>
          <w:color w:val="000000"/>
          <w:sz w:val="20"/>
          <w:szCs w:val="20"/>
        </w:rPr>
        <w:t xml:space="preserve">ed Shares ($300.0 million). See Note 9 to our June 30, 2022 consolidated financial statements for the redemption dates of all of our series of preferred shares. Redemption of such preferred shares will depend upon many factors, including the rate at which </w:t>
      </w:r>
      <w:r>
        <w:rPr>
          <w:rFonts w:eastAsia="Times New Roman"/>
          <w:color w:val="000000"/>
          <w:sz w:val="20"/>
          <w:szCs w:val="20"/>
        </w:rPr>
        <w:t xml:space="preserve">we could issue replacement preferred securities. None of our preferred securities are redeemable at the option of the holders. </w:t>
      </w:r>
    </w:p>
    <w:p w:rsidR="00000000" w:rsidRDefault="00D44B22">
      <w:pPr>
        <w:ind w:firstLine="720"/>
        <w:jc w:val="both"/>
        <w:divId w:val="1784957968"/>
        <w:rPr>
          <w:rFonts w:eastAsia="Times New Roman"/>
        </w:rPr>
      </w:pPr>
      <w:r>
        <w:rPr>
          <w:rFonts w:eastAsia="Times New Roman"/>
          <w:b/>
          <w:bCs/>
          <w:i/>
          <w:iCs/>
          <w:color w:val="000000"/>
          <w:sz w:val="20"/>
          <w:szCs w:val="20"/>
        </w:rPr>
        <w:t>Repurchases of Common Shares</w:t>
      </w:r>
      <w:r>
        <w:rPr>
          <w:rFonts w:eastAsia="Times New Roman"/>
          <w:color w:val="000000"/>
          <w:sz w:val="20"/>
          <w:szCs w:val="20"/>
        </w:rPr>
        <w:t>: Our Board has authorized management to repurchase up to 35,000,000 of our common shares on the ope</w:t>
      </w:r>
      <w:r>
        <w:rPr>
          <w:rFonts w:eastAsia="Times New Roman"/>
          <w:color w:val="000000"/>
          <w:sz w:val="20"/>
          <w:szCs w:val="20"/>
        </w:rPr>
        <w:t>n market or in privately negotiated transactions. During the three and six months ended June 30, 2022, we did not repurchase any of our common shares. From the inception of the repurchase program through August 4, 2022, we have repurchased a total of 23,72</w:t>
      </w:r>
      <w:r>
        <w:rPr>
          <w:rFonts w:eastAsia="Times New Roman"/>
          <w:color w:val="000000"/>
          <w:sz w:val="20"/>
          <w:szCs w:val="20"/>
        </w:rPr>
        <w:t>1,916 common shares at an aggregate cost of approximately $679.1 million. Future levels of common share repurchases will be dependent upon our available capital, investment alternatives and the trading price of our common shares.</w:t>
      </w:r>
    </w:p>
    <w:p w:rsidR="00000000" w:rsidRDefault="00D44B22">
      <w:pPr>
        <w:jc w:val="center"/>
        <w:divId w:val="709886992"/>
        <w:rPr>
          <w:rFonts w:eastAsia="Times New Roman"/>
        </w:rPr>
      </w:pPr>
      <w:r>
        <w:rPr>
          <w:rFonts w:eastAsia="Times New Roman"/>
          <w:color w:val="000000"/>
          <w:sz w:val="20"/>
          <w:szCs w:val="20"/>
        </w:rPr>
        <w:t>49</w:t>
      </w:r>
    </w:p>
    <w:p w:rsidR="00000000" w:rsidRDefault="00D44B22">
      <w:pPr>
        <w:rPr>
          <w:rFonts w:eastAsia="Times New Roman"/>
        </w:rPr>
      </w:pPr>
      <w:r>
        <w:rPr>
          <w:rFonts w:eastAsia="Times New Roman"/>
        </w:rPr>
        <w:pict>
          <v:rect id="_x0000_i1075" style="width:0;height:1.5pt" o:hralign="center" o:hrstd="t" o:hr="t" fillcolor="#a0a0a0" stroked="f"/>
        </w:pict>
      </w:r>
    </w:p>
    <w:p w:rsidR="00000000" w:rsidRDefault="00D44B22">
      <w:pPr>
        <w:divId w:val="136996794"/>
        <w:rPr>
          <w:rFonts w:eastAsia="Times New Roman"/>
        </w:rPr>
      </w:pPr>
    </w:p>
    <w:p w:rsidR="00000000" w:rsidRDefault="00D44B22">
      <w:pPr>
        <w:jc w:val="both"/>
        <w:divId w:val="1427340624"/>
        <w:rPr>
          <w:rFonts w:eastAsia="Times New Roman"/>
        </w:rPr>
      </w:pPr>
      <w:r>
        <w:rPr>
          <w:rFonts w:eastAsia="Times New Roman"/>
          <w:b/>
          <w:bCs/>
          <w:color w:val="000000"/>
          <w:sz w:val="20"/>
          <w:szCs w:val="20"/>
          <w:u w:val="single"/>
        </w:rPr>
        <w:t>ITEM 3.</w:t>
      </w:r>
      <w:r>
        <w:rPr>
          <w:rFonts w:eastAsia="Times New Roman"/>
          <w:color w:val="000000"/>
          <w:sz w:val="20"/>
          <w:szCs w:val="20"/>
        </w:rPr>
        <w:t xml:space="preserve">     </w:t>
      </w:r>
      <w:r>
        <w:rPr>
          <w:rFonts w:eastAsia="Times New Roman"/>
          <w:b/>
          <w:bCs/>
          <w:color w:val="000000"/>
          <w:sz w:val="20"/>
          <w:szCs w:val="20"/>
          <w:u w:val="single"/>
        </w:rPr>
        <w:t>Quantitative and Qualitative Disclosures about Market Risk</w:t>
      </w:r>
    </w:p>
    <w:p w:rsidR="00000000" w:rsidRDefault="00D44B22">
      <w:pPr>
        <w:ind w:firstLine="720"/>
        <w:jc w:val="both"/>
        <w:divId w:val="589044539"/>
        <w:rPr>
          <w:rFonts w:eastAsia="Times New Roman"/>
        </w:rPr>
      </w:pPr>
      <w:r>
        <w:rPr>
          <w:rFonts w:eastAsia="Times New Roman"/>
          <w:color w:val="000000"/>
          <w:sz w:val="20"/>
          <w:szCs w:val="20"/>
        </w:rPr>
        <w:t>To limit our exposure to market risk, we are capitalized primarily with preferred and common equity. Our preferred shares are redeemable at our option generally five years after issuance, but the holder has no redemption option. Our debt is our only market</w:t>
      </w:r>
      <w:r>
        <w:rPr>
          <w:rFonts w:eastAsia="Times New Roman"/>
          <w:color w:val="000000"/>
          <w:sz w:val="20"/>
          <w:szCs w:val="20"/>
        </w:rPr>
        <w:t xml:space="preserve">-risk sensitive portion of our capital structure, which totals approximately $7.3 billion at June 30, 2022. </w:t>
      </w:r>
    </w:p>
    <w:p w:rsidR="00000000" w:rsidRDefault="00D44B22">
      <w:pPr>
        <w:ind w:firstLine="720"/>
        <w:jc w:val="both"/>
        <w:divId w:val="690686074"/>
        <w:rPr>
          <w:rFonts w:eastAsia="Times New Roman"/>
        </w:rPr>
      </w:pPr>
      <w:r>
        <w:rPr>
          <w:rFonts w:eastAsia="Times New Roman"/>
          <w:color w:val="000000"/>
          <w:sz w:val="20"/>
          <w:szCs w:val="20"/>
        </w:rPr>
        <w:t xml:space="preserve">The fair value of our debt at June 30, 2022 is approximately $6.5 billion. The table below summarizes the annual maturities of our debt, which had </w:t>
      </w:r>
      <w:r>
        <w:rPr>
          <w:rFonts w:eastAsia="Times New Roman"/>
          <w:color w:val="000000"/>
          <w:sz w:val="20"/>
          <w:szCs w:val="20"/>
        </w:rPr>
        <w:t>a weighted average effective rate of 1.9% at June 30, 2022. See Note 7 to our June 30, 2022 consolidated financial statements for further information regarding our debt (amounts in thousands).</w:t>
      </w:r>
      <w:r>
        <w:rPr>
          <w:rFonts w:eastAsia="Times New Roman"/>
          <w:color w:val="000000"/>
          <w:sz w:val="2"/>
          <w:szCs w:val="2"/>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5"/>
        <w:gridCol w:w="628"/>
        <w:gridCol w:w="36"/>
        <w:gridCol w:w="121"/>
        <w:gridCol w:w="871"/>
        <w:gridCol w:w="36"/>
        <w:gridCol w:w="36"/>
        <w:gridCol w:w="36"/>
        <w:gridCol w:w="36"/>
        <w:gridCol w:w="121"/>
        <w:gridCol w:w="825"/>
        <w:gridCol w:w="36"/>
        <w:gridCol w:w="36"/>
        <w:gridCol w:w="36"/>
        <w:gridCol w:w="36"/>
        <w:gridCol w:w="121"/>
        <w:gridCol w:w="825"/>
        <w:gridCol w:w="36"/>
        <w:gridCol w:w="36"/>
        <w:gridCol w:w="36"/>
        <w:gridCol w:w="36"/>
        <w:gridCol w:w="121"/>
        <w:gridCol w:w="825"/>
        <w:gridCol w:w="36"/>
        <w:gridCol w:w="36"/>
        <w:gridCol w:w="36"/>
        <w:gridCol w:w="36"/>
        <w:gridCol w:w="121"/>
        <w:gridCol w:w="832"/>
        <w:gridCol w:w="36"/>
        <w:gridCol w:w="36"/>
        <w:gridCol w:w="36"/>
        <w:gridCol w:w="36"/>
        <w:gridCol w:w="121"/>
        <w:gridCol w:w="840"/>
        <w:gridCol w:w="36"/>
        <w:gridCol w:w="36"/>
        <w:gridCol w:w="36"/>
        <w:gridCol w:w="36"/>
        <w:gridCol w:w="121"/>
        <w:gridCol w:w="832"/>
        <w:gridCol w:w="36"/>
      </w:tblGrid>
      <w:tr w:rsidR="00000000">
        <w:trPr>
          <w:divId w:val="257829125"/>
        </w:trPr>
        <w:tc>
          <w:tcPr>
            <w:tcW w:w="50" w:type="pct"/>
            <w:vAlign w:val="center"/>
            <w:hideMark/>
          </w:tcPr>
          <w:p w:rsidR="00000000" w:rsidRDefault="00D44B22">
            <w:pPr>
              <w:ind w:firstLine="720"/>
              <w:jc w:val="both"/>
              <w:rPr>
                <w:rFonts w:eastAsia="Times New Roman"/>
              </w:rPr>
            </w:pPr>
          </w:p>
        </w:tc>
        <w:tc>
          <w:tcPr>
            <w:tcW w:w="42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5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5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5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5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5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58"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2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55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257829125"/>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Remainder of 2022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2023</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2024</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2026</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 Thereafter</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Mar>
              <w:top w:w="30" w:type="dxa"/>
              <w:left w:w="20" w:type="dxa"/>
              <w:bottom w:w="30" w:type="dxa"/>
              <w:right w:w="20" w:type="dxa"/>
            </w:tcMar>
            <w:vAlign w:val="bottom"/>
            <w:hideMark/>
          </w:tcPr>
          <w:p w:rsidR="00000000" w:rsidRDefault="00D44B22">
            <w:pPr>
              <w:spacing w:after="100"/>
              <w:jc w:val="right"/>
              <w:rPr>
                <w:rFonts w:eastAsia="Times New Roman"/>
              </w:rPr>
            </w:pPr>
            <w:r>
              <w:rPr>
                <w:rFonts w:eastAsia="Times New Roman"/>
                <w:color w:val="000000"/>
                <w:sz w:val="20"/>
                <w:szCs w:val="20"/>
              </w:rPr>
              <w:t> Total</w:t>
            </w:r>
          </w:p>
        </w:tc>
      </w:tr>
      <w:tr w:rsidR="00000000">
        <w:trPr>
          <w:divId w:val="257829125"/>
          <w:trHeight w:val="120"/>
        </w:trPr>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257829125"/>
        </w:trPr>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Debt </w:t>
            </w: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502,011</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19,219</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804,627</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253,042</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1,150,138</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4,655,225</w:t>
            </w:r>
          </w:p>
        </w:tc>
        <w:tc>
          <w:tcPr>
            <w:tcW w:w="0" w:type="auto"/>
            <w:gridSpan w:val="3"/>
            <w:tcMar>
              <w:top w:w="0" w:type="dxa"/>
              <w:left w:w="20" w:type="dxa"/>
              <w:bottom w:w="0" w:type="dxa"/>
              <w:right w:w="20" w:type="dxa"/>
            </w:tcMar>
            <w:vAlign w:val="center"/>
            <w:hideMark/>
          </w:tcPr>
          <w:p w:rsidR="00000000" w:rsidRDefault="00D44B22">
            <w:pPr>
              <w:spacing w:after="100"/>
              <w:jc w:val="right"/>
              <w:rPr>
                <w:rFonts w:eastAsia="Times New Roman"/>
              </w:rPr>
            </w:pPr>
          </w:p>
        </w:tc>
        <w:tc>
          <w:tcPr>
            <w:tcW w:w="0" w:type="auto"/>
            <w:tcMar>
              <w:top w:w="30" w:type="dxa"/>
              <w:left w:w="20" w:type="dxa"/>
              <w:bottom w:w="30" w:type="dxa"/>
              <w:right w:w="0" w:type="dxa"/>
            </w:tcMar>
            <w:vAlign w:val="bottom"/>
            <w:hideMark/>
          </w:tcPr>
          <w:p w:rsidR="00000000" w:rsidRDefault="00D44B22">
            <w:pPr>
              <w:spacing w:after="100"/>
              <w:rPr>
                <w:rFonts w:eastAsia="Times New Roman"/>
              </w:rPr>
            </w:pPr>
            <w:r>
              <w:rPr>
                <w:rFonts w:eastAsia="Times New Roman"/>
                <w:color w:val="000000"/>
                <w:sz w:val="20"/>
                <w:szCs w:val="20"/>
              </w:rPr>
              <w:t>$</w:t>
            </w:r>
          </w:p>
        </w:tc>
        <w:tc>
          <w:tcPr>
            <w:tcW w:w="0" w:type="auto"/>
            <w:gridSpan w:val="2"/>
            <w:tcMar>
              <w:top w:w="30" w:type="dxa"/>
              <w:left w:w="0" w:type="dxa"/>
              <w:bottom w:w="30" w:type="dxa"/>
              <w:right w:w="39" w:type="dxa"/>
            </w:tcMar>
            <w:vAlign w:val="bottom"/>
            <w:hideMark/>
          </w:tcPr>
          <w:p w:rsidR="00000000" w:rsidRDefault="00D44B22">
            <w:pPr>
              <w:spacing w:after="100"/>
              <w:jc w:val="right"/>
              <w:rPr>
                <w:rFonts w:eastAsia="Times New Roman"/>
              </w:rPr>
            </w:pPr>
            <w:r>
              <w:rPr>
                <w:rFonts w:eastAsia="Times New Roman"/>
                <w:color w:val="000000"/>
                <w:sz w:val="20"/>
                <w:szCs w:val="20"/>
              </w:rPr>
              <w:t>7,384,262</w:t>
            </w:r>
          </w:p>
        </w:tc>
      </w:tr>
    </w:tbl>
    <w:p w:rsidR="00000000" w:rsidRDefault="00D44B22">
      <w:pPr>
        <w:ind w:firstLine="720"/>
        <w:jc w:val="both"/>
        <w:divId w:val="886835554"/>
        <w:rPr>
          <w:rFonts w:eastAsia="Times New Roman"/>
        </w:rPr>
      </w:pPr>
      <w:r>
        <w:rPr>
          <w:rFonts w:eastAsia="Times New Roman"/>
          <w:color w:val="000000"/>
          <w:sz w:val="20"/>
          <w:szCs w:val="20"/>
        </w:rPr>
        <w:t>We have foreign currency exposure at June 30, 2022 related to (i) our investment in Shurgard, with a book valu</w:t>
      </w:r>
      <w:r>
        <w:rPr>
          <w:rFonts w:eastAsia="Times New Roman"/>
          <w:color w:val="000000"/>
          <w:sz w:val="20"/>
          <w:szCs w:val="20"/>
        </w:rPr>
        <w:t>e of $282.9 million, and a fair value of $1.5 billion based upon the closing price of Shurgard’s stock on June 30, 2022, and (ii) €1.5 billion ($1.6 billion) of Euro-denominated unsecured notes payable, providing a natural hedge against the fair value of o</w:t>
      </w:r>
      <w:r>
        <w:rPr>
          <w:rFonts w:eastAsia="Times New Roman"/>
          <w:color w:val="000000"/>
          <w:sz w:val="20"/>
          <w:szCs w:val="20"/>
        </w:rPr>
        <w:t>ur investment in Shurgard.</w:t>
      </w:r>
    </w:p>
    <w:p w:rsidR="00000000" w:rsidRDefault="00D44B22">
      <w:pPr>
        <w:jc w:val="both"/>
        <w:divId w:val="2097482307"/>
        <w:rPr>
          <w:rFonts w:eastAsia="Times New Roman"/>
        </w:rPr>
      </w:pPr>
      <w:r>
        <w:rPr>
          <w:rFonts w:eastAsia="Times New Roman"/>
          <w:b/>
          <w:bCs/>
          <w:color w:val="000000"/>
          <w:sz w:val="20"/>
          <w:szCs w:val="20"/>
          <w:u w:val="single"/>
        </w:rPr>
        <w:t>ITEM 4.</w:t>
      </w:r>
      <w:r>
        <w:rPr>
          <w:rFonts w:eastAsia="Times New Roman"/>
          <w:b/>
          <w:bCs/>
          <w:color w:val="000000"/>
          <w:sz w:val="20"/>
          <w:szCs w:val="20"/>
        </w:rPr>
        <w:t xml:space="preserve"> </w:t>
      </w:r>
      <w:r>
        <w:rPr>
          <w:rFonts w:eastAsia="Times New Roman"/>
          <w:b/>
          <w:bCs/>
          <w:color w:val="000000"/>
          <w:sz w:val="20"/>
          <w:szCs w:val="20"/>
          <w:u w:val="single"/>
        </w:rPr>
        <w:t>Controls and Procedures</w:t>
      </w:r>
    </w:p>
    <w:p w:rsidR="00000000" w:rsidRDefault="00D44B22">
      <w:pPr>
        <w:divId w:val="1241717173"/>
        <w:rPr>
          <w:rFonts w:eastAsia="Times New Roman"/>
        </w:rPr>
      </w:pPr>
      <w:r>
        <w:rPr>
          <w:rFonts w:eastAsia="Times New Roman"/>
          <w:b/>
          <w:bCs/>
          <w:color w:val="000000"/>
          <w:sz w:val="20"/>
          <w:szCs w:val="20"/>
        </w:rPr>
        <w:t>Conclusion Regarding the Effectiveness of Disclosure Controls and Procedures</w:t>
      </w:r>
    </w:p>
    <w:p w:rsidR="00000000" w:rsidRDefault="00D44B22">
      <w:pPr>
        <w:ind w:firstLine="720"/>
        <w:jc w:val="both"/>
        <w:divId w:val="1242257903"/>
        <w:rPr>
          <w:rFonts w:eastAsia="Times New Roman"/>
        </w:rPr>
      </w:pPr>
      <w:r>
        <w:rPr>
          <w:rFonts w:eastAsia="Times New Roman"/>
          <w:color w:val="000000"/>
          <w:sz w:val="20"/>
          <w:szCs w:val="20"/>
        </w:rPr>
        <w:t>We maintain disclosure controls and procedures that are designed to ensure that information required to be disclosed in reports we file and submit under the Securities Exchange Act of 1934, as amended (the “Exchange Act”) is recorded, processed, summarized</w:t>
      </w:r>
      <w:r>
        <w:rPr>
          <w:rFonts w:eastAsia="Times New Roman"/>
          <w:color w:val="000000"/>
          <w:sz w:val="20"/>
          <w:szCs w:val="20"/>
        </w:rPr>
        <w:t xml:space="preserve"> and reported within the time periods specified in accordance with SEC guidelines and that such information is communicated to our management, including our Chief Executive Officer and Chief Financial Officer, to allow timely decisions regarding required d</w:t>
      </w:r>
      <w:r>
        <w:rPr>
          <w:rFonts w:eastAsia="Times New Roman"/>
          <w:color w:val="000000"/>
          <w:sz w:val="20"/>
          <w:szCs w:val="20"/>
        </w:rPr>
        <w:t>isclosure based on the definition of “disclosure controls and procedures” in Rules 13a-15(e) and 15d-15(e) of the Exchange Act. In designing and evaluating the disclosure controls and procedures, management recognized that any controls and procedures, no m</w:t>
      </w:r>
      <w:r>
        <w:rPr>
          <w:rFonts w:eastAsia="Times New Roman"/>
          <w:color w:val="000000"/>
          <w:sz w:val="20"/>
          <w:szCs w:val="20"/>
        </w:rPr>
        <w:t>atter how well designed and operated, can provide only reasonable assurance of achieving the desired control objectives and management necessarily was required to apply its judgment in evaluating the cost-benefit relationship of possible controls and proce</w:t>
      </w:r>
      <w:r>
        <w:rPr>
          <w:rFonts w:eastAsia="Times New Roman"/>
          <w:color w:val="000000"/>
          <w:sz w:val="20"/>
          <w:szCs w:val="20"/>
        </w:rPr>
        <w:t>dures in reaching that level of reasonable assurance. We also have investments in certain unconsolidated real estate entities and because we do not control these entities, our disclosure controls and procedures with respect to such entities are substantial</w:t>
      </w:r>
      <w:r>
        <w:rPr>
          <w:rFonts w:eastAsia="Times New Roman"/>
          <w:color w:val="000000"/>
          <w:sz w:val="20"/>
          <w:szCs w:val="20"/>
        </w:rPr>
        <w:t>ly more limited than those we maintain with respect to our consolidated subsidiaries.</w:t>
      </w:r>
    </w:p>
    <w:p w:rsidR="00000000" w:rsidRDefault="00D44B22">
      <w:pPr>
        <w:ind w:firstLine="720"/>
        <w:jc w:val="both"/>
        <w:divId w:val="1079717892"/>
        <w:rPr>
          <w:rFonts w:eastAsia="Times New Roman"/>
        </w:rPr>
      </w:pPr>
      <w:r>
        <w:rPr>
          <w:rFonts w:eastAsia="Times New Roman"/>
          <w:color w:val="000000"/>
          <w:sz w:val="20"/>
          <w:szCs w:val="20"/>
        </w:rPr>
        <w:t>Under the supervision and with the participation of our management, including our Chief Executive Officer and Chief Financial Officer, we evaluated the effectiveness of o</w:t>
      </w:r>
      <w:r>
        <w:rPr>
          <w:rFonts w:eastAsia="Times New Roman"/>
          <w:color w:val="000000"/>
          <w:sz w:val="20"/>
          <w:szCs w:val="20"/>
        </w:rPr>
        <w:t xml:space="preserve">ur disclosure controls and procedures, as required by Exchange Act Rule 13a-15(b), as of the end of the period covered by this report. Based on that evaluation, our Chief Executive Officer and Chief Financial Officer concluded that our disclosure controls </w:t>
      </w:r>
      <w:r>
        <w:rPr>
          <w:rFonts w:eastAsia="Times New Roman"/>
          <w:color w:val="000000"/>
          <w:sz w:val="20"/>
          <w:szCs w:val="20"/>
        </w:rPr>
        <w:t xml:space="preserve">and procedures were effective, at a reasonable assurance level. </w:t>
      </w:r>
    </w:p>
    <w:p w:rsidR="00000000" w:rsidRDefault="00D44B22">
      <w:pPr>
        <w:divId w:val="403256639"/>
        <w:rPr>
          <w:rFonts w:eastAsia="Times New Roman"/>
        </w:rPr>
      </w:pPr>
      <w:r>
        <w:rPr>
          <w:rFonts w:eastAsia="Times New Roman"/>
          <w:b/>
          <w:bCs/>
          <w:color w:val="000000"/>
          <w:sz w:val="20"/>
          <w:szCs w:val="20"/>
        </w:rPr>
        <w:t>Internal Control Over Financial Reporting</w:t>
      </w:r>
    </w:p>
    <w:p w:rsidR="00000000" w:rsidRDefault="00D44B22">
      <w:pPr>
        <w:ind w:firstLine="720"/>
        <w:jc w:val="both"/>
        <w:divId w:val="1347630470"/>
        <w:rPr>
          <w:rFonts w:eastAsia="Times New Roman"/>
        </w:rPr>
      </w:pPr>
      <w:r>
        <w:rPr>
          <w:rFonts w:eastAsia="Times New Roman"/>
          <w:color w:val="000000"/>
          <w:sz w:val="20"/>
          <w:szCs w:val="20"/>
        </w:rPr>
        <w:t>There were no changes in our internal control over financial reporting during the quarter ended June 30, 2022 that have materially affected, or are r</w:t>
      </w:r>
      <w:r>
        <w:rPr>
          <w:rFonts w:eastAsia="Times New Roman"/>
          <w:color w:val="000000"/>
          <w:sz w:val="20"/>
          <w:szCs w:val="20"/>
        </w:rPr>
        <w:t>easonably likely to materially affect, our internal control over financial reporting.</w:t>
      </w:r>
    </w:p>
    <w:p w:rsidR="00000000" w:rsidRDefault="00D44B22">
      <w:pPr>
        <w:jc w:val="center"/>
        <w:divId w:val="2046173159"/>
        <w:rPr>
          <w:rFonts w:eastAsia="Times New Roman"/>
        </w:rPr>
      </w:pPr>
      <w:r>
        <w:rPr>
          <w:rFonts w:eastAsia="Times New Roman"/>
          <w:color w:val="000000"/>
          <w:sz w:val="20"/>
          <w:szCs w:val="20"/>
        </w:rPr>
        <w:t>50</w:t>
      </w:r>
    </w:p>
    <w:p w:rsidR="00000000" w:rsidRDefault="00D44B22">
      <w:pPr>
        <w:rPr>
          <w:rFonts w:eastAsia="Times New Roman"/>
        </w:rPr>
      </w:pPr>
      <w:r>
        <w:rPr>
          <w:rFonts w:eastAsia="Times New Roman"/>
        </w:rPr>
        <w:pict>
          <v:rect id="_x0000_i1076" style="width:0;height:1.5pt" o:hralign="center" o:hrstd="t" o:hr="t" fillcolor="#a0a0a0" stroked="f"/>
        </w:pict>
      </w:r>
    </w:p>
    <w:p w:rsidR="00000000" w:rsidRDefault="00D44B22">
      <w:pPr>
        <w:divId w:val="827987375"/>
        <w:rPr>
          <w:rFonts w:eastAsia="Times New Roman"/>
        </w:rPr>
      </w:pPr>
    </w:p>
    <w:p w:rsidR="00000000" w:rsidRDefault="00D44B22">
      <w:pPr>
        <w:divId w:val="2089156946"/>
        <w:rPr>
          <w:rFonts w:eastAsia="Times New Roman"/>
        </w:rPr>
      </w:pPr>
      <w:r>
        <w:rPr>
          <w:rFonts w:eastAsia="Times New Roman"/>
          <w:b/>
          <w:bCs/>
          <w:color w:val="000000"/>
          <w:sz w:val="20"/>
          <w:szCs w:val="20"/>
        </w:rPr>
        <w:t>Part II.        </w:t>
      </w:r>
      <w:r>
        <w:rPr>
          <w:rFonts w:eastAsia="Times New Roman"/>
          <w:b/>
          <w:bCs/>
          <w:color w:val="000000"/>
          <w:sz w:val="20"/>
          <w:szCs w:val="20"/>
          <w:u w:val="single"/>
        </w:rPr>
        <w:t>OTHER INFORMATION</w:t>
      </w:r>
    </w:p>
    <w:p w:rsidR="00000000" w:rsidRDefault="00D44B22">
      <w:pPr>
        <w:jc w:val="both"/>
        <w:divId w:val="1077901850"/>
        <w:rPr>
          <w:rFonts w:eastAsia="Times New Roman"/>
        </w:rPr>
      </w:pPr>
      <w:r>
        <w:rPr>
          <w:rFonts w:eastAsia="Times New Roman"/>
          <w:b/>
          <w:bCs/>
          <w:color w:val="000000"/>
          <w:sz w:val="20"/>
          <w:szCs w:val="20"/>
        </w:rPr>
        <w:t>ITEM 1.    </w:t>
      </w:r>
      <w:r>
        <w:rPr>
          <w:rFonts w:eastAsia="Times New Roman"/>
          <w:b/>
          <w:bCs/>
          <w:color w:val="000000"/>
          <w:sz w:val="20"/>
          <w:szCs w:val="20"/>
          <w:u w:val="single"/>
        </w:rPr>
        <w:t>Legal Proceedings</w:t>
      </w:r>
    </w:p>
    <w:p w:rsidR="00000000" w:rsidRDefault="00D44B22">
      <w:pPr>
        <w:ind w:firstLine="720"/>
        <w:jc w:val="both"/>
        <w:divId w:val="1861504851"/>
        <w:rPr>
          <w:rFonts w:eastAsia="Times New Roman"/>
        </w:rPr>
      </w:pPr>
      <w:r>
        <w:rPr>
          <w:rFonts w:eastAsia="Times New Roman"/>
          <w:color w:val="000000"/>
          <w:sz w:val="20"/>
          <w:szCs w:val="20"/>
        </w:rPr>
        <w:t>We are a party to various legal proceedings and subject to variou</w:t>
      </w:r>
      <w:r>
        <w:rPr>
          <w:rFonts w:eastAsia="Times New Roman"/>
          <w:color w:val="000000"/>
          <w:sz w:val="20"/>
          <w:szCs w:val="20"/>
        </w:rPr>
        <w:t>s claims and complaints; however, we believe that the likelihood of these contingencies resulting in a material loss to the Company, either individually or in the aggregate, is remote.</w:t>
      </w:r>
    </w:p>
    <w:p w:rsidR="00000000" w:rsidRDefault="00D44B22">
      <w:pPr>
        <w:jc w:val="both"/>
        <w:divId w:val="1242720563"/>
        <w:rPr>
          <w:rFonts w:eastAsia="Times New Roman"/>
        </w:rPr>
      </w:pPr>
      <w:r>
        <w:rPr>
          <w:rFonts w:eastAsia="Times New Roman"/>
          <w:b/>
          <w:bCs/>
          <w:color w:val="000000"/>
          <w:sz w:val="20"/>
          <w:szCs w:val="20"/>
        </w:rPr>
        <w:t>ITEM 1A.    </w:t>
      </w:r>
      <w:r>
        <w:rPr>
          <w:rFonts w:eastAsia="Times New Roman"/>
          <w:b/>
          <w:bCs/>
          <w:color w:val="000000"/>
          <w:sz w:val="20"/>
          <w:szCs w:val="20"/>
          <w:u w:val="single"/>
        </w:rPr>
        <w:t>Risk Factors</w:t>
      </w:r>
    </w:p>
    <w:p w:rsidR="00000000" w:rsidRDefault="00D44B22">
      <w:pPr>
        <w:ind w:firstLine="720"/>
        <w:jc w:val="both"/>
        <w:divId w:val="1975137453"/>
        <w:rPr>
          <w:rFonts w:eastAsia="Times New Roman"/>
        </w:rPr>
      </w:pPr>
      <w:r>
        <w:rPr>
          <w:rFonts w:eastAsia="Times New Roman"/>
          <w:color w:val="000000"/>
          <w:sz w:val="20"/>
          <w:szCs w:val="20"/>
        </w:rPr>
        <w:t>In addition to the other information in this Q</w:t>
      </w:r>
      <w:r>
        <w:rPr>
          <w:rFonts w:eastAsia="Times New Roman"/>
          <w:color w:val="000000"/>
          <w:sz w:val="20"/>
          <w:szCs w:val="20"/>
        </w:rPr>
        <w:t>uarterly Report on Form 10-Q, you should carefully consider the risks described in our Annual Report on Form 10-K filed for the year ended December 31, 2021, in Part I, Item 1A, Risk Factors, and in our other filings with the SEC. These factors may materia</w:t>
      </w:r>
      <w:r>
        <w:rPr>
          <w:rFonts w:eastAsia="Times New Roman"/>
          <w:color w:val="000000"/>
          <w:sz w:val="20"/>
          <w:szCs w:val="20"/>
        </w:rPr>
        <w:t>lly affect our business, financial condition and operating results. There have been no material changes to the risk factors relating to the Company disclosed in our Annual Report on Form 10-K for the year ended December 31, 2021.</w:t>
      </w:r>
    </w:p>
    <w:p w:rsidR="00000000" w:rsidRDefault="00D44B22">
      <w:pPr>
        <w:ind w:firstLine="720"/>
        <w:jc w:val="both"/>
        <w:divId w:val="1601991353"/>
        <w:rPr>
          <w:rFonts w:eastAsia="Times New Roman"/>
        </w:rPr>
      </w:pPr>
      <w:r>
        <w:rPr>
          <w:rFonts w:eastAsia="Times New Roman"/>
          <w:color w:val="000000"/>
          <w:sz w:val="20"/>
          <w:szCs w:val="20"/>
        </w:rPr>
        <w:t>In addition, in considerin</w:t>
      </w:r>
      <w:r>
        <w:rPr>
          <w:rFonts w:eastAsia="Times New Roman"/>
          <w:color w:val="000000"/>
          <w:sz w:val="20"/>
          <w:szCs w:val="20"/>
        </w:rPr>
        <w:t>g the forward-looking statements contained in this Quarterly Report on Form 10-Q and elsewhere, you should refer to the qualifications and limitations on our forward-looking statements that are described in Forward Looking Statements at the beginning of Pa</w:t>
      </w:r>
      <w:r>
        <w:rPr>
          <w:rFonts w:eastAsia="Times New Roman"/>
          <w:color w:val="000000"/>
          <w:sz w:val="20"/>
          <w:szCs w:val="20"/>
        </w:rPr>
        <w:t>rt I, Item 2 of this Quarterly Report on Form 10-Q.</w:t>
      </w:r>
    </w:p>
    <w:p w:rsidR="00000000" w:rsidRDefault="00D44B22">
      <w:pPr>
        <w:jc w:val="both"/>
        <w:divId w:val="1342701951"/>
        <w:rPr>
          <w:rFonts w:eastAsia="Times New Roman"/>
        </w:rPr>
      </w:pPr>
      <w:r>
        <w:rPr>
          <w:rFonts w:eastAsia="Times New Roman"/>
          <w:b/>
          <w:bCs/>
          <w:color w:val="000000"/>
          <w:sz w:val="20"/>
          <w:szCs w:val="20"/>
        </w:rPr>
        <w:t>ITEM 2.    </w:t>
      </w:r>
      <w:r>
        <w:rPr>
          <w:rFonts w:eastAsia="Times New Roman"/>
          <w:b/>
          <w:bCs/>
          <w:color w:val="000000"/>
          <w:sz w:val="20"/>
          <w:szCs w:val="20"/>
          <w:u w:val="single"/>
        </w:rPr>
        <w:t>Unregistered Sales of Equity Securities and Use of Proceeds</w:t>
      </w:r>
    </w:p>
    <w:p w:rsidR="00000000" w:rsidRDefault="00D44B22">
      <w:pPr>
        <w:jc w:val="both"/>
        <w:divId w:val="2141261757"/>
        <w:rPr>
          <w:rFonts w:eastAsia="Times New Roman"/>
        </w:rPr>
      </w:pPr>
      <w:r>
        <w:rPr>
          <w:rFonts w:eastAsia="Times New Roman"/>
          <w:color w:val="000000"/>
          <w:sz w:val="20"/>
          <w:szCs w:val="20"/>
          <w:u w:val="single"/>
        </w:rPr>
        <w:t>Common Share Repurchases</w:t>
      </w:r>
    </w:p>
    <w:p w:rsidR="00000000" w:rsidRDefault="00D44B22">
      <w:pPr>
        <w:ind w:firstLine="720"/>
        <w:jc w:val="both"/>
        <w:divId w:val="1359771885"/>
        <w:rPr>
          <w:rFonts w:eastAsia="Times New Roman"/>
        </w:rPr>
      </w:pPr>
      <w:r>
        <w:rPr>
          <w:rFonts w:eastAsia="Times New Roman"/>
          <w:color w:val="000000"/>
          <w:sz w:val="20"/>
          <w:szCs w:val="20"/>
        </w:rPr>
        <w:t>Our Board has authorized management to repurchase up to 35,000,000 of our common shares on the open market o</w:t>
      </w:r>
      <w:r>
        <w:rPr>
          <w:rFonts w:eastAsia="Times New Roman"/>
          <w:color w:val="000000"/>
          <w:sz w:val="20"/>
          <w:szCs w:val="20"/>
        </w:rPr>
        <w:t>r in privately negotiated transactions. From the inception of the repurchase program through August 4, 2022, we have repurchased a total of 23,721,916 common shares (all purchased prior to 2010) at an aggregate cost of approximately $679.1 million. Our com</w:t>
      </w:r>
      <w:r>
        <w:rPr>
          <w:rFonts w:eastAsia="Times New Roman"/>
          <w:color w:val="000000"/>
          <w:sz w:val="20"/>
          <w:szCs w:val="20"/>
        </w:rPr>
        <w:t>mon share repurchase program does not have an expiration date and there are 11,278,084 common shares that may yet be repurchased under our repurchase program as of June 30, 2022. We have no current plans to repurchase shares; however, future levels of comm</w:t>
      </w:r>
      <w:r>
        <w:rPr>
          <w:rFonts w:eastAsia="Times New Roman"/>
          <w:color w:val="000000"/>
          <w:sz w:val="20"/>
          <w:szCs w:val="20"/>
        </w:rPr>
        <w:t xml:space="preserve">on share repurchases will be dependent upon our available capital, investment alternatives, and the trading price of our common shares. </w:t>
      </w:r>
    </w:p>
    <w:p w:rsidR="00000000" w:rsidRDefault="00D44B22">
      <w:pPr>
        <w:jc w:val="both"/>
        <w:divId w:val="900284603"/>
        <w:rPr>
          <w:rFonts w:eastAsia="Times New Roman"/>
        </w:rPr>
      </w:pPr>
      <w:r>
        <w:rPr>
          <w:rFonts w:eastAsia="Times New Roman"/>
          <w:b/>
          <w:bCs/>
          <w:color w:val="000000"/>
          <w:sz w:val="20"/>
          <w:szCs w:val="20"/>
        </w:rPr>
        <w:t>ITEM 6.    </w:t>
      </w:r>
      <w:r>
        <w:rPr>
          <w:rFonts w:eastAsia="Times New Roman"/>
          <w:b/>
          <w:bCs/>
          <w:color w:val="000000"/>
          <w:sz w:val="20"/>
          <w:szCs w:val="20"/>
          <w:u w:val="single"/>
        </w:rPr>
        <w:t>Exhibits</w:t>
      </w:r>
    </w:p>
    <w:p w:rsidR="00000000" w:rsidRDefault="00D44B22">
      <w:pPr>
        <w:ind w:firstLine="720"/>
        <w:jc w:val="both"/>
        <w:divId w:val="1588268732"/>
        <w:rPr>
          <w:rFonts w:eastAsia="Times New Roman"/>
        </w:rPr>
      </w:pPr>
      <w:r>
        <w:rPr>
          <w:rFonts w:eastAsia="Times New Roman"/>
          <w:color w:val="000000"/>
          <w:sz w:val="20"/>
          <w:szCs w:val="20"/>
        </w:rPr>
        <w:t>Exhibits required by Item 601 of Regulation S-K are filed herewith or incorporated herein by refere</w:t>
      </w:r>
      <w:r>
        <w:rPr>
          <w:rFonts w:eastAsia="Times New Roman"/>
          <w:color w:val="000000"/>
          <w:sz w:val="20"/>
          <w:szCs w:val="20"/>
        </w:rPr>
        <w:t>nce and are listed in the attached Exhibit Index which is incorporated herein by reference.</w:t>
      </w:r>
    </w:p>
    <w:p w:rsidR="00000000" w:rsidRDefault="00D44B22">
      <w:pPr>
        <w:jc w:val="center"/>
        <w:divId w:val="1375078049"/>
        <w:rPr>
          <w:rFonts w:eastAsia="Times New Roman"/>
        </w:rPr>
      </w:pPr>
      <w:r>
        <w:rPr>
          <w:rFonts w:eastAsia="Times New Roman"/>
          <w:color w:val="000000"/>
          <w:sz w:val="20"/>
          <w:szCs w:val="20"/>
        </w:rPr>
        <w:t>51</w:t>
      </w:r>
    </w:p>
    <w:p w:rsidR="00000000" w:rsidRDefault="00D44B22">
      <w:pPr>
        <w:rPr>
          <w:rFonts w:eastAsia="Times New Roman"/>
        </w:rPr>
      </w:pPr>
      <w:r>
        <w:rPr>
          <w:rFonts w:eastAsia="Times New Roman"/>
        </w:rPr>
        <w:pict>
          <v:rect id="_x0000_i1077" style="width:0;height:1.5pt" o:hralign="center" o:hrstd="t" o:hr="t" fillcolor="#a0a0a0" stroked="f"/>
        </w:pict>
      </w:r>
    </w:p>
    <w:p w:rsidR="00000000" w:rsidRDefault="00D44B22">
      <w:pPr>
        <w:divId w:val="808011402"/>
        <w:rPr>
          <w:rFonts w:eastAsia="Times New Roman"/>
        </w:rPr>
      </w:pPr>
    </w:p>
    <w:p w:rsidR="00000000" w:rsidRDefault="00D44B22">
      <w:pPr>
        <w:jc w:val="center"/>
        <w:divId w:val="64256865"/>
        <w:rPr>
          <w:rFonts w:eastAsia="Times New Roman"/>
        </w:rPr>
      </w:pPr>
      <w:r>
        <w:rPr>
          <w:rFonts w:eastAsia="Times New Roman"/>
          <w:color w:val="000000"/>
          <w:sz w:val="20"/>
          <w:szCs w:val="20"/>
        </w:rPr>
        <w:t>PUBLIC STORAGE</w:t>
      </w:r>
    </w:p>
    <w:p w:rsidR="00000000" w:rsidRDefault="00D44B22">
      <w:pPr>
        <w:jc w:val="center"/>
        <w:divId w:val="1620332491"/>
        <w:rPr>
          <w:rFonts w:eastAsia="Times New Roman"/>
        </w:rPr>
      </w:pPr>
      <w:r>
        <w:rPr>
          <w:rFonts w:eastAsia="Times New Roman"/>
          <w:color w:val="000000"/>
          <w:sz w:val="20"/>
          <w:szCs w:val="20"/>
        </w:rPr>
        <w:t>INDEX TO EXHIBITS (1)</w:t>
      </w:r>
    </w:p>
    <w:p w:rsidR="00000000" w:rsidRDefault="00D44B22">
      <w:pPr>
        <w:jc w:val="center"/>
        <w:divId w:val="1065378123"/>
        <w:rPr>
          <w:rFonts w:eastAsia="Times New Roman"/>
        </w:rPr>
      </w:pPr>
      <w:r>
        <w:rPr>
          <w:rFonts w:eastAsia="Times New Roman"/>
          <w:color w:val="000000"/>
          <w:sz w:val="20"/>
          <w:szCs w:val="20"/>
        </w:rPr>
        <w:t>(Items 15(a)(3) and 15(c)</w:t>
      </w:r>
    </w:p>
    <w:tbl>
      <w:tblPr>
        <w:tblW w:w="5000" w:type="pct"/>
        <w:tblCellMar>
          <w:top w:w="15" w:type="dxa"/>
          <w:left w:w="15" w:type="dxa"/>
          <w:bottom w:w="15" w:type="dxa"/>
          <w:right w:w="15" w:type="dxa"/>
        </w:tblCellMar>
        <w:tblLook w:val="04A0" w:firstRow="1" w:lastRow="0" w:firstColumn="1" w:lastColumn="0" w:noHBand="0" w:noVBand="1"/>
      </w:tblPr>
      <w:tblGrid>
        <w:gridCol w:w="82"/>
        <w:gridCol w:w="740"/>
        <w:gridCol w:w="36"/>
        <w:gridCol w:w="53"/>
        <w:gridCol w:w="7358"/>
        <w:gridCol w:w="37"/>
      </w:tblGrid>
      <w:tr w:rsidR="00000000">
        <w:trPr>
          <w:divId w:val="383020990"/>
        </w:trPr>
        <w:tc>
          <w:tcPr>
            <w:tcW w:w="50" w:type="pct"/>
            <w:vAlign w:val="center"/>
            <w:hideMark/>
          </w:tcPr>
          <w:p w:rsidR="00000000" w:rsidRDefault="00D44B22">
            <w:pPr>
              <w:jc w:val="center"/>
              <w:rPr>
                <w:rFonts w:eastAsia="Times New Roman"/>
              </w:rPr>
            </w:pPr>
          </w:p>
        </w:tc>
        <w:tc>
          <w:tcPr>
            <w:tcW w:w="452"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4437"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3.1</w:t>
            </w:r>
          </w:p>
        </w:tc>
        <w:tc>
          <w:tcPr>
            <w:tcW w:w="0" w:type="auto"/>
            <w:gridSpan w:val="3"/>
            <w:tcMar>
              <w:top w:w="30" w:type="dxa"/>
              <w:left w:w="20" w:type="dxa"/>
              <w:bottom w:w="30" w:type="dxa"/>
              <w:right w:w="20" w:type="dxa"/>
            </w:tcMar>
            <w:vAlign w:val="bottom"/>
            <w:hideMark/>
          </w:tcPr>
          <w:p w:rsidR="00000000" w:rsidRDefault="00D44B22">
            <w:pPr>
              <w:spacing w:after="100"/>
              <w:divId w:val="300506599"/>
              <w:rPr>
                <w:rFonts w:eastAsia="Times New Roman"/>
              </w:rPr>
            </w:pPr>
            <w:hyperlink r:id="rId4" w:history="1">
              <w:r>
                <w:rPr>
                  <w:rStyle w:val="a3"/>
                  <w:rFonts w:eastAsia="Times New Roman"/>
                  <w:sz w:val="20"/>
                  <w:szCs w:val="20"/>
                </w:rPr>
                <w:t>Articles of Amendment to Restated Declaration of Trust of Public Storage, filed with the Maryland State Department of Assessments and Taxation on April 28, 2022 (Filed as Exhibit 3.1 to the Company’s Current Report on Form 8-K dated April 29, 2022 and inco</w:t>
              </w:r>
              <w:r>
                <w:rPr>
                  <w:rStyle w:val="a3"/>
                  <w:rFonts w:eastAsia="Times New Roman"/>
                  <w:sz w:val="20"/>
                  <w:szCs w:val="20"/>
                </w:rPr>
                <w:t>rporated herein by reference).</w:t>
              </w:r>
            </w:hyperlink>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D44B22">
            <w:pPr>
              <w:spacing w:after="100"/>
              <w:divId w:val="343098111"/>
              <w:rPr>
                <w:rFonts w:eastAsia="Times New Roman"/>
              </w:rPr>
            </w:pPr>
            <w:hyperlink r:id="rId5" w:history="1">
              <w:r>
                <w:rPr>
                  <w:rStyle w:val="a3"/>
                  <w:rFonts w:eastAsia="Times New Roman"/>
                  <w:sz w:val="20"/>
                  <w:szCs w:val="20"/>
                </w:rPr>
                <w:t>Form of 2021 Plan Trustee Non-Qualified Stock Option Agreement. Filed herewith.</w:t>
              </w:r>
            </w:hyperlink>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vAlign w:val="bottom"/>
            <w:hideMark/>
          </w:tcPr>
          <w:p w:rsidR="00000000" w:rsidRDefault="00D44B22">
            <w:pPr>
              <w:spacing w:after="100"/>
              <w:divId w:val="1428650910"/>
              <w:rPr>
                <w:rFonts w:eastAsia="Times New Roman"/>
              </w:rPr>
            </w:pPr>
            <w:hyperlink r:id="rId6" w:history="1">
              <w:r>
                <w:rPr>
                  <w:rStyle w:val="a3"/>
                  <w:rFonts w:eastAsia="Times New Roman"/>
                  <w:sz w:val="20"/>
                  <w:szCs w:val="20"/>
                </w:rPr>
                <w:t>Form of 2021 Plan Performance-Based Non-Qualified Stock Option Agreement (2022). Filed herewith.</w:t>
              </w:r>
            </w:hyperlink>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vAlign w:val="bottom"/>
            <w:hideMark/>
          </w:tcPr>
          <w:p w:rsidR="00000000" w:rsidRDefault="00D44B22">
            <w:pPr>
              <w:spacing w:after="100"/>
              <w:divId w:val="261105589"/>
              <w:rPr>
                <w:rFonts w:eastAsia="Times New Roman"/>
              </w:rPr>
            </w:pPr>
            <w:hyperlink r:id="rId7" w:history="1">
              <w:r>
                <w:rPr>
                  <w:rStyle w:val="a3"/>
                  <w:rFonts w:eastAsia="Times New Roman"/>
                  <w:sz w:val="20"/>
                  <w:szCs w:val="20"/>
                </w:rPr>
                <w:t>Form of 2021 Plan Performance-Based Stock Unit Agreement (2022). Filed herewith.</w:t>
              </w:r>
            </w:hyperlink>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vAlign w:val="bottom"/>
            <w:hideMark/>
          </w:tcPr>
          <w:p w:rsidR="00000000" w:rsidRDefault="00D44B22">
            <w:pPr>
              <w:spacing w:after="100"/>
              <w:divId w:val="1340500362"/>
              <w:rPr>
                <w:rFonts w:eastAsia="Times New Roman"/>
              </w:rPr>
            </w:pPr>
            <w:hyperlink r:id="rId8" w:history="1">
              <w:r>
                <w:rPr>
                  <w:rStyle w:val="a3"/>
                  <w:rFonts w:eastAsia="Times New Roman"/>
                  <w:sz w:val="20"/>
                  <w:szCs w:val="20"/>
                </w:rPr>
                <w:t>Rule 13a – 14(a) Certification. Filed herewith.</w:t>
              </w:r>
            </w:hyperlink>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vAlign w:val="bottom"/>
            <w:hideMark/>
          </w:tcPr>
          <w:p w:rsidR="00000000" w:rsidRDefault="00D44B22">
            <w:pPr>
              <w:spacing w:after="100"/>
              <w:divId w:val="24719270"/>
              <w:rPr>
                <w:rFonts w:eastAsia="Times New Roman"/>
              </w:rPr>
            </w:pPr>
            <w:hyperlink r:id="rId9" w:history="1">
              <w:r>
                <w:rPr>
                  <w:rStyle w:val="a3"/>
                  <w:rFonts w:eastAsia="Times New Roman"/>
                  <w:sz w:val="20"/>
                  <w:szCs w:val="20"/>
                </w:rPr>
                <w:t>Rule 13a – 14(a) Certification. Filed herewith.</w:t>
              </w:r>
            </w:hyperlink>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vAlign w:val="bottom"/>
            <w:hideMark/>
          </w:tcPr>
          <w:p w:rsidR="00000000" w:rsidRDefault="00D44B22">
            <w:pPr>
              <w:spacing w:after="100"/>
              <w:divId w:val="2098283784"/>
              <w:rPr>
                <w:rFonts w:eastAsia="Times New Roman"/>
              </w:rPr>
            </w:pPr>
            <w:hyperlink r:id="rId10" w:history="1">
              <w:r>
                <w:rPr>
                  <w:rStyle w:val="a3"/>
                  <w:rFonts w:eastAsia="Times New Roman"/>
                  <w:sz w:val="20"/>
                  <w:szCs w:val="20"/>
                </w:rPr>
                <w:t>Section 1350 Certifications. Filed herewith.</w:t>
              </w:r>
            </w:hyperlink>
            <w:r>
              <w:rPr>
                <w:rFonts w:eastAsia="Times New Roman"/>
                <w:color w:val="0000FF"/>
                <w:sz w:val="20"/>
                <w:szCs w:val="20"/>
              </w:rPr>
              <w:t xml:space="preserve"> </w:t>
            </w:r>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101 .INS</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Inline XBRL Instance Document (the instance document does not appear in the Interactive Data File because its XBRL tags are embedded within the Inline XBRL document)</w:t>
            </w:r>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101 .SCH</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Inline XBRL Taxonomy Extension Schema. Filed herewith.</w:t>
            </w:r>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101 .CAL</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 xml:space="preserve">Inline XBRL Taxonomy Extension Calculation Linkbase. Filed herewith. </w:t>
            </w:r>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101 .DEF</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Inline XBRL Taxonomy Extension Definition Linkbase. Filed herewith.</w:t>
            </w:r>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101 .LAB</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Inline XBRL Taxonomy Extension Label Linkbase. Filed herewith.</w:t>
            </w:r>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101 .PRE</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Inline XBRL Taxonomy Extension Presentation Link. Filed herewith.</w:t>
            </w:r>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Cover Page Interactive Data File (formatted as inline XBRL and contained in Exhibit 101)</w:t>
            </w:r>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_ (1) SEC</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rPr>
              <w:t>File No. 001-33519 unless otherwise indicated.</w:t>
            </w:r>
          </w:p>
        </w:tc>
      </w:tr>
      <w:tr w:rsidR="00000000">
        <w:trPr>
          <w:divId w:val="383020990"/>
          <w:trHeight w:val="180"/>
        </w:trPr>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sz w:val="20"/>
                <w:szCs w:val="20"/>
              </w:rPr>
            </w:pPr>
          </w:p>
        </w:tc>
      </w:tr>
      <w:tr w:rsidR="00000000">
        <w:trPr>
          <w:divId w:val="383020990"/>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D44B22">
            <w:pPr>
              <w:spacing w:after="100"/>
              <w:divId w:val="1697539615"/>
              <w:rPr>
                <w:rFonts w:eastAsia="Times New Roman"/>
              </w:rPr>
            </w:pPr>
            <w:r>
              <w:rPr>
                <w:rFonts w:eastAsia="Times New Roman"/>
                <w:color w:val="000000"/>
                <w:sz w:val="20"/>
                <w:szCs w:val="20"/>
              </w:rPr>
              <w:t>Denotes management compensatory plan or arrangement.</w:t>
            </w:r>
          </w:p>
        </w:tc>
      </w:tr>
    </w:tbl>
    <w:p w:rsidR="00000000" w:rsidRDefault="00D44B22">
      <w:pPr>
        <w:jc w:val="center"/>
        <w:divId w:val="1930233706"/>
        <w:rPr>
          <w:rFonts w:eastAsia="Times New Roman"/>
        </w:rPr>
      </w:pPr>
      <w:r>
        <w:rPr>
          <w:rFonts w:eastAsia="Times New Roman"/>
          <w:color w:val="000000"/>
          <w:sz w:val="20"/>
          <w:szCs w:val="20"/>
        </w:rPr>
        <w:t>52</w:t>
      </w:r>
    </w:p>
    <w:p w:rsidR="00000000" w:rsidRDefault="00D44B22">
      <w:pPr>
        <w:rPr>
          <w:rFonts w:eastAsia="Times New Roman"/>
        </w:rPr>
      </w:pPr>
      <w:r>
        <w:rPr>
          <w:rFonts w:eastAsia="Times New Roman"/>
        </w:rPr>
        <w:pict>
          <v:rect id="_x0000_i1078" style="width:0;height:1.5pt" o:hralign="center" o:hrstd="t" o:hr="t" fillcolor="#a0a0a0" stroked="f"/>
        </w:pict>
      </w:r>
    </w:p>
    <w:p w:rsidR="00000000" w:rsidRDefault="00D44B22">
      <w:pPr>
        <w:divId w:val="1123353914"/>
        <w:rPr>
          <w:rFonts w:eastAsia="Times New Roman"/>
        </w:rPr>
      </w:pPr>
    </w:p>
    <w:p w:rsidR="00000000" w:rsidRDefault="00D44B22">
      <w:pPr>
        <w:jc w:val="center"/>
        <w:rPr>
          <w:rFonts w:eastAsia="Times New Roman"/>
        </w:rPr>
      </w:pPr>
      <w:r>
        <w:rPr>
          <w:rFonts w:eastAsia="Times New Roman"/>
          <w:b/>
          <w:bCs/>
          <w:color w:val="000000"/>
          <w:sz w:val="20"/>
          <w:szCs w:val="20"/>
          <w:u w:val="single"/>
        </w:rPr>
        <w:t>SIGNATURES</w:t>
      </w:r>
    </w:p>
    <w:p w:rsidR="00000000" w:rsidRDefault="00D44B22">
      <w:pPr>
        <w:ind w:firstLine="720"/>
        <w:jc w:val="both"/>
        <w:divId w:val="1001812348"/>
        <w:rPr>
          <w:rFonts w:eastAsia="Times New Roman"/>
        </w:rPr>
      </w:pPr>
      <w:r>
        <w:rPr>
          <w:rFonts w:eastAsia="Times New Roman"/>
          <w:color w:val="000000"/>
          <w:sz w:val="20"/>
          <w:szCs w:val="20"/>
        </w:rPr>
        <w:t>Pursuant to the requirement of the Securities Exchange Act of 1934, the 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997"/>
        <w:gridCol w:w="36"/>
        <w:gridCol w:w="71"/>
        <w:gridCol w:w="281"/>
        <w:gridCol w:w="38"/>
        <w:gridCol w:w="69"/>
        <w:gridCol w:w="3709"/>
        <w:gridCol w:w="37"/>
      </w:tblGrid>
      <w:tr w:rsidR="00000000">
        <w:trPr>
          <w:divId w:val="1419401696"/>
        </w:trPr>
        <w:tc>
          <w:tcPr>
            <w:tcW w:w="50" w:type="pct"/>
            <w:vAlign w:val="center"/>
            <w:hideMark/>
          </w:tcPr>
          <w:p w:rsidR="00000000" w:rsidRDefault="00D44B22">
            <w:pPr>
              <w:ind w:firstLine="720"/>
              <w:jc w:val="both"/>
              <w:rPr>
                <w:rFonts w:eastAsia="Times New Roman"/>
              </w:rPr>
            </w:pPr>
          </w:p>
        </w:tc>
        <w:tc>
          <w:tcPr>
            <w:tcW w:w="2414"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179"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c>
          <w:tcPr>
            <w:tcW w:w="50" w:type="pct"/>
            <w:vAlign w:val="center"/>
            <w:hideMark/>
          </w:tcPr>
          <w:p w:rsidR="00000000" w:rsidRDefault="00D44B22">
            <w:pPr>
              <w:spacing w:after="100"/>
              <w:rPr>
                <w:rFonts w:eastAsia="Times New Roman"/>
                <w:sz w:val="20"/>
                <w:szCs w:val="20"/>
              </w:rPr>
            </w:pPr>
          </w:p>
        </w:tc>
        <w:tc>
          <w:tcPr>
            <w:tcW w:w="2240" w:type="pct"/>
            <w:vAlign w:val="center"/>
            <w:hideMark/>
          </w:tcPr>
          <w:p w:rsidR="00000000" w:rsidRDefault="00D44B22">
            <w:pPr>
              <w:spacing w:after="100"/>
              <w:rPr>
                <w:rFonts w:eastAsia="Times New Roman"/>
                <w:sz w:val="20"/>
                <w:szCs w:val="20"/>
              </w:rPr>
            </w:pPr>
          </w:p>
        </w:tc>
        <w:tc>
          <w:tcPr>
            <w:tcW w:w="5" w:type="pct"/>
            <w:vAlign w:val="center"/>
            <w:hideMark/>
          </w:tcPr>
          <w:p w:rsidR="00000000" w:rsidRDefault="00D44B22">
            <w:pPr>
              <w:spacing w:after="100"/>
              <w:rPr>
                <w:rFonts w:eastAsia="Times New Roman"/>
                <w:sz w:val="20"/>
                <w:szCs w:val="20"/>
              </w:rPr>
            </w:pPr>
          </w:p>
        </w:tc>
      </w:tr>
      <w:tr w:rsidR="00000000">
        <w:trPr>
          <w:divId w:val="1419401696"/>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D44B22">
            <w:pPr>
              <w:spacing w:after="100"/>
              <w:ind w:hanging="630"/>
              <w:divId w:val="1309672780"/>
              <w:rPr>
                <w:rFonts w:eastAsia="Times New Roman"/>
              </w:rPr>
            </w:pPr>
            <w:r>
              <w:rPr>
                <w:rFonts w:eastAsia="Times New Roman"/>
                <w:color w:val="000000"/>
                <w:sz w:val="20"/>
                <w:szCs w:val="20"/>
              </w:rPr>
              <w:t>DATED: August 4, 2022</w:t>
            </w:r>
          </w:p>
        </w:tc>
      </w:tr>
      <w:tr w:rsidR="00000000">
        <w:trPr>
          <w:divId w:val="1419401696"/>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hideMark/>
          </w:tcPr>
          <w:p w:rsidR="00000000" w:rsidRDefault="00D44B22">
            <w:pPr>
              <w:spacing w:after="100"/>
              <w:rPr>
                <w:rFonts w:eastAsia="Times New Roman"/>
              </w:rPr>
            </w:pPr>
            <w:r>
              <w:rPr>
                <w:rFonts w:eastAsia="Times New Roman"/>
                <w:b/>
                <w:bCs/>
                <w:color w:val="000000"/>
                <w:sz w:val="20"/>
                <w:szCs w:val="20"/>
              </w:rPr>
              <w:t>PUBLIC STORAGE</w:t>
            </w:r>
          </w:p>
        </w:tc>
      </w:tr>
      <w:tr w:rsidR="00000000">
        <w:trPr>
          <w:divId w:val="1419401696"/>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ascii="Calibri" w:eastAsia="Times New Roman" w:hAnsi="Calibri" w:cs="Calibri"/>
                <w:color w:val="000000"/>
                <w:sz w:val="22"/>
                <w:szCs w:val="22"/>
              </w:rPr>
              <w:t> </w:t>
            </w:r>
          </w:p>
        </w:tc>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 xml:space="preserve">By: </w:t>
            </w:r>
          </w:p>
        </w:tc>
        <w:tc>
          <w:tcPr>
            <w:tcW w:w="0" w:type="auto"/>
            <w:gridSpan w:val="3"/>
            <w:tcMar>
              <w:top w:w="30" w:type="dxa"/>
              <w:left w:w="20" w:type="dxa"/>
              <w:bottom w:w="30" w:type="dxa"/>
              <w:right w:w="20" w:type="dxa"/>
            </w:tcMar>
            <w:vAlign w:val="bottom"/>
            <w:hideMark/>
          </w:tcPr>
          <w:p w:rsidR="00000000" w:rsidRDefault="00D44B22">
            <w:pPr>
              <w:spacing w:after="100"/>
              <w:rPr>
                <w:rFonts w:eastAsia="Times New Roman"/>
              </w:rPr>
            </w:pPr>
            <w:r>
              <w:rPr>
                <w:rFonts w:eastAsia="Times New Roman"/>
                <w:color w:val="000000"/>
                <w:sz w:val="20"/>
                <w:szCs w:val="20"/>
                <w:u w:val="single"/>
              </w:rPr>
              <w:t xml:space="preserve">/s/ H. Thomas Boyle </w:t>
            </w:r>
          </w:p>
        </w:tc>
      </w:tr>
      <w:tr w:rsidR="00000000">
        <w:trPr>
          <w:divId w:val="1419401696"/>
        </w:trPr>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D44B22">
            <w:pPr>
              <w:spacing w:after="100"/>
              <w:rPr>
                <w:rFonts w:eastAsia="Times New Roman"/>
              </w:rPr>
            </w:pPr>
          </w:p>
        </w:tc>
        <w:tc>
          <w:tcPr>
            <w:tcW w:w="0" w:type="auto"/>
            <w:gridSpan w:val="3"/>
            <w:tcMar>
              <w:top w:w="30" w:type="dxa"/>
              <w:left w:w="20" w:type="dxa"/>
              <w:bottom w:w="30" w:type="dxa"/>
              <w:right w:w="20" w:type="dxa"/>
            </w:tcMar>
            <w:hideMark/>
          </w:tcPr>
          <w:p w:rsidR="00000000" w:rsidRDefault="00D44B22">
            <w:pPr>
              <w:spacing w:after="100"/>
              <w:rPr>
                <w:rFonts w:eastAsia="Times New Roman"/>
              </w:rPr>
            </w:pPr>
            <w:r>
              <w:rPr>
                <w:rFonts w:eastAsia="Times New Roman"/>
                <w:color w:val="000000"/>
                <w:sz w:val="20"/>
                <w:szCs w:val="20"/>
              </w:rPr>
              <w:t>H. Thomas Boyle</w:t>
            </w:r>
            <w:r>
              <w:rPr>
                <w:rFonts w:eastAsia="Times New Roman"/>
                <w:color w:val="000000"/>
                <w:sz w:val="20"/>
                <w:szCs w:val="20"/>
              </w:rPr>
              <w:br/>
              <w:t>Senior Vice President and Chief Financial Officer</w:t>
            </w:r>
          </w:p>
        </w:tc>
      </w:tr>
    </w:tbl>
    <w:p w:rsidR="00000000" w:rsidRDefault="00D44B22">
      <w:pPr>
        <w:divId w:val="2129741625"/>
        <w:rPr>
          <w:rFonts w:eastAsia="Times New Roman"/>
        </w:rPr>
      </w:pPr>
    </w:p>
    <w:p w:rsidR="00D44B22" w:rsidRDefault="00D44B22">
      <w:pPr>
        <w:jc w:val="center"/>
        <w:divId w:val="1701004385"/>
        <w:rPr>
          <w:rFonts w:eastAsia="Times New Roman"/>
        </w:rPr>
      </w:pPr>
      <w:r>
        <w:rPr>
          <w:rFonts w:eastAsia="Times New Roman"/>
          <w:color w:val="000000"/>
          <w:sz w:val="20"/>
          <w:szCs w:val="20"/>
        </w:rPr>
        <w:t>53</w:t>
      </w:r>
    </w:p>
    <w:sectPr w:rsidR="00D44B2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44B22"/>
    <w:rsid w:val="00D44B22"/>
  </w:rsids>
  <m:mathPr>
    <m:mathFont m:val="Cambria Math"/>
    <m:brkBin m:val="before"/>
    <m:brkBinSub m:val="--"/>
    <m:smallFrac m:val="0"/>
    <m:dispDef/>
    <m:lMargin m:val="0"/>
    <m:rMargin m:val="0"/>
    <m:defJc m:val="centerGroup"/>
    <m:wrapIndent m:val="1440"/>
    <m:intLim m:val="subSup"/>
    <m:naryLim m:val="undOvr"/>
  </m:mathPr>
  <w:attachedSchema w:val="http://www.publicstorage.com/20220630"/>
  <w:attachedSchema w:val="http://www.xbrl.org/2003/linkbase"/>
  <w:attachedSchema w:val="http://www.xbrl.org/2003/iso4217"/>
  <w:attachedSchema w:val="http://www.w3.org/1999/xlink"/>
  <w:attachedSchema w:val="http://www.xbrl.org/2009/utr"/>
  <w:attachedSchema w:val="http://www.xbrl.org/2013/inlineXBRL"/>
  <w:attachedSchema w:val="http://www.xbrl.org/inlineXBRL/transformation/2020-02-12"/>
  <w:attachedSchema w:val="http://xbrl.sec.gov/dei/2021q4"/>
  <w:attachedSchema w:val="http://www.xbrl.org/2003/instance"/>
  <w:attachedSchema w:val="http://xbrl.sec.gov/country/2021"/>
  <w:attachedSchema w:val="http://fasb.org/us-gaap/2021-01-31"/>
  <w:attachedSchema w:val="http://xbrl.org/2006/xbrldi"/>
  <w:attachedSchema w:val="http://fasb.org/srt/2021-01-31"/>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30">
      <w:marLeft w:val="0"/>
      <w:marRight w:val="0"/>
      <w:marTop w:val="0"/>
      <w:marBottom w:val="240"/>
      <w:divBdr>
        <w:top w:val="none" w:sz="0" w:space="0" w:color="auto"/>
        <w:left w:val="none" w:sz="0" w:space="0" w:color="auto"/>
        <w:bottom w:val="none" w:sz="0" w:space="0" w:color="auto"/>
        <w:right w:val="none" w:sz="0" w:space="0" w:color="auto"/>
      </w:divBdr>
    </w:div>
    <w:div w:id="1323789">
      <w:marLeft w:val="0"/>
      <w:marRight w:val="0"/>
      <w:marTop w:val="0"/>
      <w:marBottom w:val="240"/>
      <w:divBdr>
        <w:top w:val="none" w:sz="0" w:space="0" w:color="auto"/>
        <w:left w:val="none" w:sz="0" w:space="0" w:color="auto"/>
        <w:bottom w:val="none" w:sz="0" w:space="0" w:color="auto"/>
        <w:right w:val="none" w:sz="0" w:space="0" w:color="auto"/>
      </w:divBdr>
    </w:div>
    <w:div w:id="7561452">
      <w:marLeft w:val="0"/>
      <w:marRight w:val="0"/>
      <w:marTop w:val="0"/>
      <w:marBottom w:val="240"/>
      <w:divBdr>
        <w:top w:val="none" w:sz="0" w:space="0" w:color="auto"/>
        <w:left w:val="none" w:sz="0" w:space="0" w:color="auto"/>
        <w:bottom w:val="none" w:sz="0" w:space="0" w:color="auto"/>
        <w:right w:val="none" w:sz="0" w:space="0" w:color="auto"/>
      </w:divBdr>
    </w:div>
    <w:div w:id="11223785">
      <w:marLeft w:val="0"/>
      <w:marRight w:val="0"/>
      <w:marTop w:val="0"/>
      <w:marBottom w:val="1"/>
      <w:divBdr>
        <w:top w:val="none" w:sz="0" w:space="0" w:color="auto"/>
        <w:left w:val="none" w:sz="0" w:space="0" w:color="auto"/>
        <w:bottom w:val="none" w:sz="0" w:space="0" w:color="auto"/>
        <w:right w:val="none" w:sz="0" w:space="0" w:color="auto"/>
      </w:divBdr>
    </w:div>
    <w:div w:id="16081975">
      <w:marLeft w:val="0"/>
      <w:marRight w:val="0"/>
      <w:marTop w:val="0"/>
      <w:marBottom w:val="240"/>
      <w:divBdr>
        <w:top w:val="none" w:sz="0" w:space="0" w:color="auto"/>
        <w:left w:val="none" w:sz="0" w:space="0" w:color="auto"/>
        <w:bottom w:val="none" w:sz="0" w:space="0" w:color="auto"/>
        <w:right w:val="none" w:sz="0" w:space="0" w:color="auto"/>
      </w:divBdr>
    </w:div>
    <w:div w:id="20212019">
      <w:marLeft w:val="0"/>
      <w:marRight w:val="0"/>
      <w:marTop w:val="0"/>
      <w:marBottom w:val="0"/>
      <w:divBdr>
        <w:top w:val="none" w:sz="0" w:space="0" w:color="auto"/>
        <w:left w:val="none" w:sz="0" w:space="0" w:color="auto"/>
        <w:bottom w:val="none" w:sz="0" w:space="0" w:color="auto"/>
        <w:right w:val="none" w:sz="0" w:space="0" w:color="auto"/>
      </w:divBdr>
      <w:divsChild>
        <w:div w:id="462310652">
          <w:marLeft w:val="0"/>
          <w:marRight w:val="0"/>
          <w:marTop w:val="0"/>
          <w:marBottom w:val="0"/>
          <w:divBdr>
            <w:top w:val="none" w:sz="0" w:space="0" w:color="auto"/>
            <w:left w:val="none" w:sz="0" w:space="0" w:color="auto"/>
            <w:bottom w:val="none" w:sz="0" w:space="0" w:color="auto"/>
            <w:right w:val="none" w:sz="0" w:space="0" w:color="auto"/>
          </w:divBdr>
        </w:div>
      </w:divsChild>
    </w:div>
    <w:div w:id="30230667">
      <w:marLeft w:val="0"/>
      <w:marRight w:val="0"/>
      <w:marTop w:val="0"/>
      <w:marBottom w:val="0"/>
      <w:divBdr>
        <w:top w:val="none" w:sz="0" w:space="0" w:color="auto"/>
        <w:left w:val="none" w:sz="0" w:space="0" w:color="auto"/>
        <w:bottom w:val="none" w:sz="0" w:space="0" w:color="auto"/>
        <w:right w:val="none" w:sz="0" w:space="0" w:color="auto"/>
      </w:divBdr>
    </w:div>
    <w:div w:id="38287387">
      <w:marLeft w:val="0"/>
      <w:marRight w:val="0"/>
      <w:marTop w:val="0"/>
      <w:marBottom w:val="0"/>
      <w:divBdr>
        <w:top w:val="none" w:sz="0" w:space="0" w:color="auto"/>
        <w:left w:val="none" w:sz="0" w:space="0" w:color="auto"/>
        <w:bottom w:val="none" w:sz="0" w:space="0" w:color="auto"/>
        <w:right w:val="none" w:sz="0" w:space="0" w:color="auto"/>
      </w:divBdr>
      <w:divsChild>
        <w:div w:id="2010518686">
          <w:marLeft w:val="0"/>
          <w:marRight w:val="0"/>
          <w:marTop w:val="0"/>
          <w:marBottom w:val="0"/>
          <w:divBdr>
            <w:top w:val="none" w:sz="0" w:space="0" w:color="auto"/>
            <w:left w:val="none" w:sz="0" w:space="0" w:color="auto"/>
            <w:bottom w:val="none" w:sz="0" w:space="0" w:color="auto"/>
            <w:right w:val="none" w:sz="0" w:space="0" w:color="auto"/>
          </w:divBdr>
        </w:div>
      </w:divsChild>
    </w:div>
    <w:div w:id="39136291">
      <w:marLeft w:val="0"/>
      <w:marRight w:val="0"/>
      <w:marTop w:val="0"/>
      <w:marBottom w:val="0"/>
      <w:divBdr>
        <w:top w:val="none" w:sz="0" w:space="0" w:color="auto"/>
        <w:left w:val="none" w:sz="0" w:space="0" w:color="auto"/>
        <w:bottom w:val="none" w:sz="0" w:space="0" w:color="auto"/>
        <w:right w:val="none" w:sz="0" w:space="0" w:color="auto"/>
      </w:divBdr>
    </w:div>
    <w:div w:id="39789189">
      <w:marLeft w:val="0"/>
      <w:marRight w:val="0"/>
      <w:marTop w:val="0"/>
      <w:marBottom w:val="240"/>
      <w:divBdr>
        <w:top w:val="none" w:sz="0" w:space="0" w:color="auto"/>
        <w:left w:val="none" w:sz="0" w:space="0" w:color="auto"/>
        <w:bottom w:val="none" w:sz="0" w:space="0" w:color="auto"/>
        <w:right w:val="none" w:sz="0" w:space="0" w:color="auto"/>
      </w:divBdr>
    </w:div>
    <w:div w:id="41683045">
      <w:marLeft w:val="0"/>
      <w:marRight w:val="0"/>
      <w:marTop w:val="0"/>
      <w:marBottom w:val="0"/>
      <w:divBdr>
        <w:top w:val="none" w:sz="0" w:space="0" w:color="auto"/>
        <w:left w:val="none" w:sz="0" w:space="0" w:color="auto"/>
        <w:bottom w:val="none" w:sz="0" w:space="0" w:color="auto"/>
        <w:right w:val="none" w:sz="0" w:space="0" w:color="auto"/>
      </w:divBdr>
      <w:divsChild>
        <w:div w:id="2094815662">
          <w:marLeft w:val="0"/>
          <w:marRight w:val="0"/>
          <w:marTop w:val="0"/>
          <w:marBottom w:val="0"/>
          <w:divBdr>
            <w:top w:val="none" w:sz="0" w:space="0" w:color="auto"/>
            <w:left w:val="none" w:sz="0" w:space="0" w:color="auto"/>
            <w:bottom w:val="none" w:sz="0" w:space="0" w:color="auto"/>
            <w:right w:val="none" w:sz="0" w:space="0" w:color="auto"/>
          </w:divBdr>
        </w:div>
      </w:divsChild>
    </w:div>
    <w:div w:id="47345247">
      <w:marLeft w:val="0"/>
      <w:marRight w:val="0"/>
      <w:marTop w:val="0"/>
      <w:marBottom w:val="240"/>
      <w:divBdr>
        <w:top w:val="none" w:sz="0" w:space="0" w:color="auto"/>
        <w:left w:val="none" w:sz="0" w:space="0" w:color="auto"/>
        <w:bottom w:val="none" w:sz="0" w:space="0" w:color="auto"/>
        <w:right w:val="none" w:sz="0" w:space="0" w:color="auto"/>
      </w:divBdr>
    </w:div>
    <w:div w:id="47656030">
      <w:marLeft w:val="0"/>
      <w:marRight w:val="0"/>
      <w:marTop w:val="240"/>
      <w:marBottom w:val="240"/>
      <w:divBdr>
        <w:top w:val="none" w:sz="0" w:space="0" w:color="auto"/>
        <w:left w:val="none" w:sz="0" w:space="0" w:color="auto"/>
        <w:bottom w:val="none" w:sz="0" w:space="0" w:color="auto"/>
        <w:right w:val="none" w:sz="0" w:space="0" w:color="auto"/>
      </w:divBdr>
    </w:div>
    <w:div w:id="48193214">
      <w:marLeft w:val="0"/>
      <w:marRight w:val="0"/>
      <w:marTop w:val="0"/>
      <w:marBottom w:val="0"/>
      <w:divBdr>
        <w:top w:val="none" w:sz="0" w:space="0" w:color="auto"/>
        <w:left w:val="none" w:sz="0" w:space="0" w:color="auto"/>
        <w:bottom w:val="none" w:sz="0" w:space="0" w:color="auto"/>
        <w:right w:val="none" w:sz="0" w:space="0" w:color="auto"/>
      </w:divBdr>
      <w:divsChild>
        <w:div w:id="1972862107">
          <w:marLeft w:val="0"/>
          <w:marRight w:val="0"/>
          <w:marTop w:val="0"/>
          <w:marBottom w:val="0"/>
          <w:divBdr>
            <w:top w:val="none" w:sz="0" w:space="0" w:color="auto"/>
            <w:left w:val="none" w:sz="0" w:space="0" w:color="auto"/>
            <w:bottom w:val="none" w:sz="0" w:space="0" w:color="auto"/>
            <w:right w:val="none" w:sz="0" w:space="0" w:color="auto"/>
          </w:divBdr>
        </w:div>
      </w:divsChild>
    </w:div>
    <w:div w:id="55473421">
      <w:marLeft w:val="0"/>
      <w:marRight w:val="0"/>
      <w:marTop w:val="120"/>
      <w:marBottom w:val="240"/>
      <w:divBdr>
        <w:top w:val="none" w:sz="0" w:space="0" w:color="auto"/>
        <w:left w:val="none" w:sz="0" w:space="0" w:color="auto"/>
        <w:bottom w:val="none" w:sz="0" w:space="0" w:color="auto"/>
        <w:right w:val="none" w:sz="0" w:space="0" w:color="auto"/>
      </w:divBdr>
    </w:div>
    <w:div w:id="55786933">
      <w:marLeft w:val="0"/>
      <w:marRight w:val="0"/>
      <w:marTop w:val="0"/>
      <w:marBottom w:val="0"/>
      <w:divBdr>
        <w:top w:val="none" w:sz="0" w:space="0" w:color="auto"/>
        <w:left w:val="none" w:sz="0" w:space="0" w:color="auto"/>
        <w:bottom w:val="none" w:sz="0" w:space="0" w:color="auto"/>
        <w:right w:val="none" w:sz="0" w:space="0" w:color="auto"/>
      </w:divBdr>
    </w:div>
    <w:div w:id="57441891">
      <w:marLeft w:val="0"/>
      <w:marRight w:val="0"/>
      <w:marTop w:val="0"/>
      <w:marBottom w:val="0"/>
      <w:divBdr>
        <w:top w:val="none" w:sz="0" w:space="0" w:color="auto"/>
        <w:left w:val="none" w:sz="0" w:space="0" w:color="auto"/>
        <w:bottom w:val="none" w:sz="0" w:space="0" w:color="auto"/>
        <w:right w:val="none" w:sz="0" w:space="0" w:color="auto"/>
      </w:divBdr>
      <w:divsChild>
        <w:div w:id="814638794">
          <w:marLeft w:val="0"/>
          <w:marRight w:val="0"/>
          <w:marTop w:val="0"/>
          <w:marBottom w:val="0"/>
          <w:divBdr>
            <w:top w:val="none" w:sz="0" w:space="0" w:color="auto"/>
            <w:left w:val="none" w:sz="0" w:space="0" w:color="auto"/>
            <w:bottom w:val="none" w:sz="0" w:space="0" w:color="auto"/>
            <w:right w:val="none" w:sz="0" w:space="0" w:color="auto"/>
          </w:divBdr>
        </w:div>
      </w:divsChild>
    </w:div>
    <w:div w:id="64256865">
      <w:marLeft w:val="0"/>
      <w:marRight w:val="0"/>
      <w:marTop w:val="240"/>
      <w:marBottom w:val="0"/>
      <w:divBdr>
        <w:top w:val="none" w:sz="0" w:space="0" w:color="auto"/>
        <w:left w:val="none" w:sz="0" w:space="0" w:color="auto"/>
        <w:bottom w:val="none" w:sz="0" w:space="0" w:color="auto"/>
        <w:right w:val="none" w:sz="0" w:space="0" w:color="auto"/>
      </w:divBdr>
    </w:div>
    <w:div w:id="66615153">
      <w:marLeft w:val="0"/>
      <w:marRight w:val="0"/>
      <w:marTop w:val="0"/>
      <w:marBottom w:val="0"/>
      <w:divBdr>
        <w:top w:val="none" w:sz="0" w:space="0" w:color="auto"/>
        <w:left w:val="none" w:sz="0" w:space="0" w:color="auto"/>
        <w:bottom w:val="none" w:sz="0" w:space="0" w:color="auto"/>
        <w:right w:val="none" w:sz="0" w:space="0" w:color="auto"/>
      </w:divBdr>
      <w:divsChild>
        <w:div w:id="1804999659">
          <w:marLeft w:val="0"/>
          <w:marRight w:val="0"/>
          <w:marTop w:val="0"/>
          <w:marBottom w:val="0"/>
          <w:divBdr>
            <w:top w:val="none" w:sz="0" w:space="0" w:color="auto"/>
            <w:left w:val="none" w:sz="0" w:space="0" w:color="auto"/>
            <w:bottom w:val="none" w:sz="0" w:space="0" w:color="auto"/>
            <w:right w:val="none" w:sz="0" w:space="0" w:color="auto"/>
          </w:divBdr>
        </w:div>
      </w:divsChild>
    </w:div>
    <w:div w:id="67120977">
      <w:marLeft w:val="0"/>
      <w:marRight w:val="0"/>
      <w:marTop w:val="0"/>
      <w:marBottom w:val="0"/>
      <w:divBdr>
        <w:top w:val="none" w:sz="0" w:space="0" w:color="auto"/>
        <w:left w:val="none" w:sz="0" w:space="0" w:color="auto"/>
        <w:bottom w:val="none" w:sz="0" w:space="0" w:color="auto"/>
        <w:right w:val="none" w:sz="0" w:space="0" w:color="auto"/>
      </w:divBdr>
      <w:divsChild>
        <w:div w:id="716589271">
          <w:marLeft w:val="0"/>
          <w:marRight w:val="0"/>
          <w:marTop w:val="0"/>
          <w:marBottom w:val="0"/>
          <w:divBdr>
            <w:top w:val="none" w:sz="0" w:space="0" w:color="auto"/>
            <w:left w:val="none" w:sz="0" w:space="0" w:color="auto"/>
            <w:bottom w:val="none" w:sz="0" w:space="0" w:color="auto"/>
            <w:right w:val="none" w:sz="0" w:space="0" w:color="auto"/>
          </w:divBdr>
        </w:div>
      </w:divsChild>
    </w:div>
    <w:div w:id="96829051">
      <w:marLeft w:val="0"/>
      <w:marRight w:val="0"/>
      <w:marTop w:val="0"/>
      <w:marBottom w:val="240"/>
      <w:divBdr>
        <w:top w:val="none" w:sz="0" w:space="0" w:color="auto"/>
        <w:left w:val="none" w:sz="0" w:space="0" w:color="auto"/>
        <w:bottom w:val="none" w:sz="0" w:space="0" w:color="auto"/>
        <w:right w:val="none" w:sz="0" w:space="0" w:color="auto"/>
      </w:divBdr>
    </w:div>
    <w:div w:id="100540370">
      <w:marLeft w:val="0"/>
      <w:marRight w:val="0"/>
      <w:marTop w:val="0"/>
      <w:marBottom w:val="0"/>
      <w:divBdr>
        <w:top w:val="none" w:sz="0" w:space="0" w:color="auto"/>
        <w:left w:val="none" w:sz="0" w:space="0" w:color="auto"/>
        <w:bottom w:val="none" w:sz="0" w:space="0" w:color="auto"/>
        <w:right w:val="none" w:sz="0" w:space="0" w:color="auto"/>
      </w:divBdr>
      <w:divsChild>
        <w:div w:id="1930233706">
          <w:marLeft w:val="0"/>
          <w:marRight w:val="0"/>
          <w:marTop w:val="0"/>
          <w:marBottom w:val="0"/>
          <w:divBdr>
            <w:top w:val="none" w:sz="0" w:space="0" w:color="auto"/>
            <w:left w:val="none" w:sz="0" w:space="0" w:color="auto"/>
            <w:bottom w:val="none" w:sz="0" w:space="0" w:color="auto"/>
            <w:right w:val="none" w:sz="0" w:space="0" w:color="auto"/>
          </w:divBdr>
        </w:div>
      </w:divsChild>
    </w:div>
    <w:div w:id="112529448">
      <w:marLeft w:val="0"/>
      <w:marRight w:val="0"/>
      <w:marTop w:val="0"/>
      <w:marBottom w:val="240"/>
      <w:divBdr>
        <w:top w:val="none" w:sz="0" w:space="0" w:color="auto"/>
        <w:left w:val="none" w:sz="0" w:space="0" w:color="auto"/>
        <w:bottom w:val="none" w:sz="0" w:space="0" w:color="auto"/>
        <w:right w:val="none" w:sz="0" w:space="0" w:color="auto"/>
      </w:divBdr>
    </w:div>
    <w:div w:id="113332134">
      <w:marLeft w:val="0"/>
      <w:marRight w:val="0"/>
      <w:marTop w:val="0"/>
      <w:marBottom w:val="0"/>
      <w:divBdr>
        <w:top w:val="none" w:sz="0" w:space="0" w:color="auto"/>
        <w:left w:val="none" w:sz="0" w:space="0" w:color="auto"/>
        <w:bottom w:val="none" w:sz="0" w:space="0" w:color="auto"/>
        <w:right w:val="none" w:sz="0" w:space="0" w:color="auto"/>
      </w:divBdr>
    </w:div>
    <w:div w:id="118652205">
      <w:marLeft w:val="0"/>
      <w:marRight w:val="0"/>
      <w:marTop w:val="0"/>
      <w:marBottom w:val="0"/>
      <w:divBdr>
        <w:top w:val="none" w:sz="0" w:space="0" w:color="auto"/>
        <w:left w:val="none" w:sz="0" w:space="0" w:color="auto"/>
        <w:bottom w:val="none" w:sz="0" w:space="0" w:color="auto"/>
        <w:right w:val="none" w:sz="0" w:space="0" w:color="auto"/>
      </w:divBdr>
      <w:divsChild>
        <w:div w:id="405952755">
          <w:marLeft w:val="0"/>
          <w:marRight w:val="0"/>
          <w:marTop w:val="0"/>
          <w:marBottom w:val="0"/>
          <w:divBdr>
            <w:top w:val="none" w:sz="0" w:space="0" w:color="auto"/>
            <w:left w:val="none" w:sz="0" w:space="0" w:color="auto"/>
            <w:bottom w:val="none" w:sz="0" w:space="0" w:color="auto"/>
            <w:right w:val="none" w:sz="0" w:space="0" w:color="auto"/>
          </w:divBdr>
        </w:div>
      </w:divsChild>
    </w:div>
    <w:div w:id="142045526">
      <w:marLeft w:val="0"/>
      <w:marRight w:val="0"/>
      <w:marTop w:val="240"/>
      <w:marBottom w:val="240"/>
      <w:divBdr>
        <w:top w:val="none" w:sz="0" w:space="0" w:color="auto"/>
        <w:left w:val="none" w:sz="0" w:space="0" w:color="auto"/>
        <w:bottom w:val="none" w:sz="0" w:space="0" w:color="auto"/>
        <w:right w:val="none" w:sz="0" w:space="0" w:color="auto"/>
      </w:divBdr>
    </w:div>
    <w:div w:id="144392651">
      <w:marLeft w:val="0"/>
      <w:marRight w:val="0"/>
      <w:marTop w:val="240"/>
      <w:marBottom w:val="240"/>
      <w:divBdr>
        <w:top w:val="none" w:sz="0" w:space="0" w:color="auto"/>
        <w:left w:val="none" w:sz="0" w:space="0" w:color="auto"/>
        <w:bottom w:val="none" w:sz="0" w:space="0" w:color="auto"/>
        <w:right w:val="none" w:sz="0" w:space="0" w:color="auto"/>
      </w:divBdr>
    </w:div>
    <w:div w:id="155190124">
      <w:marLeft w:val="0"/>
      <w:marRight w:val="0"/>
      <w:marTop w:val="0"/>
      <w:marBottom w:val="120"/>
      <w:divBdr>
        <w:top w:val="none" w:sz="0" w:space="0" w:color="auto"/>
        <w:left w:val="none" w:sz="0" w:space="0" w:color="auto"/>
        <w:bottom w:val="none" w:sz="0" w:space="0" w:color="auto"/>
        <w:right w:val="none" w:sz="0" w:space="0" w:color="auto"/>
      </w:divBdr>
    </w:div>
    <w:div w:id="163135086">
      <w:marLeft w:val="0"/>
      <w:marRight w:val="0"/>
      <w:marTop w:val="0"/>
      <w:marBottom w:val="240"/>
      <w:divBdr>
        <w:top w:val="none" w:sz="0" w:space="0" w:color="auto"/>
        <w:left w:val="none" w:sz="0" w:space="0" w:color="auto"/>
        <w:bottom w:val="none" w:sz="0" w:space="0" w:color="auto"/>
        <w:right w:val="none" w:sz="0" w:space="0" w:color="auto"/>
      </w:divBdr>
    </w:div>
    <w:div w:id="164633392">
      <w:marLeft w:val="0"/>
      <w:marRight w:val="0"/>
      <w:marTop w:val="120"/>
      <w:marBottom w:val="0"/>
      <w:divBdr>
        <w:top w:val="none" w:sz="0" w:space="0" w:color="auto"/>
        <w:left w:val="none" w:sz="0" w:space="0" w:color="auto"/>
        <w:bottom w:val="none" w:sz="0" w:space="0" w:color="auto"/>
        <w:right w:val="none" w:sz="0" w:space="0" w:color="auto"/>
      </w:divBdr>
    </w:div>
    <w:div w:id="165706032">
      <w:marLeft w:val="0"/>
      <w:marRight w:val="0"/>
      <w:marTop w:val="0"/>
      <w:marBottom w:val="0"/>
      <w:divBdr>
        <w:top w:val="none" w:sz="0" w:space="0" w:color="auto"/>
        <w:left w:val="none" w:sz="0" w:space="0" w:color="auto"/>
        <w:bottom w:val="none" w:sz="0" w:space="0" w:color="auto"/>
        <w:right w:val="none" w:sz="0" w:space="0" w:color="auto"/>
      </w:divBdr>
      <w:divsChild>
        <w:div w:id="379937203">
          <w:marLeft w:val="0"/>
          <w:marRight w:val="0"/>
          <w:marTop w:val="0"/>
          <w:marBottom w:val="0"/>
          <w:divBdr>
            <w:top w:val="none" w:sz="0" w:space="0" w:color="auto"/>
            <w:left w:val="none" w:sz="0" w:space="0" w:color="auto"/>
            <w:bottom w:val="none" w:sz="0" w:space="0" w:color="auto"/>
            <w:right w:val="none" w:sz="0" w:space="0" w:color="auto"/>
          </w:divBdr>
        </w:div>
        <w:div w:id="995916323">
          <w:marLeft w:val="0"/>
          <w:marRight w:val="0"/>
          <w:marTop w:val="0"/>
          <w:marBottom w:val="0"/>
          <w:divBdr>
            <w:top w:val="none" w:sz="0" w:space="0" w:color="auto"/>
            <w:left w:val="none" w:sz="0" w:space="0" w:color="auto"/>
            <w:bottom w:val="none" w:sz="0" w:space="0" w:color="auto"/>
            <w:right w:val="none" w:sz="0" w:space="0" w:color="auto"/>
          </w:divBdr>
        </w:div>
        <w:div w:id="766313081">
          <w:marLeft w:val="0"/>
          <w:marRight w:val="0"/>
          <w:marTop w:val="0"/>
          <w:marBottom w:val="0"/>
          <w:divBdr>
            <w:top w:val="none" w:sz="0" w:space="0" w:color="auto"/>
            <w:left w:val="none" w:sz="0" w:space="0" w:color="auto"/>
            <w:bottom w:val="none" w:sz="0" w:space="0" w:color="auto"/>
            <w:right w:val="none" w:sz="0" w:space="0" w:color="auto"/>
          </w:divBdr>
        </w:div>
      </w:divsChild>
    </w:div>
    <w:div w:id="168914112">
      <w:marLeft w:val="0"/>
      <w:marRight w:val="0"/>
      <w:marTop w:val="0"/>
      <w:marBottom w:val="240"/>
      <w:divBdr>
        <w:top w:val="none" w:sz="0" w:space="0" w:color="auto"/>
        <w:left w:val="none" w:sz="0" w:space="0" w:color="auto"/>
        <w:bottom w:val="none" w:sz="0" w:space="0" w:color="auto"/>
        <w:right w:val="none" w:sz="0" w:space="0" w:color="auto"/>
      </w:divBdr>
    </w:div>
    <w:div w:id="171380835">
      <w:marLeft w:val="0"/>
      <w:marRight w:val="0"/>
      <w:marTop w:val="0"/>
      <w:marBottom w:val="0"/>
      <w:divBdr>
        <w:top w:val="none" w:sz="0" w:space="0" w:color="auto"/>
        <w:left w:val="none" w:sz="0" w:space="0" w:color="auto"/>
        <w:bottom w:val="none" w:sz="0" w:space="0" w:color="auto"/>
        <w:right w:val="none" w:sz="0" w:space="0" w:color="auto"/>
      </w:divBdr>
      <w:divsChild>
        <w:div w:id="1104303153">
          <w:marLeft w:val="0"/>
          <w:marRight w:val="0"/>
          <w:marTop w:val="0"/>
          <w:marBottom w:val="0"/>
          <w:divBdr>
            <w:top w:val="none" w:sz="0" w:space="0" w:color="auto"/>
            <w:left w:val="none" w:sz="0" w:space="0" w:color="auto"/>
            <w:bottom w:val="none" w:sz="0" w:space="0" w:color="auto"/>
            <w:right w:val="none" w:sz="0" w:space="0" w:color="auto"/>
          </w:divBdr>
        </w:div>
      </w:divsChild>
    </w:div>
    <w:div w:id="171532739">
      <w:marLeft w:val="0"/>
      <w:marRight w:val="0"/>
      <w:marTop w:val="0"/>
      <w:marBottom w:val="240"/>
      <w:divBdr>
        <w:top w:val="none" w:sz="0" w:space="0" w:color="auto"/>
        <w:left w:val="none" w:sz="0" w:space="0" w:color="auto"/>
        <w:bottom w:val="none" w:sz="0" w:space="0" w:color="auto"/>
        <w:right w:val="none" w:sz="0" w:space="0" w:color="auto"/>
      </w:divBdr>
    </w:div>
    <w:div w:id="180320612">
      <w:marLeft w:val="0"/>
      <w:marRight w:val="0"/>
      <w:marTop w:val="0"/>
      <w:marBottom w:val="0"/>
      <w:divBdr>
        <w:top w:val="none" w:sz="0" w:space="0" w:color="auto"/>
        <w:left w:val="none" w:sz="0" w:space="0" w:color="auto"/>
        <w:bottom w:val="none" w:sz="0" w:space="0" w:color="auto"/>
        <w:right w:val="none" w:sz="0" w:space="0" w:color="auto"/>
      </w:divBdr>
      <w:divsChild>
        <w:div w:id="29454517">
          <w:marLeft w:val="0"/>
          <w:marRight w:val="0"/>
          <w:marTop w:val="0"/>
          <w:marBottom w:val="0"/>
          <w:divBdr>
            <w:top w:val="none" w:sz="0" w:space="0" w:color="auto"/>
            <w:left w:val="none" w:sz="0" w:space="0" w:color="auto"/>
            <w:bottom w:val="none" w:sz="0" w:space="0" w:color="auto"/>
            <w:right w:val="none" w:sz="0" w:space="0" w:color="auto"/>
          </w:divBdr>
        </w:div>
      </w:divsChild>
    </w:div>
    <w:div w:id="201947045">
      <w:marLeft w:val="0"/>
      <w:marRight w:val="0"/>
      <w:marTop w:val="240"/>
      <w:marBottom w:val="240"/>
      <w:divBdr>
        <w:top w:val="none" w:sz="0" w:space="0" w:color="auto"/>
        <w:left w:val="none" w:sz="0" w:space="0" w:color="auto"/>
        <w:bottom w:val="none" w:sz="0" w:space="0" w:color="auto"/>
        <w:right w:val="none" w:sz="0" w:space="0" w:color="auto"/>
      </w:divBdr>
    </w:div>
    <w:div w:id="205072737">
      <w:marLeft w:val="0"/>
      <w:marRight w:val="0"/>
      <w:marTop w:val="0"/>
      <w:marBottom w:val="240"/>
      <w:divBdr>
        <w:top w:val="none" w:sz="0" w:space="0" w:color="auto"/>
        <w:left w:val="none" w:sz="0" w:space="0" w:color="auto"/>
        <w:bottom w:val="none" w:sz="0" w:space="0" w:color="auto"/>
        <w:right w:val="none" w:sz="0" w:space="0" w:color="auto"/>
      </w:divBdr>
    </w:div>
    <w:div w:id="205529057">
      <w:marLeft w:val="0"/>
      <w:marRight w:val="0"/>
      <w:marTop w:val="0"/>
      <w:marBottom w:val="240"/>
      <w:divBdr>
        <w:top w:val="none" w:sz="0" w:space="0" w:color="auto"/>
        <w:left w:val="none" w:sz="0" w:space="0" w:color="auto"/>
        <w:bottom w:val="none" w:sz="0" w:space="0" w:color="auto"/>
        <w:right w:val="none" w:sz="0" w:space="0" w:color="auto"/>
      </w:divBdr>
    </w:div>
    <w:div w:id="206914051">
      <w:marLeft w:val="0"/>
      <w:marRight w:val="0"/>
      <w:marTop w:val="0"/>
      <w:marBottom w:val="240"/>
      <w:divBdr>
        <w:top w:val="none" w:sz="0" w:space="0" w:color="auto"/>
        <w:left w:val="none" w:sz="0" w:space="0" w:color="auto"/>
        <w:bottom w:val="none" w:sz="0" w:space="0" w:color="auto"/>
        <w:right w:val="none" w:sz="0" w:space="0" w:color="auto"/>
      </w:divBdr>
    </w:div>
    <w:div w:id="211381141">
      <w:marLeft w:val="0"/>
      <w:marRight w:val="0"/>
      <w:marTop w:val="0"/>
      <w:marBottom w:val="120"/>
      <w:divBdr>
        <w:top w:val="none" w:sz="0" w:space="0" w:color="auto"/>
        <w:left w:val="none" w:sz="0" w:space="0" w:color="auto"/>
        <w:bottom w:val="none" w:sz="0" w:space="0" w:color="auto"/>
        <w:right w:val="none" w:sz="0" w:space="0" w:color="auto"/>
      </w:divBdr>
    </w:div>
    <w:div w:id="212885069">
      <w:marLeft w:val="0"/>
      <w:marRight w:val="0"/>
      <w:marTop w:val="0"/>
      <w:marBottom w:val="240"/>
      <w:divBdr>
        <w:top w:val="none" w:sz="0" w:space="0" w:color="auto"/>
        <w:left w:val="none" w:sz="0" w:space="0" w:color="auto"/>
        <w:bottom w:val="none" w:sz="0" w:space="0" w:color="auto"/>
        <w:right w:val="none" w:sz="0" w:space="0" w:color="auto"/>
      </w:divBdr>
    </w:div>
    <w:div w:id="219944299">
      <w:marLeft w:val="0"/>
      <w:marRight w:val="0"/>
      <w:marTop w:val="0"/>
      <w:marBottom w:val="0"/>
      <w:divBdr>
        <w:top w:val="none" w:sz="0" w:space="0" w:color="auto"/>
        <w:left w:val="none" w:sz="0" w:space="0" w:color="auto"/>
        <w:bottom w:val="none" w:sz="0" w:space="0" w:color="auto"/>
        <w:right w:val="none" w:sz="0" w:space="0" w:color="auto"/>
      </w:divBdr>
      <w:divsChild>
        <w:div w:id="734816410">
          <w:marLeft w:val="0"/>
          <w:marRight w:val="0"/>
          <w:marTop w:val="0"/>
          <w:marBottom w:val="0"/>
          <w:divBdr>
            <w:top w:val="none" w:sz="0" w:space="0" w:color="auto"/>
            <w:left w:val="none" w:sz="0" w:space="0" w:color="auto"/>
            <w:bottom w:val="none" w:sz="0" w:space="0" w:color="auto"/>
            <w:right w:val="none" w:sz="0" w:space="0" w:color="auto"/>
          </w:divBdr>
        </w:div>
      </w:divsChild>
    </w:div>
    <w:div w:id="229778613">
      <w:marLeft w:val="0"/>
      <w:marRight w:val="0"/>
      <w:marTop w:val="120"/>
      <w:marBottom w:val="0"/>
      <w:divBdr>
        <w:top w:val="none" w:sz="0" w:space="0" w:color="auto"/>
        <w:left w:val="none" w:sz="0" w:space="0" w:color="auto"/>
        <w:bottom w:val="none" w:sz="0" w:space="0" w:color="auto"/>
        <w:right w:val="none" w:sz="0" w:space="0" w:color="auto"/>
      </w:divBdr>
    </w:div>
    <w:div w:id="236593979">
      <w:marLeft w:val="0"/>
      <w:marRight w:val="0"/>
      <w:marTop w:val="0"/>
      <w:marBottom w:val="240"/>
      <w:divBdr>
        <w:top w:val="none" w:sz="0" w:space="0" w:color="auto"/>
        <w:left w:val="none" w:sz="0" w:space="0" w:color="auto"/>
        <w:bottom w:val="none" w:sz="0" w:space="0" w:color="auto"/>
        <w:right w:val="none" w:sz="0" w:space="0" w:color="auto"/>
      </w:divBdr>
    </w:div>
    <w:div w:id="240985601">
      <w:marLeft w:val="0"/>
      <w:marRight w:val="0"/>
      <w:marTop w:val="0"/>
      <w:marBottom w:val="240"/>
      <w:divBdr>
        <w:top w:val="none" w:sz="0" w:space="0" w:color="auto"/>
        <w:left w:val="none" w:sz="0" w:space="0" w:color="auto"/>
        <w:bottom w:val="none" w:sz="0" w:space="0" w:color="auto"/>
        <w:right w:val="none" w:sz="0" w:space="0" w:color="auto"/>
      </w:divBdr>
    </w:div>
    <w:div w:id="254436630">
      <w:marLeft w:val="0"/>
      <w:marRight w:val="0"/>
      <w:marTop w:val="0"/>
      <w:marBottom w:val="240"/>
      <w:divBdr>
        <w:top w:val="none" w:sz="0" w:space="0" w:color="auto"/>
        <w:left w:val="none" w:sz="0" w:space="0" w:color="auto"/>
        <w:bottom w:val="none" w:sz="0" w:space="0" w:color="auto"/>
        <w:right w:val="none" w:sz="0" w:space="0" w:color="auto"/>
      </w:divBdr>
    </w:div>
    <w:div w:id="257829125">
      <w:marLeft w:val="0"/>
      <w:marRight w:val="0"/>
      <w:marTop w:val="0"/>
      <w:marBottom w:val="240"/>
      <w:divBdr>
        <w:top w:val="none" w:sz="0" w:space="0" w:color="auto"/>
        <w:left w:val="none" w:sz="0" w:space="0" w:color="auto"/>
        <w:bottom w:val="none" w:sz="0" w:space="0" w:color="auto"/>
        <w:right w:val="none" w:sz="0" w:space="0" w:color="auto"/>
      </w:divBdr>
    </w:div>
    <w:div w:id="259291734">
      <w:marLeft w:val="0"/>
      <w:marRight w:val="0"/>
      <w:marTop w:val="0"/>
      <w:marBottom w:val="120"/>
      <w:divBdr>
        <w:top w:val="none" w:sz="0" w:space="0" w:color="auto"/>
        <w:left w:val="none" w:sz="0" w:space="0" w:color="auto"/>
        <w:bottom w:val="none" w:sz="0" w:space="0" w:color="auto"/>
        <w:right w:val="none" w:sz="0" w:space="0" w:color="auto"/>
      </w:divBdr>
    </w:div>
    <w:div w:id="263852072">
      <w:marLeft w:val="0"/>
      <w:marRight w:val="0"/>
      <w:marTop w:val="240"/>
      <w:marBottom w:val="240"/>
      <w:divBdr>
        <w:top w:val="none" w:sz="0" w:space="0" w:color="auto"/>
        <w:left w:val="none" w:sz="0" w:space="0" w:color="auto"/>
        <w:bottom w:val="none" w:sz="0" w:space="0" w:color="auto"/>
        <w:right w:val="none" w:sz="0" w:space="0" w:color="auto"/>
      </w:divBdr>
    </w:div>
    <w:div w:id="265385484">
      <w:marLeft w:val="0"/>
      <w:marRight w:val="0"/>
      <w:marTop w:val="0"/>
      <w:marBottom w:val="0"/>
      <w:divBdr>
        <w:top w:val="none" w:sz="0" w:space="0" w:color="auto"/>
        <w:left w:val="none" w:sz="0" w:space="0" w:color="auto"/>
        <w:bottom w:val="none" w:sz="0" w:space="0" w:color="auto"/>
        <w:right w:val="none" w:sz="0" w:space="0" w:color="auto"/>
      </w:divBdr>
      <w:divsChild>
        <w:div w:id="2120367562">
          <w:marLeft w:val="0"/>
          <w:marRight w:val="0"/>
          <w:marTop w:val="0"/>
          <w:marBottom w:val="0"/>
          <w:divBdr>
            <w:top w:val="none" w:sz="0" w:space="0" w:color="auto"/>
            <w:left w:val="none" w:sz="0" w:space="0" w:color="auto"/>
            <w:bottom w:val="none" w:sz="0" w:space="0" w:color="auto"/>
            <w:right w:val="none" w:sz="0" w:space="0" w:color="auto"/>
          </w:divBdr>
        </w:div>
      </w:divsChild>
    </w:div>
    <w:div w:id="266040982">
      <w:marLeft w:val="0"/>
      <w:marRight w:val="0"/>
      <w:marTop w:val="0"/>
      <w:marBottom w:val="120"/>
      <w:divBdr>
        <w:top w:val="none" w:sz="0" w:space="0" w:color="auto"/>
        <w:left w:val="none" w:sz="0" w:space="0" w:color="auto"/>
        <w:bottom w:val="none" w:sz="0" w:space="0" w:color="auto"/>
        <w:right w:val="none" w:sz="0" w:space="0" w:color="auto"/>
      </w:divBdr>
    </w:div>
    <w:div w:id="266543770">
      <w:marLeft w:val="0"/>
      <w:marRight w:val="0"/>
      <w:marTop w:val="0"/>
      <w:marBottom w:val="0"/>
      <w:divBdr>
        <w:top w:val="none" w:sz="0" w:space="0" w:color="auto"/>
        <w:left w:val="none" w:sz="0" w:space="0" w:color="auto"/>
        <w:bottom w:val="none" w:sz="0" w:space="0" w:color="auto"/>
        <w:right w:val="none" w:sz="0" w:space="0" w:color="auto"/>
      </w:divBdr>
      <w:divsChild>
        <w:div w:id="1819572600">
          <w:marLeft w:val="0"/>
          <w:marRight w:val="0"/>
          <w:marTop w:val="0"/>
          <w:marBottom w:val="0"/>
          <w:divBdr>
            <w:top w:val="none" w:sz="0" w:space="0" w:color="auto"/>
            <w:left w:val="none" w:sz="0" w:space="0" w:color="auto"/>
            <w:bottom w:val="none" w:sz="0" w:space="0" w:color="auto"/>
            <w:right w:val="none" w:sz="0" w:space="0" w:color="auto"/>
          </w:divBdr>
        </w:div>
      </w:divsChild>
    </w:div>
    <w:div w:id="268238894">
      <w:marLeft w:val="0"/>
      <w:marRight w:val="0"/>
      <w:marTop w:val="240"/>
      <w:marBottom w:val="240"/>
      <w:divBdr>
        <w:top w:val="none" w:sz="0" w:space="0" w:color="auto"/>
        <w:left w:val="none" w:sz="0" w:space="0" w:color="auto"/>
        <w:bottom w:val="none" w:sz="0" w:space="0" w:color="auto"/>
        <w:right w:val="none" w:sz="0" w:space="0" w:color="auto"/>
      </w:divBdr>
    </w:div>
    <w:div w:id="275066159">
      <w:marLeft w:val="0"/>
      <w:marRight w:val="0"/>
      <w:marTop w:val="0"/>
      <w:marBottom w:val="240"/>
      <w:divBdr>
        <w:top w:val="none" w:sz="0" w:space="0" w:color="auto"/>
        <w:left w:val="none" w:sz="0" w:space="0" w:color="auto"/>
        <w:bottom w:val="none" w:sz="0" w:space="0" w:color="auto"/>
        <w:right w:val="none" w:sz="0" w:space="0" w:color="auto"/>
      </w:divBdr>
    </w:div>
    <w:div w:id="277415531">
      <w:marLeft w:val="0"/>
      <w:marRight w:val="0"/>
      <w:marTop w:val="0"/>
      <w:marBottom w:val="0"/>
      <w:divBdr>
        <w:top w:val="none" w:sz="0" w:space="0" w:color="auto"/>
        <w:left w:val="none" w:sz="0" w:space="0" w:color="auto"/>
        <w:bottom w:val="none" w:sz="0" w:space="0" w:color="auto"/>
        <w:right w:val="none" w:sz="0" w:space="0" w:color="auto"/>
      </w:divBdr>
    </w:div>
    <w:div w:id="282269706">
      <w:marLeft w:val="0"/>
      <w:marRight w:val="0"/>
      <w:marTop w:val="0"/>
      <w:marBottom w:val="0"/>
      <w:divBdr>
        <w:top w:val="none" w:sz="0" w:space="0" w:color="auto"/>
        <w:left w:val="none" w:sz="0" w:space="0" w:color="auto"/>
        <w:bottom w:val="none" w:sz="0" w:space="0" w:color="auto"/>
        <w:right w:val="none" w:sz="0" w:space="0" w:color="auto"/>
      </w:divBdr>
      <w:divsChild>
        <w:div w:id="1123353914">
          <w:marLeft w:val="0"/>
          <w:marRight w:val="0"/>
          <w:marTop w:val="0"/>
          <w:marBottom w:val="0"/>
          <w:divBdr>
            <w:top w:val="none" w:sz="0" w:space="0" w:color="auto"/>
            <w:left w:val="none" w:sz="0" w:space="0" w:color="auto"/>
            <w:bottom w:val="none" w:sz="0" w:space="0" w:color="auto"/>
            <w:right w:val="none" w:sz="0" w:space="0" w:color="auto"/>
          </w:divBdr>
        </w:div>
      </w:divsChild>
    </w:div>
    <w:div w:id="285088793">
      <w:marLeft w:val="0"/>
      <w:marRight w:val="0"/>
      <w:marTop w:val="0"/>
      <w:marBottom w:val="0"/>
      <w:divBdr>
        <w:top w:val="none" w:sz="0" w:space="0" w:color="auto"/>
        <w:left w:val="none" w:sz="0" w:space="0" w:color="auto"/>
        <w:bottom w:val="none" w:sz="0" w:space="0" w:color="auto"/>
        <w:right w:val="none" w:sz="0" w:space="0" w:color="auto"/>
      </w:divBdr>
    </w:div>
    <w:div w:id="288585926">
      <w:marLeft w:val="0"/>
      <w:marRight w:val="0"/>
      <w:marTop w:val="0"/>
      <w:marBottom w:val="120"/>
      <w:divBdr>
        <w:top w:val="none" w:sz="0" w:space="0" w:color="auto"/>
        <w:left w:val="none" w:sz="0" w:space="0" w:color="auto"/>
        <w:bottom w:val="none" w:sz="0" w:space="0" w:color="auto"/>
        <w:right w:val="none" w:sz="0" w:space="0" w:color="auto"/>
      </w:divBdr>
    </w:div>
    <w:div w:id="296183106">
      <w:marLeft w:val="0"/>
      <w:marRight w:val="0"/>
      <w:marTop w:val="0"/>
      <w:marBottom w:val="0"/>
      <w:divBdr>
        <w:top w:val="none" w:sz="0" w:space="0" w:color="auto"/>
        <w:left w:val="none" w:sz="0" w:space="0" w:color="auto"/>
        <w:bottom w:val="none" w:sz="0" w:space="0" w:color="auto"/>
        <w:right w:val="none" w:sz="0" w:space="0" w:color="auto"/>
      </w:divBdr>
      <w:divsChild>
        <w:div w:id="496001481">
          <w:marLeft w:val="0"/>
          <w:marRight w:val="0"/>
          <w:marTop w:val="0"/>
          <w:marBottom w:val="0"/>
          <w:divBdr>
            <w:top w:val="none" w:sz="0" w:space="0" w:color="auto"/>
            <w:left w:val="none" w:sz="0" w:space="0" w:color="auto"/>
            <w:bottom w:val="none" w:sz="0" w:space="0" w:color="auto"/>
            <w:right w:val="none" w:sz="0" w:space="0" w:color="auto"/>
          </w:divBdr>
        </w:div>
      </w:divsChild>
    </w:div>
    <w:div w:id="315383285">
      <w:marLeft w:val="0"/>
      <w:marRight w:val="0"/>
      <w:marTop w:val="240"/>
      <w:marBottom w:val="240"/>
      <w:divBdr>
        <w:top w:val="none" w:sz="0" w:space="0" w:color="auto"/>
        <w:left w:val="none" w:sz="0" w:space="0" w:color="auto"/>
        <w:bottom w:val="none" w:sz="0" w:space="0" w:color="auto"/>
        <w:right w:val="none" w:sz="0" w:space="0" w:color="auto"/>
      </w:divBdr>
    </w:div>
    <w:div w:id="317537217">
      <w:marLeft w:val="0"/>
      <w:marRight w:val="0"/>
      <w:marTop w:val="0"/>
      <w:marBottom w:val="0"/>
      <w:divBdr>
        <w:top w:val="none" w:sz="0" w:space="0" w:color="auto"/>
        <w:left w:val="none" w:sz="0" w:space="0" w:color="auto"/>
        <w:bottom w:val="none" w:sz="0" w:space="0" w:color="auto"/>
        <w:right w:val="none" w:sz="0" w:space="0" w:color="auto"/>
      </w:divBdr>
    </w:div>
    <w:div w:id="318114307">
      <w:marLeft w:val="0"/>
      <w:marRight w:val="0"/>
      <w:marTop w:val="0"/>
      <w:marBottom w:val="240"/>
      <w:divBdr>
        <w:top w:val="none" w:sz="0" w:space="0" w:color="auto"/>
        <w:left w:val="none" w:sz="0" w:space="0" w:color="auto"/>
        <w:bottom w:val="none" w:sz="0" w:space="0" w:color="auto"/>
        <w:right w:val="none" w:sz="0" w:space="0" w:color="auto"/>
      </w:divBdr>
    </w:div>
    <w:div w:id="319117535">
      <w:marLeft w:val="0"/>
      <w:marRight w:val="0"/>
      <w:marTop w:val="0"/>
      <w:marBottom w:val="0"/>
      <w:divBdr>
        <w:top w:val="none" w:sz="0" w:space="0" w:color="auto"/>
        <w:left w:val="none" w:sz="0" w:space="0" w:color="auto"/>
        <w:bottom w:val="none" w:sz="0" w:space="0" w:color="auto"/>
        <w:right w:val="none" w:sz="0" w:space="0" w:color="auto"/>
      </w:divBdr>
    </w:div>
    <w:div w:id="319388292">
      <w:marLeft w:val="0"/>
      <w:marRight w:val="0"/>
      <w:marTop w:val="0"/>
      <w:marBottom w:val="0"/>
      <w:divBdr>
        <w:top w:val="none" w:sz="0" w:space="0" w:color="auto"/>
        <w:left w:val="none" w:sz="0" w:space="0" w:color="auto"/>
        <w:bottom w:val="none" w:sz="0" w:space="0" w:color="auto"/>
        <w:right w:val="none" w:sz="0" w:space="0" w:color="auto"/>
      </w:divBdr>
      <w:divsChild>
        <w:div w:id="997073482">
          <w:marLeft w:val="0"/>
          <w:marRight w:val="0"/>
          <w:marTop w:val="0"/>
          <w:marBottom w:val="0"/>
          <w:divBdr>
            <w:top w:val="none" w:sz="0" w:space="0" w:color="auto"/>
            <w:left w:val="none" w:sz="0" w:space="0" w:color="auto"/>
            <w:bottom w:val="none" w:sz="0" w:space="0" w:color="auto"/>
            <w:right w:val="none" w:sz="0" w:space="0" w:color="auto"/>
          </w:divBdr>
        </w:div>
      </w:divsChild>
    </w:div>
    <w:div w:id="320357472">
      <w:marLeft w:val="0"/>
      <w:marRight w:val="0"/>
      <w:marTop w:val="0"/>
      <w:marBottom w:val="240"/>
      <w:divBdr>
        <w:top w:val="none" w:sz="0" w:space="0" w:color="auto"/>
        <w:left w:val="none" w:sz="0" w:space="0" w:color="auto"/>
        <w:bottom w:val="none" w:sz="0" w:space="0" w:color="auto"/>
        <w:right w:val="none" w:sz="0" w:space="0" w:color="auto"/>
      </w:divBdr>
    </w:div>
    <w:div w:id="320885988">
      <w:marLeft w:val="0"/>
      <w:marRight w:val="0"/>
      <w:marTop w:val="0"/>
      <w:marBottom w:val="0"/>
      <w:divBdr>
        <w:top w:val="none" w:sz="0" w:space="0" w:color="auto"/>
        <w:left w:val="none" w:sz="0" w:space="0" w:color="auto"/>
        <w:bottom w:val="none" w:sz="0" w:space="0" w:color="auto"/>
        <w:right w:val="none" w:sz="0" w:space="0" w:color="auto"/>
      </w:divBdr>
      <w:divsChild>
        <w:div w:id="2110658112">
          <w:marLeft w:val="0"/>
          <w:marRight w:val="0"/>
          <w:marTop w:val="0"/>
          <w:marBottom w:val="0"/>
          <w:divBdr>
            <w:top w:val="none" w:sz="0" w:space="0" w:color="auto"/>
            <w:left w:val="none" w:sz="0" w:space="0" w:color="auto"/>
            <w:bottom w:val="none" w:sz="0" w:space="0" w:color="auto"/>
            <w:right w:val="none" w:sz="0" w:space="0" w:color="auto"/>
          </w:divBdr>
        </w:div>
      </w:divsChild>
    </w:div>
    <w:div w:id="329329623">
      <w:marLeft w:val="0"/>
      <w:marRight w:val="0"/>
      <w:marTop w:val="0"/>
      <w:marBottom w:val="0"/>
      <w:divBdr>
        <w:top w:val="none" w:sz="0" w:space="0" w:color="auto"/>
        <w:left w:val="none" w:sz="0" w:space="0" w:color="auto"/>
        <w:bottom w:val="none" w:sz="0" w:space="0" w:color="auto"/>
        <w:right w:val="none" w:sz="0" w:space="0" w:color="auto"/>
      </w:divBdr>
    </w:div>
    <w:div w:id="331882576">
      <w:marLeft w:val="0"/>
      <w:marRight w:val="0"/>
      <w:marTop w:val="0"/>
      <w:marBottom w:val="240"/>
      <w:divBdr>
        <w:top w:val="none" w:sz="0" w:space="0" w:color="auto"/>
        <w:left w:val="none" w:sz="0" w:space="0" w:color="auto"/>
        <w:bottom w:val="none" w:sz="0" w:space="0" w:color="auto"/>
        <w:right w:val="none" w:sz="0" w:space="0" w:color="auto"/>
      </w:divBdr>
    </w:div>
    <w:div w:id="336811806">
      <w:marLeft w:val="0"/>
      <w:marRight w:val="0"/>
      <w:marTop w:val="0"/>
      <w:marBottom w:val="240"/>
      <w:divBdr>
        <w:top w:val="none" w:sz="0" w:space="0" w:color="auto"/>
        <w:left w:val="none" w:sz="0" w:space="0" w:color="auto"/>
        <w:bottom w:val="none" w:sz="0" w:space="0" w:color="auto"/>
        <w:right w:val="none" w:sz="0" w:space="0" w:color="auto"/>
      </w:divBdr>
    </w:div>
    <w:div w:id="355892324">
      <w:marLeft w:val="0"/>
      <w:marRight w:val="0"/>
      <w:marTop w:val="0"/>
      <w:marBottom w:val="240"/>
      <w:divBdr>
        <w:top w:val="none" w:sz="0" w:space="0" w:color="auto"/>
        <w:left w:val="none" w:sz="0" w:space="0" w:color="auto"/>
        <w:bottom w:val="none" w:sz="0" w:space="0" w:color="auto"/>
        <w:right w:val="none" w:sz="0" w:space="0" w:color="auto"/>
      </w:divBdr>
    </w:div>
    <w:div w:id="356740748">
      <w:marLeft w:val="0"/>
      <w:marRight w:val="0"/>
      <w:marTop w:val="0"/>
      <w:marBottom w:val="0"/>
      <w:divBdr>
        <w:top w:val="none" w:sz="0" w:space="0" w:color="auto"/>
        <w:left w:val="none" w:sz="0" w:space="0" w:color="auto"/>
        <w:bottom w:val="none" w:sz="0" w:space="0" w:color="auto"/>
        <w:right w:val="none" w:sz="0" w:space="0" w:color="auto"/>
      </w:divBdr>
    </w:div>
    <w:div w:id="359401165">
      <w:marLeft w:val="0"/>
      <w:marRight w:val="0"/>
      <w:marTop w:val="0"/>
      <w:marBottom w:val="0"/>
      <w:divBdr>
        <w:top w:val="none" w:sz="0" w:space="0" w:color="auto"/>
        <w:left w:val="none" w:sz="0" w:space="0" w:color="auto"/>
        <w:bottom w:val="none" w:sz="0" w:space="0" w:color="auto"/>
        <w:right w:val="none" w:sz="0" w:space="0" w:color="auto"/>
      </w:divBdr>
      <w:divsChild>
        <w:div w:id="2022387863">
          <w:marLeft w:val="0"/>
          <w:marRight w:val="0"/>
          <w:marTop w:val="0"/>
          <w:marBottom w:val="0"/>
          <w:divBdr>
            <w:top w:val="none" w:sz="0" w:space="0" w:color="auto"/>
            <w:left w:val="none" w:sz="0" w:space="0" w:color="auto"/>
            <w:bottom w:val="none" w:sz="0" w:space="0" w:color="auto"/>
            <w:right w:val="none" w:sz="0" w:space="0" w:color="auto"/>
          </w:divBdr>
        </w:div>
      </w:divsChild>
    </w:div>
    <w:div w:id="360711147">
      <w:marLeft w:val="0"/>
      <w:marRight w:val="0"/>
      <w:marTop w:val="0"/>
      <w:marBottom w:val="0"/>
      <w:divBdr>
        <w:top w:val="none" w:sz="0" w:space="0" w:color="auto"/>
        <w:left w:val="none" w:sz="0" w:space="0" w:color="auto"/>
        <w:bottom w:val="none" w:sz="0" w:space="0" w:color="auto"/>
        <w:right w:val="none" w:sz="0" w:space="0" w:color="auto"/>
      </w:divBdr>
    </w:div>
    <w:div w:id="368381975">
      <w:marLeft w:val="0"/>
      <w:marRight w:val="0"/>
      <w:marTop w:val="0"/>
      <w:marBottom w:val="0"/>
      <w:divBdr>
        <w:top w:val="none" w:sz="0" w:space="0" w:color="auto"/>
        <w:left w:val="none" w:sz="0" w:space="0" w:color="auto"/>
        <w:bottom w:val="none" w:sz="0" w:space="0" w:color="auto"/>
        <w:right w:val="none" w:sz="0" w:space="0" w:color="auto"/>
      </w:divBdr>
    </w:div>
    <w:div w:id="369115242">
      <w:marLeft w:val="0"/>
      <w:marRight w:val="0"/>
      <w:marTop w:val="120"/>
      <w:marBottom w:val="240"/>
      <w:divBdr>
        <w:top w:val="none" w:sz="0" w:space="0" w:color="auto"/>
        <w:left w:val="none" w:sz="0" w:space="0" w:color="auto"/>
        <w:bottom w:val="none" w:sz="0" w:space="0" w:color="auto"/>
        <w:right w:val="none" w:sz="0" w:space="0" w:color="auto"/>
      </w:divBdr>
    </w:div>
    <w:div w:id="371467241">
      <w:marLeft w:val="0"/>
      <w:marRight w:val="0"/>
      <w:marTop w:val="0"/>
      <w:marBottom w:val="200"/>
      <w:divBdr>
        <w:top w:val="none" w:sz="0" w:space="0" w:color="auto"/>
        <w:left w:val="none" w:sz="0" w:space="0" w:color="auto"/>
        <w:bottom w:val="none" w:sz="0" w:space="0" w:color="auto"/>
        <w:right w:val="none" w:sz="0" w:space="0" w:color="auto"/>
      </w:divBdr>
    </w:div>
    <w:div w:id="376661434">
      <w:marLeft w:val="0"/>
      <w:marRight w:val="0"/>
      <w:marTop w:val="0"/>
      <w:marBottom w:val="240"/>
      <w:divBdr>
        <w:top w:val="none" w:sz="0" w:space="0" w:color="auto"/>
        <w:left w:val="none" w:sz="0" w:space="0" w:color="auto"/>
        <w:bottom w:val="none" w:sz="0" w:space="0" w:color="auto"/>
        <w:right w:val="none" w:sz="0" w:space="0" w:color="auto"/>
      </w:divBdr>
    </w:div>
    <w:div w:id="378089200">
      <w:marLeft w:val="0"/>
      <w:marRight w:val="0"/>
      <w:marTop w:val="0"/>
      <w:marBottom w:val="120"/>
      <w:divBdr>
        <w:top w:val="none" w:sz="0" w:space="0" w:color="auto"/>
        <w:left w:val="none" w:sz="0" w:space="0" w:color="auto"/>
        <w:bottom w:val="none" w:sz="0" w:space="0" w:color="auto"/>
        <w:right w:val="none" w:sz="0" w:space="0" w:color="auto"/>
      </w:divBdr>
    </w:div>
    <w:div w:id="378239366">
      <w:marLeft w:val="0"/>
      <w:marRight w:val="0"/>
      <w:marTop w:val="0"/>
      <w:marBottom w:val="240"/>
      <w:divBdr>
        <w:top w:val="none" w:sz="0" w:space="0" w:color="auto"/>
        <w:left w:val="none" w:sz="0" w:space="0" w:color="auto"/>
        <w:bottom w:val="none" w:sz="0" w:space="0" w:color="auto"/>
        <w:right w:val="none" w:sz="0" w:space="0" w:color="auto"/>
      </w:divBdr>
    </w:div>
    <w:div w:id="383020990">
      <w:marLeft w:val="0"/>
      <w:marRight w:val="0"/>
      <w:marTop w:val="240"/>
      <w:marBottom w:val="0"/>
      <w:divBdr>
        <w:top w:val="none" w:sz="0" w:space="0" w:color="auto"/>
        <w:left w:val="none" w:sz="0" w:space="0" w:color="auto"/>
        <w:bottom w:val="none" w:sz="0" w:space="0" w:color="auto"/>
        <w:right w:val="none" w:sz="0" w:space="0" w:color="auto"/>
      </w:divBdr>
      <w:divsChild>
        <w:div w:id="300506599">
          <w:marLeft w:val="0"/>
          <w:marRight w:val="0"/>
          <w:marTop w:val="0"/>
          <w:marBottom w:val="0"/>
          <w:divBdr>
            <w:top w:val="none" w:sz="0" w:space="0" w:color="auto"/>
            <w:left w:val="none" w:sz="0" w:space="0" w:color="auto"/>
            <w:bottom w:val="none" w:sz="0" w:space="0" w:color="auto"/>
            <w:right w:val="none" w:sz="0" w:space="0" w:color="auto"/>
          </w:divBdr>
        </w:div>
        <w:div w:id="343098111">
          <w:marLeft w:val="0"/>
          <w:marRight w:val="0"/>
          <w:marTop w:val="0"/>
          <w:marBottom w:val="0"/>
          <w:divBdr>
            <w:top w:val="none" w:sz="0" w:space="0" w:color="auto"/>
            <w:left w:val="none" w:sz="0" w:space="0" w:color="auto"/>
            <w:bottom w:val="none" w:sz="0" w:space="0" w:color="auto"/>
            <w:right w:val="none" w:sz="0" w:space="0" w:color="auto"/>
          </w:divBdr>
        </w:div>
        <w:div w:id="1428650910">
          <w:marLeft w:val="0"/>
          <w:marRight w:val="0"/>
          <w:marTop w:val="0"/>
          <w:marBottom w:val="0"/>
          <w:divBdr>
            <w:top w:val="none" w:sz="0" w:space="0" w:color="auto"/>
            <w:left w:val="none" w:sz="0" w:space="0" w:color="auto"/>
            <w:bottom w:val="none" w:sz="0" w:space="0" w:color="auto"/>
            <w:right w:val="none" w:sz="0" w:space="0" w:color="auto"/>
          </w:divBdr>
        </w:div>
        <w:div w:id="261105589">
          <w:marLeft w:val="0"/>
          <w:marRight w:val="0"/>
          <w:marTop w:val="0"/>
          <w:marBottom w:val="0"/>
          <w:divBdr>
            <w:top w:val="none" w:sz="0" w:space="0" w:color="auto"/>
            <w:left w:val="none" w:sz="0" w:space="0" w:color="auto"/>
            <w:bottom w:val="none" w:sz="0" w:space="0" w:color="auto"/>
            <w:right w:val="none" w:sz="0" w:space="0" w:color="auto"/>
          </w:divBdr>
        </w:div>
        <w:div w:id="1340500362">
          <w:marLeft w:val="0"/>
          <w:marRight w:val="0"/>
          <w:marTop w:val="0"/>
          <w:marBottom w:val="0"/>
          <w:divBdr>
            <w:top w:val="none" w:sz="0" w:space="0" w:color="auto"/>
            <w:left w:val="none" w:sz="0" w:space="0" w:color="auto"/>
            <w:bottom w:val="none" w:sz="0" w:space="0" w:color="auto"/>
            <w:right w:val="none" w:sz="0" w:space="0" w:color="auto"/>
          </w:divBdr>
        </w:div>
        <w:div w:id="24719270">
          <w:marLeft w:val="0"/>
          <w:marRight w:val="0"/>
          <w:marTop w:val="0"/>
          <w:marBottom w:val="0"/>
          <w:divBdr>
            <w:top w:val="none" w:sz="0" w:space="0" w:color="auto"/>
            <w:left w:val="none" w:sz="0" w:space="0" w:color="auto"/>
            <w:bottom w:val="none" w:sz="0" w:space="0" w:color="auto"/>
            <w:right w:val="none" w:sz="0" w:space="0" w:color="auto"/>
          </w:divBdr>
        </w:div>
        <w:div w:id="2098283784">
          <w:marLeft w:val="0"/>
          <w:marRight w:val="0"/>
          <w:marTop w:val="0"/>
          <w:marBottom w:val="0"/>
          <w:divBdr>
            <w:top w:val="none" w:sz="0" w:space="0" w:color="auto"/>
            <w:left w:val="none" w:sz="0" w:space="0" w:color="auto"/>
            <w:bottom w:val="none" w:sz="0" w:space="0" w:color="auto"/>
            <w:right w:val="none" w:sz="0" w:space="0" w:color="auto"/>
          </w:divBdr>
        </w:div>
        <w:div w:id="1697539615">
          <w:marLeft w:val="0"/>
          <w:marRight w:val="0"/>
          <w:marTop w:val="0"/>
          <w:marBottom w:val="0"/>
          <w:divBdr>
            <w:top w:val="none" w:sz="0" w:space="0" w:color="auto"/>
            <w:left w:val="none" w:sz="0" w:space="0" w:color="auto"/>
            <w:bottom w:val="none" w:sz="0" w:space="0" w:color="auto"/>
            <w:right w:val="none" w:sz="0" w:space="0" w:color="auto"/>
          </w:divBdr>
        </w:div>
      </w:divsChild>
    </w:div>
    <w:div w:id="386026797">
      <w:marLeft w:val="0"/>
      <w:marRight w:val="0"/>
      <w:marTop w:val="120"/>
      <w:marBottom w:val="0"/>
      <w:divBdr>
        <w:top w:val="none" w:sz="0" w:space="0" w:color="auto"/>
        <w:left w:val="none" w:sz="0" w:space="0" w:color="auto"/>
        <w:bottom w:val="none" w:sz="0" w:space="0" w:color="auto"/>
        <w:right w:val="none" w:sz="0" w:space="0" w:color="auto"/>
      </w:divBdr>
    </w:div>
    <w:div w:id="386146260">
      <w:marLeft w:val="0"/>
      <w:marRight w:val="0"/>
      <w:marTop w:val="0"/>
      <w:marBottom w:val="0"/>
      <w:divBdr>
        <w:top w:val="none" w:sz="0" w:space="0" w:color="auto"/>
        <w:left w:val="none" w:sz="0" w:space="0" w:color="auto"/>
        <w:bottom w:val="none" w:sz="0" w:space="0" w:color="auto"/>
        <w:right w:val="none" w:sz="0" w:space="0" w:color="auto"/>
      </w:divBdr>
    </w:div>
    <w:div w:id="389616422">
      <w:marLeft w:val="0"/>
      <w:marRight w:val="0"/>
      <w:marTop w:val="0"/>
      <w:marBottom w:val="240"/>
      <w:divBdr>
        <w:top w:val="none" w:sz="0" w:space="0" w:color="auto"/>
        <w:left w:val="none" w:sz="0" w:space="0" w:color="auto"/>
        <w:bottom w:val="none" w:sz="0" w:space="0" w:color="auto"/>
        <w:right w:val="none" w:sz="0" w:space="0" w:color="auto"/>
      </w:divBdr>
    </w:div>
    <w:div w:id="391196005">
      <w:marLeft w:val="0"/>
      <w:marRight w:val="0"/>
      <w:marTop w:val="0"/>
      <w:marBottom w:val="0"/>
      <w:divBdr>
        <w:top w:val="none" w:sz="0" w:space="0" w:color="auto"/>
        <w:left w:val="none" w:sz="0" w:space="0" w:color="auto"/>
        <w:bottom w:val="none" w:sz="0" w:space="0" w:color="auto"/>
        <w:right w:val="none" w:sz="0" w:space="0" w:color="auto"/>
      </w:divBdr>
    </w:div>
    <w:div w:id="400831516">
      <w:marLeft w:val="0"/>
      <w:marRight w:val="0"/>
      <w:marTop w:val="0"/>
      <w:marBottom w:val="0"/>
      <w:divBdr>
        <w:top w:val="none" w:sz="0" w:space="0" w:color="auto"/>
        <w:left w:val="none" w:sz="0" w:space="0" w:color="auto"/>
        <w:bottom w:val="none" w:sz="0" w:space="0" w:color="auto"/>
        <w:right w:val="none" w:sz="0" w:space="0" w:color="auto"/>
      </w:divBdr>
      <w:divsChild>
        <w:div w:id="18043727">
          <w:marLeft w:val="0"/>
          <w:marRight w:val="0"/>
          <w:marTop w:val="0"/>
          <w:marBottom w:val="0"/>
          <w:divBdr>
            <w:top w:val="none" w:sz="0" w:space="0" w:color="auto"/>
            <w:left w:val="none" w:sz="0" w:space="0" w:color="auto"/>
            <w:bottom w:val="none" w:sz="0" w:space="0" w:color="auto"/>
            <w:right w:val="none" w:sz="0" w:space="0" w:color="auto"/>
          </w:divBdr>
        </w:div>
      </w:divsChild>
    </w:div>
    <w:div w:id="401410993">
      <w:marLeft w:val="0"/>
      <w:marRight w:val="0"/>
      <w:marTop w:val="0"/>
      <w:marBottom w:val="240"/>
      <w:divBdr>
        <w:top w:val="none" w:sz="0" w:space="0" w:color="auto"/>
        <w:left w:val="none" w:sz="0" w:space="0" w:color="auto"/>
        <w:bottom w:val="none" w:sz="0" w:space="0" w:color="auto"/>
        <w:right w:val="none" w:sz="0" w:space="0" w:color="auto"/>
      </w:divBdr>
    </w:div>
    <w:div w:id="402992883">
      <w:marLeft w:val="0"/>
      <w:marRight w:val="0"/>
      <w:marTop w:val="240"/>
      <w:marBottom w:val="240"/>
      <w:divBdr>
        <w:top w:val="none" w:sz="0" w:space="0" w:color="auto"/>
        <w:left w:val="none" w:sz="0" w:space="0" w:color="auto"/>
        <w:bottom w:val="none" w:sz="0" w:space="0" w:color="auto"/>
        <w:right w:val="none" w:sz="0" w:space="0" w:color="auto"/>
      </w:divBdr>
    </w:div>
    <w:div w:id="403256639">
      <w:marLeft w:val="0"/>
      <w:marRight w:val="0"/>
      <w:marTop w:val="0"/>
      <w:marBottom w:val="240"/>
      <w:divBdr>
        <w:top w:val="none" w:sz="0" w:space="0" w:color="auto"/>
        <w:left w:val="none" w:sz="0" w:space="0" w:color="auto"/>
        <w:bottom w:val="none" w:sz="0" w:space="0" w:color="auto"/>
        <w:right w:val="none" w:sz="0" w:space="0" w:color="auto"/>
      </w:divBdr>
    </w:div>
    <w:div w:id="404691561">
      <w:marLeft w:val="0"/>
      <w:marRight w:val="0"/>
      <w:marTop w:val="0"/>
      <w:marBottom w:val="180"/>
      <w:divBdr>
        <w:top w:val="none" w:sz="0" w:space="0" w:color="auto"/>
        <w:left w:val="none" w:sz="0" w:space="0" w:color="auto"/>
        <w:bottom w:val="none" w:sz="0" w:space="0" w:color="auto"/>
        <w:right w:val="none" w:sz="0" w:space="0" w:color="auto"/>
      </w:divBdr>
    </w:div>
    <w:div w:id="404765449">
      <w:marLeft w:val="0"/>
      <w:marRight w:val="0"/>
      <w:marTop w:val="0"/>
      <w:marBottom w:val="0"/>
      <w:divBdr>
        <w:top w:val="none" w:sz="0" w:space="0" w:color="auto"/>
        <w:left w:val="none" w:sz="0" w:space="0" w:color="auto"/>
        <w:bottom w:val="none" w:sz="0" w:space="0" w:color="auto"/>
        <w:right w:val="none" w:sz="0" w:space="0" w:color="auto"/>
      </w:divBdr>
      <w:divsChild>
        <w:div w:id="1073043226">
          <w:marLeft w:val="0"/>
          <w:marRight w:val="0"/>
          <w:marTop w:val="0"/>
          <w:marBottom w:val="0"/>
          <w:divBdr>
            <w:top w:val="none" w:sz="0" w:space="0" w:color="auto"/>
            <w:left w:val="none" w:sz="0" w:space="0" w:color="auto"/>
            <w:bottom w:val="none" w:sz="0" w:space="0" w:color="auto"/>
            <w:right w:val="none" w:sz="0" w:space="0" w:color="auto"/>
          </w:divBdr>
        </w:div>
      </w:divsChild>
    </w:div>
    <w:div w:id="408237620">
      <w:marLeft w:val="0"/>
      <w:marRight w:val="0"/>
      <w:marTop w:val="0"/>
      <w:marBottom w:val="240"/>
      <w:divBdr>
        <w:top w:val="none" w:sz="0" w:space="0" w:color="auto"/>
        <w:left w:val="none" w:sz="0" w:space="0" w:color="auto"/>
        <w:bottom w:val="none" w:sz="0" w:space="0" w:color="auto"/>
        <w:right w:val="none" w:sz="0" w:space="0" w:color="auto"/>
      </w:divBdr>
    </w:div>
    <w:div w:id="416828043">
      <w:marLeft w:val="0"/>
      <w:marRight w:val="0"/>
      <w:marTop w:val="0"/>
      <w:marBottom w:val="0"/>
      <w:divBdr>
        <w:top w:val="none" w:sz="0" w:space="0" w:color="auto"/>
        <w:left w:val="none" w:sz="0" w:space="0" w:color="auto"/>
        <w:bottom w:val="none" w:sz="0" w:space="0" w:color="auto"/>
        <w:right w:val="none" w:sz="0" w:space="0" w:color="auto"/>
      </w:divBdr>
    </w:div>
    <w:div w:id="420686157">
      <w:marLeft w:val="0"/>
      <w:marRight w:val="0"/>
      <w:marTop w:val="0"/>
      <w:marBottom w:val="0"/>
      <w:divBdr>
        <w:top w:val="none" w:sz="0" w:space="0" w:color="auto"/>
        <w:left w:val="none" w:sz="0" w:space="0" w:color="auto"/>
        <w:bottom w:val="none" w:sz="0" w:space="0" w:color="auto"/>
        <w:right w:val="none" w:sz="0" w:space="0" w:color="auto"/>
      </w:divBdr>
      <w:divsChild>
        <w:div w:id="26756385">
          <w:marLeft w:val="0"/>
          <w:marRight w:val="0"/>
          <w:marTop w:val="0"/>
          <w:marBottom w:val="0"/>
          <w:divBdr>
            <w:top w:val="none" w:sz="0" w:space="0" w:color="auto"/>
            <w:left w:val="none" w:sz="0" w:space="0" w:color="auto"/>
            <w:bottom w:val="none" w:sz="0" w:space="0" w:color="auto"/>
            <w:right w:val="none" w:sz="0" w:space="0" w:color="auto"/>
          </w:divBdr>
        </w:div>
      </w:divsChild>
    </w:div>
    <w:div w:id="422655180">
      <w:marLeft w:val="0"/>
      <w:marRight w:val="0"/>
      <w:marTop w:val="240"/>
      <w:marBottom w:val="240"/>
      <w:divBdr>
        <w:top w:val="none" w:sz="0" w:space="0" w:color="auto"/>
        <w:left w:val="none" w:sz="0" w:space="0" w:color="auto"/>
        <w:bottom w:val="none" w:sz="0" w:space="0" w:color="auto"/>
        <w:right w:val="none" w:sz="0" w:space="0" w:color="auto"/>
      </w:divBdr>
    </w:div>
    <w:div w:id="423457233">
      <w:marLeft w:val="0"/>
      <w:marRight w:val="0"/>
      <w:marTop w:val="0"/>
      <w:marBottom w:val="0"/>
      <w:divBdr>
        <w:top w:val="none" w:sz="0" w:space="0" w:color="auto"/>
        <w:left w:val="none" w:sz="0" w:space="0" w:color="auto"/>
        <w:bottom w:val="none" w:sz="0" w:space="0" w:color="auto"/>
        <w:right w:val="none" w:sz="0" w:space="0" w:color="auto"/>
      </w:divBdr>
      <w:divsChild>
        <w:div w:id="318266802">
          <w:marLeft w:val="0"/>
          <w:marRight w:val="0"/>
          <w:marTop w:val="0"/>
          <w:marBottom w:val="0"/>
          <w:divBdr>
            <w:top w:val="none" w:sz="0" w:space="0" w:color="auto"/>
            <w:left w:val="none" w:sz="0" w:space="0" w:color="auto"/>
            <w:bottom w:val="none" w:sz="0" w:space="0" w:color="auto"/>
            <w:right w:val="none" w:sz="0" w:space="0" w:color="auto"/>
          </w:divBdr>
        </w:div>
      </w:divsChild>
    </w:div>
    <w:div w:id="425350959">
      <w:marLeft w:val="0"/>
      <w:marRight w:val="0"/>
      <w:marTop w:val="0"/>
      <w:marBottom w:val="240"/>
      <w:divBdr>
        <w:top w:val="none" w:sz="0" w:space="0" w:color="auto"/>
        <w:left w:val="none" w:sz="0" w:space="0" w:color="auto"/>
        <w:bottom w:val="none" w:sz="0" w:space="0" w:color="auto"/>
        <w:right w:val="none" w:sz="0" w:space="0" w:color="auto"/>
      </w:divBdr>
    </w:div>
    <w:div w:id="426001740">
      <w:marLeft w:val="0"/>
      <w:marRight w:val="0"/>
      <w:marTop w:val="0"/>
      <w:marBottom w:val="0"/>
      <w:divBdr>
        <w:top w:val="none" w:sz="0" w:space="0" w:color="auto"/>
        <w:left w:val="none" w:sz="0" w:space="0" w:color="auto"/>
        <w:bottom w:val="none" w:sz="0" w:space="0" w:color="auto"/>
        <w:right w:val="none" w:sz="0" w:space="0" w:color="auto"/>
      </w:divBdr>
    </w:div>
    <w:div w:id="431512897">
      <w:marLeft w:val="0"/>
      <w:marRight w:val="0"/>
      <w:marTop w:val="0"/>
      <w:marBottom w:val="120"/>
      <w:divBdr>
        <w:top w:val="none" w:sz="0" w:space="0" w:color="auto"/>
        <w:left w:val="none" w:sz="0" w:space="0" w:color="auto"/>
        <w:bottom w:val="none" w:sz="0" w:space="0" w:color="auto"/>
        <w:right w:val="none" w:sz="0" w:space="0" w:color="auto"/>
      </w:divBdr>
    </w:div>
    <w:div w:id="444884234">
      <w:marLeft w:val="0"/>
      <w:marRight w:val="0"/>
      <w:marTop w:val="0"/>
      <w:marBottom w:val="120"/>
      <w:divBdr>
        <w:top w:val="none" w:sz="0" w:space="0" w:color="auto"/>
        <w:left w:val="none" w:sz="0" w:space="0" w:color="auto"/>
        <w:bottom w:val="none" w:sz="0" w:space="0" w:color="auto"/>
        <w:right w:val="none" w:sz="0" w:space="0" w:color="auto"/>
      </w:divBdr>
    </w:div>
    <w:div w:id="450561262">
      <w:marLeft w:val="0"/>
      <w:marRight w:val="0"/>
      <w:marTop w:val="0"/>
      <w:marBottom w:val="240"/>
      <w:divBdr>
        <w:top w:val="none" w:sz="0" w:space="0" w:color="auto"/>
        <w:left w:val="none" w:sz="0" w:space="0" w:color="auto"/>
        <w:bottom w:val="none" w:sz="0" w:space="0" w:color="auto"/>
        <w:right w:val="none" w:sz="0" w:space="0" w:color="auto"/>
      </w:divBdr>
    </w:div>
    <w:div w:id="460273998">
      <w:marLeft w:val="0"/>
      <w:marRight w:val="0"/>
      <w:marTop w:val="0"/>
      <w:marBottom w:val="120"/>
      <w:divBdr>
        <w:top w:val="none" w:sz="0" w:space="0" w:color="auto"/>
        <w:left w:val="none" w:sz="0" w:space="0" w:color="auto"/>
        <w:bottom w:val="none" w:sz="0" w:space="0" w:color="auto"/>
        <w:right w:val="none" w:sz="0" w:space="0" w:color="auto"/>
      </w:divBdr>
    </w:div>
    <w:div w:id="461851345">
      <w:marLeft w:val="0"/>
      <w:marRight w:val="0"/>
      <w:marTop w:val="120"/>
      <w:marBottom w:val="240"/>
      <w:divBdr>
        <w:top w:val="none" w:sz="0" w:space="0" w:color="auto"/>
        <w:left w:val="none" w:sz="0" w:space="0" w:color="auto"/>
        <w:bottom w:val="none" w:sz="0" w:space="0" w:color="auto"/>
        <w:right w:val="none" w:sz="0" w:space="0" w:color="auto"/>
      </w:divBdr>
    </w:div>
    <w:div w:id="465708533">
      <w:marLeft w:val="0"/>
      <w:marRight w:val="0"/>
      <w:marTop w:val="0"/>
      <w:marBottom w:val="0"/>
      <w:divBdr>
        <w:top w:val="none" w:sz="0" w:space="0" w:color="auto"/>
        <w:left w:val="none" w:sz="0" w:space="0" w:color="auto"/>
        <w:bottom w:val="none" w:sz="0" w:space="0" w:color="auto"/>
        <w:right w:val="none" w:sz="0" w:space="0" w:color="auto"/>
      </w:divBdr>
      <w:divsChild>
        <w:div w:id="1495682991">
          <w:marLeft w:val="0"/>
          <w:marRight w:val="0"/>
          <w:marTop w:val="0"/>
          <w:marBottom w:val="0"/>
          <w:divBdr>
            <w:top w:val="none" w:sz="0" w:space="0" w:color="auto"/>
            <w:left w:val="none" w:sz="0" w:space="0" w:color="auto"/>
            <w:bottom w:val="none" w:sz="0" w:space="0" w:color="auto"/>
            <w:right w:val="none" w:sz="0" w:space="0" w:color="auto"/>
          </w:divBdr>
        </w:div>
      </w:divsChild>
    </w:div>
    <w:div w:id="474224418">
      <w:marLeft w:val="0"/>
      <w:marRight w:val="0"/>
      <w:marTop w:val="0"/>
      <w:marBottom w:val="240"/>
      <w:divBdr>
        <w:top w:val="none" w:sz="0" w:space="0" w:color="auto"/>
        <w:left w:val="none" w:sz="0" w:space="0" w:color="auto"/>
        <w:bottom w:val="none" w:sz="0" w:space="0" w:color="auto"/>
        <w:right w:val="none" w:sz="0" w:space="0" w:color="auto"/>
      </w:divBdr>
    </w:div>
    <w:div w:id="482307943">
      <w:marLeft w:val="0"/>
      <w:marRight w:val="0"/>
      <w:marTop w:val="0"/>
      <w:marBottom w:val="0"/>
      <w:divBdr>
        <w:top w:val="none" w:sz="0" w:space="0" w:color="auto"/>
        <w:left w:val="none" w:sz="0" w:space="0" w:color="auto"/>
        <w:bottom w:val="none" w:sz="0" w:space="0" w:color="auto"/>
        <w:right w:val="none" w:sz="0" w:space="0" w:color="auto"/>
      </w:divBdr>
    </w:div>
    <w:div w:id="486483667">
      <w:marLeft w:val="0"/>
      <w:marRight w:val="0"/>
      <w:marTop w:val="0"/>
      <w:marBottom w:val="240"/>
      <w:divBdr>
        <w:top w:val="none" w:sz="0" w:space="0" w:color="auto"/>
        <w:left w:val="none" w:sz="0" w:space="0" w:color="auto"/>
        <w:bottom w:val="none" w:sz="0" w:space="0" w:color="auto"/>
        <w:right w:val="none" w:sz="0" w:space="0" w:color="auto"/>
      </w:divBdr>
    </w:div>
    <w:div w:id="505101187">
      <w:marLeft w:val="0"/>
      <w:marRight w:val="0"/>
      <w:marTop w:val="0"/>
      <w:marBottom w:val="240"/>
      <w:divBdr>
        <w:top w:val="none" w:sz="0" w:space="0" w:color="auto"/>
        <w:left w:val="none" w:sz="0" w:space="0" w:color="auto"/>
        <w:bottom w:val="none" w:sz="0" w:space="0" w:color="auto"/>
        <w:right w:val="none" w:sz="0" w:space="0" w:color="auto"/>
      </w:divBdr>
    </w:div>
    <w:div w:id="505753172">
      <w:marLeft w:val="0"/>
      <w:marRight w:val="0"/>
      <w:marTop w:val="0"/>
      <w:marBottom w:val="0"/>
      <w:divBdr>
        <w:top w:val="none" w:sz="0" w:space="0" w:color="auto"/>
        <w:left w:val="none" w:sz="0" w:space="0" w:color="auto"/>
        <w:bottom w:val="none" w:sz="0" w:space="0" w:color="auto"/>
        <w:right w:val="none" w:sz="0" w:space="0" w:color="auto"/>
      </w:divBdr>
      <w:divsChild>
        <w:div w:id="1248736664">
          <w:marLeft w:val="0"/>
          <w:marRight w:val="0"/>
          <w:marTop w:val="0"/>
          <w:marBottom w:val="0"/>
          <w:divBdr>
            <w:top w:val="none" w:sz="0" w:space="0" w:color="auto"/>
            <w:left w:val="none" w:sz="0" w:space="0" w:color="auto"/>
            <w:bottom w:val="none" w:sz="0" w:space="0" w:color="auto"/>
            <w:right w:val="none" w:sz="0" w:space="0" w:color="auto"/>
          </w:divBdr>
        </w:div>
      </w:divsChild>
    </w:div>
    <w:div w:id="506597367">
      <w:marLeft w:val="0"/>
      <w:marRight w:val="0"/>
      <w:marTop w:val="0"/>
      <w:marBottom w:val="240"/>
      <w:divBdr>
        <w:top w:val="none" w:sz="0" w:space="0" w:color="auto"/>
        <w:left w:val="none" w:sz="0" w:space="0" w:color="auto"/>
        <w:bottom w:val="none" w:sz="0" w:space="0" w:color="auto"/>
        <w:right w:val="none" w:sz="0" w:space="0" w:color="auto"/>
      </w:divBdr>
    </w:div>
    <w:div w:id="532771884">
      <w:marLeft w:val="0"/>
      <w:marRight w:val="0"/>
      <w:marTop w:val="0"/>
      <w:marBottom w:val="0"/>
      <w:divBdr>
        <w:top w:val="none" w:sz="0" w:space="0" w:color="auto"/>
        <w:left w:val="none" w:sz="0" w:space="0" w:color="auto"/>
        <w:bottom w:val="none" w:sz="0" w:space="0" w:color="auto"/>
        <w:right w:val="none" w:sz="0" w:space="0" w:color="auto"/>
      </w:divBdr>
    </w:div>
    <w:div w:id="535199224">
      <w:marLeft w:val="0"/>
      <w:marRight w:val="0"/>
      <w:marTop w:val="0"/>
      <w:marBottom w:val="240"/>
      <w:divBdr>
        <w:top w:val="none" w:sz="0" w:space="0" w:color="auto"/>
        <w:left w:val="none" w:sz="0" w:space="0" w:color="auto"/>
        <w:bottom w:val="none" w:sz="0" w:space="0" w:color="auto"/>
        <w:right w:val="none" w:sz="0" w:space="0" w:color="auto"/>
      </w:divBdr>
    </w:div>
    <w:div w:id="546576389">
      <w:marLeft w:val="0"/>
      <w:marRight w:val="0"/>
      <w:marTop w:val="0"/>
      <w:marBottom w:val="0"/>
      <w:divBdr>
        <w:top w:val="none" w:sz="0" w:space="0" w:color="auto"/>
        <w:left w:val="none" w:sz="0" w:space="0" w:color="auto"/>
        <w:bottom w:val="none" w:sz="0" w:space="0" w:color="auto"/>
        <w:right w:val="none" w:sz="0" w:space="0" w:color="auto"/>
      </w:divBdr>
    </w:div>
    <w:div w:id="548300416">
      <w:marLeft w:val="0"/>
      <w:marRight w:val="0"/>
      <w:marTop w:val="0"/>
      <w:marBottom w:val="120"/>
      <w:divBdr>
        <w:top w:val="none" w:sz="0" w:space="0" w:color="auto"/>
        <w:left w:val="none" w:sz="0" w:space="0" w:color="auto"/>
        <w:bottom w:val="none" w:sz="0" w:space="0" w:color="auto"/>
        <w:right w:val="none" w:sz="0" w:space="0" w:color="auto"/>
      </w:divBdr>
    </w:div>
    <w:div w:id="551425759">
      <w:marLeft w:val="0"/>
      <w:marRight w:val="0"/>
      <w:marTop w:val="240"/>
      <w:marBottom w:val="240"/>
      <w:divBdr>
        <w:top w:val="none" w:sz="0" w:space="0" w:color="auto"/>
        <w:left w:val="none" w:sz="0" w:space="0" w:color="auto"/>
        <w:bottom w:val="none" w:sz="0" w:space="0" w:color="auto"/>
        <w:right w:val="none" w:sz="0" w:space="0" w:color="auto"/>
      </w:divBdr>
    </w:div>
    <w:div w:id="553322163">
      <w:marLeft w:val="0"/>
      <w:marRight w:val="0"/>
      <w:marTop w:val="0"/>
      <w:marBottom w:val="0"/>
      <w:divBdr>
        <w:top w:val="none" w:sz="0" w:space="0" w:color="auto"/>
        <w:left w:val="none" w:sz="0" w:space="0" w:color="auto"/>
        <w:bottom w:val="none" w:sz="0" w:space="0" w:color="auto"/>
        <w:right w:val="none" w:sz="0" w:space="0" w:color="auto"/>
      </w:divBdr>
      <w:divsChild>
        <w:div w:id="113712561">
          <w:marLeft w:val="0"/>
          <w:marRight w:val="0"/>
          <w:marTop w:val="0"/>
          <w:marBottom w:val="0"/>
          <w:divBdr>
            <w:top w:val="none" w:sz="0" w:space="0" w:color="auto"/>
            <w:left w:val="none" w:sz="0" w:space="0" w:color="auto"/>
            <w:bottom w:val="none" w:sz="0" w:space="0" w:color="auto"/>
            <w:right w:val="none" w:sz="0" w:space="0" w:color="auto"/>
          </w:divBdr>
        </w:div>
      </w:divsChild>
    </w:div>
    <w:div w:id="555314295">
      <w:marLeft w:val="0"/>
      <w:marRight w:val="0"/>
      <w:marTop w:val="0"/>
      <w:marBottom w:val="240"/>
      <w:divBdr>
        <w:top w:val="none" w:sz="0" w:space="0" w:color="auto"/>
        <w:left w:val="none" w:sz="0" w:space="0" w:color="auto"/>
        <w:bottom w:val="none" w:sz="0" w:space="0" w:color="auto"/>
        <w:right w:val="none" w:sz="0" w:space="0" w:color="auto"/>
      </w:divBdr>
    </w:div>
    <w:div w:id="557939331">
      <w:marLeft w:val="0"/>
      <w:marRight w:val="0"/>
      <w:marTop w:val="120"/>
      <w:marBottom w:val="240"/>
      <w:divBdr>
        <w:top w:val="none" w:sz="0" w:space="0" w:color="auto"/>
        <w:left w:val="none" w:sz="0" w:space="0" w:color="auto"/>
        <w:bottom w:val="none" w:sz="0" w:space="0" w:color="auto"/>
        <w:right w:val="none" w:sz="0" w:space="0" w:color="auto"/>
      </w:divBdr>
    </w:div>
    <w:div w:id="558782216">
      <w:marLeft w:val="0"/>
      <w:marRight w:val="0"/>
      <w:marTop w:val="240"/>
      <w:marBottom w:val="240"/>
      <w:divBdr>
        <w:top w:val="none" w:sz="0" w:space="0" w:color="auto"/>
        <w:left w:val="none" w:sz="0" w:space="0" w:color="auto"/>
        <w:bottom w:val="none" w:sz="0" w:space="0" w:color="auto"/>
        <w:right w:val="none" w:sz="0" w:space="0" w:color="auto"/>
      </w:divBdr>
    </w:div>
    <w:div w:id="560091774">
      <w:marLeft w:val="0"/>
      <w:marRight w:val="0"/>
      <w:marTop w:val="0"/>
      <w:marBottom w:val="0"/>
      <w:divBdr>
        <w:top w:val="none" w:sz="0" w:space="0" w:color="auto"/>
        <w:left w:val="none" w:sz="0" w:space="0" w:color="auto"/>
        <w:bottom w:val="none" w:sz="0" w:space="0" w:color="auto"/>
        <w:right w:val="none" w:sz="0" w:space="0" w:color="auto"/>
      </w:divBdr>
    </w:div>
    <w:div w:id="568073457">
      <w:marLeft w:val="0"/>
      <w:marRight w:val="0"/>
      <w:marTop w:val="0"/>
      <w:marBottom w:val="240"/>
      <w:divBdr>
        <w:top w:val="none" w:sz="0" w:space="0" w:color="auto"/>
        <w:left w:val="none" w:sz="0" w:space="0" w:color="auto"/>
        <w:bottom w:val="none" w:sz="0" w:space="0" w:color="auto"/>
        <w:right w:val="none" w:sz="0" w:space="0" w:color="auto"/>
      </w:divBdr>
    </w:div>
    <w:div w:id="576403029">
      <w:marLeft w:val="0"/>
      <w:marRight w:val="0"/>
      <w:marTop w:val="0"/>
      <w:marBottom w:val="200"/>
      <w:divBdr>
        <w:top w:val="none" w:sz="0" w:space="0" w:color="auto"/>
        <w:left w:val="none" w:sz="0" w:space="0" w:color="auto"/>
        <w:bottom w:val="none" w:sz="0" w:space="0" w:color="auto"/>
        <w:right w:val="none" w:sz="0" w:space="0" w:color="auto"/>
      </w:divBdr>
    </w:div>
    <w:div w:id="589044539">
      <w:marLeft w:val="0"/>
      <w:marRight w:val="0"/>
      <w:marTop w:val="0"/>
      <w:marBottom w:val="240"/>
      <w:divBdr>
        <w:top w:val="none" w:sz="0" w:space="0" w:color="auto"/>
        <w:left w:val="none" w:sz="0" w:space="0" w:color="auto"/>
        <w:bottom w:val="none" w:sz="0" w:space="0" w:color="auto"/>
        <w:right w:val="none" w:sz="0" w:space="0" w:color="auto"/>
      </w:divBdr>
    </w:div>
    <w:div w:id="598178167">
      <w:marLeft w:val="0"/>
      <w:marRight w:val="0"/>
      <w:marTop w:val="120"/>
      <w:marBottom w:val="240"/>
      <w:divBdr>
        <w:top w:val="none" w:sz="0" w:space="0" w:color="auto"/>
        <w:left w:val="none" w:sz="0" w:space="0" w:color="auto"/>
        <w:bottom w:val="none" w:sz="0" w:space="0" w:color="auto"/>
        <w:right w:val="none" w:sz="0" w:space="0" w:color="auto"/>
      </w:divBdr>
    </w:div>
    <w:div w:id="602736220">
      <w:marLeft w:val="0"/>
      <w:marRight w:val="0"/>
      <w:marTop w:val="0"/>
      <w:marBottom w:val="120"/>
      <w:divBdr>
        <w:top w:val="none" w:sz="0" w:space="0" w:color="auto"/>
        <w:left w:val="none" w:sz="0" w:space="0" w:color="auto"/>
        <w:bottom w:val="none" w:sz="0" w:space="0" w:color="auto"/>
        <w:right w:val="none" w:sz="0" w:space="0" w:color="auto"/>
      </w:divBdr>
    </w:div>
    <w:div w:id="610287146">
      <w:marLeft w:val="0"/>
      <w:marRight w:val="0"/>
      <w:marTop w:val="0"/>
      <w:marBottom w:val="0"/>
      <w:divBdr>
        <w:top w:val="none" w:sz="0" w:space="0" w:color="auto"/>
        <w:left w:val="none" w:sz="0" w:space="0" w:color="auto"/>
        <w:bottom w:val="none" w:sz="0" w:space="0" w:color="auto"/>
        <w:right w:val="none" w:sz="0" w:space="0" w:color="auto"/>
      </w:divBdr>
    </w:div>
    <w:div w:id="616371587">
      <w:marLeft w:val="0"/>
      <w:marRight w:val="0"/>
      <w:marTop w:val="0"/>
      <w:marBottom w:val="120"/>
      <w:divBdr>
        <w:top w:val="none" w:sz="0" w:space="0" w:color="auto"/>
        <w:left w:val="none" w:sz="0" w:space="0" w:color="auto"/>
        <w:bottom w:val="none" w:sz="0" w:space="0" w:color="auto"/>
        <w:right w:val="none" w:sz="0" w:space="0" w:color="auto"/>
      </w:divBdr>
    </w:div>
    <w:div w:id="616567122">
      <w:marLeft w:val="0"/>
      <w:marRight w:val="0"/>
      <w:marTop w:val="0"/>
      <w:marBottom w:val="240"/>
      <w:divBdr>
        <w:top w:val="none" w:sz="0" w:space="0" w:color="auto"/>
        <w:left w:val="none" w:sz="0" w:space="0" w:color="auto"/>
        <w:bottom w:val="none" w:sz="0" w:space="0" w:color="auto"/>
        <w:right w:val="none" w:sz="0" w:space="0" w:color="auto"/>
      </w:divBdr>
    </w:div>
    <w:div w:id="621152017">
      <w:marLeft w:val="0"/>
      <w:marRight w:val="0"/>
      <w:marTop w:val="0"/>
      <w:marBottom w:val="0"/>
      <w:divBdr>
        <w:top w:val="none" w:sz="0" w:space="0" w:color="auto"/>
        <w:left w:val="none" w:sz="0" w:space="0" w:color="auto"/>
        <w:bottom w:val="none" w:sz="0" w:space="0" w:color="auto"/>
        <w:right w:val="none" w:sz="0" w:space="0" w:color="auto"/>
      </w:divBdr>
      <w:divsChild>
        <w:div w:id="1357465619">
          <w:marLeft w:val="0"/>
          <w:marRight w:val="0"/>
          <w:marTop w:val="0"/>
          <w:marBottom w:val="0"/>
          <w:divBdr>
            <w:top w:val="none" w:sz="0" w:space="0" w:color="auto"/>
            <w:left w:val="none" w:sz="0" w:space="0" w:color="auto"/>
            <w:bottom w:val="none" w:sz="0" w:space="0" w:color="auto"/>
            <w:right w:val="none" w:sz="0" w:space="0" w:color="auto"/>
          </w:divBdr>
        </w:div>
      </w:divsChild>
    </w:div>
    <w:div w:id="621545565">
      <w:marLeft w:val="0"/>
      <w:marRight w:val="0"/>
      <w:marTop w:val="0"/>
      <w:marBottom w:val="240"/>
      <w:divBdr>
        <w:top w:val="none" w:sz="0" w:space="0" w:color="auto"/>
        <w:left w:val="none" w:sz="0" w:space="0" w:color="auto"/>
        <w:bottom w:val="none" w:sz="0" w:space="0" w:color="auto"/>
        <w:right w:val="none" w:sz="0" w:space="0" w:color="auto"/>
      </w:divBdr>
    </w:div>
    <w:div w:id="621616670">
      <w:marLeft w:val="0"/>
      <w:marRight w:val="0"/>
      <w:marTop w:val="0"/>
      <w:marBottom w:val="240"/>
      <w:divBdr>
        <w:top w:val="none" w:sz="0" w:space="0" w:color="auto"/>
        <w:left w:val="none" w:sz="0" w:space="0" w:color="auto"/>
        <w:bottom w:val="none" w:sz="0" w:space="0" w:color="auto"/>
        <w:right w:val="none" w:sz="0" w:space="0" w:color="auto"/>
      </w:divBdr>
    </w:div>
    <w:div w:id="623973351">
      <w:marLeft w:val="0"/>
      <w:marRight w:val="0"/>
      <w:marTop w:val="0"/>
      <w:marBottom w:val="240"/>
      <w:divBdr>
        <w:top w:val="none" w:sz="0" w:space="0" w:color="auto"/>
        <w:left w:val="none" w:sz="0" w:space="0" w:color="auto"/>
        <w:bottom w:val="none" w:sz="0" w:space="0" w:color="auto"/>
        <w:right w:val="none" w:sz="0" w:space="0" w:color="auto"/>
      </w:divBdr>
    </w:div>
    <w:div w:id="630483219">
      <w:marLeft w:val="0"/>
      <w:marRight w:val="0"/>
      <w:marTop w:val="0"/>
      <w:marBottom w:val="0"/>
      <w:divBdr>
        <w:top w:val="none" w:sz="0" w:space="0" w:color="auto"/>
        <w:left w:val="none" w:sz="0" w:space="0" w:color="auto"/>
        <w:bottom w:val="none" w:sz="0" w:space="0" w:color="auto"/>
        <w:right w:val="none" w:sz="0" w:space="0" w:color="auto"/>
      </w:divBdr>
      <w:divsChild>
        <w:div w:id="439763887">
          <w:marLeft w:val="0"/>
          <w:marRight w:val="0"/>
          <w:marTop w:val="0"/>
          <w:marBottom w:val="0"/>
          <w:divBdr>
            <w:top w:val="none" w:sz="0" w:space="0" w:color="auto"/>
            <w:left w:val="none" w:sz="0" w:space="0" w:color="auto"/>
            <w:bottom w:val="none" w:sz="0" w:space="0" w:color="auto"/>
            <w:right w:val="none" w:sz="0" w:space="0" w:color="auto"/>
          </w:divBdr>
        </w:div>
      </w:divsChild>
    </w:div>
    <w:div w:id="631207828">
      <w:marLeft w:val="0"/>
      <w:marRight w:val="0"/>
      <w:marTop w:val="0"/>
      <w:marBottom w:val="120"/>
      <w:divBdr>
        <w:top w:val="none" w:sz="0" w:space="0" w:color="auto"/>
        <w:left w:val="none" w:sz="0" w:space="0" w:color="auto"/>
        <w:bottom w:val="none" w:sz="0" w:space="0" w:color="auto"/>
        <w:right w:val="none" w:sz="0" w:space="0" w:color="auto"/>
      </w:divBdr>
    </w:div>
    <w:div w:id="642584235">
      <w:marLeft w:val="0"/>
      <w:marRight w:val="0"/>
      <w:marTop w:val="0"/>
      <w:marBottom w:val="240"/>
      <w:divBdr>
        <w:top w:val="none" w:sz="0" w:space="0" w:color="auto"/>
        <w:left w:val="none" w:sz="0" w:space="0" w:color="auto"/>
        <w:bottom w:val="none" w:sz="0" w:space="0" w:color="auto"/>
        <w:right w:val="none" w:sz="0" w:space="0" w:color="auto"/>
      </w:divBdr>
    </w:div>
    <w:div w:id="647709215">
      <w:marLeft w:val="0"/>
      <w:marRight w:val="0"/>
      <w:marTop w:val="240"/>
      <w:marBottom w:val="240"/>
      <w:divBdr>
        <w:top w:val="none" w:sz="0" w:space="0" w:color="auto"/>
        <w:left w:val="none" w:sz="0" w:space="0" w:color="auto"/>
        <w:bottom w:val="none" w:sz="0" w:space="0" w:color="auto"/>
        <w:right w:val="none" w:sz="0" w:space="0" w:color="auto"/>
      </w:divBdr>
    </w:div>
    <w:div w:id="649209151">
      <w:marLeft w:val="0"/>
      <w:marRight w:val="0"/>
      <w:marTop w:val="0"/>
      <w:marBottom w:val="240"/>
      <w:divBdr>
        <w:top w:val="none" w:sz="0" w:space="0" w:color="auto"/>
        <w:left w:val="none" w:sz="0" w:space="0" w:color="auto"/>
        <w:bottom w:val="none" w:sz="0" w:space="0" w:color="auto"/>
        <w:right w:val="none" w:sz="0" w:space="0" w:color="auto"/>
      </w:divBdr>
    </w:div>
    <w:div w:id="657072361">
      <w:marLeft w:val="0"/>
      <w:marRight w:val="0"/>
      <w:marTop w:val="0"/>
      <w:marBottom w:val="0"/>
      <w:divBdr>
        <w:top w:val="none" w:sz="0" w:space="0" w:color="auto"/>
        <w:left w:val="none" w:sz="0" w:space="0" w:color="auto"/>
        <w:bottom w:val="none" w:sz="0" w:space="0" w:color="auto"/>
        <w:right w:val="none" w:sz="0" w:space="0" w:color="auto"/>
      </w:divBdr>
      <w:divsChild>
        <w:div w:id="144710679">
          <w:marLeft w:val="0"/>
          <w:marRight w:val="0"/>
          <w:marTop w:val="0"/>
          <w:marBottom w:val="0"/>
          <w:divBdr>
            <w:top w:val="none" w:sz="0" w:space="0" w:color="auto"/>
            <w:left w:val="none" w:sz="0" w:space="0" w:color="auto"/>
            <w:bottom w:val="none" w:sz="0" w:space="0" w:color="auto"/>
            <w:right w:val="none" w:sz="0" w:space="0" w:color="auto"/>
          </w:divBdr>
        </w:div>
      </w:divsChild>
    </w:div>
    <w:div w:id="658845129">
      <w:marLeft w:val="0"/>
      <w:marRight w:val="0"/>
      <w:marTop w:val="0"/>
      <w:marBottom w:val="0"/>
      <w:divBdr>
        <w:top w:val="none" w:sz="0" w:space="0" w:color="auto"/>
        <w:left w:val="none" w:sz="0" w:space="0" w:color="auto"/>
        <w:bottom w:val="none" w:sz="0" w:space="0" w:color="auto"/>
        <w:right w:val="none" w:sz="0" w:space="0" w:color="auto"/>
      </w:divBdr>
    </w:div>
    <w:div w:id="662049759">
      <w:marLeft w:val="0"/>
      <w:marRight w:val="0"/>
      <w:marTop w:val="0"/>
      <w:marBottom w:val="0"/>
      <w:divBdr>
        <w:top w:val="none" w:sz="0" w:space="0" w:color="auto"/>
        <w:left w:val="none" w:sz="0" w:space="0" w:color="auto"/>
        <w:bottom w:val="none" w:sz="0" w:space="0" w:color="auto"/>
        <w:right w:val="none" w:sz="0" w:space="0" w:color="auto"/>
      </w:divBdr>
      <w:divsChild>
        <w:div w:id="1590653340">
          <w:marLeft w:val="0"/>
          <w:marRight w:val="0"/>
          <w:marTop w:val="0"/>
          <w:marBottom w:val="0"/>
          <w:divBdr>
            <w:top w:val="none" w:sz="0" w:space="0" w:color="auto"/>
            <w:left w:val="none" w:sz="0" w:space="0" w:color="auto"/>
            <w:bottom w:val="none" w:sz="0" w:space="0" w:color="auto"/>
            <w:right w:val="none" w:sz="0" w:space="0" w:color="auto"/>
          </w:divBdr>
        </w:div>
      </w:divsChild>
    </w:div>
    <w:div w:id="669407384">
      <w:marLeft w:val="0"/>
      <w:marRight w:val="0"/>
      <w:marTop w:val="0"/>
      <w:marBottom w:val="120"/>
      <w:divBdr>
        <w:top w:val="none" w:sz="0" w:space="0" w:color="auto"/>
        <w:left w:val="none" w:sz="0" w:space="0" w:color="auto"/>
        <w:bottom w:val="none" w:sz="0" w:space="0" w:color="auto"/>
        <w:right w:val="none" w:sz="0" w:space="0" w:color="auto"/>
      </w:divBdr>
    </w:div>
    <w:div w:id="679430111">
      <w:marLeft w:val="0"/>
      <w:marRight w:val="0"/>
      <w:marTop w:val="240"/>
      <w:marBottom w:val="240"/>
      <w:divBdr>
        <w:top w:val="none" w:sz="0" w:space="0" w:color="auto"/>
        <w:left w:val="none" w:sz="0" w:space="0" w:color="auto"/>
        <w:bottom w:val="none" w:sz="0" w:space="0" w:color="auto"/>
        <w:right w:val="none" w:sz="0" w:space="0" w:color="auto"/>
      </w:divBdr>
    </w:div>
    <w:div w:id="679508981">
      <w:marLeft w:val="0"/>
      <w:marRight w:val="0"/>
      <w:marTop w:val="0"/>
      <w:marBottom w:val="0"/>
      <w:divBdr>
        <w:top w:val="none" w:sz="0" w:space="0" w:color="auto"/>
        <w:left w:val="none" w:sz="0" w:space="0" w:color="auto"/>
        <w:bottom w:val="none" w:sz="0" w:space="0" w:color="auto"/>
        <w:right w:val="none" w:sz="0" w:space="0" w:color="auto"/>
      </w:divBdr>
    </w:div>
    <w:div w:id="681778688">
      <w:marLeft w:val="0"/>
      <w:marRight w:val="0"/>
      <w:marTop w:val="0"/>
      <w:marBottom w:val="240"/>
      <w:divBdr>
        <w:top w:val="none" w:sz="0" w:space="0" w:color="auto"/>
        <w:left w:val="none" w:sz="0" w:space="0" w:color="auto"/>
        <w:bottom w:val="none" w:sz="0" w:space="0" w:color="auto"/>
        <w:right w:val="none" w:sz="0" w:space="0" w:color="auto"/>
      </w:divBdr>
    </w:div>
    <w:div w:id="682245540">
      <w:marLeft w:val="0"/>
      <w:marRight w:val="0"/>
      <w:marTop w:val="0"/>
      <w:marBottom w:val="0"/>
      <w:divBdr>
        <w:top w:val="none" w:sz="0" w:space="0" w:color="auto"/>
        <w:left w:val="none" w:sz="0" w:space="0" w:color="auto"/>
        <w:bottom w:val="none" w:sz="0" w:space="0" w:color="auto"/>
        <w:right w:val="none" w:sz="0" w:space="0" w:color="auto"/>
      </w:divBdr>
      <w:divsChild>
        <w:div w:id="815145874">
          <w:marLeft w:val="0"/>
          <w:marRight w:val="0"/>
          <w:marTop w:val="0"/>
          <w:marBottom w:val="0"/>
          <w:divBdr>
            <w:top w:val="none" w:sz="0" w:space="0" w:color="auto"/>
            <w:left w:val="none" w:sz="0" w:space="0" w:color="auto"/>
            <w:bottom w:val="none" w:sz="0" w:space="0" w:color="auto"/>
            <w:right w:val="none" w:sz="0" w:space="0" w:color="auto"/>
          </w:divBdr>
        </w:div>
      </w:divsChild>
    </w:div>
    <w:div w:id="690686074">
      <w:marLeft w:val="0"/>
      <w:marRight w:val="0"/>
      <w:marTop w:val="0"/>
      <w:marBottom w:val="240"/>
      <w:divBdr>
        <w:top w:val="none" w:sz="0" w:space="0" w:color="auto"/>
        <w:left w:val="none" w:sz="0" w:space="0" w:color="auto"/>
        <w:bottom w:val="none" w:sz="0" w:space="0" w:color="auto"/>
        <w:right w:val="none" w:sz="0" w:space="0" w:color="auto"/>
      </w:divBdr>
    </w:div>
    <w:div w:id="691881675">
      <w:marLeft w:val="0"/>
      <w:marRight w:val="0"/>
      <w:marTop w:val="0"/>
      <w:marBottom w:val="0"/>
      <w:divBdr>
        <w:top w:val="none" w:sz="0" w:space="0" w:color="auto"/>
        <w:left w:val="none" w:sz="0" w:space="0" w:color="auto"/>
        <w:bottom w:val="none" w:sz="0" w:space="0" w:color="auto"/>
        <w:right w:val="none" w:sz="0" w:space="0" w:color="auto"/>
      </w:divBdr>
      <w:divsChild>
        <w:div w:id="387388429">
          <w:marLeft w:val="0"/>
          <w:marRight w:val="0"/>
          <w:marTop w:val="0"/>
          <w:marBottom w:val="0"/>
          <w:divBdr>
            <w:top w:val="none" w:sz="0" w:space="0" w:color="auto"/>
            <w:left w:val="none" w:sz="0" w:space="0" w:color="auto"/>
            <w:bottom w:val="none" w:sz="0" w:space="0" w:color="auto"/>
            <w:right w:val="none" w:sz="0" w:space="0" w:color="auto"/>
          </w:divBdr>
        </w:div>
        <w:div w:id="1422721032">
          <w:marLeft w:val="0"/>
          <w:marRight w:val="0"/>
          <w:marTop w:val="0"/>
          <w:marBottom w:val="0"/>
          <w:divBdr>
            <w:top w:val="none" w:sz="0" w:space="0" w:color="auto"/>
            <w:left w:val="none" w:sz="0" w:space="0" w:color="auto"/>
            <w:bottom w:val="none" w:sz="0" w:space="0" w:color="auto"/>
            <w:right w:val="none" w:sz="0" w:space="0" w:color="auto"/>
          </w:divBdr>
        </w:div>
        <w:div w:id="917906453">
          <w:marLeft w:val="0"/>
          <w:marRight w:val="0"/>
          <w:marTop w:val="0"/>
          <w:marBottom w:val="0"/>
          <w:divBdr>
            <w:top w:val="none" w:sz="0" w:space="0" w:color="auto"/>
            <w:left w:val="none" w:sz="0" w:space="0" w:color="auto"/>
            <w:bottom w:val="none" w:sz="0" w:space="0" w:color="auto"/>
            <w:right w:val="none" w:sz="0" w:space="0" w:color="auto"/>
          </w:divBdr>
        </w:div>
        <w:div w:id="1002509106">
          <w:marLeft w:val="0"/>
          <w:marRight w:val="0"/>
          <w:marTop w:val="0"/>
          <w:marBottom w:val="0"/>
          <w:divBdr>
            <w:top w:val="none" w:sz="0" w:space="0" w:color="auto"/>
            <w:left w:val="none" w:sz="0" w:space="0" w:color="auto"/>
            <w:bottom w:val="none" w:sz="0" w:space="0" w:color="auto"/>
            <w:right w:val="none" w:sz="0" w:space="0" w:color="auto"/>
          </w:divBdr>
        </w:div>
        <w:div w:id="2075622714">
          <w:marLeft w:val="0"/>
          <w:marRight w:val="0"/>
          <w:marTop w:val="0"/>
          <w:marBottom w:val="0"/>
          <w:divBdr>
            <w:top w:val="none" w:sz="0" w:space="0" w:color="auto"/>
            <w:left w:val="none" w:sz="0" w:space="0" w:color="auto"/>
            <w:bottom w:val="none" w:sz="0" w:space="0" w:color="auto"/>
            <w:right w:val="none" w:sz="0" w:space="0" w:color="auto"/>
          </w:divBdr>
        </w:div>
        <w:div w:id="1231500875">
          <w:marLeft w:val="0"/>
          <w:marRight w:val="0"/>
          <w:marTop w:val="0"/>
          <w:marBottom w:val="0"/>
          <w:divBdr>
            <w:top w:val="none" w:sz="0" w:space="0" w:color="auto"/>
            <w:left w:val="none" w:sz="0" w:space="0" w:color="auto"/>
            <w:bottom w:val="none" w:sz="0" w:space="0" w:color="auto"/>
            <w:right w:val="none" w:sz="0" w:space="0" w:color="auto"/>
          </w:divBdr>
        </w:div>
        <w:div w:id="1983843914">
          <w:marLeft w:val="0"/>
          <w:marRight w:val="0"/>
          <w:marTop w:val="0"/>
          <w:marBottom w:val="0"/>
          <w:divBdr>
            <w:top w:val="none" w:sz="0" w:space="0" w:color="auto"/>
            <w:left w:val="none" w:sz="0" w:space="0" w:color="auto"/>
            <w:bottom w:val="none" w:sz="0" w:space="0" w:color="auto"/>
            <w:right w:val="none" w:sz="0" w:space="0" w:color="auto"/>
          </w:divBdr>
        </w:div>
        <w:div w:id="1232737711">
          <w:marLeft w:val="0"/>
          <w:marRight w:val="0"/>
          <w:marTop w:val="0"/>
          <w:marBottom w:val="0"/>
          <w:divBdr>
            <w:top w:val="none" w:sz="0" w:space="0" w:color="auto"/>
            <w:left w:val="none" w:sz="0" w:space="0" w:color="auto"/>
            <w:bottom w:val="none" w:sz="0" w:space="0" w:color="auto"/>
            <w:right w:val="none" w:sz="0" w:space="0" w:color="auto"/>
          </w:divBdr>
        </w:div>
        <w:div w:id="2009408106">
          <w:marLeft w:val="0"/>
          <w:marRight w:val="0"/>
          <w:marTop w:val="0"/>
          <w:marBottom w:val="0"/>
          <w:divBdr>
            <w:top w:val="none" w:sz="0" w:space="0" w:color="auto"/>
            <w:left w:val="none" w:sz="0" w:space="0" w:color="auto"/>
            <w:bottom w:val="none" w:sz="0" w:space="0" w:color="auto"/>
            <w:right w:val="none" w:sz="0" w:space="0" w:color="auto"/>
          </w:divBdr>
        </w:div>
        <w:div w:id="1376395277">
          <w:marLeft w:val="0"/>
          <w:marRight w:val="0"/>
          <w:marTop w:val="0"/>
          <w:marBottom w:val="0"/>
          <w:divBdr>
            <w:top w:val="none" w:sz="0" w:space="0" w:color="auto"/>
            <w:left w:val="none" w:sz="0" w:space="0" w:color="auto"/>
            <w:bottom w:val="none" w:sz="0" w:space="0" w:color="auto"/>
            <w:right w:val="none" w:sz="0" w:space="0" w:color="auto"/>
          </w:divBdr>
        </w:div>
        <w:div w:id="300305330">
          <w:marLeft w:val="0"/>
          <w:marRight w:val="0"/>
          <w:marTop w:val="0"/>
          <w:marBottom w:val="0"/>
          <w:divBdr>
            <w:top w:val="none" w:sz="0" w:space="0" w:color="auto"/>
            <w:left w:val="none" w:sz="0" w:space="0" w:color="auto"/>
            <w:bottom w:val="none" w:sz="0" w:space="0" w:color="auto"/>
            <w:right w:val="none" w:sz="0" w:space="0" w:color="auto"/>
          </w:divBdr>
        </w:div>
      </w:divsChild>
    </w:div>
    <w:div w:id="695272011">
      <w:marLeft w:val="0"/>
      <w:marRight w:val="0"/>
      <w:marTop w:val="0"/>
      <w:marBottom w:val="0"/>
      <w:divBdr>
        <w:top w:val="none" w:sz="0" w:space="0" w:color="auto"/>
        <w:left w:val="none" w:sz="0" w:space="0" w:color="auto"/>
        <w:bottom w:val="none" w:sz="0" w:space="0" w:color="auto"/>
        <w:right w:val="none" w:sz="0" w:space="0" w:color="auto"/>
      </w:divBdr>
    </w:div>
    <w:div w:id="696276653">
      <w:marLeft w:val="0"/>
      <w:marRight w:val="0"/>
      <w:marTop w:val="120"/>
      <w:marBottom w:val="240"/>
      <w:divBdr>
        <w:top w:val="none" w:sz="0" w:space="0" w:color="auto"/>
        <w:left w:val="none" w:sz="0" w:space="0" w:color="auto"/>
        <w:bottom w:val="none" w:sz="0" w:space="0" w:color="auto"/>
        <w:right w:val="none" w:sz="0" w:space="0" w:color="auto"/>
      </w:divBdr>
    </w:div>
    <w:div w:id="700788227">
      <w:marLeft w:val="0"/>
      <w:marRight w:val="0"/>
      <w:marTop w:val="0"/>
      <w:marBottom w:val="60"/>
      <w:divBdr>
        <w:top w:val="none" w:sz="0" w:space="0" w:color="auto"/>
        <w:left w:val="none" w:sz="0" w:space="0" w:color="auto"/>
        <w:bottom w:val="none" w:sz="0" w:space="0" w:color="auto"/>
        <w:right w:val="none" w:sz="0" w:space="0" w:color="auto"/>
      </w:divBdr>
    </w:div>
    <w:div w:id="702897722">
      <w:marLeft w:val="0"/>
      <w:marRight w:val="0"/>
      <w:marTop w:val="240"/>
      <w:marBottom w:val="0"/>
      <w:divBdr>
        <w:top w:val="none" w:sz="0" w:space="0" w:color="auto"/>
        <w:left w:val="none" w:sz="0" w:space="0" w:color="auto"/>
        <w:bottom w:val="none" w:sz="0" w:space="0" w:color="auto"/>
        <w:right w:val="none" w:sz="0" w:space="0" w:color="auto"/>
      </w:divBdr>
    </w:div>
    <w:div w:id="709302184">
      <w:marLeft w:val="0"/>
      <w:marRight w:val="0"/>
      <w:marTop w:val="0"/>
      <w:marBottom w:val="0"/>
      <w:divBdr>
        <w:top w:val="none" w:sz="0" w:space="0" w:color="auto"/>
        <w:left w:val="none" w:sz="0" w:space="0" w:color="auto"/>
        <w:bottom w:val="none" w:sz="0" w:space="0" w:color="auto"/>
        <w:right w:val="none" w:sz="0" w:space="0" w:color="auto"/>
      </w:divBdr>
    </w:div>
    <w:div w:id="713896157">
      <w:marLeft w:val="0"/>
      <w:marRight w:val="0"/>
      <w:marTop w:val="0"/>
      <w:marBottom w:val="240"/>
      <w:divBdr>
        <w:top w:val="none" w:sz="0" w:space="0" w:color="auto"/>
        <w:left w:val="none" w:sz="0" w:space="0" w:color="auto"/>
        <w:bottom w:val="none" w:sz="0" w:space="0" w:color="auto"/>
        <w:right w:val="none" w:sz="0" w:space="0" w:color="auto"/>
      </w:divBdr>
    </w:div>
    <w:div w:id="714156572">
      <w:marLeft w:val="0"/>
      <w:marRight w:val="0"/>
      <w:marTop w:val="0"/>
      <w:marBottom w:val="0"/>
      <w:divBdr>
        <w:top w:val="none" w:sz="0" w:space="0" w:color="auto"/>
        <w:left w:val="none" w:sz="0" w:space="0" w:color="auto"/>
        <w:bottom w:val="none" w:sz="0" w:space="0" w:color="auto"/>
        <w:right w:val="none" w:sz="0" w:space="0" w:color="auto"/>
      </w:divBdr>
      <w:divsChild>
        <w:div w:id="454835869">
          <w:marLeft w:val="0"/>
          <w:marRight w:val="0"/>
          <w:marTop w:val="0"/>
          <w:marBottom w:val="0"/>
          <w:divBdr>
            <w:top w:val="none" w:sz="0" w:space="0" w:color="auto"/>
            <w:left w:val="none" w:sz="0" w:space="0" w:color="auto"/>
            <w:bottom w:val="none" w:sz="0" w:space="0" w:color="auto"/>
            <w:right w:val="none" w:sz="0" w:space="0" w:color="auto"/>
          </w:divBdr>
        </w:div>
      </w:divsChild>
    </w:div>
    <w:div w:id="722215700">
      <w:marLeft w:val="0"/>
      <w:marRight w:val="0"/>
      <w:marTop w:val="0"/>
      <w:marBottom w:val="120"/>
      <w:divBdr>
        <w:top w:val="none" w:sz="0" w:space="0" w:color="auto"/>
        <w:left w:val="none" w:sz="0" w:space="0" w:color="auto"/>
        <w:bottom w:val="none" w:sz="0" w:space="0" w:color="auto"/>
        <w:right w:val="none" w:sz="0" w:space="0" w:color="auto"/>
      </w:divBdr>
    </w:div>
    <w:div w:id="724187211">
      <w:marLeft w:val="0"/>
      <w:marRight w:val="0"/>
      <w:marTop w:val="0"/>
      <w:marBottom w:val="240"/>
      <w:divBdr>
        <w:top w:val="none" w:sz="0" w:space="0" w:color="auto"/>
        <w:left w:val="none" w:sz="0" w:space="0" w:color="auto"/>
        <w:bottom w:val="none" w:sz="0" w:space="0" w:color="auto"/>
        <w:right w:val="none" w:sz="0" w:space="0" w:color="auto"/>
      </w:divBdr>
    </w:div>
    <w:div w:id="726302555">
      <w:marLeft w:val="0"/>
      <w:marRight w:val="0"/>
      <w:marTop w:val="240"/>
      <w:marBottom w:val="0"/>
      <w:divBdr>
        <w:top w:val="none" w:sz="0" w:space="0" w:color="auto"/>
        <w:left w:val="none" w:sz="0" w:space="0" w:color="auto"/>
        <w:bottom w:val="none" w:sz="0" w:space="0" w:color="auto"/>
        <w:right w:val="none" w:sz="0" w:space="0" w:color="auto"/>
      </w:divBdr>
    </w:div>
    <w:div w:id="737938672">
      <w:marLeft w:val="0"/>
      <w:marRight w:val="0"/>
      <w:marTop w:val="0"/>
      <w:marBottom w:val="0"/>
      <w:divBdr>
        <w:top w:val="none" w:sz="0" w:space="0" w:color="auto"/>
        <w:left w:val="none" w:sz="0" w:space="0" w:color="auto"/>
        <w:bottom w:val="none" w:sz="0" w:space="0" w:color="auto"/>
        <w:right w:val="none" w:sz="0" w:space="0" w:color="auto"/>
      </w:divBdr>
    </w:div>
    <w:div w:id="738865230">
      <w:marLeft w:val="0"/>
      <w:marRight w:val="0"/>
      <w:marTop w:val="0"/>
      <w:marBottom w:val="0"/>
      <w:divBdr>
        <w:top w:val="none" w:sz="0" w:space="0" w:color="auto"/>
        <w:left w:val="none" w:sz="0" w:space="0" w:color="auto"/>
        <w:bottom w:val="none" w:sz="0" w:space="0" w:color="auto"/>
        <w:right w:val="none" w:sz="0" w:space="0" w:color="auto"/>
      </w:divBdr>
      <w:divsChild>
        <w:div w:id="22751613">
          <w:marLeft w:val="0"/>
          <w:marRight w:val="0"/>
          <w:marTop w:val="0"/>
          <w:marBottom w:val="0"/>
          <w:divBdr>
            <w:top w:val="none" w:sz="0" w:space="0" w:color="auto"/>
            <w:left w:val="none" w:sz="0" w:space="0" w:color="auto"/>
            <w:bottom w:val="none" w:sz="0" w:space="0" w:color="auto"/>
            <w:right w:val="none" w:sz="0" w:space="0" w:color="auto"/>
          </w:divBdr>
        </w:div>
      </w:divsChild>
    </w:div>
    <w:div w:id="743452605">
      <w:marLeft w:val="0"/>
      <w:marRight w:val="0"/>
      <w:marTop w:val="0"/>
      <w:marBottom w:val="0"/>
      <w:divBdr>
        <w:top w:val="none" w:sz="0" w:space="0" w:color="auto"/>
        <w:left w:val="none" w:sz="0" w:space="0" w:color="auto"/>
        <w:bottom w:val="none" w:sz="0" w:space="0" w:color="auto"/>
        <w:right w:val="none" w:sz="0" w:space="0" w:color="auto"/>
      </w:divBdr>
      <w:divsChild>
        <w:div w:id="270211465">
          <w:marLeft w:val="0"/>
          <w:marRight w:val="0"/>
          <w:marTop w:val="0"/>
          <w:marBottom w:val="0"/>
          <w:divBdr>
            <w:top w:val="none" w:sz="0" w:space="0" w:color="auto"/>
            <w:left w:val="none" w:sz="0" w:space="0" w:color="auto"/>
            <w:bottom w:val="none" w:sz="0" w:space="0" w:color="auto"/>
            <w:right w:val="none" w:sz="0" w:space="0" w:color="auto"/>
          </w:divBdr>
        </w:div>
      </w:divsChild>
    </w:div>
    <w:div w:id="750394331">
      <w:marLeft w:val="0"/>
      <w:marRight w:val="0"/>
      <w:marTop w:val="0"/>
      <w:marBottom w:val="240"/>
      <w:divBdr>
        <w:top w:val="none" w:sz="0" w:space="0" w:color="auto"/>
        <w:left w:val="none" w:sz="0" w:space="0" w:color="auto"/>
        <w:bottom w:val="none" w:sz="0" w:space="0" w:color="auto"/>
        <w:right w:val="none" w:sz="0" w:space="0" w:color="auto"/>
      </w:divBdr>
    </w:div>
    <w:div w:id="752362084">
      <w:marLeft w:val="0"/>
      <w:marRight w:val="0"/>
      <w:marTop w:val="0"/>
      <w:marBottom w:val="0"/>
      <w:divBdr>
        <w:top w:val="none" w:sz="0" w:space="0" w:color="auto"/>
        <w:left w:val="none" w:sz="0" w:space="0" w:color="auto"/>
        <w:bottom w:val="none" w:sz="0" w:space="0" w:color="auto"/>
        <w:right w:val="none" w:sz="0" w:space="0" w:color="auto"/>
      </w:divBdr>
      <w:divsChild>
        <w:div w:id="1462648210">
          <w:marLeft w:val="0"/>
          <w:marRight w:val="0"/>
          <w:marTop w:val="0"/>
          <w:marBottom w:val="0"/>
          <w:divBdr>
            <w:top w:val="none" w:sz="0" w:space="0" w:color="auto"/>
            <w:left w:val="none" w:sz="0" w:space="0" w:color="auto"/>
            <w:bottom w:val="none" w:sz="0" w:space="0" w:color="auto"/>
            <w:right w:val="none" w:sz="0" w:space="0" w:color="auto"/>
          </w:divBdr>
        </w:div>
      </w:divsChild>
    </w:div>
    <w:div w:id="759564003">
      <w:marLeft w:val="0"/>
      <w:marRight w:val="0"/>
      <w:marTop w:val="0"/>
      <w:marBottom w:val="240"/>
      <w:divBdr>
        <w:top w:val="none" w:sz="0" w:space="0" w:color="auto"/>
        <w:left w:val="none" w:sz="0" w:space="0" w:color="auto"/>
        <w:bottom w:val="none" w:sz="0" w:space="0" w:color="auto"/>
        <w:right w:val="none" w:sz="0" w:space="0" w:color="auto"/>
      </w:divBdr>
    </w:div>
    <w:div w:id="760681210">
      <w:marLeft w:val="0"/>
      <w:marRight w:val="0"/>
      <w:marTop w:val="0"/>
      <w:marBottom w:val="240"/>
      <w:divBdr>
        <w:top w:val="none" w:sz="0" w:space="0" w:color="auto"/>
        <w:left w:val="none" w:sz="0" w:space="0" w:color="auto"/>
        <w:bottom w:val="none" w:sz="0" w:space="0" w:color="auto"/>
        <w:right w:val="none" w:sz="0" w:space="0" w:color="auto"/>
      </w:divBdr>
    </w:div>
    <w:div w:id="767118637">
      <w:marLeft w:val="0"/>
      <w:marRight w:val="0"/>
      <w:marTop w:val="0"/>
      <w:marBottom w:val="240"/>
      <w:divBdr>
        <w:top w:val="none" w:sz="0" w:space="0" w:color="auto"/>
        <w:left w:val="none" w:sz="0" w:space="0" w:color="auto"/>
        <w:bottom w:val="none" w:sz="0" w:space="0" w:color="auto"/>
        <w:right w:val="none" w:sz="0" w:space="0" w:color="auto"/>
      </w:divBdr>
    </w:div>
    <w:div w:id="769393448">
      <w:marLeft w:val="0"/>
      <w:marRight w:val="0"/>
      <w:marTop w:val="240"/>
      <w:marBottom w:val="240"/>
      <w:divBdr>
        <w:top w:val="none" w:sz="0" w:space="0" w:color="auto"/>
        <w:left w:val="none" w:sz="0" w:space="0" w:color="auto"/>
        <w:bottom w:val="none" w:sz="0" w:space="0" w:color="auto"/>
        <w:right w:val="none" w:sz="0" w:space="0" w:color="auto"/>
      </w:divBdr>
    </w:div>
    <w:div w:id="773984982">
      <w:marLeft w:val="0"/>
      <w:marRight w:val="0"/>
      <w:marTop w:val="0"/>
      <w:marBottom w:val="240"/>
      <w:divBdr>
        <w:top w:val="none" w:sz="0" w:space="0" w:color="auto"/>
        <w:left w:val="none" w:sz="0" w:space="0" w:color="auto"/>
        <w:bottom w:val="none" w:sz="0" w:space="0" w:color="auto"/>
        <w:right w:val="none" w:sz="0" w:space="0" w:color="auto"/>
      </w:divBdr>
    </w:div>
    <w:div w:id="780104698">
      <w:marLeft w:val="0"/>
      <w:marRight w:val="0"/>
      <w:marTop w:val="240"/>
      <w:marBottom w:val="240"/>
      <w:divBdr>
        <w:top w:val="none" w:sz="0" w:space="0" w:color="auto"/>
        <w:left w:val="none" w:sz="0" w:space="0" w:color="auto"/>
        <w:bottom w:val="none" w:sz="0" w:space="0" w:color="auto"/>
        <w:right w:val="none" w:sz="0" w:space="0" w:color="auto"/>
      </w:divBdr>
    </w:div>
    <w:div w:id="782068630">
      <w:marLeft w:val="0"/>
      <w:marRight w:val="0"/>
      <w:marTop w:val="0"/>
      <w:marBottom w:val="240"/>
      <w:divBdr>
        <w:top w:val="none" w:sz="0" w:space="0" w:color="auto"/>
        <w:left w:val="none" w:sz="0" w:space="0" w:color="auto"/>
        <w:bottom w:val="none" w:sz="0" w:space="0" w:color="auto"/>
        <w:right w:val="none" w:sz="0" w:space="0" w:color="auto"/>
      </w:divBdr>
    </w:div>
    <w:div w:id="785387814">
      <w:marLeft w:val="0"/>
      <w:marRight w:val="0"/>
      <w:marTop w:val="240"/>
      <w:marBottom w:val="0"/>
      <w:divBdr>
        <w:top w:val="none" w:sz="0" w:space="0" w:color="auto"/>
        <w:left w:val="none" w:sz="0" w:space="0" w:color="auto"/>
        <w:bottom w:val="none" w:sz="0" w:space="0" w:color="auto"/>
        <w:right w:val="none" w:sz="0" w:space="0" w:color="auto"/>
      </w:divBdr>
    </w:div>
    <w:div w:id="789976267">
      <w:marLeft w:val="0"/>
      <w:marRight w:val="0"/>
      <w:marTop w:val="0"/>
      <w:marBottom w:val="0"/>
      <w:divBdr>
        <w:top w:val="none" w:sz="0" w:space="0" w:color="auto"/>
        <w:left w:val="none" w:sz="0" w:space="0" w:color="auto"/>
        <w:bottom w:val="none" w:sz="0" w:space="0" w:color="auto"/>
        <w:right w:val="none" w:sz="0" w:space="0" w:color="auto"/>
      </w:divBdr>
    </w:div>
    <w:div w:id="792677758">
      <w:marLeft w:val="0"/>
      <w:marRight w:val="0"/>
      <w:marTop w:val="0"/>
      <w:marBottom w:val="200"/>
      <w:divBdr>
        <w:top w:val="none" w:sz="0" w:space="0" w:color="auto"/>
        <w:left w:val="none" w:sz="0" w:space="0" w:color="auto"/>
        <w:bottom w:val="none" w:sz="0" w:space="0" w:color="auto"/>
        <w:right w:val="none" w:sz="0" w:space="0" w:color="auto"/>
      </w:divBdr>
    </w:div>
    <w:div w:id="796070570">
      <w:marLeft w:val="0"/>
      <w:marRight w:val="0"/>
      <w:marTop w:val="0"/>
      <w:marBottom w:val="0"/>
      <w:divBdr>
        <w:top w:val="none" w:sz="0" w:space="0" w:color="auto"/>
        <w:left w:val="none" w:sz="0" w:space="0" w:color="auto"/>
        <w:bottom w:val="none" w:sz="0" w:space="0" w:color="auto"/>
        <w:right w:val="none" w:sz="0" w:space="0" w:color="auto"/>
      </w:divBdr>
      <w:divsChild>
        <w:div w:id="703680629">
          <w:marLeft w:val="0"/>
          <w:marRight w:val="0"/>
          <w:marTop w:val="0"/>
          <w:marBottom w:val="0"/>
          <w:divBdr>
            <w:top w:val="none" w:sz="0" w:space="0" w:color="auto"/>
            <w:left w:val="none" w:sz="0" w:space="0" w:color="auto"/>
            <w:bottom w:val="none" w:sz="0" w:space="0" w:color="auto"/>
            <w:right w:val="none" w:sz="0" w:space="0" w:color="auto"/>
          </w:divBdr>
        </w:div>
      </w:divsChild>
    </w:div>
    <w:div w:id="816266107">
      <w:marLeft w:val="0"/>
      <w:marRight w:val="0"/>
      <w:marTop w:val="120"/>
      <w:marBottom w:val="240"/>
      <w:divBdr>
        <w:top w:val="none" w:sz="0" w:space="0" w:color="auto"/>
        <w:left w:val="none" w:sz="0" w:space="0" w:color="auto"/>
        <w:bottom w:val="none" w:sz="0" w:space="0" w:color="auto"/>
        <w:right w:val="none" w:sz="0" w:space="0" w:color="auto"/>
      </w:divBdr>
    </w:div>
    <w:div w:id="817917713">
      <w:marLeft w:val="0"/>
      <w:marRight w:val="0"/>
      <w:marTop w:val="0"/>
      <w:marBottom w:val="240"/>
      <w:divBdr>
        <w:top w:val="none" w:sz="0" w:space="0" w:color="auto"/>
        <w:left w:val="none" w:sz="0" w:space="0" w:color="auto"/>
        <w:bottom w:val="none" w:sz="0" w:space="0" w:color="auto"/>
        <w:right w:val="none" w:sz="0" w:space="0" w:color="auto"/>
      </w:divBdr>
    </w:div>
    <w:div w:id="818887237">
      <w:marLeft w:val="0"/>
      <w:marRight w:val="0"/>
      <w:marTop w:val="0"/>
      <w:marBottom w:val="240"/>
      <w:divBdr>
        <w:top w:val="none" w:sz="0" w:space="0" w:color="auto"/>
        <w:left w:val="none" w:sz="0" w:space="0" w:color="auto"/>
        <w:bottom w:val="none" w:sz="0" w:space="0" w:color="auto"/>
        <w:right w:val="none" w:sz="0" w:space="0" w:color="auto"/>
      </w:divBdr>
    </w:div>
    <w:div w:id="823398776">
      <w:marLeft w:val="0"/>
      <w:marRight w:val="0"/>
      <w:marTop w:val="0"/>
      <w:marBottom w:val="0"/>
      <w:divBdr>
        <w:top w:val="none" w:sz="0" w:space="0" w:color="auto"/>
        <w:left w:val="none" w:sz="0" w:space="0" w:color="auto"/>
        <w:bottom w:val="none" w:sz="0" w:space="0" w:color="auto"/>
        <w:right w:val="none" w:sz="0" w:space="0" w:color="auto"/>
      </w:divBdr>
    </w:div>
    <w:div w:id="823855205">
      <w:marLeft w:val="0"/>
      <w:marRight w:val="0"/>
      <w:marTop w:val="0"/>
      <w:marBottom w:val="0"/>
      <w:divBdr>
        <w:top w:val="none" w:sz="0" w:space="0" w:color="auto"/>
        <w:left w:val="none" w:sz="0" w:space="0" w:color="auto"/>
        <w:bottom w:val="none" w:sz="0" w:space="0" w:color="auto"/>
        <w:right w:val="none" w:sz="0" w:space="0" w:color="auto"/>
      </w:divBdr>
    </w:div>
    <w:div w:id="825559575">
      <w:marLeft w:val="0"/>
      <w:marRight w:val="0"/>
      <w:marTop w:val="0"/>
      <w:marBottom w:val="0"/>
      <w:divBdr>
        <w:top w:val="none" w:sz="0" w:space="0" w:color="auto"/>
        <w:left w:val="none" w:sz="0" w:space="0" w:color="auto"/>
        <w:bottom w:val="none" w:sz="0" w:space="0" w:color="auto"/>
        <w:right w:val="none" w:sz="0" w:space="0" w:color="auto"/>
      </w:divBdr>
    </w:div>
    <w:div w:id="827867943">
      <w:marLeft w:val="0"/>
      <w:marRight w:val="0"/>
      <w:marTop w:val="0"/>
      <w:marBottom w:val="240"/>
      <w:divBdr>
        <w:top w:val="none" w:sz="0" w:space="0" w:color="auto"/>
        <w:left w:val="none" w:sz="0" w:space="0" w:color="auto"/>
        <w:bottom w:val="none" w:sz="0" w:space="0" w:color="auto"/>
        <w:right w:val="none" w:sz="0" w:space="0" w:color="auto"/>
      </w:divBdr>
    </w:div>
    <w:div w:id="831987117">
      <w:marLeft w:val="0"/>
      <w:marRight w:val="0"/>
      <w:marTop w:val="240"/>
      <w:marBottom w:val="240"/>
      <w:divBdr>
        <w:top w:val="none" w:sz="0" w:space="0" w:color="auto"/>
        <w:left w:val="none" w:sz="0" w:space="0" w:color="auto"/>
        <w:bottom w:val="none" w:sz="0" w:space="0" w:color="auto"/>
        <w:right w:val="none" w:sz="0" w:space="0" w:color="auto"/>
      </w:divBdr>
    </w:div>
    <w:div w:id="837382122">
      <w:marLeft w:val="0"/>
      <w:marRight w:val="0"/>
      <w:marTop w:val="0"/>
      <w:marBottom w:val="0"/>
      <w:divBdr>
        <w:top w:val="none" w:sz="0" w:space="0" w:color="auto"/>
        <w:left w:val="none" w:sz="0" w:space="0" w:color="auto"/>
        <w:bottom w:val="none" w:sz="0" w:space="0" w:color="auto"/>
        <w:right w:val="none" w:sz="0" w:space="0" w:color="auto"/>
      </w:divBdr>
      <w:divsChild>
        <w:div w:id="962034371">
          <w:marLeft w:val="0"/>
          <w:marRight w:val="0"/>
          <w:marTop w:val="0"/>
          <w:marBottom w:val="0"/>
          <w:divBdr>
            <w:top w:val="none" w:sz="0" w:space="0" w:color="auto"/>
            <w:left w:val="none" w:sz="0" w:space="0" w:color="auto"/>
            <w:bottom w:val="none" w:sz="0" w:space="0" w:color="auto"/>
            <w:right w:val="none" w:sz="0" w:space="0" w:color="auto"/>
          </w:divBdr>
        </w:div>
      </w:divsChild>
    </w:div>
    <w:div w:id="839199960">
      <w:marLeft w:val="0"/>
      <w:marRight w:val="0"/>
      <w:marTop w:val="0"/>
      <w:marBottom w:val="240"/>
      <w:divBdr>
        <w:top w:val="none" w:sz="0" w:space="0" w:color="auto"/>
        <w:left w:val="none" w:sz="0" w:space="0" w:color="auto"/>
        <w:bottom w:val="none" w:sz="0" w:space="0" w:color="auto"/>
        <w:right w:val="none" w:sz="0" w:space="0" w:color="auto"/>
      </w:divBdr>
    </w:div>
    <w:div w:id="844633745">
      <w:marLeft w:val="0"/>
      <w:marRight w:val="0"/>
      <w:marTop w:val="0"/>
      <w:marBottom w:val="240"/>
      <w:divBdr>
        <w:top w:val="none" w:sz="0" w:space="0" w:color="auto"/>
        <w:left w:val="none" w:sz="0" w:space="0" w:color="auto"/>
        <w:bottom w:val="none" w:sz="0" w:space="0" w:color="auto"/>
        <w:right w:val="none" w:sz="0" w:space="0" w:color="auto"/>
      </w:divBdr>
    </w:div>
    <w:div w:id="873076223">
      <w:marLeft w:val="0"/>
      <w:marRight w:val="0"/>
      <w:marTop w:val="0"/>
      <w:marBottom w:val="0"/>
      <w:divBdr>
        <w:top w:val="none" w:sz="0" w:space="0" w:color="auto"/>
        <w:left w:val="none" w:sz="0" w:space="0" w:color="auto"/>
        <w:bottom w:val="none" w:sz="0" w:space="0" w:color="auto"/>
        <w:right w:val="none" w:sz="0" w:space="0" w:color="auto"/>
      </w:divBdr>
    </w:div>
    <w:div w:id="878319145">
      <w:marLeft w:val="0"/>
      <w:marRight w:val="0"/>
      <w:marTop w:val="0"/>
      <w:marBottom w:val="0"/>
      <w:divBdr>
        <w:top w:val="none" w:sz="0" w:space="0" w:color="auto"/>
        <w:left w:val="none" w:sz="0" w:space="0" w:color="auto"/>
        <w:bottom w:val="none" w:sz="0" w:space="0" w:color="auto"/>
        <w:right w:val="none" w:sz="0" w:space="0" w:color="auto"/>
      </w:divBdr>
      <w:divsChild>
        <w:div w:id="2122651751">
          <w:marLeft w:val="0"/>
          <w:marRight w:val="0"/>
          <w:marTop w:val="0"/>
          <w:marBottom w:val="0"/>
          <w:divBdr>
            <w:top w:val="none" w:sz="0" w:space="0" w:color="auto"/>
            <w:left w:val="none" w:sz="0" w:space="0" w:color="auto"/>
            <w:bottom w:val="none" w:sz="0" w:space="0" w:color="auto"/>
            <w:right w:val="none" w:sz="0" w:space="0" w:color="auto"/>
          </w:divBdr>
        </w:div>
      </w:divsChild>
    </w:div>
    <w:div w:id="884870604">
      <w:marLeft w:val="0"/>
      <w:marRight w:val="0"/>
      <w:marTop w:val="0"/>
      <w:marBottom w:val="0"/>
      <w:divBdr>
        <w:top w:val="none" w:sz="0" w:space="0" w:color="auto"/>
        <w:left w:val="none" w:sz="0" w:space="0" w:color="auto"/>
        <w:bottom w:val="none" w:sz="0" w:space="0" w:color="auto"/>
        <w:right w:val="none" w:sz="0" w:space="0" w:color="auto"/>
      </w:divBdr>
      <w:divsChild>
        <w:div w:id="1558396850">
          <w:marLeft w:val="0"/>
          <w:marRight w:val="0"/>
          <w:marTop w:val="0"/>
          <w:marBottom w:val="0"/>
          <w:divBdr>
            <w:top w:val="none" w:sz="0" w:space="0" w:color="auto"/>
            <w:left w:val="none" w:sz="0" w:space="0" w:color="auto"/>
            <w:bottom w:val="none" w:sz="0" w:space="0" w:color="auto"/>
            <w:right w:val="none" w:sz="0" w:space="0" w:color="auto"/>
          </w:divBdr>
        </w:div>
      </w:divsChild>
    </w:div>
    <w:div w:id="885024012">
      <w:marLeft w:val="0"/>
      <w:marRight w:val="0"/>
      <w:marTop w:val="0"/>
      <w:marBottom w:val="0"/>
      <w:divBdr>
        <w:top w:val="none" w:sz="0" w:space="0" w:color="auto"/>
        <w:left w:val="none" w:sz="0" w:space="0" w:color="auto"/>
        <w:bottom w:val="none" w:sz="0" w:space="0" w:color="auto"/>
        <w:right w:val="none" w:sz="0" w:space="0" w:color="auto"/>
      </w:divBdr>
      <w:divsChild>
        <w:div w:id="1058625437">
          <w:marLeft w:val="0"/>
          <w:marRight w:val="0"/>
          <w:marTop w:val="0"/>
          <w:marBottom w:val="0"/>
          <w:divBdr>
            <w:top w:val="none" w:sz="0" w:space="0" w:color="auto"/>
            <w:left w:val="none" w:sz="0" w:space="0" w:color="auto"/>
            <w:bottom w:val="none" w:sz="0" w:space="0" w:color="auto"/>
            <w:right w:val="none" w:sz="0" w:space="0" w:color="auto"/>
          </w:divBdr>
        </w:div>
      </w:divsChild>
    </w:div>
    <w:div w:id="886835554">
      <w:marLeft w:val="0"/>
      <w:marRight w:val="0"/>
      <w:marTop w:val="0"/>
      <w:marBottom w:val="240"/>
      <w:divBdr>
        <w:top w:val="none" w:sz="0" w:space="0" w:color="auto"/>
        <w:left w:val="none" w:sz="0" w:space="0" w:color="auto"/>
        <w:bottom w:val="none" w:sz="0" w:space="0" w:color="auto"/>
        <w:right w:val="none" w:sz="0" w:space="0" w:color="auto"/>
      </w:divBdr>
    </w:div>
    <w:div w:id="888340911">
      <w:marLeft w:val="0"/>
      <w:marRight w:val="0"/>
      <w:marTop w:val="0"/>
      <w:marBottom w:val="240"/>
      <w:divBdr>
        <w:top w:val="none" w:sz="0" w:space="0" w:color="auto"/>
        <w:left w:val="none" w:sz="0" w:space="0" w:color="auto"/>
        <w:bottom w:val="none" w:sz="0" w:space="0" w:color="auto"/>
        <w:right w:val="none" w:sz="0" w:space="0" w:color="auto"/>
      </w:divBdr>
    </w:div>
    <w:div w:id="888418993">
      <w:marLeft w:val="0"/>
      <w:marRight w:val="0"/>
      <w:marTop w:val="0"/>
      <w:marBottom w:val="0"/>
      <w:divBdr>
        <w:top w:val="none" w:sz="0" w:space="0" w:color="auto"/>
        <w:left w:val="none" w:sz="0" w:space="0" w:color="auto"/>
        <w:bottom w:val="none" w:sz="0" w:space="0" w:color="auto"/>
        <w:right w:val="none" w:sz="0" w:space="0" w:color="auto"/>
      </w:divBdr>
      <w:divsChild>
        <w:div w:id="201404617">
          <w:marLeft w:val="0"/>
          <w:marRight w:val="0"/>
          <w:marTop w:val="0"/>
          <w:marBottom w:val="0"/>
          <w:divBdr>
            <w:top w:val="none" w:sz="0" w:space="0" w:color="auto"/>
            <w:left w:val="none" w:sz="0" w:space="0" w:color="auto"/>
            <w:bottom w:val="none" w:sz="0" w:space="0" w:color="auto"/>
            <w:right w:val="none" w:sz="0" w:space="0" w:color="auto"/>
          </w:divBdr>
        </w:div>
      </w:divsChild>
    </w:div>
    <w:div w:id="894508910">
      <w:marLeft w:val="0"/>
      <w:marRight w:val="0"/>
      <w:marTop w:val="0"/>
      <w:marBottom w:val="180"/>
      <w:divBdr>
        <w:top w:val="none" w:sz="0" w:space="0" w:color="auto"/>
        <w:left w:val="none" w:sz="0" w:space="0" w:color="auto"/>
        <w:bottom w:val="none" w:sz="0" w:space="0" w:color="auto"/>
        <w:right w:val="none" w:sz="0" w:space="0" w:color="auto"/>
      </w:divBdr>
    </w:div>
    <w:div w:id="900284603">
      <w:marLeft w:val="0"/>
      <w:marRight w:val="0"/>
      <w:marTop w:val="240"/>
      <w:marBottom w:val="0"/>
      <w:divBdr>
        <w:top w:val="none" w:sz="0" w:space="0" w:color="auto"/>
        <w:left w:val="none" w:sz="0" w:space="0" w:color="auto"/>
        <w:bottom w:val="none" w:sz="0" w:space="0" w:color="auto"/>
        <w:right w:val="none" w:sz="0" w:space="0" w:color="auto"/>
      </w:divBdr>
    </w:div>
    <w:div w:id="901479806">
      <w:marLeft w:val="0"/>
      <w:marRight w:val="0"/>
      <w:marTop w:val="240"/>
      <w:marBottom w:val="240"/>
      <w:divBdr>
        <w:top w:val="none" w:sz="0" w:space="0" w:color="auto"/>
        <w:left w:val="none" w:sz="0" w:space="0" w:color="auto"/>
        <w:bottom w:val="none" w:sz="0" w:space="0" w:color="auto"/>
        <w:right w:val="none" w:sz="0" w:space="0" w:color="auto"/>
      </w:divBdr>
    </w:div>
    <w:div w:id="902062568">
      <w:marLeft w:val="0"/>
      <w:marRight w:val="0"/>
      <w:marTop w:val="240"/>
      <w:marBottom w:val="240"/>
      <w:divBdr>
        <w:top w:val="none" w:sz="0" w:space="0" w:color="auto"/>
        <w:left w:val="none" w:sz="0" w:space="0" w:color="auto"/>
        <w:bottom w:val="none" w:sz="0" w:space="0" w:color="auto"/>
        <w:right w:val="none" w:sz="0" w:space="0" w:color="auto"/>
      </w:divBdr>
    </w:div>
    <w:div w:id="909846392">
      <w:marLeft w:val="0"/>
      <w:marRight w:val="0"/>
      <w:marTop w:val="0"/>
      <w:marBottom w:val="0"/>
      <w:divBdr>
        <w:top w:val="none" w:sz="0" w:space="0" w:color="auto"/>
        <w:left w:val="none" w:sz="0" w:space="0" w:color="auto"/>
        <w:bottom w:val="none" w:sz="0" w:space="0" w:color="auto"/>
        <w:right w:val="none" w:sz="0" w:space="0" w:color="auto"/>
      </w:divBdr>
      <w:divsChild>
        <w:div w:id="2130659651">
          <w:marLeft w:val="0"/>
          <w:marRight w:val="0"/>
          <w:marTop w:val="0"/>
          <w:marBottom w:val="0"/>
          <w:divBdr>
            <w:top w:val="none" w:sz="0" w:space="0" w:color="auto"/>
            <w:left w:val="none" w:sz="0" w:space="0" w:color="auto"/>
            <w:bottom w:val="none" w:sz="0" w:space="0" w:color="auto"/>
            <w:right w:val="none" w:sz="0" w:space="0" w:color="auto"/>
          </w:divBdr>
        </w:div>
      </w:divsChild>
    </w:div>
    <w:div w:id="911499575">
      <w:marLeft w:val="0"/>
      <w:marRight w:val="0"/>
      <w:marTop w:val="240"/>
      <w:marBottom w:val="240"/>
      <w:divBdr>
        <w:top w:val="none" w:sz="0" w:space="0" w:color="auto"/>
        <w:left w:val="none" w:sz="0" w:space="0" w:color="auto"/>
        <w:bottom w:val="none" w:sz="0" w:space="0" w:color="auto"/>
        <w:right w:val="none" w:sz="0" w:space="0" w:color="auto"/>
      </w:divBdr>
    </w:div>
    <w:div w:id="913012727">
      <w:marLeft w:val="0"/>
      <w:marRight w:val="0"/>
      <w:marTop w:val="0"/>
      <w:marBottom w:val="240"/>
      <w:divBdr>
        <w:top w:val="none" w:sz="0" w:space="0" w:color="auto"/>
        <w:left w:val="none" w:sz="0" w:space="0" w:color="auto"/>
        <w:bottom w:val="none" w:sz="0" w:space="0" w:color="auto"/>
        <w:right w:val="none" w:sz="0" w:space="0" w:color="auto"/>
      </w:divBdr>
    </w:div>
    <w:div w:id="914702826">
      <w:marLeft w:val="0"/>
      <w:marRight w:val="0"/>
      <w:marTop w:val="0"/>
      <w:marBottom w:val="240"/>
      <w:divBdr>
        <w:top w:val="none" w:sz="0" w:space="0" w:color="auto"/>
        <w:left w:val="none" w:sz="0" w:space="0" w:color="auto"/>
        <w:bottom w:val="none" w:sz="0" w:space="0" w:color="auto"/>
        <w:right w:val="none" w:sz="0" w:space="0" w:color="auto"/>
      </w:divBdr>
    </w:div>
    <w:div w:id="915213042">
      <w:marLeft w:val="0"/>
      <w:marRight w:val="0"/>
      <w:marTop w:val="0"/>
      <w:marBottom w:val="0"/>
      <w:divBdr>
        <w:top w:val="none" w:sz="0" w:space="0" w:color="auto"/>
        <w:left w:val="none" w:sz="0" w:space="0" w:color="auto"/>
        <w:bottom w:val="none" w:sz="0" w:space="0" w:color="auto"/>
        <w:right w:val="none" w:sz="0" w:space="0" w:color="auto"/>
      </w:divBdr>
    </w:div>
    <w:div w:id="915477115">
      <w:marLeft w:val="0"/>
      <w:marRight w:val="0"/>
      <w:marTop w:val="0"/>
      <w:marBottom w:val="0"/>
      <w:divBdr>
        <w:top w:val="none" w:sz="0" w:space="0" w:color="auto"/>
        <w:left w:val="none" w:sz="0" w:space="0" w:color="auto"/>
        <w:bottom w:val="none" w:sz="0" w:space="0" w:color="auto"/>
        <w:right w:val="none" w:sz="0" w:space="0" w:color="auto"/>
      </w:divBdr>
      <w:divsChild>
        <w:div w:id="13919854">
          <w:marLeft w:val="0"/>
          <w:marRight w:val="0"/>
          <w:marTop w:val="0"/>
          <w:marBottom w:val="0"/>
          <w:divBdr>
            <w:top w:val="none" w:sz="0" w:space="0" w:color="auto"/>
            <w:left w:val="none" w:sz="0" w:space="0" w:color="auto"/>
            <w:bottom w:val="none" w:sz="0" w:space="0" w:color="auto"/>
            <w:right w:val="none" w:sz="0" w:space="0" w:color="auto"/>
          </w:divBdr>
        </w:div>
      </w:divsChild>
    </w:div>
    <w:div w:id="922185239">
      <w:marLeft w:val="0"/>
      <w:marRight w:val="0"/>
      <w:marTop w:val="0"/>
      <w:marBottom w:val="0"/>
      <w:divBdr>
        <w:top w:val="none" w:sz="0" w:space="0" w:color="auto"/>
        <w:left w:val="none" w:sz="0" w:space="0" w:color="auto"/>
        <w:bottom w:val="none" w:sz="0" w:space="0" w:color="auto"/>
        <w:right w:val="none" w:sz="0" w:space="0" w:color="auto"/>
      </w:divBdr>
    </w:div>
    <w:div w:id="928925214">
      <w:marLeft w:val="0"/>
      <w:marRight w:val="0"/>
      <w:marTop w:val="0"/>
      <w:marBottom w:val="0"/>
      <w:divBdr>
        <w:top w:val="none" w:sz="0" w:space="0" w:color="auto"/>
        <w:left w:val="none" w:sz="0" w:space="0" w:color="auto"/>
        <w:bottom w:val="none" w:sz="0" w:space="0" w:color="auto"/>
        <w:right w:val="none" w:sz="0" w:space="0" w:color="auto"/>
      </w:divBdr>
    </w:div>
    <w:div w:id="947472574">
      <w:marLeft w:val="0"/>
      <w:marRight w:val="0"/>
      <w:marTop w:val="0"/>
      <w:marBottom w:val="240"/>
      <w:divBdr>
        <w:top w:val="none" w:sz="0" w:space="0" w:color="auto"/>
        <w:left w:val="none" w:sz="0" w:space="0" w:color="auto"/>
        <w:bottom w:val="none" w:sz="0" w:space="0" w:color="auto"/>
        <w:right w:val="none" w:sz="0" w:space="0" w:color="auto"/>
      </w:divBdr>
    </w:div>
    <w:div w:id="950431419">
      <w:marLeft w:val="0"/>
      <w:marRight w:val="0"/>
      <w:marTop w:val="0"/>
      <w:marBottom w:val="0"/>
      <w:divBdr>
        <w:top w:val="none" w:sz="0" w:space="0" w:color="auto"/>
        <w:left w:val="none" w:sz="0" w:space="0" w:color="auto"/>
        <w:bottom w:val="none" w:sz="0" w:space="0" w:color="auto"/>
        <w:right w:val="none" w:sz="0" w:space="0" w:color="auto"/>
      </w:divBdr>
    </w:div>
    <w:div w:id="958612240">
      <w:marLeft w:val="0"/>
      <w:marRight w:val="0"/>
      <w:marTop w:val="0"/>
      <w:marBottom w:val="0"/>
      <w:divBdr>
        <w:top w:val="none" w:sz="0" w:space="0" w:color="auto"/>
        <w:left w:val="none" w:sz="0" w:space="0" w:color="auto"/>
        <w:bottom w:val="none" w:sz="0" w:space="0" w:color="auto"/>
        <w:right w:val="none" w:sz="0" w:space="0" w:color="auto"/>
      </w:divBdr>
      <w:divsChild>
        <w:div w:id="342437662">
          <w:marLeft w:val="0"/>
          <w:marRight w:val="0"/>
          <w:marTop w:val="0"/>
          <w:marBottom w:val="0"/>
          <w:divBdr>
            <w:top w:val="none" w:sz="0" w:space="0" w:color="auto"/>
            <w:left w:val="none" w:sz="0" w:space="0" w:color="auto"/>
            <w:bottom w:val="none" w:sz="0" w:space="0" w:color="auto"/>
            <w:right w:val="none" w:sz="0" w:space="0" w:color="auto"/>
          </w:divBdr>
        </w:div>
      </w:divsChild>
    </w:div>
    <w:div w:id="972099632">
      <w:marLeft w:val="0"/>
      <w:marRight w:val="0"/>
      <w:marTop w:val="0"/>
      <w:marBottom w:val="240"/>
      <w:divBdr>
        <w:top w:val="none" w:sz="0" w:space="0" w:color="auto"/>
        <w:left w:val="none" w:sz="0" w:space="0" w:color="auto"/>
        <w:bottom w:val="none" w:sz="0" w:space="0" w:color="auto"/>
        <w:right w:val="none" w:sz="0" w:space="0" w:color="auto"/>
      </w:divBdr>
    </w:div>
    <w:div w:id="974599283">
      <w:marLeft w:val="0"/>
      <w:marRight w:val="0"/>
      <w:marTop w:val="0"/>
      <w:marBottom w:val="240"/>
      <w:divBdr>
        <w:top w:val="none" w:sz="0" w:space="0" w:color="auto"/>
        <w:left w:val="none" w:sz="0" w:space="0" w:color="auto"/>
        <w:bottom w:val="none" w:sz="0" w:space="0" w:color="auto"/>
        <w:right w:val="none" w:sz="0" w:space="0" w:color="auto"/>
      </w:divBdr>
    </w:div>
    <w:div w:id="976573330">
      <w:marLeft w:val="0"/>
      <w:marRight w:val="0"/>
      <w:marTop w:val="120"/>
      <w:marBottom w:val="0"/>
      <w:divBdr>
        <w:top w:val="none" w:sz="0" w:space="0" w:color="auto"/>
        <w:left w:val="none" w:sz="0" w:space="0" w:color="auto"/>
        <w:bottom w:val="none" w:sz="0" w:space="0" w:color="auto"/>
        <w:right w:val="none" w:sz="0" w:space="0" w:color="auto"/>
      </w:divBdr>
    </w:div>
    <w:div w:id="983697317">
      <w:marLeft w:val="0"/>
      <w:marRight w:val="0"/>
      <w:marTop w:val="0"/>
      <w:marBottom w:val="0"/>
      <w:divBdr>
        <w:top w:val="none" w:sz="0" w:space="0" w:color="auto"/>
        <w:left w:val="none" w:sz="0" w:space="0" w:color="auto"/>
        <w:bottom w:val="none" w:sz="0" w:space="0" w:color="auto"/>
        <w:right w:val="none" w:sz="0" w:space="0" w:color="auto"/>
      </w:divBdr>
    </w:div>
    <w:div w:id="985935005">
      <w:marLeft w:val="0"/>
      <w:marRight w:val="0"/>
      <w:marTop w:val="0"/>
      <w:marBottom w:val="0"/>
      <w:divBdr>
        <w:top w:val="none" w:sz="0" w:space="0" w:color="auto"/>
        <w:left w:val="none" w:sz="0" w:space="0" w:color="auto"/>
        <w:bottom w:val="none" w:sz="0" w:space="0" w:color="auto"/>
        <w:right w:val="none" w:sz="0" w:space="0" w:color="auto"/>
      </w:divBdr>
    </w:div>
    <w:div w:id="986587624">
      <w:marLeft w:val="0"/>
      <w:marRight w:val="0"/>
      <w:marTop w:val="0"/>
      <w:marBottom w:val="180"/>
      <w:divBdr>
        <w:top w:val="none" w:sz="0" w:space="0" w:color="auto"/>
        <w:left w:val="none" w:sz="0" w:space="0" w:color="auto"/>
        <w:bottom w:val="none" w:sz="0" w:space="0" w:color="auto"/>
        <w:right w:val="none" w:sz="0" w:space="0" w:color="auto"/>
      </w:divBdr>
    </w:div>
    <w:div w:id="994533172">
      <w:marLeft w:val="0"/>
      <w:marRight w:val="0"/>
      <w:marTop w:val="0"/>
      <w:marBottom w:val="120"/>
      <w:divBdr>
        <w:top w:val="none" w:sz="0" w:space="0" w:color="auto"/>
        <w:left w:val="none" w:sz="0" w:space="0" w:color="auto"/>
        <w:bottom w:val="none" w:sz="0" w:space="0" w:color="auto"/>
        <w:right w:val="none" w:sz="0" w:space="0" w:color="auto"/>
      </w:divBdr>
    </w:div>
    <w:div w:id="1001160079">
      <w:marLeft w:val="0"/>
      <w:marRight w:val="0"/>
      <w:marTop w:val="0"/>
      <w:marBottom w:val="0"/>
      <w:divBdr>
        <w:top w:val="none" w:sz="0" w:space="0" w:color="auto"/>
        <w:left w:val="none" w:sz="0" w:space="0" w:color="auto"/>
        <w:bottom w:val="none" w:sz="0" w:space="0" w:color="auto"/>
        <w:right w:val="none" w:sz="0" w:space="0" w:color="auto"/>
      </w:divBdr>
      <w:divsChild>
        <w:div w:id="1372878191">
          <w:marLeft w:val="0"/>
          <w:marRight w:val="0"/>
          <w:marTop w:val="0"/>
          <w:marBottom w:val="0"/>
          <w:divBdr>
            <w:top w:val="none" w:sz="0" w:space="0" w:color="auto"/>
            <w:left w:val="none" w:sz="0" w:space="0" w:color="auto"/>
            <w:bottom w:val="none" w:sz="0" w:space="0" w:color="auto"/>
            <w:right w:val="none" w:sz="0" w:space="0" w:color="auto"/>
          </w:divBdr>
        </w:div>
      </w:divsChild>
    </w:div>
    <w:div w:id="1001812348">
      <w:marLeft w:val="0"/>
      <w:marRight w:val="0"/>
      <w:marTop w:val="240"/>
      <w:marBottom w:val="240"/>
      <w:divBdr>
        <w:top w:val="none" w:sz="0" w:space="0" w:color="auto"/>
        <w:left w:val="none" w:sz="0" w:space="0" w:color="auto"/>
        <w:bottom w:val="none" w:sz="0" w:space="0" w:color="auto"/>
        <w:right w:val="none" w:sz="0" w:space="0" w:color="auto"/>
      </w:divBdr>
    </w:div>
    <w:div w:id="1003823185">
      <w:marLeft w:val="0"/>
      <w:marRight w:val="0"/>
      <w:marTop w:val="0"/>
      <w:marBottom w:val="0"/>
      <w:divBdr>
        <w:top w:val="none" w:sz="0" w:space="0" w:color="auto"/>
        <w:left w:val="none" w:sz="0" w:space="0" w:color="auto"/>
        <w:bottom w:val="none" w:sz="0" w:space="0" w:color="auto"/>
        <w:right w:val="none" w:sz="0" w:space="0" w:color="auto"/>
      </w:divBdr>
      <w:divsChild>
        <w:div w:id="119037306">
          <w:marLeft w:val="0"/>
          <w:marRight w:val="0"/>
          <w:marTop w:val="0"/>
          <w:marBottom w:val="0"/>
          <w:divBdr>
            <w:top w:val="none" w:sz="0" w:space="0" w:color="auto"/>
            <w:left w:val="none" w:sz="0" w:space="0" w:color="auto"/>
            <w:bottom w:val="none" w:sz="0" w:space="0" w:color="auto"/>
            <w:right w:val="none" w:sz="0" w:space="0" w:color="auto"/>
          </w:divBdr>
        </w:div>
      </w:divsChild>
    </w:div>
    <w:div w:id="1011688398">
      <w:marLeft w:val="0"/>
      <w:marRight w:val="0"/>
      <w:marTop w:val="0"/>
      <w:marBottom w:val="0"/>
      <w:divBdr>
        <w:top w:val="none" w:sz="0" w:space="0" w:color="auto"/>
        <w:left w:val="none" w:sz="0" w:space="0" w:color="auto"/>
        <w:bottom w:val="none" w:sz="0" w:space="0" w:color="auto"/>
        <w:right w:val="none" w:sz="0" w:space="0" w:color="auto"/>
      </w:divBdr>
      <w:divsChild>
        <w:div w:id="1696231774">
          <w:marLeft w:val="0"/>
          <w:marRight w:val="0"/>
          <w:marTop w:val="0"/>
          <w:marBottom w:val="0"/>
          <w:divBdr>
            <w:top w:val="none" w:sz="0" w:space="0" w:color="auto"/>
            <w:left w:val="none" w:sz="0" w:space="0" w:color="auto"/>
            <w:bottom w:val="none" w:sz="0" w:space="0" w:color="auto"/>
            <w:right w:val="none" w:sz="0" w:space="0" w:color="auto"/>
          </w:divBdr>
        </w:div>
      </w:divsChild>
    </w:div>
    <w:div w:id="1017924494">
      <w:marLeft w:val="0"/>
      <w:marRight w:val="0"/>
      <w:marTop w:val="0"/>
      <w:marBottom w:val="0"/>
      <w:divBdr>
        <w:top w:val="none" w:sz="0" w:space="0" w:color="auto"/>
        <w:left w:val="none" w:sz="0" w:space="0" w:color="auto"/>
        <w:bottom w:val="none" w:sz="0" w:space="0" w:color="auto"/>
        <w:right w:val="none" w:sz="0" w:space="0" w:color="auto"/>
      </w:divBdr>
      <w:divsChild>
        <w:div w:id="1570769278">
          <w:marLeft w:val="0"/>
          <w:marRight w:val="0"/>
          <w:marTop w:val="0"/>
          <w:marBottom w:val="0"/>
          <w:divBdr>
            <w:top w:val="none" w:sz="0" w:space="0" w:color="auto"/>
            <w:left w:val="none" w:sz="0" w:space="0" w:color="auto"/>
            <w:bottom w:val="none" w:sz="0" w:space="0" w:color="auto"/>
            <w:right w:val="none" w:sz="0" w:space="0" w:color="auto"/>
          </w:divBdr>
        </w:div>
      </w:divsChild>
    </w:div>
    <w:div w:id="1023747676">
      <w:marLeft w:val="0"/>
      <w:marRight w:val="0"/>
      <w:marTop w:val="0"/>
      <w:marBottom w:val="240"/>
      <w:divBdr>
        <w:top w:val="none" w:sz="0" w:space="0" w:color="auto"/>
        <w:left w:val="none" w:sz="0" w:space="0" w:color="auto"/>
        <w:bottom w:val="none" w:sz="0" w:space="0" w:color="auto"/>
        <w:right w:val="none" w:sz="0" w:space="0" w:color="auto"/>
      </w:divBdr>
    </w:div>
    <w:div w:id="1025667894">
      <w:marLeft w:val="0"/>
      <w:marRight w:val="0"/>
      <w:marTop w:val="0"/>
      <w:marBottom w:val="240"/>
      <w:divBdr>
        <w:top w:val="none" w:sz="0" w:space="0" w:color="auto"/>
        <w:left w:val="none" w:sz="0" w:space="0" w:color="auto"/>
        <w:bottom w:val="none" w:sz="0" w:space="0" w:color="auto"/>
        <w:right w:val="none" w:sz="0" w:space="0" w:color="auto"/>
      </w:divBdr>
    </w:div>
    <w:div w:id="1043023976">
      <w:marLeft w:val="0"/>
      <w:marRight w:val="0"/>
      <w:marTop w:val="0"/>
      <w:marBottom w:val="0"/>
      <w:divBdr>
        <w:top w:val="none" w:sz="0" w:space="0" w:color="auto"/>
        <w:left w:val="none" w:sz="0" w:space="0" w:color="auto"/>
        <w:bottom w:val="none" w:sz="0" w:space="0" w:color="auto"/>
        <w:right w:val="none" w:sz="0" w:space="0" w:color="auto"/>
      </w:divBdr>
    </w:div>
    <w:div w:id="1049454918">
      <w:marLeft w:val="0"/>
      <w:marRight w:val="0"/>
      <w:marTop w:val="240"/>
      <w:marBottom w:val="0"/>
      <w:divBdr>
        <w:top w:val="none" w:sz="0" w:space="0" w:color="auto"/>
        <w:left w:val="none" w:sz="0" w:space="0" w:color="auto"/>
        <w:bottom w:val="none" w:sz="0" w:space="0" w:color="auto"/>
        <w:right w:val="none" w:sz="0" w:space="0" w:color="auto"/>
      </w:divBdr>
    </w:div>
    <w:div w:id="1050878240">
      <w:marLeft w:val="0"/>
      <w:marRight w:val="0"/>
      <w:marTop w:val="0"/>
      <w:marBottom w:val="0"/>
      <w:divBdr>
        <w:top w:val="none" w:sz="0" w:space="0" w:color="auto"/>
        <w:left w:val="none" w:sz="0" w:space="0" w:color="auto"/>
        <w:bottom w:val="none" w:sz="0" w:space="0" w:color="auto"/>
        <w:right w:val="none" w:sz="0" w:space="0" w:color="auto"/>
      </w:divBdr>
      <w:divsChild>
        <w:div w:id="798959163">
          <w:marLeft w:val="0"/>
          <w:marRight w:val="0"/>
          <w:marTop w:val="0"/>
          <w:marBottom w:val="0"/>
          <w:divBdr>
            <w:top w:val="none" w:sz="0" w:space="0" w:color="auto"/>
            <w:left w:val="none" w:sz="0" w:space="0" w:color="auto"/>
            <w:bottom w:val="none" w:sz="0" w:space="0" w:color="auto"/>
            <w:right w:val="none" w:sz="0" w:space="0" w:color="auto"/>
          </w:divBdr>
        </w:div>
      </w:divsChild>
    </w:div>
    <w:div w:id="1052537324">
      <w:marLeft w:val="0"/>
      <w:marRight w:val="0"/>
      <w:marTop w:val="0"/>
      <w:marBottom w:val="240"/>
      <w:divBdr>
        <w:top w:val="none" w:sz="0" w:space="0" w:color="auto"/>
        <w:left w:val="none" w:sz="0" w:space="0" w:color="auto"/>
        <w:bottom w:val="none" w:sz="0" w:space="0" w:color="auto"/>
        <w:right w:val="none" w:sz="0" w:space="0" w:color="auto"/>
      </w:divBdr>
    </w:div>
    <w:div w:id="1062020052">
      <w:marLeft w:val="0"/>
      <w:marRight w:val="0"/>
      <w:marTop w:val="0"/>
      <w:marBottom w:val="240"/>
      <w:divBdr>
        <w:top w:val="none" w:sz="0" w:space="0" w:color="auto"/>
        <w:left w:val="none" w:sz="0" w:space="0" w:color="auto"/>
        <w:bottom w:val="none" w:sz="0" w:space="0" w:color="auto"/>
        <w:right w:val="none" w:sz="0" w:space="0" w:color="auto"/>
      </w:divBdr>
    </w:div>
    <w:div w:id="1063018516">
      <w:marLeft w:val="0"/>
      <w:marRight w:val="0"/>
      <w:marTop w:val="0"/>
      <w:marBottom w:val="240"/>
      <w:divBdr>
        <w:top w:val="none" w:sz="0" w:space="0" w:color="auto"/>
        <w:left w:val="none" w:sz="0" w:space="0" w:color="auto"/>
        <w:bottom w:val="none" w:sz="0" w:space="0" w:color="auto"/>
        <w:right w:val="none" w:sz="0" w:space="0" w:color="auto"/>
      </w:divBdr>
    </w:div>
    <w:div w:id="1065378123">
      <w:marLeft w:val="0"/>
      <w:marRight w:val="0"/>
      <w:marTop w:val="240"/>
      <w:marBottom w:val="0"/>
      <w:divBdr>
        <w:top w:val="none" w:sz="0" w:space="0" w:color="auto"/>
        <w:left w:val="none" w:sz="0" w:space="0" w:color="auto"/>
        <w:bottom w:val="none" w:sz="0" w:space="0" w:color="auto"/>
        <w:right w:val="none" w:sz="0" w:space="0" w:color="auto"/>
      </w:divBdr>
    </w:div>
    <w:div w:id="1066807172">
      <w:marLeft w:val="0"/>
      <w:marRight w:val="0"/>
      <w:marTop w:val="0"/>
      <w:marBottom w:val="0"/>
      <w:divBdr>
        <w:top w:val="none" w:sz="0" w:space="0" w:color="auto"/>
        <w:left w:val="none" w:sz="0" w:space="0" w:color="auto"/>
        <w:bottom w:val="none" w:sz="0" w:space="0" w:color="auto"/>
        <w:right w:val="none" w:sz="0" w:space="0" w:color="auto"/>
      </w:divBdr>
    </w:div>
    <w:div w:id="1073820183">
      <w:marLeft w:val="0"/>
      <w:marRight w:val="0"/>
      <w:marTop w:val="0"/>
      <w:marBottom w:val="0"/>
      <w:divBdr>
        <w:top w:val="none" w:sz="0" w:space="0" w:color="auto"/>
        <w:left w:val="none" w:sz="0" w:space="0" w:color="auto"/>
        <w:bottom w:val="none" w:sz="0" w:space="0" w:color="auto"/>
        <w:right w:val="none" w:sz="0" w:space="0" w:color="auto"/>
      </w:divBdr>
      <w:divsChild>
        <w:div w:id="993996344">
          <w:marLeft w:val="0"/>
          <w:marRight w:val="0"/>
          <w:marTop w:val="0"/>
          <w:marBottom w:val="0"/>
          <w:divBdr>
            <w:top w:val="none" w:sz="0" w:space="0" w:color="auto"/>
            <w:left w:val="none" w:sz="0" w:space="0" w:color="auto"/>
            <w:bottom w:val="none" w:sz="0" w:space="0" w:color="auto"/>
            <w:right w:val="none" w:sz="0" w:space="0" w:color="auto"/>
          </w:divBdr>
        </w:div>
      </w:divsChild>
    </w:div>
    <w:div w:id="1077901850">
      <w:marLeft w:val="0"/>
      <w:marRight w:val="0"/>
      <w:marTop w:val="240"/>
      <w:marBottom w:val="0"/>
      <w:divBdr>
        <w:top w:val="none" w:sz="0" w:space="0" w:color="auto"/>
        <w:left w:val="none" w:sz="0" w:space="0" w:color="auto"/>
        <w:bottom w:val="none" w:sz="0" w:space="0" w:color="auto"/>
        <w:right w:val="none" w:sz="0" w:space="0" w:color="auto"/>
      </w:divBdr>
    </w:div>
    <w:div w:id="1078207516">
      <w:marLeft w:val="0"/>
      <w:marRight w:val="0"/>
      <w:marTop w:val="0"/>
      <w:marBottom w:val="240"/>
      <w:divBdr>
        <w:top w:val="none" w:sz="0" w:space="0" w:color="auto"/>
        <w:left w:val="none" w:sz="0" w:space="0" w:color="auto"/>
        <w:bottom w:val="none" w:sz="0" w:space="0" w:color="auto"/>
        <w:right w:val="none" w:sz="0" w:space="0" w:color="auto"/>
      </w:divBdr>
    </w:div>
    <w:div w:id="1079717892">
      <w:marLeft w:val="0"/>
      <w:marRight w:val="0"/>
      <w:marTop w:val="0"/>
      <w:marBottom w:val="240"/>
      <w:divBdr>
        <w:top w:val="none" w:sz="0" w:space="0" w:color="auto"/>
        <w:left w:val="none" w:sz="0" w:space="0" w:color="auto"/>
        <w:bottom w:val="none" w:sz="0" w:space="0" w:color="auto"/>
        <w:right w:val="none" w:sz="0" w:space="0" w:color="auto"/>
      </w:divBdr>
    </w:div>
    <w:div w:id="1081097728">
      <w:marLeft w:val="0"/>
      <w:marRight w:val="0"/>
      <w:marTop w:val="0"/>
      <w:marBottom w:val="200"/>
      <w:divBdr>
        <w:top w:val="none" w:sz="0" w:space="0" w:color="auto"/>
        <w:left w:val="none" w:sz="0" w:space="0" w:color="auto"/>
        <w:bottom w:val="none" w:sz="0" w:space="0" w:color="auto"/>
        <w:right w:val="none" w:sz="0" w:space="0" w:color="auto"/>
      </w:divBdr>
    </w:div>
    <w:div w:id="1085763091">
      <w:marLeft w:val="0"/>
      <w:marRight w:val="0"/>
      <w:marTop w:val="240"/>
      <w:marBottom w:val="0"/>
      <w:divBdr>
        <w:top w:val="none" w:sz="0" w:space="0" w:color="auto"/>
        <w:left w:val="none" w:sz="0" w:space="0" w:color="auto"/>
        <w:bottom w:val="none" w:sz="0" w:space="0" w:color="auto"/>
        <w:right w:val="none" w:sz="0" w:space="0" w:color="auto"/>
      </w:divBdr>
    </w:div>
    <w:div w:id="1086414437">
      <w:marLeft w:val="0"/>
      <w:marRight w:val="0"/>
      <w:marTop w:val="0"/>
      <w:marBottom w:val="0"/>
      <w:divBdr>
        <w:top w:val="none" w:sz="0" w:space="0" w:color="auto"/>
        <w:left w:val="none" w:sz="0" w:space="0" w:color="auto"/>
        <w:bottom w:val="none" w:sz="0" w:space="0" w:color="auto"/>
        <w:right w:val="none" w:sz="0" w:space="0" w:color="auto"/>
      </w:divBdr>
    </w:div>
    <w:div w:id="1086925938">
      <w:marLeft w:val="0"/>
      <w:marRight w:val="0"/>
      <w:marTop w:val="240"/>
      <w:marBottom w:val="240"/>
      <w:divBdr>
        <w:top w:val="none" w:sz="0" w:space="0" w:color="auto"/>
        <w:left w:val="none" w:sz="0" w:space="0" w:color="auto"/>
        <w:bottom w:val="none" w:sz="0" w:space="0" w:color="auto"/>
        <w:right w:val="none" w:sz="0" w:space="0" w:color="auto"/>
      </w:divBdr>
    </w:div>
    <w:div w:id="1087968163">
      <w:marLeft w:val="0"/>
      <w:marRight w:val="0"/>
      <w:marTop w:val="0"/>
      <w:marBottom w:val="180"/>
      <w:divBdr>
        <w:top w:val="none" w:sz="0" w:space="0" w:color="auto"/>
        <w:left w:val="none" w:sz="0" w:space="0" w:color="auto"/>
        <w:bottom w:val="none" w:sz="0" w:space="0" w:color="auto"/>
        <w:right w:val="none" w:sz="0" w:space="0" w:color="auto"/>
      </w:divBdr>
    </w:div>
    <w:div w:id="1092047682">
      <w:marLeft w:val="0"/>
      <w:marRight w:val="0"/>
      <w:marTop w:val="0"/>
      <w:marBottom w:val="0"/>
      <w:divBdr>
        <w:top w:val="none" w:sz="0" w:space="0" w:color="auto"/>
        <w:left w:val="none" w:sz="0" w:space="0" w:color="auto"/>
        <w:bottom w:val="none" w:sz="0" w:space="0" w:color="auto"/>
        <w:right w:val="none" w:sz="0" w:space="0" w:color="auto"/>
      </w:divBdr>
    </w:div>
    <w:div w:id="1092318648">
      <w:marLeft w:val="0"/>
      <w:marRight w:val="0"/>
      <w:marTop w:val="240"/>
      <w:marBottom w:val="240"/>
      <w:divBdr>
        <w:top w:val="none" w:sz="0" w:space="0" w:color="auto"/>
        <w:left w:val="none" w:sz="0" w:space="0" w:color="auto"/>
        <w:bottom w:val="none" w:sz="0" w:space="0" w:color="auto"/>
        <w:right w:val="none" w:sz="0" w:space="0" w:color="auto"/>
      </w:divBdr>
    </w:div>
    <w:div w:id="1095327738">
      <w:marLeft w:val="0"/>
      <w:marRight w:val="0"/>
      <w:marTop w:val="0"/>
      <w:marBottom w:val="240"/>
      <w:divBdr>
        <w:top w:val="none" w:sz="0" w:space="0" w:color="auto"/>
        <w:left w:val="none" w:sz="0" w:space="0" w:color="auto"/>
        <w:bottom w:val="none" w:sz="0" w:space="0" w:color="auto"/>
        <w:right w:val="none" w:sz="0" w:space="0" w:color="auto"/>
      </w:divBdr>
    </w:div>
    <w:div w:id="1102148538">
      <w:marLeft w:val="0"/>
      <w:marRight w:val="0"/>
      <w:marTop w:val="0"/>
      <w:marBottom w:val="0"/>
      <w:divBdr>
        <w:top w:val="none" w:sz="0" w:space="0" w:color="auto"/>
        <w:left w:val="none" w:sz="0" w:space="0" w:color="auto"/>
        <w:bottom w:val="none" w:sz="0" w:space="0" w:color="auto"/>
        <w:right w:val="none" w:sz="0" w:space="0" w:color="auto"/>
      </w:divBdr>
      <w:divsChild>
        <w:div w:id="867916604">
          <w:marLeft w:val="0"/>
          <w:marRight w:val="0"/>
          <w:marTop w:val="0"/>
          <w:marBottom w:val="0"/>
          <w:divBdr>
            <w:top w:val="none" w:sz="0" w:space="0" w:color="auto"/>
            <w:left w:val="none" w:sz="0" w:space="0" w:color="auto"/>
            <w:bottom w:val="none" w:sz="0" w:space="0" w:color="auto"/>
            <w:right w:val="none" w:sz="0" w:space="0" w:color="auto"/>
          </w:divBdr>
        </w:div>
      </w:divsChild>
    </w:div>
    <w:div w:id="1102846389">
      <w:marLeft w:val="0"/>
      <w:marRight w:val="0"/>
      <w:marTop w:val="0"/>
      <w:marBottom w:val="0"/>
      <w:divBdr>
        <w:top w:val="none" w:sz="0" w:space="0" w:color="auto"/>
        <w:left w:val="none" w:sz="0" w:space="0" w:color="auto"/>
        <w:bottom w:val="none" w:sz="0" w:space="0" w:color="auto"/>
        <w:right w:val="none" w:sz="0" w:space="0" w:color="auto"/>
      </w:divBdr>
      <w:divsChild>
        <w:div w:id="870650443">
          <w:marLeft w:val="0"/>
          <w:marRight w:val="0"/>
          <w:marTop w:val="0"/>
          <w:marBottom w:val="0"/>
          <w:divBdr>
            <w:top w:val="none" w:sz="0" w:space="0" w:color="auto"/>
            <w:left w:val="none" w:sz="0" w:space="0" w:color="auto"/>
            <w:bottom w:val="none" w:sz="0" w:space="0" w:color="auto"/>
            <w:right w:val="none" w:sz="0" w:space="0" w:color="auto"/>
          </w:divBdr>
        </w:div>
      </w:divsChild>
    </w:div>
    <w:div w:id="1116754902">
      <w:marLeft w:val="0"/>
      <w:marRight w:val="0"/>
      <w:marTop w:val="0"/>
      <w:marBottom w:val="240"/>
      <w:divBdr>
        <w:top w:val="none" w:sz="0" w:space="0" w:color="auto"/>
        <w:left w:val="none" w:sz="0" w:space="0" w:color="auto"/>
        <w:bottom w:val="none" w:sz="0" w:space="0" w:color="auto"/>
        <w:right w:val="none" w:sz="0" w:space="0" w:color="auto"/>
      </w:divBdr>
    </w:div>
    <w:div w:id="1130512160">
      <w:marLeft w:val="0"/>
      <w:marRight w:val="0"/>
      <w:marTop w:val="0"/>
      <w:marBottom w:val="240"/>
      <w:divBdr>
        <w:top w:val="none" w:sz="0" w:space="0" w:color="auto"/>
        <w:left w:val="none" w:sz="0" w:space="0" w:color="auto"/>
        <w:bottom w:val="none" w:sz="0" w:space="0" w:color="auto"/>
        <w:right w:val="none" w:sz="0" w:space="0" w:color="auto"/>
      </w:divBdr>
    </w:div>
    <w:div w:id="1131290509">
      <w:marLeft w:val="0"/>
      <w:marRight w:val="0"/>
      <w:marTop w:val="0"/>
      <w:marBottom w:val="0"/>
      <w:divBdr>
        <w:top w:val="none" w:sz="0" w:space="0" w:color="auto"/>
        <w:left w:val="none" w:sz="0" w:space="0" w:color="auto"/>
        <w:bottom w:val="none" w:sz="0" w:space="0" w:color="auto"/>
        <w:right w:val="none" w:sz="0" w:space="0" w:color="auto"/>
      </w:divBdr>
    </w:div>
    <w:div w:id="1132477502">
      <w:marLeft w:val="0"/>
      <w:marRight w:val="0"/>
      <w:marTop w:val="240"/>
      <w:marBottom w:val="240"/>
      <w:divBdr>
        <w:top w:val="none" w:sz="0" w:space="0" w:color="auto"/>
        <w:left w:val="none" w:sz="0" w:space="0" w:color="auto"/>
        <w:bottom w:val="none" w:sz="0" w:space="0" w:color="auto"/>
        <w:right w:val="none" w:sz="0" w:space="0" w:color="auto"/>
      </w:divBdr>
    </w:div>
    <w:div w:id="1134759376">
      <w:marLeft w:val="0"/>
      <w:marRight w:val="0"/>
      <w:marTop w:val="120"/>
      <w:marBottom w:val="0"/>
      <w:divBdr>
        <w:top w:val="none" w:sz="0" w:space="0" w:color="auto"/>
        <w:left w:val="none" w:sz="0" w:space="0" w:color="auto"/>
        <w:bottom w:val="none" w:sz="0" w:space="0" w:color="auto"/>
        <w:right w:val="none" w:sz="0" w:space="0" w:color="auto"/>
      </w:divBdr>
    </w:div>
    <w:div w:id="1140734234">
      <w:marLeft w:val="0"/>
      <w:marRight w:val="0"/>
      <w:marTop w:val="0"/>
      <w:marBottom w:val="0"/>
      <w:divBdr>
        <w:top w:val="none" w:sz="0" w:space="0" w:color="auto"/>
        <w:left w:val="none" w:sz="0" w:space="0" w:color="auto"/>
        <w:bottom w:val="none" w:sz="0" w:space="0" w:color="auto"/>
        <w:right w:val="none" w:sz="0" w:space="0" w:color="auto"/>
      </w:divBdr>
    </w:div>
    <w:div w:id="1146824787">
      <w:marLeft w:val="0"/>
      <w:marRight w:val="0"/>
      <w:marTop w:val="0"/>
      <w:marBottom w:val="240"/>
      <w:divBdr>
        <w:top w:val="none" w:sz="0" w:space="0" w:color="auto"/>
        <w:left w:val="none" w:sz="0" w:space="0" w:color="auto"/>
        <w:bottom w:val="none" w:sz="0" w:space="0" w:color="auto"/>
        <w:right w:val="none" w:sz="0" w:space="0" w:color="auto"/>
      </w:divBdr>
    </w:div>
    <w:div w:id="1149247083">
      <w:marLeft w:val="0"/>
      <w:marRight w:val="0"/>
      <w:marTop w:val="0"/>
      <w:marBottom w:val="0"/>
      <w:divBdr>
        <w:top w:val="none" w:sz="0" w:space="0" w:color="auto"/>
        <w:left w:val="none" w:sz="0" w:space="0" w:color="auto"/>
        <w:bottom w:val="none" w:sz="0" w:space="0" w:color="auto"/>
        <w:right w:val="none" w:sz="0" w:space="0" w:color="auto"/>
      </w:divBdr>
      <w:divsChild>
        <w:div w:id="808011402">
          <w:marLeft w:val="0"/>
          <w:marRight w:val="0"/>
          <w:marTop w:val="0"/>
          <w:marBottom w:val="0"/>
          <w:divBdr>
            <w:top w:val="none" w:sz="0" w:space="0" w:color="auto"/>
            <w:left w:val="none" w:sz="0" w:space="0" w:color="auto"/>
            <w:bottom w:val="none" w:sz="0" w:space="0" w:color="auto"/>
            <w:right w:val="none" w:sz="0" w:space="0" w:color="auto"/>
          </w:divBdr>
        </w:div>
      </w:divsChild>
    </w:div>
    <w:div w:id="1151486856">
      <w:marLeft w:val="0"/>
      <w:marRight w:val="0"/>
      <w:marTop w:val="0"/>
      <w:marBottom w:val="0"/>
      <w:divBdr>
        <w:top w:val="none" w:sz="0" w:space="0" w:color="auto"/>
        <w:left w:val="none" w:sz="0" w:space="0" w:color="auto"/>
        <w:bottom w:val="none" w:sz="0" w:space="0" w:color="auto"/>
        <w:right w:val="none" w:sz="0" w:space="0" w:color="auto"/>
      </w:divBdr>
    </w:div>
    <w:div w:id="1154956261">
      <w:marLeft w:val="0"/>
      <w:marRight w:val="0"/>
      <w:marTop w:val="0"/>
      <w:marBottom w:val="0"/>
      <w:divBdr>
        <w:top w:val="none" w:sz="0" w:space="0" w:color="auto"/>
        <w:left w:val="none" w:sz="0" w:space="0" w:color="auto"/>
        <w:bottom w:val="none" w:sz="0" w:space="0" w:color="auto"/>
        <w:right w:val="none" w:sz="0" w:space="0" w:color="auto"/>
      </w:divBdr>
      <w:divsChild>
        <w:div w:id="850949003">
          <w:marLeft w:val="0"/>
          <w:marRight w:val="0"/>
          <w:marTop w:val="0"/>
          <w:marBottom w:val="0"/>
          <w:divBdr>
            <w:top w:val="none" w:sz="0" w:space="0" w:color="auto"/>
            <w:left w:val="none" w:sz="0" w:space="0" w:color="auto"/>
            <w:bottom w:val="none" w:sz="0" w:space="0" w:color="auto"/>
            <w:right w:val="none" w:sz="0" w:space="0" w:color="auto"/>
          </w:divBdr>
        </w:div>
      </w:divsChild>
    </w:div>
    <w:div w:id="1157265649">
      <w:marLeft w:val="0"/>
      <w:marRight w:val="0"/>
      <w:marTop w:val="0"/>
      <w:marBottom w:val="0"/>
      <w:divBdr>
        <w:top w:val="none" w:sz="0" w:space="0" w:color="auto"/>
        <w:left w:val="none" w:sz="0" w:space="0" w:color="auto"/>
        <w:bottom w:val="none" w:sz="0" w:space="0" w:color="auto"/>
        <w:right w:val="none" w:sz="0" w:space="0" w:color="auto"/>
      </w:divBdr>
    </w:div>
    <w:div w:id="1163397165">
      <w:marLeft w:val="0"/>
      <w:marRight w:val="0"/>
      <w:marTop w:val="0"/>
      <w:marBottom w:val="240"/>
      <w:divBdr>
        <w:top w:val="none" w:sz="0" w:space="0" w:color="auto"/>
        <w:left w:val="none" w:sz="0" w:space="0" w:color="auto"/>
        <w:bottom w:val="none" w:sz="0" w:space="0" w:color="auto"/>
        <w:right w:val="none" w:sz="0" w:space="0" w:color="auto"/>
      </w:divBdr>
    </w:div>
    <w:div w:id="1164903009">
      <w:marLeft w:val="0"/>
      <w:marRight w:val="0"/>
      <w:marTop w:val="0"/>
      <w:marBottom w:val="0"/>
      <w:divBdr>
        <w:top w:val="none" w:sz="0" w:space="0" w:color="auto"/>
        <w:left w:val="none" w:sz="0" w:space="0" w:color="auto"/>
        <w:bottom w:val="none" w:sz="0" w:space="0" w:color="auto"/>
        <w:right w:val="none" w:sz="0" w:space="0" w:color="auto"/>
      </w:divBdr>
    </w:div>
    <w:div w:id="1166551546">
      <w:marLeft w:val="0"/>
      <w:marRight w:val="0"/>
      <w:marTop w:val="240"/>
      <w:marBottom w:val="240"/>
      <w:divBdr>
        <w:top w:val="none" w:sz="0" w:space="0" w:color="auto"/>
        <w:left w:val="none" w:sz="0" w:space="0" w:color="auto"/>
        <w:bottom w:val="none" w:sz="0" w:space="0" w:color="auto"/>
        <w:right w:val="none" w:sz="0" w:space="0" w:color="auto"/>
      </w:divBdr>
    </w:div>
    <w:div w:id="1169103725">
      <w:marLeft w:val="0"/>
      <w:marRight w:val="0"/>
      <w:marTop w:val="0"/>
      <w:marBottom w:val="0"/>
      <w:divBdr>
        <w:top w:val="none" w:sz="0" w:space="0" w:color="auto"/>
        <w:left w:val="none" w:sz="0" w:space="0" w:color="auto"/>
        <w:bottom w:val="none" w:sz="0" w:space="0" w:color="auto"/>
        <w:right w:val="none" w:sz="0" w:space="0" w:color="auto"/>
      </w:divBdr>
      <w:divsChild>
        <w:div w:id="27144821">
          <w:marLeft w:val="0"/>
          <w:marRight w:val="0"/>
          <w:marTop w:val="0"/>
          <w:marBottom w:val="0"/>
          <w:divBdr>
            <w:top w:val="none" w:sz="0" w:space="0" w:color="auto"/>
            <w:left w:val="none" w:sz="0" w:space="0" w:color="auto"/>
            <w:bottom w:val="none" w:sz="0" w:space="0" w:color="auto"/>
            <w:right w:val="none" w:sz="0" w:space="0" w:color="auto"/>
          </w:divBdr>
        </w:div>
      </w:divsChild>
    </w:div>
    <w:div w:id="1179587418">
      <w:marLeft w:val="0"/>
      <w:marRight w:val="0"/>
      <w:marTop w:val="0"/>
      <w:marBottom w:val="0"/>
      <w:divBdr>
        <w:top w:val="none" w:sz="0" w:space="0" w:color="auto"/>
        <w:left w:val="none" w:sz="0" w:space="0" w:color="auto"/>
        <w:bottom w:val="none" w:sz="0" w:space="0" w:color="auto"/>
        <w:right w:val="none" w:sz="0" w:space="0" w:color="auto"/>
      </w:divBdr>
      <w:divsChild>
        <w:div w:id="881094917">
          <w:marLeft w:val="0"/>
          <w:marRight w:val="0"/>
          <w:marTop w:val="0"/>
          <w:marBottom w:val="0"/>
          <w:divBdr>
            <w:top w:val="none" w:sz="0" w:space="0" w:color="auto"/>
            <w:left w:val="none" w:sz="0" w:space="0" w:color="auto"/>
            <w:bottom w:val="none" w:sz="0" w:space="0" w:color="auto"/>
            <w:right w:val="none" w:sz="0" w:space="0" w:color="auto"/>
          </w:divBdr>
        </w:div>
        <w:div w:id="1728871521">
          <w:marLeft w:val="0"/>
          <w:marRight w:val="0"/>
          <w:marTop w:val="0"/>
          <w:marBottom w:val="0"/>
          <w:divBdr>
            <w:top w:val="none" w:sz="0" w:space="0" w:color="auto"/>
            <w:left w:val="none" w:sz="0" w:space="0" w:color="auto"/>
            <w:bottom w:val="none" w:sz="0" w:space="0" w:color="auto"/>
            <w:right w:val="none" w:sz="0" w:space="0" w:color="auto"/>
          </w:divBdr>
        </w:div>
        <w:div w:id="847905592">
          <w:marLeft w:val="0"/>
          <w:marRight w:val="0"/>
          <w:marTop w:val="0"/>
          <w:marBottom w:val="0"/>
          <w:divBdr>
            <w:top w:val="none" w:sz="0" w:space="0" w:color="auto"/>
            <w:left w:val="none" w:sz="0" w:space="0" w:color="auto"/>
            <w:bottom w:val="none" w:sz="0" w:space="0" w:color="auto"/>
            <w:right w:val="none" w:sz="0" w:space="0" w:color="auto"/>
          </w:divBdr>
        </w:div>
        <w:div w:id="2100826134">
          <w:marLeft w:val="0"/>
          <w:marRight w:val="0"/>
          <w:marTop w:val="0"/>
          <w:marBottom w:val="0"/>
          <w:divBdr>
            <w:top w:val="none" w:sz="0" w:space="0" w:color="auto"/>
            <w:left w:val="none" w:sz="0" w:space="0" w:color="auto"/>
            <w:bottom w:val="none" w:sz="0" w:space="0" w:color="auto"/>
            <w:right w:val="none" w:sz="0" w:space="0" w:color="auto"/>
          </w:divBdr>
        </w:div>
      </w:divsChild>
    </w:div>
    <w:div w:id="1187913641">
      <w:marLeft w:val="0"/>
      <w:marRight w:val="0"/>
      <w:marTop w:val="0"/>
      <w:marBottom w:val="0"/>
      <w:divBdr>
        <w:top w:val="none" w:sz="0" w:space="0" w:color="auto"/>
        <w:left w:val="none" w:sz="0" w:space="0" w:color="auto"/>
        <w:bottom w:val="none" w:sz="0" w:space="0" w:color="auto"/>
        <w:right w:val="none" w:sz="0" w:space="0" w:color="auto"/>
      </w:divBdr>
    </w:div>
    <w:div w:id="1193574285">
      <w:marLeft w:val="0"/>
      <w:marRight w:val="0"/>
      <w:marTop w:val="0"/>
      <w:marBottom w:val="240"/>
      <w:divBdr>
        <w:top w:val="none" w:sz="0" w:space="0" w:color="auto"/>
        <w:left w:val="none" w:sz="0" w:space="0" w:color="auto"/>
        <w:bottom w:val="none" w:sz="0" w:space="0" w:color="auto"/>
        <w:right w:val="none" w:sz="0" w:space="0" w:color="auto"/>
      </w:divBdr>
    </w:div>
    <w:div w:id="1205100488">
      <w:marLeft w:val="0"/>
      <w:marRight w:val="0"/>
      <w:marTop w:val="0"/>
      <w:marBottom w:val="0"/>
      <w:divBdr>
        <w:top w:val="none" w:sz="0" w:space="0" w:color="auto"/>
        <w:left w:val="none" w:sz="0" w:space="0" w:color="auto"/>
        <w:bottom w:val="none" w:sz="0" w:space="0" w:color="auto"/>
        <w:right w:val="none" w:sz="0" w:space="0" w:color="auto"/>
      </w:divBdr>
      <w:divsChild>
        <w:div w:id="552691981">
          <w:marLeft w:val="0"/>
          <w:marRight w:val="0"/>
          <w:marTop w:val="0"/>
          <w:marBottom w:val="0"/>
          <w:divBdr>
            <w:top w:val="none" w:sz="0" w:space="0" w:color="auto"/>
            <w:left w:val="none" w:sz="0" w:space="0" w:color="auto"/>
            <w:bottom w:val="none" w:sz="0" w:space="0" w:color="auto"/>
            <w:right w:val="none" w:sz="0" w:space="0" w:color="auto"/>
          </w:divBdr>
        </w:div>
      </w:divsChild>
    </w:div>
    <w:div w:id="1208299548">
      <w:marLeft w:val="0"/>
      <w:marRight w:val="0"/>
      <w:marTop w:val="0"/>
      <w:marBottom w:val="240"/>
      <w:divBdr>
        <w:top w:val="none" w:sz="0" w:space="0" w:color="auto"/>
        <w:left w:val="none" w:sz="0" w:space="0" w:color="auto"/>
        <w:bottom w:val="none" w:sz="0" w:space="0" w:color="auto"/>
        <w:right w:val="none" w:sz="0" w:space="0" w:color="auto"/>
      </w:divBdr>
    </w:div>
    <w:div w:id="1209413146">
      <w:marLeft w:val="0"/>
      <w:marRight w:val="0"/>
      <w:marTop w:val="240"/>
      <w:marBottom w:val="240"/>
      <w:divBdr>
        <w:top w:val="none" w:sz="0" w:space="0" w:color="auto"/>
        <w:left w:val="none" w:sz="0" w:space="0" w:color="auto"/>
        <w:bottom w:val="none" w:sz="0" w:space="0" w:color="auto"/>
        <w:right w:val="none" w:sz="0" w:space="0" w:color="auto"/>
      </w:divBdr>
    </w:div>
    <w:div w:id="1218585117">
      <w:marLeft w:val="0"/>
      <w:marRight w:val="0"/>
      <w:marTop w:val="240"/>
      <w:marBottom w:val="240"/>
      <w:divBdr>
        <w:top w:val="none" w:sz="0" w:space="0" w:color="auto"/>
        <w:left w:val="none" w:sz="0" w:space="0" w:color="auto"/>
        <w:bottom w:val="none" w:sz="0" w:space="0" w:color="auto"/>
        <w:right w:val="none" w:sz="0" w:space="0" w:color="auto"/>
      </w:divBdr>
    </w:div>
    <w:div w:id="1233467137">
      <w:marLeft w:val="0"/>
      <w:marRight w:val="0"/>
      <w:marTop w:val="240"/>
      <w:marBottom w:val="240"/>
      <w:divBdr>
        <w:top w:val="none" w:sz="0" w:space="0" w:color="auto"/>
        <w:left w:val="none" w:sz="0" w:space="0" w:color="auto"/>
        <w:bottom w:val="none" w:sz="0" w:space="0" w:color="auto"/>
        <w:right w:val="none" w:sz="0" w:space="0" w:color="auto"/>
      </w:divBdr>
    </w:div>
    <w:div w:id="1241717173">
      <w:marLeft w:val="0"/>
      <w:marRight w:val="0"/>
      <w:marTop w:val="0"/>
      <w:marBottom w:val="240"/>
      <w:divBdr>
        <w:top w:val="none" w:sz="0" w:space="0" w:color="auto"/>
        <w:left w:val="none" w:sz="0" w:space="0" w:color="auto"/>
        <w:bottom w:val="none" w:sz="0" w:space="0" w:color="auto"/>
        <w:right w:val="none" w:sz="0" w:space="0" w:color="auto"/>
      </w:divBdr>
    </w:div>
    <w:div w:id="1242257903">
      <w:marLeft w:val="0"/>
      <w:marRight w:val="0"/>
      <w:marTop w:val="0"/>
      <w:marBottom w:val="240"/>
      <w:divBdr>
        <w:top w:val="none" w:sz="0" w:space="0" w:color="auto"/>
        <w:left w:val="none" w:sz="0" w:space="0" w:color="auto"/>
        <w:bottom w:val="none" w:sz="0" w:space="0" w:color="auto"/>
        <w:right w:val="none" w:sz="0" w:space="0" w:color="auto"/>
      </w:divBdr>
    </w:div>
    <w:div w:id="1242720563">
      <w:marLeft w:val="0"/>
      <w:marRight w:val="0"/>
      <w:marTop w:val="240"/>
      <w:marBottom w:val="0"/>
      <w:divBdr>
        <w:top w:val="none" w:sz="0" w:space="0" w:color="auto"/>
        <w:left w:val="none" w:sz="0" w:space="0" w:color="auto"/>
        <w:bottom w:val="none" w:sz="0" w:space="0" w:color="auto"/>
        <w:right w:val="none" w:sz="0" w:space="0" w:color="auto"/>
      </w:divBdr>
    </w:div>
    <w:div w:id="1245410380">
      <w:marLeft w:val="0"/>
      <w:marRight w:val="0"/>
      <w:marTop w:val="120"/>
      <w:marBottom w:val="240"/>
      <w:divBdr>
        <w:top w:val="none" w:sz="0" w:space="0" w:color="auto"/>
        <w:left w:val="none" w:sz="0" w:space="0" w:color="auto"/>
        <w:bottom w:val="none" w:sz="0" w:space="0" w:color="auto"/>
        <w:right w:val="none" w:sz="0" w:space="0" w:color="auto"/>
      </w:divBdr>
    </w:div>
    <w:div w:id="1248419288">
      <w:marLeft w:val="0"/>
      <w:marRight w:val="0"/>
      <w:marTop w:val="0"/>
      <w:marBottom w:val="240"/>
      <w:divBdr>
        <w:top w:val="none" w:sz="0" w:space="0" w:color="auto"/>
        <w:left w:val="none" w:sz="0" w:space="0" w:color="auto"/>
        <w:bottom w:val="none" w:sz="0" w:space="0" w:color="auto"/>
        <w:right w:val="none" w:sz="0" w:space="0" w:color="auto"/>
      </w:divBdr>
    </w:div>
    <w:div w:id="1253197776">
      <w:marLeft w:val="0"/>
      <w:marRight w:val="0"/>
      <w:marTop w:val="240"/>
      <w:marBottom w:val="240"/>
      <w:divBdr>
        <w:top w:val="none" w:sz="0" w:space="0" w:color="auto"/>
        <w:left w:val="none" w:sz="0" w:space="0" w:color="auto"/>
        <w:bottom w:val="none" w:sz="0" w:space="0" w:color="auto"/>
        <w:right w:val="none" w:sz="0" w:space="0" w:color="auto"/>
      </w:divBdr>
    </w:div>
    <w:div w:id="1264532398">
      <w:marLeft w:val="0"/>
      <w:marRight w:val="0"/>
      <w:marTop w:val="0"/>
      <w:marBottom w:val="240"/>
      <w:divBdr>
        <w:top w:val="none" w:sz="0" w:space="0" w:color="auto"/>
        <w:left w:val="none" w:sz="0" w:space="0" w:color="auto"/>
        <w:bottom w:val="none" w:sz="0" w:space="0" w:color="auto"/>
        <w:right w:val="none" w:sz="0" w:space="0" w:color="auto"/>
      </w:divBdr>
    </w:div>
    <w:div w:id="1264873504">
      <w:marLeft w:val="0"/>
      <w:marRight w:val="0"/>
      <w:marTop w:val="0"/>
      <w:marBottom w:val="0"/>
      <w:divBdr>
        <w:top w:val="none" w:sz="0" w:space="0" w:color="auto"/>
        <w:left w:val="none" w:sz="0" w:space="0" w:color="auto"/>
        <w:bottom w:val="none" w:sz="0" w:space="0" w:color="auto"/>
        <w:right w:val="none" w:sz="0" w:space="0" w:color="auto"/>
      </w:divBdr>
      <w:divsChild>
        <w:div w:id="2037189805">
          <w:marLeft w:val="0"/>
          <w:marRight w:val="0"/>
          <w:marTop w:val="0"/>
          <w:marBottom w:val="0"/>
          <w:divBdr>
            <w:top w:val="none" w:sz="0" w:space="0" w:color="auto"/>
            <w:left w:val="none" w:sz="0" w:space="0" w:color="auto"/>
            <w:bottom w:val="none" w:sz="0" w:space="0" w:color="auto"/>
            <w:right w:val="none" w:sz="0" w:space="0" w:color="auto"/>
          </w:divBdr>
        </w:div>
      </w:divsChild>
    </w:div>
    <w:div w:id="1267348183">
      <w:marLeft w:val="0"/>
      <w:marRight w:val="0"/>
      <w:marTop w:val="0"/>
      <w:marBottom w:val="0"/>
      <w:divBdr>
        <w:top w:val="none" w:sz="0" w:space="0" w:color="auto"/>
        <w:left w:val="none" w:sz="0" w:space="0" w:color="auto"/>
        <w:bottom w:val="none" w:sz="0" w:space="0" w:color="auto"/>
        <w:right w:val="none" w:sz="0" w:space="0" w:color="auto"/>
      </w:divBdr>
    </w:div>
    <w:div w:id="1269118658">
      <w:marLeft w:val="0"/>
      <w:marRight w:val="0"/>
      <w:marTop w:val="0"/>
      <w:marBottom w:val="0"/>
      <w:divBdr>
        <w:top w:val="none" w:sz="0" w:space="0" w:color="auto"/>
        <w:left w:val="none" w:sz="0" w:space="0" w:color="auto"/>
        <w:bottom w:val="none" w:sz="0" w:space="0" w:color="auto"/>
        <w:right w:val="none" w:sz="0" w:space="0" w:color="auto"/>
      </w:divBdr>
      <w:divsChild>
        <w:div w:id="1020669220">
          <w:marLeft w:val="0"/>
          <w:marRight w:val="0"/>
          <w:marTop w:val="0"/>
          <w:marBottom w:val="0"/>
          <w:divBdr>
            <w:top w:val="none" w:sz="0" w:space="0" w:color="auto"/>
            <w:left w:val="none" w:sz="0" w:space="0" w:color="auto"/>
            <w:bottom w:val="none" w:sz="0" w:space="0" w:color="auto"/>
            <w:right w:val="none" w:sz="0" w:space="0" w:color="auto"/>
          </w:divBdr>
        </w:div>
      </w:divsChild>
    </w:div>
    <w:div w:id="1280648573">
      <w:marLeft w:val="0"/>
      <w:marRight w:val="0"/>
      <w:marTop w:val="0"/>
      <w:marBottom w:val="240"/>
      <w:divBdr>
        <w:top w:val="none" w:sz="0" w:space="0" w:color="auto"/>
        <w:left w:val="none" w:sz="0" w:space="0" w:color="auto"/>
        <w:bottom w:val="none" w:sz="0" w:space="0" w:color="auto"/>
        <w:right w:val="none" w:sz="0" w:space="0" w:color="auto"/>
      </w:divBdr>
    </w:div>
    <w:div w:id="1281187381">
      <w:marLeft w:val="0"/>
      <w:marRight w:val="0"/>
      <w:marTop w:val="0"/>
      <w:marBottom w:val="0"/>
      <w:divBdr>
        <w:top w:val="none" w:sz="0" w:space="0" w:color="auto"/>
        <w:left w:val="none" w:sz="0" w:space="0" w:color="auto"/>
        <w:bottom w:val="none" w:sz="0" w:space="0" w:color="auto"/>
        <w:right w:val="none" w:sz="0" w:space="0" w:color="auto"/>
      </w:divBdr>
      <w:divsChild>
        <w:div w:id="1701004385">
          <w:marLeft w:val="0"/>
          <w:marRight w:val="0"/>
          <w:marTop w:val="0"/>
          <w:marBottom w:val="0"/>
          <w:divBdr>
            <w:top w:val="none" w:sz="0" w:space="0" w:color="auto"/>
            <w:left w:val="none" w:sz="0" w:space="0" w:color="auto"/>
            <w:bottom w:val="none" w:sz="0" w:space="0" w:color="auto"/>
            <w:right w:val="none" w:sz="0" w:space="0" w:color="auto"/>
          </w:divBdr>
        </w:div>
      </w:divsChild>
    </w:div>
    <w:div w:id="1286082790">
      <w:marLeft w:val="0"/>
      <w:marRight w:val="0"/>
      <w:marTop w:val="0"/>
      <w:marBottom w:val="120"/>
      <w:divBdr>
        <w:top w:val="none" w:sz="0" w:space="0" w:color="auto"/>
        <w:left w:val="none" w:sz="0" w:space="0" w:color="auto"/>
        <w:bottom w:val="none" w:sz="0" w:space="0" w:color="auto"/>
        <w:right w:val="none" w:sz="0" w:space="0" w:color="auto"/>
      </w:divBdr>
    </w:div>
    <w:div w:id="1290016421">
      <w:marLeft w:val="0"/>
      <w:marRight w:val="0"/>
      <w:marTop w:val="0"/>
      <w:marBottom w:val="240"/>
      <w:divBdr>
        <w:top w:val="none" w:sz="0" w:space="0" w:color="auto"/>
        <w:left w:val="none" w:sz="0" w:space="0" w:color="auto"/>
        <w:bottom w:val="none" w:sz="0" w:space="0" w:color="auto"/>
        <w:right w:val="none" w:sz="0" w:space="0" w:color="auto"/>
      </w:divBdr>
    </w:div>
    <w:div w:id="1294560357">
      <w:marLeft w:val="0"/>
      <w:marRight w:val="0"/>
      <w:marTop w:val="0"/>
      <w:marBottom w:val="200"/>
      <w:divBdr>
        <w:top w:val="none" w:sz="0" w:space="0" w:color="auto"/>
        <w:left w:val="none" w:sz="0" w:space="0" w:color="auto"/>
        <w:bottom w:val="none" w:sz="0" w:space="0" w:color="auto"/>
        <w:right w:val="none" w:sz="0" w:space="0" w:color="auto"/>
      </w:divBdr>
    </w:div>
    <w:div w:id="1294604210">
      <w:marLeft w:val="0"/>
      <w:marRight w:val="0"/>
      <w:marTop w:val="240"/>
      <w:marBottom w:val="240"/>
      <w:divBdr>
        <w:top w:val="none" w:sz="0" w:space="0" w:color="auto"/>
        <w:left w:val="none" w:sz="0" w:space="0" w:color="auto"/>
        <w:bottom w:val="none" w:sz="0" w:space="0" w:color="auto"/>
        <w:right w:val="none" w:sz="0" w:space="0" w:color="auto"/>
      </w:divBdr>
    </w:div>
    <w:div w:id="1315718935">
      <w:marLeft w:val="0"/>
      <w:marRight w:val="0"/>
      <w:marTop w:val="240"/>
      <w:marBottom w:val="240"/>
      <w:divBdr>
        <w:top w:val="none" w:sz="0" w:space="0" w:color="auto"/>
        <w:left w:val="none" w:sz="0" w:space="0" w:color="auto"/>
        <w:bottom w:val="none" w:sz="0" w:space="0" w:color="auto"/>
        <w:right w:val="none" w:sz="0" w:space="0" w:color="auto"/>
      </w:divBdr>
    </w:div>
    <w:div w:id="1320965014">
      <w:marLeft w:val="0"/>
      <w:marRight w:val="0"/>
      <w:marTop w:val="0"/>
      <w:marBottom w:val="180"/>
      <w:divBdr>
        <w:top w:val="none" w:sz="0" w:space="0" w:color="auto"/>
        <w:left w:val="none" w:sz="0" w:space="0" w:color="auto"/>
        <w:bottom w:val="none" w:sz="0" w:space="0" w:color="auto"/>
        <w:right w:val="none" w:sz="0" w:space="0" w:color="auto"/>
      </w:divBdr>
    </w:div>
    <w:div w:id="1324548332">
      <w:marLeft w:val="0"/>
      <w:marRight w:val="0"/>
      <w:marTop w:val="0"/>
      <w:marBottom w:val="240"/>
      <w:divBdr>
        <w:top w:val="none" w:sz="0" w:space="0" w:color="auto"/>
        <w:left w:val="none" w:sz="0" w:space="0" w:color="auto"/>
        <w:bottom w:val="none" w:sz="0" w:space="0" w:color="auto"/>
        <w:right w:val="none" w:sz="0" w:space="0" w:color="auto"/>
      </w:divBdr>
    </w:div>
    <w:div w:id="1328636183">
      <w:marLeft w:val="0"/>
      <w:marRight w:val="0"/>
      <w:marTop w:val="0"/>
      <w:marBottom w:val="0"/>
      <w:divBdr>
        <w:top w:val="none" w:sz="0" w:space="0" w:color="auto"/>
        <w:left w:val="none" w:sz="0" w:space="0" w:color="auto"/>
        <w:bottom w:val="none" w:sz="0" w:space="0" w:color="auto"/>
        <w:right w:val="none" w:sz="0" w:space="0" w:color="auto"/>
      </w:divBdr>
    </w:div>
    <w:div w:id="1328971570">
      <w:marLeft w:val="0"/>
      <w:marRight w:val="0"/>
      <w:marTop w:val="120"/>
      <w:marBottom w:val="240"/>
      <w:divBdr>
        <w:top w:val="none" w:sz="0" w:space="0" w:color="auto"/>
        <w:left w:val="none" w:sz="0" w:space="0" w:color="auto"/>
        <w:bottom w:val="none" w:sz="0" w:space="0" w:color="auto"/>
        <w:right w:val="none" w:sz="0" w:space="0" w:color="auto"/>
      </w:divBdr>
    </w:div>
    <w:div w:id="1342701951">
      <w:marLeft w:val="0"/>
      <w:marRight w:val="0"/>
      <w:marTop w:val="240"/>
      <w:marBottom w:val="0"/>
      <w:divBdr>
        <w:top w:val="none" w:sz="0" w:space="0" w:color="auto"/>
        <w:left w:val="none" w:sz="0" w:space="0" w:color="auto"/>
        <w:bottom w:val="none" w:sz="0" w:space="0" w:color="auto"/>
        <w:right w:val="none" w:sz="0" w:space="0" w:color="auto"/>
      </w:divBdr>
    </w:div>
    <w:div w:id="1347366805">
      <w:marLeft w:val="0"/>
      <w:marRight w:val="0"/>
      <w:marTop w:val="240"/>
      <w:marBottom w:val="240"/>
      <w:divBdr>
        <w:top w:val="none" w:sz="0" w:space="0" w:color="auto"/>
        <w:left w:val="none" w:sz="0" w:space="0" w:color="auto"/>
        <w:bottom w:val="none" w:sz="0" w:space="0" w:color="auto"/>
        <w:right w:val="none" w:sz="0" w:space="0" w:color="auto"/>
      </w:divBdr>
    </w:div>
    <w:div w:id="1347630470">
      <w:marLeft w:val="0"/>
      <w:marRight w:val="0"/>
      <w:marTop w:val="0"/>
      <w:marBottom w:val="240"/>
      <w:divBdr>
        <w:top w:val="none" w:sz="0" w:space="0" w:color="auto"/>
        <w:left w:val="none" w:sz="0" w:space="0" w:color="auto"/>
        <w:bottom w:val="none" w:sz="0" w:space="0" w:color="auto"/>
        <w:right w:val="none" w:sz="0" w:space="0" w:color="auto"/>
      </w:divBdr>
    </w:div>
    <w:div w:id="1351028511">
      <w:marLeft w:val="0"/>
      <w:marRight w:val="0"/>
      <w:marTop w:val="120"/>
      <w:marBottom w:val="240"/>
      <w:divBdr>
        <w:top w:val="none" w:sz="0" w:space="0" w:color="auto"/>
        <w:left w:val="none" w:sz="0" w:space="0" w:color="auto"/>
        <w:bottom w:val="none" w:sz="0" w:space="0" w:color="auto"/>
        <w:right w:val="none" w:sz="0" w:space="0" w:color="auto"/>
      </w:divBdr>
    </w:div>
    <w:div w:id="1359505551">
      <w:marLeft w:val="0"/>
      <w:marRight w:val="0"/>
      <w:marTop w:val="0"/>
      <w:marBottom w:val="240"/>
      <w:divBdr>
        <w:top w:val="none" w:sz="0" w:space="0" w:color="auto"/>
        <w:left w:val="none" w:sz="0" w:space="0" w:color="auto"/>
        <w:bottom w:val="none" w:sz="0" w:space="0" w:color="auto"/>
        <w:right w:val="none" w:sz="0" w:space="0" w:color="auto"/>
      </w:divBdr>
    </w:div>
    <w:div w:id="1359771885">
      <w:marLeft w:val="0"/>
      <w:marRight w:val="0"/>
      <w:marTop w:val="240"/>
      <w:marBottom w:val="0"/>
      <w:divBdr>
        <w:top w:val="none" w:sz="0" w:space="0" w:color="auto"/>
        <w:left w:val="none" w:sz="0" w:space="0" w:color="auto"/>
        <w:bottom w:val="none" w:sz="0" w:space="0" w:color="auto"/>
        <w:right w:val="none" w:sz="0" w:space="0" w:color="auto"/>
      </w:divBdr>
    </w:div>
    <w:div w:id="1365517245">
      <w:marLeft w:val="0"/>
      <w:marRight w:val="0"/>
      <w:marTop w:val="0"/>
      <w:marBottom w:val="240"/>
      <w:divBdr>
        <w:top w:val="none" w:sz="0" w:space="0" w:color="auto"/>
        <w:left w:val="none" w:sz="0" w:space="0" w:color="auto"/>
        <w:bottom w:val="none" w:sz="0" w:space="0" w:color="auto"/>
        <w:right w:val="none" w:sz="0" w:space="0" w:color="auto"/>
      </w:divBdr>
    </w:div>
    <w:div w:id="1367678907">
      <w:marLeft w:val="0"/>
      <w:marRight w:val="0"/>
      <w:marTop w:val="0"/>
      <w:marBottom w:val="0"/>
      <w:divBdr>
        <w:top w:val="none" w:sz="0" w:space="0" w:color="auto"/>
        <w:left w:val="none" w:sz="0" w:space="0" w:color="auto"/>
        <w:bottom w:val="none" w:sz="0" w:space="0" w:color="auto"/>
        <w:right w:val="none" w:sz="0" w:space="0" w:color="auto"/>
      </w:divBdr>
    </w:div>
    <w:div w:id="1371956046">
      <w:marLeft w:val="0"/>
      <w:marRight w:val="0"/>
      <w:marTop w:val="120"/>
      <w:marBottom w:val="240"/>
      <w:divBdr>
        <w:top w:val="none" w:sz="0" w:space="0" w:color="auto"/>
        <w:left w:val="none" w:sz="0" w:space="0" w:color="auto"/>
        <w:bottom w:val="none" w:sz="0" w:space="0" w:color="auto"/>
        <w:right w:val="none" w:sz="0" w:space="0" w:color="auto"/>
      </w:divBdr>
    </w:div>
    <w:div w:id="1372144378">
      <w:marLeft w:val="0"/>
      <w:marRight w:val="0"/>
      <w:marTop w:val="0"/>
      <w:marBottom w:val="240"/>
      <w:divBdr>
        <w:top w:val="none" w:sz="0" w:space="0" w:color="auto"/>
        <w:left w:val="none" w:sz="0" w:space="0" w:color="auto"/>
        <w:bottom w:val="none" w:sz="0" w:space="0" w:color="auto"/>
        <w:right w:val="none" w:sz="0" w:space="0" w:color="auto"/>
      </w:divBdr>
    </w:div>
    <w:div w:id="1385594147">
      <w:marLeft w:val="0"/>
      <w:marRight w:val="0"/>
      <w:marTop w:val="240"/>
      <w:marBottom w:val="0"/>
      <w:divBdr>
        <w:top w:val="none" w:sz="0" w:space="0" w:color="auto"/>
        <w:left w:val="none" w:sz="0" w:space="0" w:color="auto"/>
        <w:bottom w:val="none" w:sz="0" w:space="0" w:color="auto"/>
        <w:right w:val="none" w:sz="0" w:space="0" w:color="auto"/>
      </w:divBdr>
    </w:div>
    <w:div w:id="1389067001">
      <w:marLeft w:val="0"/>
      <w:marRight w:val="0"/>
      <w:marTop w:val="0"/>
      <w:marBottom w:val="0"/>
      <w:divBdr>
        <w:top w:val="none" w:sz="0" w:space="0" w:color="auto"/>
        <w:left w:val="none" w:sz="0" w:space="0" w:color="auto"/>
        <w:bottom w:val="none" w:sz="0" w:space="0" w:color="auto"/>
        <w:right w:val="none" w:sz="0" w:space="0" w:color="auto"/>
      </w:divBdr>
      <w:divsChild>
        <w:div w:id="1518539689">
          <w:marLeft w:val="0"/>
          <w:marRight w:val="0"/>
          <w:marTop w:val="0"/>
          <w:marBottom w:val="0"/>
          <w:divBdr>
            <w:top w:val="none" w:sz="0" w:space="0" w:color="auto"/>
            <w:left w:val="none" w:sz="0" w:space="0" w:color="auto"/>
            <w:bottom w:val="none" w:sz="0" w:space="0" w:color="auto"/>
            <w:right w:val="none" w:sz="0" w:space="0" w:color="auto"/>
          </w:divBdr>
        </w:div>
      </w:divsChild>
    </w:div>
    <w:div w:id="1396663370">
      <w:marLeft w:val="0"/>
      <w:marRight w:val="0"/>
      <w:marTop w:val="0"/>
      <w:marBottom w:val="0"/>
      <w:divBdr>
        <w:top w:val="none" w:sz="0" w:space="0" w:color="auto"/>
        <w:left w:val="none" w:sz="0" w:space="0" w:color="auto"/>
        <w:bottom w:val="none" w:sz="0" w:space="0" w:color="auto"/>
        <w:right w:val="none" w:sz="0" w:space="0" w:color="auto"/>
      </w:divBdr>
      <w:divsChild>
        <w:div w:id="709886992">
          <w:marLeft w:val="0"/>
          <w:marRight w:val="0"/>
          <w:marTop w:val="0"/>
          <w:marBottom w:val="0"/>
          <w:divBdr>
            <w:top w:val="none" w:sz="0" w:space="0" w:color="auto"/>
            <w:left w:val="none" w:sz="0" w:space="0" w:color="auto"/>
            <w:bottom w:val="none" w:sz="0" w:space="0" w:color="auto"/>
            <w:right w:val="none" w:sz="0" w:space="0" w:color="auto"/>
          </w:divBdr>
        </w:div>
      </w:divsChild>
    </w:div>
    <w:div w:id="1398698963">
      <w:marLeft w:val="0"/>
      <w:marRight w:val="0"/>
      <w:marTop w:val="0"/>
      <w:marBottom w:val="120"/>
      <w:divBdr>
        <w:top w:val="none" w:sz="0" w:space="0" w:color="auto"/>
        <w:left w:val="none" w:sz="0" w:space="0" w:color="auto"/>
        <w:bottom w:val="none" w:sz="0" w:space="0" w:color="auto"/>
        <w:right w:val="none" w:sz="0" w:space="0" w:color="auto"/>
      </w:divBdr>
    </w:div>
    <w:div w:id="1405830926">
      <w:marLeft w:val="0"/>
      <w:marRight w:val="0"/>
      <w:marTop w:val="0"/>
      <w:marBottom w:val="0"/>
      <w:divBdr>
        <w:top w:val="none" w:sz="0" w:space="0" w:color="auto"/>
        <w:left w:val="none" w:sz="0" w:space="0" w:color="auto"/>
        <w:bottom w:val="none" w:sz="0" w:space="0" w:color="auto"/>
        <w:right w:val="none" w:sz="0" w:space="0" w:color="auto"/>
      </w:divBdr>
    </w:div>
    <w:div w:id="1408115814">
      <w:marLeft w:val="0"/>
      <w:marRight w:val="0"/>
      <w:marTop w:val="240"/>
      <w:marBottom w:val="240"/>
      <w:divBdr>
        <w:top w:val="none" w:sz="0" w:space="0" w:color="auto"/>
        <w:left w:val="none" w:sz="0" w:space="0" w:color="auto"/>
        <w:bottom w:val="none" w:sz="0" w:space="0" w:color="auto"/>
        <w:right w:val="none" w:sz="0" w:space="0" w:color="auto"/>
      </w:divBdr>
    </w:div>
    <w:div w:id="1410233611">
      <w:marLeft w:val="0"/>
      <w:marRight w:val="0"/>
      <w:marTop w:val="0"/>
      <w:marBottom w:val="0"/>
      <w:divBdr>
        <w:top w:val="none" w:sz="0" w:space="0" w:color="auto"/>
        <w:left w:val="none" w:sz="0" w:space="0" w:color="auto"/>
        <w:bottom w:val="none" w:sz="0" w:space="0" w:color="auto"/>
        <w:right w:val="none" w:sz="0" w:space="0" w:color="auto"/>
      </w:divBdr>
    </w:div>
    <w:div w:id="1412852275">
      <w:marLeft w:val="0"/>
      <w:marRight w:val="0"/>
      <w:marTop w:val="0"/>
      <w:marBottom w:val="240"/>
      <w:divBdr>
        <w:top w:val="none" w:sz="0" w:space="0" w:color="auto"/>
        <w:left w:val="none" w:sz="0" w:space="0" w:color="auto"/>
        <w:bottom w:val="none" w:sz="0" w:space="0" w:color="auto"/>
        <w:right w:val="none" w:sz="0" w:space="0" w:color="auto"/>
      </w:divBdr>
    </w:div>
    <w:div w:id="1415975152">
      <w:marLeft w:val="0"/>
      <w:marRight w:val="0"/>
      <w:marTop w:val="0"/>
      <w:marBottom w:val="240"/>
      <w:divBdr>
        <w:top w:val="none" w:sz="0" w:space="0" w:color="auto"/>
        <w:left w:val="none" w:sz="0" w:space="0" w:color="auto"/>
        <w:bottom w:val="none" w:sz="0" w:space="0" w:color="auto"/>
        <w:right w:val="none" w:sz="0" w:space="0" w:color="auto"/>
      </w:divBdr>
    </w:div>
    <w:div w:id="1419401696">
      <w:marLeft w:val="0"/>
      <w:marRight w:val="0"/>
      <w:marTop w:val="0"/>
      <w:marBottom w:val="0"/>
      <w:divBdr>
        <w:top w:val="none" w:sz="0" w:space="0" w:color="auto"/>
        <w:left w:val="none" w:sz="0" w:space="0" w:color="auto"/>
        <w:bottom w:val="none" w:sz="0" w:space="0" w:color="auto"/>
        <w:right w:val="none" w:sz="0" w:space="0" w:color="auto"/>
      </w:divBdr>
      <w:divsChild>
        <w:div w:id="1309672780">
          <w:marLeft w:val="0"/>
          <w:marRight w:val="0"/>
          <w:marTop w:val="0"/>
          <w:marBottom w:val="0"/>
          <w:divBdr>
            <w:top w:val="none" w:sz="0" w:space="0" w:color="auto"/>
            <w:left w:val="none" w:sz="0" w:space="0" w:color="auto"/>
            <w:bottom w:val="none" w:sz="0" w:space="0" w:color="auto"/>
            <w:right w:val="none" w:sz="0" w:space="0" w:color="auto"/>
          </w:divBdr>
        </w:div>
      </w:divsChild>
    </w:div>
    <w:div w:id="1424909615">
      <w:marLeft w:val="0"/>
      <w:marRight w:val="0"/>
      <w:marTop w:val="0"/>
      <w:marBottom w:val="120"/>
      <w:divBdr>
        <w:top w:val="none" w:sz="0" w:space="0" w:color="auto"/>
        <w:left w:val="none" w:sz="0" w:space="0" w:color="auto"/>
        <w:bottom w:val="none" w:sz="0" w:space="0" w:color="auto"/>
        <w:right w:val="none" w:sz="0" w:space="0" w:color="auto"/>
      </w:divBdr>
    </w:div>
    <w:div w:id="1426609749">
      <w:marLeft w:val="0"/>
      <w:marRight w:val="0"/>
      <w:marTop w:val="0"/>
      <w:marBottom w:val="0"/>
      <w:divBdr>
        <w:top w:val="none" w:sz="0" w:space="0" w:color="auto"/>
        <w:left w:val="none" w:sz="0" w:space="0" w:color="auto"/>
        <w:bottom w:val="none" w:sz="0" w:space="0" w:color="auto"/>
        <w:right w:val="none" w:sz="0" w:space="0" w:color="auto"/>
      </w:divBdr>
    </w:div>
    <w:div w:id="1426922233">
      <w:marLeft w:val="0"/>
      <w:marRight w:val="0"/>
      <w:marTop w:val="0"/>
      <w:marBottom w:val="0"/>
      <w:divBdr>
        <w:top w:val="none" w:sz="0" w:space="0" w:color="auto"/>
        <w:left w:val="none" w:sz="0" w:space="0" w:color="auto"/>
        <w:bottom w:val="none" w:sz="0" w:space="0" w:color="auto"/>
        <w:right w:val="none" w:sz="0" w:space="0" w:color="auto"/>
      </w:divBdr>
      <w:divsChild>
        <w:div w:id="202598489">
          <w:marLeft w:val="0"/>
          <w:marRight w:val="0"/>
          <w:marTop w:val="0"/>
          <w:marBottom w:val="0"/>
          <w:divBdr>
            <w:top w:val="none" w:sz="0" w:space="0" w:color="auto"/>
            <w:left w:val="none" w:sz="0" w:space="0" w:color="auto"/>
            <w:bottom w:val="none" w:sz="0" w:space="0" w:color="auto"/>
            <w:right w:val="none" w:sz="0" w:space="0" w:color="auto"/>
          </w:divBdr>
        </w:div>
      </w:divsChild>
    </w:div>
    <w:div w:id="1427340624">
      <w:marLeft w:val="0"/>
      <w:marRight w:val="0"/>
      <w:marTop w:val="0"/>
      <w:marBottom w:val="240"/>
      <w:divBdr>
        <w:top w:val="none" w:sz="0" w:space="0" w:color="auto"/>
        <w:left w:val="none" w:sz="0" w:space="0" w:color="auto"/>
        <w:bottom w:val="none" w:sz="0" w:space="0" w:color="auto"/>
        <w:right w:val="none" w:sz="0" w:space="0" w:color="auto"/>
      </w:divBdr>
    </w:div>
    <w:div w:id="1427459477">
      <w:marLeft w:val="0"/>
      <w:marRight w:val="0"/>
      <w:marTop w:val="0"/>
      <w:marBottom w:val="0"/>
      <w:divBdr>
        <w:top w:val="none" w:sz="0" w:space="0" w:color="auto"/>
        <w:left w:val="none" w:sz="0" w:space="0" w:color="auto"/>
        <w:bottom w:val="none" w:sz="0" w:space="0" w:color="auto"/>
        <w:right w:val="none" w:sz="0" w:space="0" w:color="auto"/>
      </w:divBdr>
    </w:div>
    <w:div w:id="1432968571">
      <w:marLeft w:val="0"/>
      <w:marRight w:val="0"/>
      <w:marTop w:val="0"/>
      <w:marBottom w:val="0"/>
      <w:divBdr>
        <w:top w:val="none" w:sz="0" w:space="0" w:color="auto"/>
        <w:left w:val="none" w:sz="0" w:space="0" w:color="auto"/>
        <w:bottom w:val="none" w:sz="0" w:space="0" w:color="auto"/>
        <w:right w:val="none" w:sz="0" w:space="0" w:color="auto"/>
      </w:divBdr>
    </w:div>
    <w:div w:id="1434746431">
      <w:marLeft w:val="0"/>
      <w:marRight w:val="0"/>
      <w:marTop w:val="0"/>
      <w:marBottom w:val="120"/>
      <w:divBdr>
        <w:top w:val="none" w:sz="0" w:space="0" w:color="auto"/>
        <w:left w:val="none" w:sz="0" w:space="0" w:color="auto"/>
        <w:bottom w:val="none" w:sz="0" w:space="0" w:color="auto"/>
        <w:right w:val="none" w:sz="0" w:space="0" w:color="auto"/>
      </w:divBdr>
    </w:div>
    <w:div w:id="1435133495">
      <w:marLeft w:val="0"/>
      <w:marRight w:val="0"/>
      <w:marTop w:val="0"/>
      <w:marBottom w:val="1"/>
      <w:divBdr>
        <w:top w:val="none" w:sz="0" w:space="0" w:color="auto"/>
        <w:left w:val="none" w:sz="0" w:space="0" w:color="auto"/>
        <w:bottom w:val="none" w:sz="0" w:space="0" w:color="auto"/>
        <w:right w:val="none" w:sz="0" w:space="0" w:color="auto"/>
      </w:divBdr>
    </w:div>
    <w:div w:id="1447777689">
      <w:marLeft w:val="0"/>
      <w:marRight w:val="0"/>
      <w:marTop w:val="240"/>
      <w:marBottom w:val="0"/>
      <w:divBdr>
        <w:top w:val="none" w:sz="0" w:space="0" w:color="auto"/>
        <w:left w:val="none" w:sz="0" w:space="0" w:color="auto"/>
        <w:bottom w:val="none" w:sz="0" w:space="0" w:color="auto"/>
        <w:right w:val="none" w:sz="0" w:space="0" w:color="auto"/>
      </w:divBdr>
    </w:div>
    <w:div w:id="1450779243">
      <w:marLeft w:val="0"/>
      <w:marRight w:val="0"/>
      <w:marTop w:val="240"/>
      <w:marBottom w:val="240"/>
      <w:divBdr>
        <w:top w:val="none" w:sz="0" w:space="0" w:color="auto"/>
        <w:left w:val="none" w:sz="0" w:space="0" w:color="auto"/>
        <w:bottom w:val="none" w:sz="0" w:space="0" w:color="auto"/>
        <w:right w:val="none" w:sz="0" w:space="0" w:color="auto"/>
      </w:divBdr>
    </w:div>
    <w:div w:id="1451705281">
      <w:marLeft w:val="0"/>
      <w:marRight w:val="0"/>
      <w:marTop w:val="180"/>
      <w:marBottom w:val="120"/>
      <w:divBdr>
        <w:top w:val="none" w:sz="0" w:space="0" w:color="auto"/>
        <w:left w:val="none" w:sz="0" w:space="0" w:color="auto"/>
        <w:bottom w:val="none" w:sz="0" w:space="0" w:color="auto"/>
        <w:right w:val="none" w:sz="0" w:space="0" w:color="auto"/>
      </w:divBdr>
    </w:div>
    <w:div w:id="1458915754">
      <w:marLeft w:val="0"/>
      <w:marRight w:val="0"/>
      <w:marTop w:val="0"/>
      <w:marBottom w:val="0"/>
      <w:divBdr>
        <w:top w:val="none" w:sz="0" w:space="0" w:color="auto"/>
        <w:left w:val="none" w:sz="0" w:space="0" w:color="auto"/>
        <w:bottom w:val="none" w:sz="0" w:space="0" w:color="auto"/>
        <w:right w:val="none" w:sz="0" w:space="0" w:color="auto"/>
      </w:divBdr>
      <w:divsChild>
        <w:div w:id="435906786">
          <w:marLeft w:val="0"/>
          <w:marRight w:val="0"/>
          <w:marTop w:val="0"/>
          <w:marBottom w:val="0"/>
          <w:divBdr>
            <w:top w:val="none" w:sz="0" w:space="0" w:color="auto"/>
            <w:left w:val="none" w:sz="0" w:space="0" w:color="auto"/>
            <w:bottom w:val="none" w:sz="0" w:space="0" w:color="auto"/>
            <w:right w:val="none" w:sz="0" w:space="0" w:color="auto"/>
          </w:divBdr>
        </w:div>
      </w:divsChild>
    </w:div>
    <w:div w:id="1468471778">
      <w:marLeft w:val="0"/>
      <w:marRight w:val="0"/>
      <w:marTop w:val="240"/>
      <w:marBottom w:val="0"/>
      <w:divBdr>
        <w:top w:val="none" w:sz="0" w:space="0" w:color="auto"/>
        <w:left w:val="none" w:sz="0" w:space="0" w:color="auto"/>
        <w:bottom w:val="none" w:sz="0" w:space="0" w:color="auto"/>
        <w:right w:val="none" w:sz="0" w:space="0" w:color="auto"/>
      </w:divBdr>
    </w:div>
    <w:div w:id="1470053162">
      <w:marLeft w:val="0"/>
      <w:marRight w:val="0"/>
      <w:marTop w:val="0"/>
      <w:marBottom w:val="240"/>
      <w:divBdr>
        <w:top w:val="none" w:sz="0" w:space="0" w:color="auto"/>
        <w:left w:val="none" w:sz="0" w:space="0" w:color="auto"/>
        <w:bottom w:val="none" w:sz="0" w:space="0" w:color="auto"/>
        <w:right w:val="none" w:sz="0" w:space="0" w:color="auto"/>
      </w:divBdr>
    </w:div>
    <w:div w:id="1471098517">
      <w:marLeft w:val="0"/>
      <w:marRight w:val="0"/>
      <w:marTop w:val="0"/>
      <w:marBottom w:val="120"/>
      <w:divBdr>
        <w:top w:val="none" w:sz="0" w:space="0" w:color="auto"/>
        <w:left w:val="none" w:sz="0" w:space="0" w:color="auto"/>
        <w:bottom w:val="none" w:sz="0" w:space="0" w:color="auto"/>
        <w:right w:val="none" w:sz="0" w:space="0" w:color="auto"/>
      </w:divBdr>
    </w:div>
    <w:div w:id="1472022476">
      <w:marLeft w:val="0"/>
      <w:marRight w:val="0"/>
      <w:marTop w:val="0"/>
      <w:marBottom w:val="0"/>
      <w:divBdr>
        <w:top w:val="none" w:sz="0" w:space="0" w:color="auto"/>
        <w:left w:val="none" w:sz="0" w:space="0" w:color="auto"/>
        <w:bottom w:val="none" w:sz="0" w:space="0" w:color="auto"/>
        <w:right w:val="none" w:sz="0" w:space="0" w:color="auto"/>
      </w:divBdr>
    </w:div>
    <w:div w:id="1474827733">
      <w:marLeft w:val="0"/>
      <w:marRight w:val="0"/>
      <w:marTop w:val="0"/>
      <w:marBottom w:val="0"/>
      <w:divBdr>
        <w:top w:val="none" w:sz="0" w:space="0" w:color="auto"/>
        <w:left w:val="none" w:sz="0" w:space="0" w:color="auto"/>
        <w:bottom w:val="none" w:sz="0" w:space="0" w:color="auto"/>
        <w:right w:val="none" w:sz="0" w:space="0" w:color="auto"/>
      </w:divBdr>
    </w:div>
    <w:div w:id="1476871672">
      <w:marLeft w:val="0"/>
      <w:marRight w:val="0"/>
      <w:marTop w:val="0"/>
      <w:marBottom w:val="0"/>
      <w:divBdr>
        <w:top w:val="none" w:sz="0" w:space="0" w:color="auto"/>
        <w:left w:val="none" w:sz="0" w:space="0" w:color="auto"/>
        <w:bottom w:val="none" w:sz="0" w:space="0" w:color="auto"/>
        <w:right w:val="none" w:sz="0" w:space="0" w:color="auto"/>
      </w:divBdr>
    </w:div>
    <w:div w:id="1479807142">
      <w:marLeft w:val="0"/>
      <w:marRight w:val="0"/>
      <w:marTop w:val="0"/>
      <w:marBottom w:val="240"/>
      <w:divBdr>
        <w:top w:val="none" w:sz="0" w:space="0" w:color="auto"/>
        <w:left w:val="none" w:sz="0" w:space="0" w:color="auto"/>
        <w:bottom w:val="none" w:sz="0" w:space="0" w:color="auto"/>
        <w:right w:val="none" w:sz="0" w:space="0" w:color="auto"/>
      </w:divBdr>
    </w:div>
    <w:div w:id="1481388557">
      <w:marLeft w:val="0"/>
      <w:marRight w:val="0"/>
      <w:marTop w:val="0"/>
      <w:marBottom w:val="200"/>
      <w:divBdr>
        <w:top w:val="none" w:sz="0" w:space="0" w:color="auto"/>
        <w:left w:val="none" w:sz="0" w:space="0" w:color="auto"/>
        <w:bottom w:val="none" w:sz="0" w:space="0" w:color="auto"/>
        <w:right w:val="none" w:sz="0" w:space="0" w:color="auto"/>
      </w:divBdr>
    </w:div>
    <w:div w:id="1492259815">
      <w:marLeft w:val="0"/>
      <w:marRight w:val="0"/>
      <w:marTop w:val="0"/>
      <w:marBottom w:val="240"/>
      <w:divBdr>
        <w:top w:val="none" w:sz="0" w:space="0" w:color="auto"/>
        <w:left w:val="none" w:sz="0" w:space="0" w:color="auto"/>
        <w:bottom w:val="none" w:sz="0" w:space="0" w:color="auto"/>
        <w:right w:val="none" w:sz="0" w:space="0" w:color="auto"/>
      </w:divBdr>
    </w:div>
    <w:div w:id="1495760788">
      <w:marLeft w:val="0"/>
      <w:marRight w:val="0"/>
      <w:marTop w:val="0"/>
      <w:marBottom w:val="240"/>
      <w:divBdr>
        <w:top w:val="none" w:sz="0" w:space="0" w:color="auto"/>
        <w:left w:val="none" w:sz="0" w:space="0" w:color="auto"/>
        <w:bottom w:val="none" w:sz="0" w:space="0" w:color="auto"/>
        <w:right w:val="none" w:sz="0" w:space="0" w:color="auto"/>
      </w:divBdr>
    </w:div>
    <w:div w:id="1500383803">
      <w:marLeft w:val="0"/>
      <w:marRight w:val="0"/>
      <w:marTop w:val="0"/>
      <w:marBottom w:val="240"/>
      <w:divBdr>
        <w:top w:val="none" w:sz="0" w:space="0" w:color="auto"/>
        <w:left w:val="none" w:sz="0" w:space="0" w:color="auto"/>
        <w:bottom w:val="none" w:sz="0" w:space="0" w:color="auto"/>
        <w:right w:val="none" w:sz="0" w:space="0" w:color="auto"/>
      </w:divBdr>
    </w:div>
    <w:div w:id="1500653924">
      <w:marLeft w:val="0"/>
      <w:marRight w:val="0"/>
      <w:marTop w:val="0"/>
      <w:marBottom w:val="240"/>
      <w:divBdr>
        <w:top w:val="none" w:sz="0" w:space="0" w:color="auto"/>
        <w:left w:val="none" w:sz="0" w:space="0" w:color="auto"/>
        <w:bottom w:val="none" w:sz="0" w:space="0" w:color="auto"/>
        <w:right w:val="none" w:sz="0" w:space="0" w:color="auto"/>
      </w:divBdr>
    </w:div>
    <w:div w:id="1501047875">
      <w:marLeft w:val="0"/>
      <w:marRight w:val="0"/>
      <w:marTop w:val="240"/>
      <w:marBottom w:val="240"/>
      <w:divBdr>
        <w:top w:val="none" w:sz="0" w:space="0" w:color="auto"/>
        <w:left w:val="none" w:sz="0" w:space="0" w:color="auto"/>
        <w:bottom w:val="none" w:sz="0" w:space="0" w:color="auto"/>
        <w:right w:val="none" w:sz="0" w:space="0" w:color="auto"/>
      </w:divBdr>
    </w:div>
    <w:div w:id="1509372804">
      <w:marLeft w:val="0"/>
      <w:marRight w:val="0"/>
      <w:marTop w:val="0"/>
      <w:marBottom w:val="120"/>
      <w:divBdr>
        <w:top w:val="none" w:sz="0" w:space="0" w:color="auto"/>
        <w:left w:val="none" w:sz="0" w:space="0" w:color="auto"/>
        <w:bottom w:val="none" w:sz="0" w:space="0" w:color="auto"/>
        <w:right w:val="none" w:sz="0" w:space="0" w:color="auto"/>
      </w:divBdr>
    </w:div>
    <w:div w:id="1514611528">
      <w:marLeft w:val="0"/>
      <w:marRight w:val="0"/>
      <w:marTop w:val="0"/>
      <w:marBottom w:val="0"/>
      <w:divBdr>
        <w:top w:val="none" w:sz="0" w:space="0" w:color="auto"/>
        <w:left w:val="none" w:sz="0" w:space="0" w:color="auto"/>
        <w:bottom w:val="none" w:sz="0" w:space="0" w:color="auto"/>
        <w:right w:val="none" w:sz="0" w:space="0" w:color="auto"/>
      </w:divBdr>
    </w:div>
    <w:div w:id="1517620819">
      <w:marLeft w:val="0"/>
      <w:marRight w:val="0"/>
      <w:marTop w:val="0"/>
      <w:marBottom w:val="120"/>
      <w:divBdr>
        <w:top w:val="none" w:sz="0" w:space="0" w:color="auto"/>
        <w:left w:val="none" w:sz="0" w:space="0" w:color="auto"/>
        <w:bottom w:val="none" w:sz="0" w:space="0" w:color="auto"/>
        <w:right w:val="none" w:sz="0" w:space="0" w:color="auto"/>
      </w:divBdr>
    </w:div>
    <w:div w:id="1520121568">
      <w:marLeft w:val="0"/>
      <w:marRight w:val="0"/>
      <w:marTop w:val="0"/>
      <w:marBottom w:val="240"/>
      <w:divBdr>
        <w:top w:val="none" w:sz="0" w:space="0" w:color="auto"/>
        <w:left w:val="none" w:sz="0" w:space="0" w:color="auto"/>
        <w:bottom w:val="none" w:sz="0" w:space="0" w:color="auto"/>
        <w:right w:val="none" w:sz="0" w:space="0" w:color="auto"/>
      </w:divBdr>
    </w:div>
    <w:div w:id="1524854327">
      <w:marLeft w:val="0"/>
      <w:marRight w:val="0"/>
      <w:marTop w:val="0"/>
      <w:marBottom w:val="240"/>
      <w:divBdr>
        <w:top w:val="none" w:sz="0" w:space="0" w:color="auto"/>
        <w:left w:val="none" w:sz="0" w:space="0" w:color="auto"/>
        <w:bottom w:val="none" w:sz="0" w:space="0" w:color="auto"/>
        <w:right w:val="none" w:sz="0" w:space="0" w:color="auto"/>
      </w:divBdr>
    </w:div>
    <w:div w:id="1526750261">
      <w:marLeft w:val="0"/>
      <w:marRight w:val="0"/>
      <w:marTop w:val="0"/>
      <w:marBottom w:val="0"/>
      <w:divBdr>
        <w:top w:val="none" w:sz="0" w:space="0" w:color="auto"/>
        <w:left w:val="none" w:sz="0" w:space="0" w:color="auto"/>
        <w:bottom w:val="none" w:sz="0" w:space="0" w:color="auto"/>
        <w:right w:val="none" w:sz="0" w:space="0" w:color="auto"/>
      </w:divBdr>
    </w:div>
    <w:div w:id="1531995594">
      <w:marLeft w:val="0"/>
      <w:marRight w:val="0"/>
      <w:marTop w:val="0"/>
      <w:marBottom w:val="0"/>
      <w:divBdr>
        <w:top w:val="none" w:sz="0" w:space="0" w:color="auto"/>
        <w:left w:val="none" w:sz="0" w:space="0" w:color="auto"/>
        <w:bottom w:val="none" w:sz="0" w:space="0" w:color="auto"/>
        <w:right w:val="none" w:sz="0" w:space="0" w:color="auto"/>
      </w:divBdr>
    </w:div>
    <w:div w:id="1539783521">
      <w:marLeft w:val="0"/>
      <w:marRight w:val="0"/>
      <w:marTop w:val="0"/>
      <w:marBottom w:val="120"/>
      <w:divBdr>
        <w:top w:val="none" w:sz="0" w:space="0" w:color="auto"/>
        <w:left w:val="none" w:sz="0" w:space="0" w:color="auto"/>
        <w:bottom w:val="none" w:sz="0" w:space="0" w:color="auto"/>
        <w:right w:val="none" w:sz="0" w:space="0" w:color="auto"/>
      </w:divBdr>
    </w:div>
    <w:div w:id="1540316053">
      <w:marLeft w:val="0"/>
      <w:marRight w:val="0"/>
      <w:marTop w:val="0"/>
      <w:marBottom w:val="240"/>
      <w:divBdr>
        <w:top w:val="none" w:sz="0" w:space="0" w:color="auto"/>
        <w:left w:val="none" w:sz="0" w:space="0" w:color="auto"/>
        <w:bottom w:val="none" w:sz="0" w:space="0" w:color="auto"/>
        <w:right w:val="none" w:sz="0" w:space="0" w:color="auto"/>
      </w:divBdr>
    </w:div>
    <w:div w:id="1549996836">
      <w:marLeft w:val="0"/>
      <w:marRight w:val="0"/>
      <w:marTop w:val="0"/>
      <w:marBottom w:val="240"/>
      <w:divBdr>
        <w:top w:val="none" w:sz="0" w:space="0" w:color="auto"/>
        <w:left w:val="none" w:sz="0" w:space="0" w:color="auto"/>
        <w:bottom w:val="none" w:sz="0" w:space="0" w:color="auto"/>
        <w:right w:val="none" w:sz="0" w:space="0" w:color="auto"/>
      </w:divBdr>
    </w:div>
    <w:div w:id="1551072689">
      <w:marLeft w:val="0"/>
      <w:marRight w:val="0"/>
      <w:marTop w:val="0"/>
      <w:marBottom w:val="0"/>
      <w:divBdr>
        <w:top w:val="none" w:sz="0" w:space="0" w:color="auto"/>
        <w:left w:val="none" w:sz="0" w:space="0" w:color="auto"/>
        <w:bottom w:val="none" w:sz="0" w:space="0" w:color="auto"/>
        <w:right w:val="none" w:sz="0" w:space="0" w:color="auto"/>
      </w:divBdr>
    </w:div>
    <w:div w:id="1554579969">
      <w:marLeft w:val="0"/>
      <w:marRight w:val="0"/>
      <w:marTop w:val="0"/>
      <w:marBottom w:val="0"/>
      <w:divBdr>
        <w:top w:val="none" w:sz="0" w:space="0" w:color="auto"/>
        <w:left w:val="none" w:sz="0" w:space="0" w:color="auto"/>
        <w:bottom w:val="none" w:sz="0" w:space="0" w:color="auto"/>
        <w:right w:val="none" w:sz="0" w:space="0" w:color="auto"/>
      </w:divBdr>
      <w:divsChild>
        <w:div w:id="662659084">
          <w:marLeft w:val="0"/>
          <w:marRight w:val="0"/>
          <w:marTop w:val="0"/>
          <w:marBottom w:val="0"/>
          <w:divBdr>
            <w:top w:val="none" w:sz="0" w:space="0" w:color="auto"/>
            <w:left w:val="none" w:sz="0" w:space="0" w:color="auto"/>
            <w:bottom w:val="none" w:sz="0" w:space="0" w:color="auto"/>
            <w:right w:val="none" w:sz="0" w:space="0" w:color="auto"/>
          </w:divBdr>
        </w:div>
      </w:divsChild>
    </w:div>
    <w:div w:id="1558083117">
      <w:marLeft w:val="0"/>
      <w:marRight w:val="0"/>
      <w:marTop w:val="0"/>
      <w:marBottom w:val="240"/>
      <w:divBdr>
        <w:top w:val="none" w:sz="0" w:space="0" w:color="auto"/>
        <w:left w:val="none" w:sz="0" w:space="0" w:color="auto"/>
        <w:bottom w:val="none" w:sz="0" w:space="0" w:color="auto"/>
        <w:right w:val="none" w:sz="0" w:space="0" w:color="auto"/>
      </w:divBdr>
    </w:div>
    <w:div w:id="1558273129">
      <w:marLeft w:val="0"/>
      <w:marRight w:val="0"/>
      <w:marTop w:val="0"/>
      <w:marBottom w:val="1"/>
      <w:divBdr>
        <w:top w:val="none" w:sz="0" w:space="0" w:color="auto"/>
        <w:left w:val="none" w:sz="0" w:space="0" w:color="auto"/>
        <w:bottom w:val="none" w:sz="0" w:space="0" w:color="auto"/>
        <w:right w:val="none" w:sz="0" w:space="0" w:color="auto"/>
      </w:divBdr>
    </w:div>
    <w:div w:id="1559513639">
      <w:marLeft w:val="0"/>
      <w:marRight w:val="0"/>
      <w:marTop w:val="0"/>
      <w:marBottom w:val="240"/>
      <w:divBdr>
        <w:top w:val="none" w:sz="0" w:space="0" w:color="auto"/>
        <w:left w:val="none" w:sz="0" w:space="0" w:color="auto"/>
        <w:bottom w:val="none" w:sz="0" w:space="0" w:color="auto"/>
        <w:right w:val="none" w:sz="0" w:space="0" w:color="auto"/>
      </w:divBdr>
    </w:div>
    <w:div w:id="1571112244">
      <w:marLeft w:val="0"/>
      <w:marRight w:val="0"/>
      <w:marTop w:val="0"/>
      <w:marBottom w:val="120"/>
      <w:divBdr>
        <w:top w:val="none" w:sz="0" w:space="0" w:color="auto"/>
        <w:left w:val="none" w:sz="0" w:space="0" w:color="auto"/>
        <w:bottom w:val="none" w:sz="0" w:space="0" w:color="auto"/>
        <w:right w:val="none" w:sz="0" w:space="0" w:color="auto"/>
      </w:divBdr>
    </w:div>
    <w:div w:id="1573543183">
      <w:marLeft w:val="0"/>
      <w:marRight w:val="0"/>
      <w:marTop w:val="0"/>
      <w:marBottom w:val="0"/>
      <w:divBdr>
        <w:top w:val="none" w:sz="0" w:space="0" w:color="auto"/>
        <w:left w:val="none" w:sz="0" w:space="0" w:color="auto"/>
        <w:bottom w:val="none" w:sz="0" w:space="0" w:color="auto"/>
        <w:right w:val="none" w:sz="0" w:space="0" w:color="auto"/>
      </w:divBdr>
    </w:div>
    <w:div w:id="1573660250">
      <w:marLeft w:val="0"/>
      <w:marRight w:val="0"/>
      <w:marTop w:val="0"/>
      <w:marBottom w:val="120"/>
      <w:divBdr>
        <w:top w:val="none" w:sz="0" w:space="0" w:color="auto"/>
        <w:left w:val="none" w:sz="0" w:space="0" w:color="auto"/>
        <w:bottom w:val="none" w:sz="0" w:space="0" w:color="auto"/>
        <w:right w:val="none" w:sz="0" w:space="0" w:color="auto"/>
      </w:divBdr>
    </w:div>
    <w:div w:id="1578394878">
      <w:marLeft w:val="0"/>
      <w:marRight w:val="0"/>
      <w:marTop w:val="0"/>
      <w:marBottom w:val="0"/>
      <w:divBdr>
        <w:top w:val="none" w:sz="0" w:space="0" w:color="auto"/>
        <w:left w:val="none" w:sz="0" w:space="0" w:color="auto"/>
        <w:bottom w:val="none" w:sz="0" w:space="0" w:color="auto"/>
        <w:right w:val="none" w:sz="0" w:space="0" w:color="auto"/>
      </w:divBdr>
      <w:divsChild>
        <w:div w:id="1502358073">
          <w:marLeft w:val="0"/>
          <w:marRight w:val="0"/>
          <w:marTop w:val="0"/>
          <w:marBottom w:val="0"/>
          <w:divBdr>
            <w:top w:val="none" w:sz="0" w:space="0" w:color="auto"/>
            <w:left w:val="none" w:sz="0" w:space="0" w:color="auto"/>
            <w:bottom w:val="none" w:sz="0" w:space="0" w:color="auto"/>
            <w:right w:val="none" w:sz="0" w:space="0" w:color="auto"/>
          </w:divBdr>
        </w:div>
      </w:divsChild>
    </w:div>
    <w:div w:id="1580943404">
      <w:marLeft w:val="0"/>
      <w:marRight w:val="0"/>
      <w:marTop w:val="240"/>
      <w:marBottom w:val="240"/>
      <w:divBdr>
        <w:top w:val="none" w:sz="0" w:space="0" w:color="auto"/>
        <w:left w:val="none" w:sz="0" w:space="0" w:color="auto"/>
        <w:bottom w:val="none" w:sz="0" w:space="0" w:color="auto"/>
        <w:right w:val="none" w:sz="0" w:space="0" w:color="auto"/>
      </w:divBdr>
    </w:div>
    <w:div w:id="1582636333">
      <w:marLeft w:val="0"/>
      <w:marRight w:val="0"/>
      <w:marTop w:val="0"/>
      <w:marBottom w:val="0"/>
      <w:divBdr>
        <w:top w:val="none" w:sz="0" w:space="0" w:color="auto"/>
        <w:left w:val="none" w:sz="0" w:space="0" w:color="auto"/>
        <w:bottom w:val="none" w:sz="0" w:space="0" w:color="auto"/>
        <w:right w:val="none" w:sz="0" w:space="0" w:color="auto"/>
      </w:divBdr>
      <w:divsChild>
        <w:div w:id="440227521">
          <w:marLeft w:val="0"/>
          <w:marRight w:val="0"/>
          <w:marTop w:val="0"/>
          <w:marBottom w:val="0"/>
          <w:divBdr>
            <w:top w:val="none" w:sz="0" w:space="0" w:color="auto"/>
            <w:left w:val="none" w:sz="0" w:space="0" w:color="auto"/>
            <w:bottom w:val="none" w:sz="0" w:space="0" w:color="auto"/>
            <w:right w:val="none" w:sz="0" w:space="0" w:color="auto"/>
          </w:divBdr>
        </w:div>
      </w:divsChild>
    </w:div>
    <w:div w:id="1583905819">
      <w:marLeft w:val="0"/>
      <w:marRight w:val="0"/>
      <w:marTop w:val="240"/>
      <w:marBottom w:val="240"/>
      <w:divBdr>
        <w:top w:val="none" w:sz="0" w:space="0" w:color="auto"/>
        <w:left w:val="none" w:sz="0" w:space="0" w:color="auto"/>
        <w:bottom w:val="none" w:sz="0" w:space="0" w:color="auto"/>
        <w:right w:val="none" w:sz="0" w:space="0" w:color="auto"/>
      </w:divBdr>
    </w:div>
    <w:div w:id="1588268732">
      <w:marLeft w:val="0"/>
      <w:marRight w:val="0"/>
      <w:marTop w:val="240"/>
      <w:marBottom w:val="0"/>
      <w:divBdr>
        <w:top w:val="none" w:sz="0" w:space="0" w:color="auto"/>
        <w:left w:val="none" w:sz="0" w:space="0" w:color="auto"/>
        <w:bottom w:val="none" w:sz="0" w:space="0" w:color="auto"/>
        <w:right w:val="none" w:sz="0" w:space="0" w:color="auto"/>
      </w:divBdr>
    </w:div>
    <w:div w:id="1591544969">
      <w:marLeft w:val="0"/>
      <w:marRight w:val="0"/>
      <w:marTop w:val="0"/>
      <w:marBottom w:val="0"/>
      <w:divBdr>
        <w:top w:val="none" w:sz="0" w:space="0" w:color="auto"/>
        <w:left w:val="none" w:sz="0" w:space="0" w:color="auto"/>
        <w:bottom w:val="none" w:sz="0" w:space="0" w:color="auto"/>
        <w:right w:val="none" w:sz="0" w:space="0" w:color="auto"/>
      </w:divBdr>
    </w:div>
    <w:div w:id="1601991353">
      <w:marLeft w:val="0"/>
      <w:marRight w:val="0"/>
      <w:marTop w:val="240"/>
      <w:marBottom w:val="0"/>
      <w:divBdr>
        <w:top w:val="none" w:sz="0" w:space="0" w:color="auto"/>
        <w:left w:val="none" w:sz="0" w:space="0" w:color="auto"/>
        <w:bottom w:val="none" w:sz="0" w:space="0" w:color="auto"/>
        <w:right w:val="none" w:sz="0" w:space="0" w:color="auto"/>
      </w:divBdr>
    </w:div>
    <w:div w:id="1603420265">
      <w:marLeft w:val="0"/>
      <w:marRight w:val="0"/>
      <w:marTop w:val="240"/>
      <w:marBottom w:val="240"/>
      <w:divBdr>
        <w:top w:val="none" w:sz="0" w:space="0" w:color="auto"/>
        <w:left w:val="none" w:sz="0" w:space="0" w:color="auto"/>
        <w:bottom w:val="none" w:sz="0" w:space="0" w:color="auto"/>
        <w:right w:val="none" w:sz="0" w:space="0" w:color="auto"/>
      </w:divBdr>
    </w:div>
    <w:div w:id="1604730652">
      <w:marLeft w:val="0"/>
      <w:marRight w:val="0"/>
      <w:marTop w:val="0"/>
      <w:marBottom w:val="0"/>
      <w:divBdr>
        <w:top w:val="none" w:sz="0" w:space="0" w:color="auto"/>
        <w:left w:val="none" w:sz="0" w:space="0" w:color="auto"/>
        <w:bottom w:val="none" w:sz="0" w:space="0" w:color="auto"/>
        <w:right w:val="none" w:sz="0" w:space="0" w:color="auto"/>
      </w:divBdr>
    </w:div>
    <w:div w:id="1620332491">
      <w:marLeft w:val="0"/>
      <w:marRight w:val="0"/>
      <w:marTop w:val="240"/>
      <w:marBottom w:val="0"/>
      <w:divBdr>
        <w:top w:val="none" w:sz="0" w:space="0" w:color="auto"/>
        <w:left w:val="none" w:sz="0" w:space="0" w:color="auto"/>
        <w:bottom w:val="none" w:sz="0" w:space="0" w:color="auto"/>
        <w:right w:val="none" w:sz="0" w:space="0" w:color="auto"/>
      </w:divBdr>
    </w:div>
    <w:div w:id="1621450318">
      <w:marLeft w:val="0"/>
      <w:marRight w:val="0"/>
      <w:marTop w:val="0"/>
      <w:marBottom w:val="240"/>
      <w:divBdr>
        <w:top w:val="none" w:sz="0" w:space="0" w:color="auto"/>
        <w:left w:val="none" w:sz="0" w:space="0" w:color="auto"/>
        <w:bottom w:val="none" w:sz="0" w:space="0" w:color="auto"/>
        <w:right w:val="none" w:sz="0" w:space="0" w:color="auto"/>
      </w:divBdr>
    </w:div>
    <w:div w:id="1622610339">
      <w:marLeft w:val="0"/>
      <w:marRight w:val="0"/>
      <w:marTop w:val="0"/>
      <w:marBottom w:val="0"/>
      <w:divBdr>
        <w:top w:val="none" w:sz="0" w:space="0" w:color="auto"/>
        <w:left w:val="none" w:sz="0" w:space="0" w:color="auto"/>
        <w:bottom w:val="none" w:sz="0" w:space="0" w:color="auto"/>
        <w:right w:val="none" w:sz="0" w:space="0" w:color="auto"/>
      </w:divBdr>
      <w:divsChild>
        <w:div w:id="1375078049">
          <w:marLeft w:val="0"/>
          <w:marRight w:val="0"/>
          <w:marTop w:val="0"/>
          <w:marBottom w:val="0"/>
          <w:divBdr>
            <w:top w:val="none" w:sz="0" w:space="0" w:color="auto"/>
            <w:left w:val="none" w:sz="0" w:space="0" w:color="auto"/>
            <w:bottom w:val="none" w:sz="0" w:space="0" w:color="auto"/>
            <w:right w:val="none" w:sz="0" w:space="0" w:color="auto"/>
          </w:divBdr>
        </w:div>
      </w:divsChild>
    </w:div>
    <w:div w:id="1624843655">
      <w:marLeft w:val="0"/>
      <w:marRight w:val="0"/>
      <w:marTop w:val="0"/>
      <w:marBottom w:val="240"/>
      <w:divBdr>
        <w:top w:val="none" w:sz="0" w:space="0" w:color="auto"/>
        <w:left w:val="none" w:sz="0" w:space="0" w:color="auto"/>
        <w:bottom w:val="none" w:sz="0" w:space="0" w:color="auto"/>
        <w:right w:val="none" w:sz="0" w:space="0" w:color="auto"/>
      </w:divBdr>
    </w:div>
    <w:div w:id="1629386063">
      <w:marLeft w:val="0"/>
      <w:marRight w:val="0"/>
      <w:marTop w:val="0"/>
      <w:marBottom w:val="0"/>
      <w:divBdr>
        <w:top w:val="none" w:sz="0" w:space="0" w:color="auto"/>
        <w:left w:val="none" w:sz="0" w:space="0" w:color="auto"/>
        <w:bottom w:val="none" w:sz="0" w:space="0" w:color="auto"/>
        <w:right w:val="none" w:sz="0" w:space="0" w:color="auto"/>
      </w:divBdr>
    </w:div>
    <w:div w:id="1631011101">
      <w:marLeft w:val="0"/>
      <w:marRight w:val="0"/>
      <w:marTop w:val="0"/>
      <w:marBottom w:val="0"/>
      <w:divBdr>
        <w:top w:val="none" w:sz="0" w:space="0" w:color="auto"/>
        <w:left w:val="none" w:sz="0" w:space="0" w:color="auto"/>
        <w:bottom w:val="none" w:sz="0" w:space="0" w:color="auto"/>
        <w:right w:val="none" w:sz="0" w:space="0" w:color="auto"/>
      </w:divBdr>
      <w:divsChild>
        <w:div w:id="1602301434">
          <w:marLeft w:val="0"/>
          <w:marRight w:val="0"/>
          <w:marTop w:val="0"/>
          <w:marBottom w:val="0"/>
          <w:divBdr>
            <w:top w:val="none" w:sz="0" w:space="0" w:color="auto"/>
            <w:left w:val="none" w:sz="0" w:space="0" w:color="auto"/>
            <w:bottom w:val="none" w:sz="0" w:space="0" w:color="auto"/>
            <w:right w:val="none" w:sz="0" w:space="0" w:color="auto"/>
          </w:divBdr>
        </w:div>
      </w:divsChild>
    </w:div>
    <w:div w:id="1631352333">
      <w:marLeft w:val="0"/>
      <w:marRight w:val="0"/>
      <w:marTop w:val="0"/>
      <w:marBottom w:val="0"/>
      <w:divBdr>
        <w:top w:val="none" w:sz="0" w:space="0" w:color="auto"/>
        <w:left w:val="none" w:sz="0" w:space="0" w:color="auto"/>
        <w:bottom w:val="none" w:sz="0" w:space="0" w:color="auto"/>
        <w:right w:val="none" w:sz="0" w:space="0" w:color="auto"/>
      </w:divBdr>
      <w:divsChild>
        <w:div w:id="1274093593">
          <w:marLeft w:val="0"/>
          <w:marRight w:val="0"/>
          <w:marTop w:val="0"/>
          <w:marBottom w:val="0"/>
          <w:divBdr>
            <w:top w:val="none" w:sz="0" w:space="0" w:color="auto"/>
            <w:left w:val="none" w:sz="0" w:space="0" w:color="auto"/>
            <w:bottom w:val="none" w:sz="0" w:space="0" w:color="auto"/>
            <w:right w:val="none" w:sz="0" w:space="0" w:color="auto"/>
          </w:divBdr>
        </w:div>
      </w:divsChild>
    </w:div>
    <w:div w:id="1631781188">
      <w:marLeft w:val="0"/>
      <w:marRight w:val="0"/>
      <w:marTop w:val="120"/>
      <w:marBottom w:val="0"/>
      <w:divBdr>
        <w:top w:val="none" w:sz="0" w:space="0" w:color="auto"/>
        <w:left w:val="none" w:sz="0" w:space="0" w:color="auto"/>
        <w:bottom w:val="none" w:sz="0" w:space="0" w:color="auto"/>
        <w:right w:val="none" w:sz="0" w:space="0" w:color="auto"/>
      </w:divBdr>
    </w:div>
    <w:div w:id="1633712459">
      <w:marLeft w:val="0"/>
      <w:marRight w:val="0"/>
      <w:marTop w:val="0"/>
      <w:marBottom w:val="240"/>
      <w:divBdr>
        <w:top w:val="none" w:sz="0" w:space="0" w:color="auto"/>
        <w:left w:val="none" w:sz="0" w:space="0" w:color="auto"/>
        <w:bottom w:val="none" w:sz="0" w:space="0" w:color="auto"/>
        <w:right w:val="none" w:sz="0" w:space="0" w:color="auto"/>
      </w:divBdr>
    </w:div>
    <w:div w:id="1636790796">
      <w:marLeft w:val="0"/>
      <w:marRight w:val="0"/>
      <w:marTop w:val="0"/>
      <w:marBottom w:val="0"/>
      <w:divBdr>
        <w:top w:val="none" w:sz="0" w:space="0" w:color="auto"/>
        <w:left w:val="none" w:sz="0" w:space="0" w:color="auto"/>
        <w:bottom w:val="none" w:sz="0" w:space="0" w:color="auto"/>
        <w:right w:val="none" w:sz="0" w:space="0" w:color="auto"/>
      </w:divBdr>
      <w:divsChild>
        <w:div w:id="780731905">
          <w:marLeft w:val="0"/>
          <w:marRight w:val="0"/>
          <w:marTop w:val="0"/>
          <w:marBottom w:val="0"/>
          <w:divBdr>
            <w:top w:val="none" w:sz="0" w:space="0" w:color="auto"/>
            <w:left w:val="none" w:sz="0" w:space="0" w:color="auto"/>
            <w:bottom w:val="none" w:sz="0" w:space="0" w:color="auto"/>
            <w:right w:val="none" w:sz="0" w:space="0" w:color="auto"/>
          </w:divBdr>
        </w:div>
      </w:divsChild>
    </w:div>
    <w:div w:id="1639533152">
      <w:marLeft w:val="0"/>
      <w:marRight w:val="0"/>
      <w:marTop w:val="0"/>
      <w:marBottom w:val="240"/>
      <w:divBdr>
        <w:top w:val="none" w:sz="0" w:space="0" w:color="auto"/>
        <w:left w:val="none" w:sz="0" w:space="0" w:color="auto"/>
        <w:bottom w:val="none" w:sz="0" w:space="0" w:color="auto"/>
        <w:right w:val="none" w:sz="0" w:space="0" w:color="auto"/>
      </w:divBdr>
    </w:div>
    <w:div w:id="1640111722">
      <w:marLeft w:val="0"/>
      <w:marRight w:val="0"/>
      <w:marTop w:val="0"/>
      <w:marBottom w:val="120"/>
      <w:divBdr>
        <w:top w:val="none" w:sz="0" w:space="0" w:color="auto"/>
        <w:left w:val="none" w:sz="0" w:space="0" w:color="auto"/>
        <w:bottom w:val="none" w:sz="0" w:space="0" w:color="auto"/>
        <w:right w:val="none" w:sz="0" w:space="0" w:color="auto"/>
      </w:divBdr>
    </w:div>
    <w:div w:id="1643197086">
      <w:marLeft w:val="0"/>
      <w:marRight w:val="0"/>
      <w:marTop w:val="240"/>
      <w:marBottom w:val="240"/>
      <w:divBdr>
        <w:top w:val="none" w:sz="0" w:space="0" w:color="auto"/>
        <w:left w:val="none" w:sz="0" w:space="0" w:color="auto"/>
        <w:bottom w:val="none" w:sz="0" w:space="0" w:color="auto"/>
        <w:right w:val="none" w:sz="0" w:space="0" w:color="auto"/>
      </w:divBdr>
    </w:div>
    <w:div w:id="1644700862">
      <w:marLeft w:val="0"/>
      <w:marRight w:val="0"/>
      <w:marTop w:val="0"/>
      <w:marBottom w:val="0"/>
      <w:divBdr>
        <w:top w:val="none" w:sz="0" w:space="0" w:color="auto"/>
        <w:left w:val="none" w:sz="0" w:space="0" w:color="auto"/>
        <w:bottom w:val="none" w:sz="0" w:space="0" w:color="auto"/>
        <w:right w:val="none" w:sz="0" w:space="0" w:color="auto"/>
      </w:divBdr>
    </w:div>
    <w:div w:id="1647977714">
      <w:marLeft w:val="0"/>
      <w:marRight w:val="0"/>
      <w:marTop w:val="0"/>
      <w:marBottom w:val="120"/>
      <w:divBdr>
        <w:top w:val="none" w:sz="0" w:space="0" w:color="auto"/>
        <w:left w:val="none" w:sz="0" w:space="0" w:color="auto"/>
        <w:bottom w:val="none" w:sz="0" w:space="0" w:color="auto"/>
        <w:right w:val="none" w:sz="0" w:space="0" w:color="auto"/>
      </w:divBdr>
    </w:div>
    <w:div w:id="1650936108">
      <w:marLeft w:val="0"/>
      <w:marRight w:val="0"/>
      <w:marTop w:val="0"/>
      <w:marBottom w:val="0"/>
      <w:divBdr>
        <w:top w:val="none" w:sz="0" w:space="0" w:color="auto"/>
        <w:left w:val="none" w:sz="0" w:space="0" w:color="auto"/>
        <w:bottom w:val="none" w:sz="0" w:space="0" w:color="auto"/>
        <w:right w:val="none" w:sz="0" w:space="0" w:color="auto"/>
      </w:divBdr>
      <w:divsChild>
        <w:div w:id="1398554904">
          <w:marLeft w:val="0"/>
          <w:marRight w:val="0"/>
          <w:marTop w:val="0"/>
          <w:marBottom w:val="0"/>
          <w:divBdr>
            <w:top w:val="none" w:sz="0" w:space="0" w:color="auto"/>
            <w:left w:val="none" w:sz="0" w:space="0" w:color="auto"/>
            <w:bottom w:val="none" w:sz="0" w:space="0" w:color="auto"/>
            <w:right w:val="none" w:sz="0" w:space="0" w:color="auto"/>
          </w:divBdr>
        </w:div>
      </w:divsChild>
    </w:div>
    <w:div w:id="1657562689">
      <w:marLeft w:val="0"/>
      <w:marRight w:val="0"/>
      <w:marTop w:val="0"/>
      <w:marBottom w:val="120"/>
      <w:divBdr>
        <w:top w:val="none" w:sz="0" w:space="0" w:color="auto"/>
        <w:left w:val="none" w:sz="0" w:space="0" w:color="auto"/>
        <w:bottom w:val="none" w:sz="0" w:space="0" w:color="auto"/>
        <w:right w:val="none" w:sz="0" w:space="0" w:color="auto"/>
      </w:divBdr>
    </w:div>
    <w:div w:id="1659847006">
      <w:marLeft w:val="0"/>
      <w:marRight w:val="0"/>
      <w:marTop w:val="0"/>
      <w:marBottom w:val="0"/>
      <w:divBdr>
        <w:top w:val="none" w:sz="0" w:space="0" w:color="auto"/>
        <w:left w:val="none" w:sz="0" w:space="0" w:color="auto"/>
        <w:bottom w:val="none" w:sz="0" w:space="0" w:color="auto"/>
        <w:right w:val="none" w:sz="0" w:space="0" w:color="auto"/>
      </w:divBdr>
      <w:divsChild>
        <w:div w:id="648368840">
          <w:marLeft w:val="0"/>
          <w:marRight w:val="0"/>
          <w:marTop w:val="0"/>
          <w:marBottom w:val="0"/>
          <w:divBdr>
            <w:top w:val="none" w:sz="0" w:space="0" w:color="auto"/>
            <w:left w:val="none" w:sz="0" w:space="0" w:color="auto"/>
            <w:bottom w:val="none" w:sz="0" w:space="0" w:color="auto"/>
            <w:right w:val="none" w:sz="0" w:space="0" w:color="auto"/>
          </w:divBdr>
        </w:div>
      </w:divsChild>
    </w:div>
    <w:div w:id="1660697046">
      <w:marLeft w:val="0"/>
      <w:marRight w:val="0"/>
      <w:marTop w:val="0"/>
      <w:marBottom w:val="240"/>
      <w:divBdr>
        <w:top w:val="none" w:sz="0" w:space="0" w:color="auto"/>
        <w:left w:val="none" w:sz="0" w:space="0" w:color="auto"/>
        <w:bottom w:val="none" w:sz="0" w:space="0" w:color="auto"/>
        <w:right w:val="none" w:sz="0" w:space="0" w:color="auto"/>
      </w:divBdr>
    </w:div>
    <w:div w:id="1664966691">
      <w:marLeft w:val="0"/>
      <w:marRight w:val="0"/>
      <w:marTop w:val="120"/>
      <w:marBottom w:val="240"/>
      <w:divBdr>
        <w:top w:val="none" w:sz="0" w:space="0" w:color="auto"/>
        <w:left w:val="none" w:sz="0" w:space="0" w:color="auto"/>
        <w:bottom w:val="none" w:sz="0" w:space="0" w:color="auto"/>
        <w:right w:val="none" w:sz="0" w:space="0" w:color="auto"/>
      </w:divBdr>
    </w:div>
    <w:div w:id="1665205133">
      <w:marLeft w:val="0"/>
      <w:marRight w:val="0"/>
      <w:marTop w:val="0"/>
      <w:marBottom w:val="240"/>
      <w:divBdr>
        <w:top w:val="none" w:sz="0" w:space="0" w:color="auto"/>
        <w:left w:val="none" w:sz="0" w:space="0" w:color="auto"/>
        <w:bottom w:val="none" w:sz="0" w:space="0" w:color="auto"/>
        <w:right w:val="none" w:sz="0" w:space="0" w:color="auto"/>
      </w:divBdr>
    </w:div>
    <w:div w:id="1680546058">
      <w:marLeft w:val="0"/>
      <w:marRight w:val="0"/>
      <w:marTop w:val="120"/>
      <w:marBottom w:val="240"/>
      <w:divBdr>
        <w:top w:val="none" w:sz="0" w:space="0" w:color="auto"/>
        <w:left w:val="none" w:sz="0" w:space="0" w:color="auto"/>
        <w:bottom w:val="none" w:sz="0" w:space="0" w:color="auto"/>
        <w:right w:val="none" w:sz="0" w:space="0" w:color="auto"/>
      </w:divBdr>
    </w:div>
    <w:div w:id="1681350771">
      <w:marLeft w:val="0"/>
      <w:marRight w:val="0"/>
      <w:marTop w:val="0"/>
      <w:marBottom w:val="240"/>
      <w:divBdr>
        <w:top w:val="none" w:sz="0" w:space="0" w:color="auto"/>
        <w:left w:val="none" w:sz="0" w:space="0" w:color="auto"/>
        <w:bottom w:val="none" w:sz="0" w:space="0" w:color="auto"/>
        <w:right w:val="none" w:sz="0" w:space="0" w:color="auto"/>
      </w:divBdr>
    </w:div>
    <w:div w:id="1688096353">
      <w:marLeft w:val="0"/>
      <w:marRight w:val="0"/>
      <w:marTop w:val="0"/>
      <w:marBottom w:val="240"/>
      <w:divBdr>
        <w:top w:val="none" w:sz="0" w:space="0" w:color="auto"/>
        <w:left w:val="none" w:sz="0" w:space="0" w:color="auto"/>
        <w:bottom w:val="none" w:sz="0" w:space="0" w:color="auto"/>
        <w:right w:val="none" w:sz="0" w:space="0" w:color="auto"/>
      </w:divBdr>
    </w:div>
    <w:div w:id="1694843743">
      <w:marLeft w:val="0"/>
      <w:marRight w:val="0"/>
      <w:marTop w:val="240"/>
      <w:marBottom w:val="240"/>
      <w:divBdr>
        <w:top w:val="none" w:sz="0" w:space="0" w:color="auto"/>
        <w:left w:val="none" w:sz="0" w:space="0" w:color="auto"/>
        <w:bottom w:val="none" w:sz="0" w:space="0" w:color="auto"/>
        <w:right w:val="none" w:sz="0" w:space="0" w:color="auto"/>
      </w:divBdr>
    </w:div>
    <w:div w:id="1695374609">
      <w:marLeft w:val="0"/>
      <w:marRight w:val="0"/>
      <w:marTop w:val="0"/>
      <w:marBottom w:val="240"/>
      <w:divBdr>
        <w:top w:val="none" w:sz="0" w:space="0" w:color="auto"/>
        <w:left w:val="none" w:sz="0" w:space="0" w:color="auto"/>
        <w:bottom w:val="none" w:sz="0" w:space="0" w:color="auto"/>
        <w:right w:val="none" w:sz="0" w:space="0" w:color="auto"/>
      </w:divBdr>
    </w:div>
    <w:div w:id="1695569226">
      <w:marLeft w:val="0"/>
      <w:marRight w:val="0"/>
      <w:marTop w:val="120"/>
      <w:marBottom w:val="0"/>
      <w:divBdr>
        <w:top w:val="none" w:sz="0" w:space="0" w:color="auto"/>
        <w:left w:val="none" w:sz="0" w:space="0" w:color="auto"/>
        <w:bottom w:val="none" w:sz="0" w:space="0" w:color="auto"/>
        <w:right w:val="none" w:sz="0" w:space="0" w:color="auto"/>
      </w:divBdr>
    </w:div>
    <w:div w:id="1697268251">
      <w:marLeft w:val="0"/>
      <w:marRight w:val="0"/>
      <w:marTop w:val="0"/>
      <w:marBottom w:val="240"/>
      <w:divBdr>
        <w:top w:val="none" w:sz="0" w:space="0" w:color="auto"/>
        <w:left w:val="none" w:sz="0" w:space="0" w:color="auto"/>
        <w:bottom w:val="none" w:sz="0" w:space="0" w:color="auto"/>
        <w:right w:val="none" w:sz="0" w:space="0" w:color="auto"/>
      </w:divBdr>
    </w:div>
    <w:div w:id="1697776370">
      <w:marLeft w:val="0"/>
      <w:marRight w:val="0"/>
      <w:marTop w:val="0"/>
      <w:marBottom w:val="200"/>
      <w:divBdr>
        <w:top w:val="none" w:sz="0" w:space="0" w:color="auto"/>
        <w:left w:val="none" w:sz="0" w:space="0" w:color="auto"/>
        <w:bottom w:val="none" w:sz="0" w:space="0" w:color="auto"/>
        <w:right w:val="none" w:sz="0" w:space="0" w:color="auto"/>
      </w:divBdr>
    </w:div>
    <w:div w:id="1703632462">
      <w:marLeft w:val="0"/>
      <w:marRight w:val="0"/>
      <w:marTop w:val="0"/>
      <w:marBottom w:val="0"/>
      <w:divBdr>
        <w:top w:val="none" w:sz="0" w:space="0" w:color="auto"/>
        <w:left w:val="none" w:sz="0" w:space="0" w:color="auto"/>
        <w:bottom w:val="none" w:sz="0" w:space="0" w:color="auto"/>
        <w:right w:val="none" w:sz="0" w:space="0" w:color="auto"/>
      </w:divBdr>
      <w:divsChild>
        <w:div w:id="1731731224">
          <w:marLeft w:val="0"/>
          <w:marRight w:val="0"/>
          <w:marTop w:val="0"/>
          <w:marBottom w:val="0"/>
          <w:divBdr>
            <w:top w:val="none" w:sz="0" w:space="0" w:color="auto"/>
            <w:left w:val="none" w:sz="0" w:space="0" w:color="auto"/>
            <w:bottom w:val="none" w:sz="0" w:space="0" w:color="auto"/>
            <w:right w:val="none" w:sz="0" w:space="0" w:color="auto"/>
          </w:divBdr>
        </w:div>
      </w:divsChild>
    </w:div>
    <w:div w:id="1704011793">
      <w:marLeft w:val="0"/>
      <w:marRight w:val="0"/>
      <w:marTop w:val="0"/>
      <w:marBottom w:val="0"/>
      <w:divBdr>
        <w:top w:val="none" w:sz="0" w:space="0" w:color="auto"/>
        <w:left w:val="none" w:sz="0" w:space="0" w:color="auto"/>
        <w:bottom w:val="none" w:sz="0" w:space="0" w:color="auto"/>
        <w:right w:val="none" w:sz="0" w:space="0" w:color="auto"/>
      </w:divBdr>
      <w:divsChild>
        <w:div w:id="701128643">
          <w:marLeft w:val="0"/>
          <w:marRight w:val="0"/>
          <w:marTop w:val="0"/>
          <w:marBottom w:val="0"/>
          <w:divBdr>
            <w:top w:val="none" w:sz="0" w:space="0" w:color="auto"/>
            <w:left w:val="none" w:sz="0" w:space="0" w:color="auto"/>
            <w:bottom w:val="none" w:sz="0" w:space="0" w:color="auto"/>
            <w:right w:val="none" w:sz="0" w:space="0" w:color="auto"/>
          </w:divBdr>
        </w:div>
      </w:divsChild>
    </w:div>
    <w:div w:id="1704481519">
      <w:marLeft w:val="0"/>
      <w:marRight w:val="0"/>
      <w:marTop w:val="0"/>
      <w:marBottom w:val="0"/>
      <w:divBdr>
        <w:top w:val="none" w:sz="0" w:space="0" w:color="auto"/>
        <w:left w:val="none" w:sz="0" w:space="0" w:color="auto"/>
        <w:bottom w:val="none" w:sz="0" w:space="0" w:color="auto"/>
        <w:right w:val="none" w:sz="0" w:space="0" w:color="auto"/>
      </w:divBdr>
      <w:divsChild>
        <w:div w:id="2118090390">
          <w:marLeft w:val="0"/>
          <w:marRight w:val="0"/>
          <w:marTop w:val="0"/>
          <w:marBottom w:val="0"/>
          <w:divBdr>
            <w:top w:val="none" w:sz="0" w:space="0" w:color="auto"/>
            <w:left w:val="none" w:sz="0" w:space="0" w:color="auto"/>
            <w:bottom w:val="none" w:sz="0" w:space="0" w:color="auto"/>
            <w:right w:val="none" w:sz="0" w:space="0" w:color="auto"/>
          </w:divBdr>
        </w:div>
      </w:divsChild>
    </w:div>
    <w:div w:id="1725253357">
      <w:marLeft w:val="0"/>
      <w:marRight w:val="0"/>
      <w:marTop w:val="0"/>
      <w:marBottom w:val="0"/>
      <w:divBdr>
        <w:top w:val="none" w:sz="0" w:space="0" w:color="auto"/>
        <w:left w:val="none" w:sz="0" w:space="0" w:color="auto"/>
        <w:bottom w:val="none" w:sz="0" w:space="0" w:color="auto"/>
        <w:right w:val="none" w:sz="0" w:space="0" w:color="auto"/>
      </w:divBdr>
    </w:div>
    <w:div w:id="1727795516">
      <w:marLeft w:val="0"/>
      <w:marRight w:val="0"/>
      <w:marTop w:val="0"/>
      <w:marBottom w:val="240"/>
      <w:divBdr>
        <w:top w:val="none" w:sz="0" w:space="0" w:color="auto"/>
        <w:left w:val="none" w:sz="0" w:space="0" w:color="auto"/>
        <w:bottom w:val="none" w:sz="0" w:space="0" w:color="auto"/>
        <w:right w:val="none" w:sz="0" w:space="0" w:color="auto"/>
      </w:divBdr>
    </w:div>
    <w:div w:id="1727948303">
      <w:marLeft w:val="0"/>
      <w:marRight w:val="0"/>
      <w:marTop w:val="0"/>
      <w:marBottom w:val="0"/>
      <w:divBdr>
        <w:top w:val="none" w:sz="0" w:space="0" w:color="auto"/>
        <w:left w:val="none" w:sz="0" w:space="0" w:color="auto"/>
        <w:bottom w:val="none" w:sz="0" w:space="0" w:color="auto"/>
        <w:right w:val="none" w:sz="0" w:space="0" w:color="auto"/>
      </w:divBdr>
    </w:div>
    <w:div w:id="1728992562">
      <w:marLeft w:val="0"/>
      <w:marRight w:val="0"/>
      <w:marTop w:val="0"/>
      <w:marBottom w:val="0"/>
      <w:divBdr>
        <w:top w:val="none" w:sz="0" w:space="0" w:color="auto"/>
        <w:left w:val="none" w:sz="0" w:space="0" w:color="auto"/>
        <w:bottom w:val="none" w:sz="0" w:space="0" w:color="auto"/>
        <w:right w:val="none" w:sz="0" w:space="0" w:color="auto"/>
      </w:divBdr>
    </w:div>
    <w:div w:id="1733313253">
      <w:marLeft w:val="0"/>
      <w:marRight w:val="0"/>
      <w:marTop w:val="0"/>
      <w:marBottom w:val="240"/>
      <w:divBdr>
        <w:top w:val="none" w:sz="0" w:space="0" w:color="auto"/>
        <w:left w:val="none" w:sz="0" w:space="0" w:color="auto"/>
        <w:bottom w:val="none" w:sz="0" w:space="0" w:color="auto"/>
        <w:right w:val="none" w:sz="0" w:space="0" w:color="auto"/>
      </w:divBdr>
    </w:div>
    <w:div w:id="1734547901">
      <w:marLeft w:val="0"/>
      <w:marRight w:val="0"/>
      <w:marTop w:val="0"/>
      <w:marBottom w:val="0"/>
      <w:divBdr>
        <w:top w:val="none" w:sz="0" w:space="0" w:color="auto"/>
        <w:left w:val="none" w:sz="0" w:space="0" w:color="auto"/>
        <w:bottom w:val="none" w:sz="0" w:space="0" w:color="auto"/>
        <w:right w:val="none" w:sz="0" w:space="0" w:color="auto"/>
      </w:divBdr>
      <w:divsChild>
        <w:div w:id="827987375">
          <w:marLeft w:val="0"/>
          <w:marRight w:val="0"/>
          <w:marTop w:val="0"/>
          <w:marBottom w:val="0"/>
          <w:divBdr>
            <w:top w:val="none" w:sz="0" w:space="0" w:color="auto"/>
            <w:left w:val="none" w:sz="0" w:space="0" w:color="auto"/>
            <w:bottom w:val="none" w:sz="0" w:space="0" w:color="auto"/>
            <w:right w:val="none" w:sz="0" w:space="0" w:color="auto"/>
          </w:divBdr>
        </w:div>
      </w:divsChild>
    </w:div>
    <w:div w:id="1736005320">
      <w:marLeft w:val="0"/>
      <w:marRight w:val="0"/>
      <w:marTop w:val="0"/>
      <w:marBottom w:val="120"/>
      <w:divBdr>
        <w:top w:val="none" w:sz="0" w:space="0" w:color="auto"/>
        <w:left w:val="none" w:sz="0" w:space="0" w:color="auto"/>
        <w:bottom w:val="none" w:sz="0" w:space="0" w:color="auto"/>
        <w:right w:val="none" w:sz="0" w:space="0" w:color="auto"/>
      </w:divBdr>
    </w:div>
    <w:div w:id="1740589894">
      <w:marLeft w:val="0"/>
      <w:marRight w:val="0"/>
      <w:marTop w:val="0"/>
      <w:marBottom w:val="240"/>
      <w:divBdr>
        <w:top w:val="none" w:sz="0" w:space="0" w:color="auto"/>
        <w:left w:val="none" w:sz="0" w:space="0" w:color="auto"/>
        <w:bottom w:val="none" w:sz="0" w:space="0" w:color="auto"/>
        <w:right w:val="none" w:sz="0" w:space="0" w:color="auto"/>
      </w:divBdr>
    </w:div>
    <w:div w:id="1741714479">
      <w:marLeft w:val="0"/>
      <w:marRight w:val="0"/>
      <w:marTop w:val="0"/>
      <w:marBottom w:val="240"/>
      <w:divBdr>
        <w:top w:val="none" w:sz="0" w:space="0" w:color="auto"/>
        <w:left w:val="none" w:sz="0" w:space="0" w:color="auto"/>
        <w:bottom w:val="none" w:sz="0" w:space="0" w:color="auto"/>
        <w:right w:val="none" w:sz="0" w:space="0" w:color="auto"/>
      </w:divBdr>
    </w:div>
    <w:div w:id="1749423802">
      <w:marLeft w:val="0"/>
      <w:marRight w:val="0"/>
      <w:marTop w:val="120"/>
      <w:marBottom w:val="120"/>
      <w:divBdr>
        <w:top w:val="none" w:sz="0" w:space="0" w:color="auto"/>
        <w:left w:val="none" w:sz="0" w:space="0" w:color="auto"/>
        <w:bottom w:val="none" w:sz="0" w:space="0" w:color="auto"/>
        <w:right w:val="none" w:sz="0" w:space="0" w:color="auto"/>
      </w:divBdr>
    </w:div>
    <w:div w:id="1750616950">
      <w:marLeft w:val="0"/>
      <w:marRight w:val="0"/>
      <w:marTop w:val="0"/>
      <w:marBottom w:val="0"/>
      <w:divBdr>
        <w:top w:val="none" w:sz="0" w:space="0" w:color="auto"/>
        <w:left w:val="none" w:sz="0" w:space="0" w:color="auto"/>
        <w:bottom w:val="none" w:sz="0" w:space="0" w:color="auto"/>
        <w:right w:val="none" w:sz="0" w:space="0" w:color="auto"/>
      </w:divBdr>
      <w:divsChild>
        <w:div w:id="1147546953">
          <w:marLeft w:val="0"/>
          <w:marRight w:val="0"/>
          <w:marTop w:val="0"/>
          <w:marBottom w:val="0"/>
          <w:divBdr>
            <w:top w:val="none" w:sz="0" w:space="0" w:color="auto"/>
            <w:left w:val="none" w:sz="0" w:space="0" w:color="auto"/>
            <w:bottom w:val="none" w:sz="0" w:space="0" w:color="auto"/>
            <w:right w:val="none" w:sz="0" w:space="0" w:color="auto"/>
          </w:divBdr>
        </w:div>
      </w:divsChild>
    </w:div>
    <w:div w:id="1757479720">
      <w:marLeft w:val="0"/>
      <w:marRight w:val="0"/>
      <w:marTop w:val="0"/>
      <w:marBottom w:val="240"/>
      <w:divBdr>
        <w:top w:val="none" w:sz="0" w:space="0" w:color="auto"/>
        <w:left w:val="none" w:sz="0" w:space="0" w:color="auto"/>
        <w:bottom w:val="none" w:sz="0" w:space="0" w:color="auto"/>
        <w:right w:val="none" w:sz="0" w:space="0" w:color="auto"/>
      </w:divBdr>
    </w:div>
    <w:div w:id="1761564588">
      <w:marLeft w:val="0"/>
      <w:marRight w:val="0"/>
      <w:marTop w:val="0"/>
      <w:marBottom w:val="0"/>
      <w:divBdr>
        <w:top w:val="none" w:sz="0" w:space="0" w:color="auto"/>
        <w:left w:val="none" w:sz="0" w:space="0" w:color="auto"/>
        <w:bottom w:val="none" w:sz="0" w:space="0" w:color="auto"/>
        <w:right w:val="none" w:sz="0" w:space="0" w:color="auto"/>
      </w:divBdr>
      <w:divsChild>
        <w:div w:id="1637221142">
          <w:marLeft w:val="0"/>
          <w:marRight w:val="0"/>
          <w:marTop w:val="0"/>
          <w:marBottom w:val="0"/>
          <w:divBdr>
            <w:top w:val="none" w:sz="0" w:space="0" w:color="auto"/>
            <w:left w:val="none" w:sz="0" w:space="0" w:color="auto"/>
            <w:bottom w:val="none" w:sz="0" w:space="0" w:color="auto"/>
            <w:right w:val="none" w:sz="0" w:space="0" w:color="auto"/>
          </w:divBdr>
        </w:div>
      </w:divsChild>
    </w:div>
    <w:div w:id="1764498239">
      <w:marLeft w:val="0"/>
      <w:marRight w:val="0"/>
      <w:marTop w:val="240"/>
      <w:marBottom w:val="240"/>
      <w:divBdr>
        <w:top w:val="none" w:sz="0" w:space="0" w:color="auto"/>
        <w:left w:val="none" w:sz="0" w:space="0" w:color="auto"/>
        <w:bottom w:val="none" w:sz="0" w:space="0" w:color="auto"/>
        <w:right w:val="none" w:sz="0" w:space="0" w:color="auto"/>
      </w:divBdr>
    </w:div>
    <w:div w:id="1768816937">
      <w:marLeft w:val="0"/>
      <w:marRight w:val="0"/>
      <w:marTop w:val="0"/>
      <w:marBottom w:val="240"/>
      <w:divBdr>
        <w:top w:val="none" w:sz="0" w:space="0" w:color="auto"/>
        <w:left w:val="none" w:sz="0" w:space="0" w:color="auto"/>
        <w:bottom w:val="none" w:sz="0" w:space="0" w:color="auto"/>
        <w:right w:val="none" w:sz="0" w:space="0" w:color="auto"/>
      </w:divBdr>
    </w:div>
    <w:div w:id="1771006703">
      <w:marLeft w:val="0"/>
      <w:marRight w:val="0"/>
      <w:marTop w:val="0"/>
      <w:marBottom w:val="240"/>
      <w:divBdr>
        <w:top w:val="none" w:sz="0" w:space="0" w:color="auto"/>
        <w:left w:val="none" w:sz="0" w:space="0" w:color="auto"/>
        <w:bottom w:val="none" w:sz="0" w:space="0" w:color="auto"/>
        <w:right w:val="none" w:sz="0" w:space="0" w:color="auto"/>
      </w:divBdr>
    </w:div>
    <w:div w:id="1774473025">
      <w:marLeft w:val="0"/>
      <w:marRight w:val="0"/>
      <w:marTop w:val="0"/>
      <w:marBottom w:val="0"/>
      <w:divBdr>
        <w:top w:val="none" w:sz="0" w:space="0" w:color="auto"/>
        <w:left w:val="none" w:sz="0" w:space="0" w:color="auto"/>
        <w:bottom w:val="none" w:sz="0" w:space="0" w:color="auto"/>
        <w:right w:val="none" w:sz="0" w:space="0" w:color="auto"/>
      </w:divBdr>
      <w:divsChild>
        <w:div w:id="1344937782">
          <w:marLeft w:val="0"/>
          <w:marRight w:val="0"/>
          <w:marTop w:val="0"/>
          <w:marBottom w:val="0"/>
          <w:divBdr>
            <w:top w:val="none" w:sz="0" w:space="0" w:color="auto"/>
            <w:left w:val="none" w:sz="0" w:space="0" w:color="auto"/>
            <w:bottom w:val="none" w:sz="0" w:space="0" w:color="auto"/>
            <w:right w:val="none" w:sz="0" w:space="0" w:color="auto"/>
          </w:divBdr>
        </w:div>
      </w:divsChild>
    </w:div>
    <w:div w:id="1777209227">
      <w:marLeft w:val="0"/>
      <w:marRight w:val="0"/>
      <w:marTop w:val="0"/>
      <w:marBottom w:val="0"/>
      <w:divBdr>
        <w:top w:val="none" w:sz="0" w:space="0" w:color="auto"/>
        <w:left w:val="none" w:sz="0" w:space="0" w:color="auto"/>
        <w:bottom w:val="none" w:sz="0" w:space="0" w:color="auto"/>
        <w:right w:val="none" w:sz="0" w:space="0" w:color="auto"/>
      </w:divBdr>
    </w:div>
    <w:div w:id="1778023329">
      <w:marLeft w:val="0"/>
      <w:marRight w:val="0"/>
      <w:marTop w:val="0"/>
      <w:marBottom w:val="0"/>
      <w:divBdr>
        <w:top w:val="none" w:sz="0" w:space="0" w:color="auto"/>
        <w:left w:val="none" w:sz="0" w:space="0" w:color="auto"/>
        <w:bottom w:val="none" w:sz="0" w:space="0" w:color="auto"/>
        <w:right w:val="none" w:sz="0" w:space="0" w:color="auto"/>
      </w:divBdr>
    </w:div>
    <w:div w:id="1784957968">
      <w:marLeft w:val="0"/>
      <w:marRight w:val="0"/>
      <w:marTop w:val="0"/>
      <w:marBottom w:val="240"/>
      <w:divBdr>
        <w:top w:val="none" w:sz="0" w:space="0" w:color="auto"/>
        <w:left w:val="none" w:sz="0" w:space="0" w:color="auto"/>
        <w:bottom w:val="none" w:sz="0" w:space="0" w:color="auto"/>
        <w:right w:val="none" w:sz="0" w:space="0" w:color="auto"/>
      </w:divBdr>
    </w:div>
    <w:div w:id="1786924135">
      <w:marLeft w:val="0"/>
      <w:marRight w:val="0"/>
      <w:marTop w:val="0"/>
      <w:marBottom w:val="240"/>
      <w:divBdr>
        <w:top w:val="none" w:sz="0" w:space="0" w:color="auto"/>
        <w:left w:val="none" w:sz="0" w:space="0" w:color="auto"/>
        <w:bottom w:val="none" w:sz="0" w:space="0" w:color="auto"/>
        <w:right w:val="none" w:sz="0" w:space="0" w:color="auto"/>
      </w:divBdr>
    </w:div>
    <w:div w:id="1800222894">
      <w:marLeft w:val="0"/>
      <w:marRight w:val="0"/>
      <w:marTop w:val="0"/>
      <w:marBottom w:val="120"/>
      <w:divBdr>
        <w:top w:val="none" w:sz="0" w:space="0" w:color="auto"/>
        <w:left w:val="none" w:sz="0" w:space="0" w:color="auto"/>
        <w:bottom w:val="none" w:sz="0" w:space="0" w:color="auto"/>
        <w:right w:val="none" w:sz="0" w:space="0" w:color="auto"/>
      </w:divBdr>
    </w:div>
    <w:div w:id="1803452303">
      <w:marLeft w:val="0"/>
      <w:marRight w:val="0"/>
      <w:marTop w:val="0"/>
      <w:marBottom w:val="200"/>
      <w:divBdr>
        <w:top w:val="none" w:sz="0" w:space="0" w:color="auto"/>
        <w:left w:val="none" w:sz="0" w:space="0" w:color="auto"/>
        <w:bottom w:val="none" w:sz="0" w:space="0" w:color="auto"/>
        <w:right w:val="none" w:sz="0" w:space="0" w:color="auto"/>
      </w:divBdr>
    </w:div>
    <w:div w:id="1807358609">
      <w:marLeft w:val="0"/>
      <w:marRight w:val="0"/>
      <w:marTop w:val="0"/>
      <w:marBottom w:val="240"/>
      <w:divBdr>
        <w:top w:val="none" w:sz="0" w:space="0" w:color="auto"/>
        <w:left w:val="none" w:sz="0" w:space="0" w:color="auto"/>
        <w:bottom w:val="none" w:sz="0" w:space="0" w:color="auto"/>
        <w:right w:val="none" w:sz="0" w:space="0" w:color="auto"/>
      </w:divBdr>
    </w:div>
    <w:div w:id="1809275745">
      <w:marLeft w:val="0"/>
      <w:marRight w:val="0"/>
      <w:marTop w:val="0"/>
      <w:marBottom w:val="240"/>
      <w:divBdr>
        <w:top w:val="none" w:sz="0" w:space="0" w:color="auto"/>
        <w:left w:val="none" w:sz="0" w:space="0" w:color="auto"/>
        <w:bottom w:val="none" w:sz="0" w:space="0" w:color="auto"/>
        <w:right w:val="none" w:sz="0" w:space="0" w:color="auto"/>
      </w:divBdr>
    </w:div>
    <w:div w:id="1809399002">
      <w:marLeft w:val="0"/>
      <w:marRight w:val="0"/>
      <w:marTop w:val="0"/>
      <w:marBottom w:val="0"/>
      <w:divBdr>
        <w:top w:val="none" w:sz="0" w:space="0" w:color="auto"/>
        <w:left w:val="none" w:sz="0" w:space="0" w:color="auto"/>
        <w:bottom w:val="none" w:sz="0" w:space="0" w:color="auto"/>
        <w:right w:val="none" w:sz="0" w:space="0" w:color="auto"/>
      </w:divBdr>
      <w:divsChild>
        <w:div w:id="1299720815">
          <w:marLeft w:val="0"/>
          <w:marRight w:val="0"/>
          <w:marTop w:val="0"/>
          <w:marBottom w:val="0"/>
          <w:divBdr>
            <w:top w:val="none" w:sz="0" w:space="0" w:color="auto"/>
            <w:left w:val="none" w:sz="0" w:space="0" w:color="auto"/>
            <w:bottom w:val="none" w:sz="0" w:space="0" w:color="auto"/>
            <w:right w:val="none" w:sz="0" w:space="0" w:color="auto"/>
          </w:divBdr>
        </w:div>
      </w:divsChild>
    </w:div>
    <w:div w:id="1814102191">
      <w:marLeft w:val="0"/>
      <w:marRight w:val="0"/>
      <w:marTop w:val="0"/>
      <w:marBottom w:val="120"/>
      <w:divBdr>
        <w:top w:val="none" w:sz="0" w:space="0" w:color="auto"/>
        <w:left w:val="none" w:sz="0" w:space="0" w:color="auto"/>
        <w:bottom w:val="none" w:sz="0" w:space="0" w:color="auto"/>
        <w:right w:val="none" w:sz="0" w:space="0" w:color="auto"/>
      </w:divBdr>
    </w:div>
    <w:div w:id="1814638931">
      <w:marLeft w:val="0"/>
      <w:marRight w:val="0"/>
      <w:marTop w:val="120"/>
      <w:marBottom w:val="240"/>
      <w:divBdr>
        <w:top w:val="none" w:sz="0" w:space="0" w:color="auto"/>
        <w:left w:val="none" w:sz="0" w:space="0" w:color="auto"/>
        <w:bottom w:val="none" w:sz="0" w:space="0" w:color="auto"/>
        <w:right w:val="none" w:sz="0" w:space="0" w:color="auto"/>
      </w:divBdr>
    </w:div>
    <w:div w:id="1815175404">
      <w:marLeft w:val="0"/>
      <w:marRight w:val="0"/>
      <w:marTop w:val="0"/>
      <w:marBottom w:val="120"/>
      <w:divBdr>
        <w:top w:val="none" w:sz="0" w:space="0" w:color="auto"/>
        <w:left w:val="none" w:sz="0" w:space="0" w:color="auto"/>
        <w:bottom w:val="none" w:sz="0" w:space="0" w:color="auto"/>
        <w:right w:val="none" w:sz="0" w:space="0" w:color="auto"/>
      </w:divBdr>
    </w:div>
    <w:div w:id="1820150737">
      <w:marLeft w:val="0"/>
      <w:marRight w:val="0"/>
      <w:marTop w:val="0"/>
      <w:marBottom w:val="0"/>
      <w:divBdr>
        <w:top w:val="none" w:sz="0" w:space="0" w:color="auto"/>
        <w:left w:val="none" w:sz="0" w:space="0" w:color="auto"/>
        <w:bottom w:val="none" w:sz="0" w:space="0" w:color="auto"/>
        <w:right w:val="none" w:sz="0" w:space="0" w:color="auto"/>
      </w:divBdr>
      <w:divsChild>
        <w:div w:id="920145404">
          <w:marLeft w:val="0"/>
          <w:marRight w:val="0"/>
          <w:marTop w:val="0"/>
          <w:marBottom w:val="0"/>
          <w:divBdr>
            <w:top w:val="none" w:sz="0" w:space="0" w:color="auto"/>
            <w:left w:val="none" w:sz="0" w:space="0" w:color="auto"/>
            <w:bottom w:val="none" w:sz="0" w:space="0" w:color="auto"/>
            <w:right w:val="none" w:sz="0" w:space="0" w:color="auto"/>
          </w:divBdr>
        </w:div>
      </w:divsChild>
    </w:div>
    <w:div w:id="1824539066">
      <w:marLeft w:val="0"/>
      <w:marRight w:val="0"/>
      <w:marTop w:val="0"/>
      <w:marBottom w:val="240"/>
      <w:divBdr>
        <w:top w:val="none" w:sz="0" w:space="0" w:color="auto"/>
        <w:left w:val="none" w:sz="0" w:space="0" w:color="auto"/>
        <w:bottom w:val="none" w:sz="0" w:space="0" w:color="auto"/>
        <w:right w:val="none" w:sz="0" w:space="0" w:color="auto"/>
      </w:divBdr>
    </w:div>
    <w:div w:id="1827893114">
      <w:marLeft w:val="0"/>
      <w:marRight w:val="0"/>
      <w:marTop w:val="0"/>
      <w:marBottom w:val="240"/>
      <w:divBdr>
        <w:top w:val="none" w:sz="0" w:space="0" w:color="auto"/>
        <w:left w:val="none" w:sz="0" w:space="0" w:color="auto"/>
        <w:bottom w:val="none" w:sz="0" w:space="0" w:color="auto"/>
        <w:right w:val="none" w:sz="0" w:space="0" w:color="auto"/>
      </w:divBdr>
    </w:div>
    <w:div w:id="1830167861">
      <w:marLeft w:val="0"/>
      <w:marRight w:val="0"/>
      <w:marTop w:val="0"/>
      <w:marBottom w:val="0"/>
      <w:divBdr>
        <w:top w:val="none" w:sz="0" w:space="0" w:color="auto"/>
        <w:left w:val="none" w:sz="0" w:space="0" w:color="auto"/>
        <w:bottom w:val="none" w:sz="0" w:space="0" w:color="auto"/>
        <w:right w:val="none" w:sz="0" w:space="0" w:color="auto"/>
      </w:divBdr>
      <w:divsChild>
        <w:div w:id="393355960">
          <w:marLeft w:val="0"/>
          <w:marRight w:val="0"/>
          <w:marTop w:val="0"/>
          <w:marBottom w:val="0"/>
          <w:divBdr>
            <w:top w:val="none" w:sz="0" w:space="0" w:color="auto"/>
            <w:left w:val="none" w:sz="0" w:space="0" w:color="auto"/>
            <w:bottom w:val="none" w:sz="0" w:space="0" w:color="auto"/>
            <w:right w:val="none" w:sz="0" w:space="0" w:color="auto"/>
          </w:divBdr>
        </w:div>
      </w:divsChild>
    </w:div>
    <w:div w:id="1831097986">
      <w:marLeft w:val="0"/>
      <w:marRight w:val="0"/>
      <w:marTop w:val="0"/>
      <w:marBottom w:val="0"/>
      <w:divBdr>
        <w:top w:val="none" w:sz="0" w:space="0" w:color="auto"/>
        <w:left w:val="none" w:sz="0" w:space="0" w:color="auto"/>
        <w:bottom w:val="none" w:sz="0" w:space="0" w:color="auto"/>
        <w:right w:val="none" w:sz="0" w:space="0" w:color="auto"/>
      </w:divBdr>
      <w:divsChild>
        <w:div w:id="2046176105">
          <w:marLeft w:val="0"/>
          <w:marRight w:val="0"/>
          <w:marTop w:val="0"/>
          <w:marBottom w:val="0"/>
          <w:divBdr>
            <w:top w:val="none" w:sz="0" w:space="0" w:color="auto"/>
            <w:left w:val="none" w:sz="0" w:space="0" w:color="auto"/>
            <w:bottom w:val="none" w:sz="0" w:space="0" w:color="auto"/>
            <w:right w:val="none" w:sz="0" w:space="0" w:color="auto"/>
          </w:divBdr>
        </w:div>
      </w:divsChild>
    </w:div>
    <w:div w:id="1842037584">
      <w:marLeft w:val="0"/>
      <w:marRight w:val="0"/>
      <w:marTop w:val="0"/>
      <w:marBottom w:val="0"/>
      <w:divBdr>
        <w:top w:val="none" w:sz="0" w:space="0" w:color="auto"/>
        <w:left w:val="none" w:sz="0" w:space="0" w:color="auto"/>
        <w:bottom w:val="none" w:sz="0" w:space="0" w:color="auto"/>
        <w:right w:val="none" w:sz="0" w:space="0" w:color="auto"/>
      </w:divBdr>
      <w:divsChild>
        <w:div w:id="492911346">
          <w:marLeft w:val="0"/>
          <w:marRight w:val="0"/>
          <w:marTop w:val="0"/>
          <w:marBottom w:val="0"/>
          <w:divBdr>
            <w:top w:val="none" w:sz="0" w:space="0" w:color="auto"/>
            <w:left w:val="none" w:sz="0" w:space="0" w:color="auto"/>
            <w:bottom w:val="none" w:sz="0" w:space="0" w:color="auto"/>
            <w:right w:val="none" w:sz="0" w:space="0" w:color="auto"/>
          </w:divBdr>
        </w:div>
      </w:divsChild>
    </w:div>
    <w:div w:id="1849638559">
      <w:marLeft w:val="0"/>
      <w:marRight w:val="0"/>
      <w:marTop w:val="0"/>
      <w:marBottom w:val="0"/>
      <w:divBdr>
        <w:top w:val="none" w:sz="0" w:space="0" w:color="auto"/>
        <w:left w:val="none" w:sz="0" w:space="0" w:color="auto"/>
        <w:bottom w:val="none" w:sz="0" w:space="0" w:color="auto"/>
        <w:right w:val="none" w:sz="0" w:space="0" w:color="auto"/>
      </w:divBdr>
    </w:div>
    <w:div w:id="1850754465">
      <w:marLeft w:val="0"/>
      <w:marRight w:val="0"/>
      <w:marTop w:val="0"/>
      <w:marBottom w:val="0"/>
      <w:divBdr>
        <w:top w:val="none" w:sz="0" w:space="0" w:color="auto"/>
        <w:left w:val="none" w:sz="0" w:space="0" w:color="auto"/>
        <w:bottom w:val="none" w:sz="0" w:space="0" w:color="auto"/>
        <w:right w:val="none" w:sz="0" w:space="0" w:color="auto"/>
      </w:divBdr>
      <w:divsChild>
        <w:div w:id="2112160994">
          <w:marLeft w:val="0"/>
          <w:marRight w:val="0"/>
          <w:marTop w:val="0"/>
          <w:marBottom w:val="0"/>
          <w:divBdr>
            <w:top w:val="none" w:sz="0" w:space="0" w:color="auto"/>
            <w:left w:val="none" w:sz="0" w:space="0" w:color="auto"/>
            <w:bottom w:val="none" w:sz="0" w:space="0" w:color="auto"/>
            <w:right w:val="none" w:sz="0" w:space="0" w:color="auto"/>
          </w:divBdr>
        </w:div>
      </w:divsChild>
    </w:div>
    <w:div w:id="1861504851">
      <w:marLeft w:val="0"/>
      <w:marRight w:val="0"/>
      <w:marTop w:val="240"/>
      <w:marBottom w:val="0"/>
      <w:divBdr>
        <w:top w:val="none" w:sz="0" w:space="0" w:color="auto"/>
        <w:left w:val="none" w:sz="0" w:space="0" w:color="auto"/>
        <w:bottom w:val="none" w:sz="0" w:space="0" w:color="auto"/>
        <w:right w:val="none" w:sz="0" w:space="0" w:color="auto"/>
      </w:divBdr>
    </w:div>
    <w:div w:id="1866164036">
      <w:marLeft w:val="0"/>
      <w:marRight w:val="0"/>
      <w:marTop w:val="0"/>
      <w:marBottom w:val="0"/>
      <w:divBdr>
        <w:top w:val="none" w:sz="0" w:space="0" w:color="auto"/>
        <w:left w:val="none" w:sz="0" w:space="0" w:color="auto"/>
        <w:bottom w:val="none" w:sz="0" w:space="0" w:color="auto"/>
        <w:right w:val="none" w:sz="0" w:space="0" w:color="auto"/>
      </w:divBdr>
      <w:divsChild>
        <w:div w:id="1637030723">
          <w:marLeft w:val="0"/>
          <w:marRight w:val="0"/>
          <w:marTop w:val="0"/>
          <w:marBottom w:val="0"/>
          <w:divBdr>
            <w:top w:val="none" w:sz="0" w:space="0" w:color="auto"/>
            <w:left w:val="none" w:sz="0" w:space="0" w:color="auto"/>
            <w:bottom w:val="none" w:sz="0" w:space="0" w:color="auto"/>
            <w:right w:val="none" w:sz="0" w:space="0" w:color="auto"/>
          </w:divBdr>
        </w:div>
      </w:divsChild>
    </w:div>
    <w:div w:id="1868568551">
      <w:marLeft w:val="0"/>
      <w:marRight w:val="0"/>
      <w:marTop w:val="240"/>
      <w:marBottom w:val="240"/>
      <w:divBdr>
        <w:top w:val="none" w:sz="0" w:space="0" w:color="auto"/>
        <w:left w:val="none" w:sz="0" w:space="0" w:color="auto"/>
        <w:bottom w:val="none" w:sz="0" w:space="0" w:color="auto"/>
        <w:right w:val="none" w:sz="0" w:space="0" w:color="auto"/>
      </w:divBdr>
    </w:div>
    <w:div w:id="1891650427">
      <w:marLeft w:val="0"/>
      <w:marRight w:val="0"/>
      <w:marTop w:val="0"/>
      <w:marBottom w:val="120"/>
      <w:divBdr>
        <w:top w:val="none" w:sz="0" w:space="0" w:color="auto"/>
        <w:left w:val="none" w:sz="0" w:space="0" w:color="auto"/>
        <w:bottom w:val="none" w:sz="0" w:space="0" w:color="auto"/>
        <w:right w:val="none" w:sz="0" w:space="0" w:color="auto"/>
      </w:divBdr>
    </w:div>
    <w:div w:id="1892425254">
      <w:marLeft w:val="0"/>
      <w:marRight w:val="0"/>
      <w:marTop w:val="0"/>
      <w:marBottom w:val="240"/>
      <w:divBdr>
        <w:top w:val="none" w:sz="0" w:space="0" w:color="auto"/>
        <w:left w:val="none" w:sz="0" w:space="0" w:color="auto"/>
        <w:bottom w:val="none" w:sz="0" w:space="0" w:color="auto"/>
        <w:right w:val="none" w:sz="0" w:space="0" w:color="auto"/>
      </w:divBdr>
    </w:div>
    <w:div w:id="1893534548">
      <w:marLeft w:val="0"/>
      <w:marRight w:val="0"/>
      <w:marTop w:val="0"/>
      <w:marBottom w:val="240"/>
      <w:divBdr>
        <w:top w:val="none" w:sz="0" w:space="0" w:color="auto"/>
        <w:left w:val="none" w:sz="0" w:space="0" w:color="auto"/>
        <w:bottom w:val="none" w:sz="0" w:space="0" w:color="auto"/>
        <w:right w:val="none" w:sz="0" w:space="0" w:color="auto"/>
      </w:divBdr>
    </w:div>
    <w:div w:id="1893930862">
      <w:marLeft w:val="0"/>
      <w:marRight w:val="0"/>
      <w:marTop w:val="0"/>
      <w:marBottom w:val="120"/>
      <w:divBdr>
        <w:top w:val="none" w:sz="0" w:space="0" w:color="auto"/>
        <w:left w:val="none" w:sz="0" w:space="0" w:color="auto"/>
        <w:bottom w:val="none" w:sz="0" w:space="0" w:color="auto"/>
        <w:right w:val="none" w:sz="0" w:space="0" w:color="auto"/>
      </w:divBdr>
    </w:div>
    <w:div w:id="1895198528">
      <w:marLeft w:val="0"/>
      <w:marRight w:val="0"/>
      <w:marTop w:val="0"/>
      <w:marBottom w:val="240"/>
      <w:divBdr>
        <w:top w:val="none" w:sz="0" w:space="0" w:color="auto"/>
        <w:left w:val="none" w:sz="0" w:space="0" w:color="auto"/>
        <w:bottom w:val="none" w:sz="0" w:space="0" w:color="auto"/>
        <w:right w:val="none" w:sz="0" w:space="0" w:color="auto"/>
      </w:divBdr>
    </w:div>
    <w:div w:id="1901791212">
      <w:marLeft w:val="0"/>
      <w:marRight w:val="0"/>
      <w:marTop w:val="240"/>
      <w:marBottom w:val="240"/>
      <w:divBdr>
        <w:top w:val="none" w:sz="0" w:space="0" w:color="auto"/>
        <w:left w:val="none" w:sz="0" w:space="0" w:color="auto"/>
        <w:bottom w:val="none" w:sz="0" w:space="0" w:color="auto"/>
        <w:right w:val="none" w:sz="0" w:space="0" w:color="auto"/>
      </w:divBdr>
    </w:div>
    <w:div w:id="1903103733">
      <w:marLeft w:val="0"/>
      <w:marRight w:val="0"/>
      <w:marTop w:val="0"/>
      <w:marBottom w:val="0"/>
      <w:divBdr>
        <w:top w:val="none" w:sz="0" w:space="0" w:color="auto"/>
        <w:left w:val="none" w:sz="0" w:space="0" w:color="auto"/>
        <w:bottom w:val="none" w:sz="0" w:space="0" w:color="auto"/>
        <w:right w:val="none" w:sz="0" w:space="0" w:color="auto"/>
      </w:divBdr>
    </w:div>
    <w:div w:id="1903901455">
      <w:marLeft w:val="0"/>
      <w:marRight w:val="0"/>
      <w:marTop w:val="0"/>
      <w:marBottom w:val="0"/>
      <w:divBdr>
        <w:top w:val="none" w:sz="0" w:space="0" w:color="auto"/>
        <w:left w:val="none" w:sz="0" w:space="0" w:color="auto"/>
        <w:bottom w:val="none" w:sz="0" w:space="0" w:color="auto"/>
        <w:right w:val="none" w:sz="0" w:space="0" w:color="auto"/>
      </w:divBdr>
    </w:div>
    <w:div w:id="1915895234">
      <w:marLeft w:val="0"/>
      <w:marRight w:val="0"/>
      <w:marTop w:val="0"/>
      <w:marBottom w:val="0"/>
      <w:divBdr>
        <w:top w:val="none" w:sz="0" w:space="0" w:color="auto"/>
        <w:left w:val="none" w:sz="0" w:space="0" w:color="auto"/>
        <w:bottom w:val="none" w:sz="0" w:space="0" w:color="auto"/>
        <w:right w:val="none" w:sz="0" w:space="0" w:color="auto"/>
      </w:divBdr>
    </w:div>
    <w:div w:id="1920208790">
      <w:marLeft w:val="0"/>
      <w:marRight w:val="0"/>
      <w:marTop w:val="0"/>
      <w:marBottom w:val="240"/>
      <w:divBdr>
        <w:top w:val="none" w:sz="0" w:space="0" w:color="auto"/>
        <w:left w:val="none" w:sz="0" w:space="0" w:color="auto"/>
        <w:bottom w:val="none" w:sz="0" w:space="0" w:color="auto"/>
        <w:right w:val="none" w:sz="0" w:space="0" w:color="auto"/>
      </w:divBdr>
    </w:div>
    <w:div w:id="1921331663">
      <w:marLeft w:val="0"/>
      <w:marRight w:val="0"/>
      <w:marTop w:val="0"/>
      <w:marBottom w:val="0"/>
      <w:divBdr>
        <w:top w:val="none" w:sz="0" w:space="0" w:color="auto"/>
        <w:left w:val="none" w:sz="0" w:space="0" w:color="auto"/>
        <w:bottom w:val="none" w:sz="0" w:space="0" w:color="auto"/>
        <w:right w:val="none" w:sz="0" w:space="0" w:color="auto"/>
      </w:divBdr>
      <w:divsChild>
        <w:div w:id="1321692714">
          <w:marLeft w:val="0"/>
          <w:marRight w:val="0"/>
          <w:marTop w:val="0"/>
          <w:marBottom w:val="0"/>
          <w:divBdr>
            <w:top w:val="none" w:sz="0" w:space="0" w:color="auto"/>
            <w:left w:val="none" w:sz="0" w:space="0" w:color="auto"/>
            <w:bottom w:val="none" w:sz="0" w:space="0" w:color="auto"/>
            <w:right w:val="none" w:sz="0" w:space="0" w:color="auto"/>
          </w:divBdr>
        </w:div>
      </w:divsChild>
    </w:div>
    <w:div w:id="1930843331">
      <w:marLeft w:val="0"/>
      <w:marRight w:val="0"/>
      <w:marTop w:val="0"/>
      <w:marBottom w:val="0"/>
      <w:divBdr>
        <w:top w:val="none" w:sz="0" w:space="0" w:color="auto"/>
        <w:left w:val="none" w:sz="0" w:space="0" w:color="auto"/>
        <w:bottom w:val="none" w:sz="0" w:space="0" w:color="auto"/>
        <w:right w:val="none" w:sz="0" w:space="0" w:color="auto"/>
      </w:divBdr>
    </w:div>
    <w:div w:id="1934120243">
      <w:marLeft w:val="0"/>
      <w:marRight w:val="0"/>
      <w:marTop w:val="0"/>
      <w:marBottom w:val="240"/>
      <w:divBdr>
        <w:top w:val="none" w:sz="0" w:space="0" w:color="auto"/>
        <w:left w:val="none" w:sz="0" w:space="0" w:color="auto"/>
        <w:bottom w:val="none" w:sz="0" w:space="0" w:color="auto"/>
        <w:right w:val="none" w:sz="0" w:space="0" w:color="auto"/>
      </w:divBdr>
    </w:div>
    <w:div w:id="1937247616">
      <w:marLeft w:val="0"/>
      <w:marRight w:val="0"/>
      <w:marTop w:val="0"/>
      <w:marBottom w:val="240"/>
      <w:divBdr>
        <w:top w:val="none" w:sz="0" w:space="0" w:color="auto"/>
        <w:left w:val="none" w:sz="0" w:space="0" w:color="auto"/>
        <w:bottom w:val="none" w:sz="0" w:space="0" w:color="auto"/>
        <w:right w:val="none" w:sz="0" w:space="0" w:color="auto"/>
      </w:divBdr>
    </w:div>
    <w:div w:id="1943218549">
      <w:marLeft w:val="0"/>
      <w:marRight w:val="0"/>
      <w:marTop w:val="0"/>
      <w:marBottom w:val="0"/>
      <w:divBdr>
        <w:top w:val="none" w:sz="0" w:space="0" w:color="auto"/>
        <w:left w:val="none" w:sz="0" w:space="0" w:color="auto"/>
        <w:bottom w:val="none" w:sz="0" w:space="0" w:color="auto"/>
        <w:right w:val="none" w:sz="0" w:space="0" w:color="auto"/>
      </w:divBdr>
      <w:divsChild>
        <w:div w:id="1924407665">
          <w:marLeft w:val="0"/>
          <w:marRight w:val="0"/>
          <w:marTop w:val="0"/>
          <w:marBottom w:val="0"/>
          <w:divBdr>
            <w:top w:val="none" w:sz="0" w:space="0" w:color="auto"/>
            <w:left w:val="none" w:sz="0" w:space="0" w:color="auto"/>
            <w:bottom w:val="none" w:sz="0" w:space="0" w:color="auto"/>
            <w:right w:val="none" w:sz="0" w:space="0" w:color="auto"/>
          </w:divBdr>
        </w:div>
      </w:divsChild>
    </w:div>
    <w:div w:id="1946424473">
      <w:marLeft w:val="0"/>
      <w:marRight w:val="0"/>
      <w:marTop w:val="0"/>
      <w:marBottom w:val="1"/>
      <w:divBdr>
        <w:top w:val="none" w:sz="0" w:space="0" w:color="auto"/>
        <w:left w:val="none" w:sz="0" w:space="0" w:color="auto"/>
        <w:bottom w:val="none" w:sz="0" w:space="0" w:color="auto"/>
        <w:right w:val="none" w:sz="0" w:space="0" w:color="auto"/>
      </w:divBdr>
    </w:div>
    <w:div w:id="1954703245">
      <w:marLeft w:val="0"/>
      <w:marRight w:val="0"/>
      <w:marTop w:val="240"/>
      <w:marBottom w:val="180"/>
      <w:divBdr>
        <w:top w:val="none" w:sz="0" w:space="0" w:color="auto"/>
        <w:left w:val="none" w:sz="0" w:space="0" w:color="auto"/>
        <w:bottom w:val="none" w:sz="0" w:space="0" w:color="auto"/>
        <w:right w:val="none" w:sz="0" w:space="0" w:color="auto"/>
      </w:divBdr>
    </w:div>
    <w:div w:id="1960455963">
      <w:marLeft w:val="0"/>
      <w:marRight w:val="0"/>
      <w:marTop w:val="0"/>
      <w:marBottom w:val="0"/>
      <w:divBdr>
        <w:top w:val="none" w:sz="0" w:space="0" w:color="auto"/>
        <w:left w:val="none" w:sz="0" w:space="0" w:color="auto"/>
        <w:bottom w:val="none" w:sz="0" w:space="0" w:color="auto"/>
        <w:right w:val="none" w:sz="0" w:space="0" w:color="auto"/>
      </w:divBdr>
      <w:divsChild>
        <w:div w:id="2046173159">
          <w:marLeft w:val="0"/>
          <w:marRight w:val="0"/>
          <w:marTop w:val="0"/>
          <w:marBottom w:val="0"/>
          <w:divBdr>
            <w:top w:val="none" w:sz="0" w:space="0" w:color="auto"/>
            <w:left w:val="none" w:sz="0" w:space="0" w:color="auto"/>
            <w:bottom w:val="none" w:sz="0" w:space="0" w:color="auto"/>
            <w:right w:val="none" w:sz="0" w:space="0" w:color="auto"/>
          </w:divBdr>
        </w:div>
      </w:divsChild>
    </w:div>
    <w:div w:id="1961447668">
      <w:marLeft w:val="0"/>
      <w:marRight w:val="0"/>
      <w:marTop w:val="0"/>
      <w:marBottom w:val="0"/>
      <w:divBdr>
        <w:top w:val="none" w:sz="0" w:space="0" w:color="auto"/>
        <w:left w:val="none" w:sz="0" w:space="0" w:color="auto"/>
        <w:bottom w:val="none" w:sz="0" w:space="0" w:color="auto"/>
        <w:right w:val="none" w:sz="0" w:space="0" w:color="auto"/>
      </w:divBdr>
    </w:div>
    <w:div w:id="1966351783">
      <w:marLeft w:val="0"/>
      <w:marRight w:val="0"/>
      <w:marTop w:val="0"/>
      <w:marBottom w:val="240"/>
      <w:divBdr>
        <w:top w:val="none" w:sz="0" w:space="0" w:color="auto"/>
        <w:left w:val="none" w:sz="0" w:space="0" w:color="auto"/>
        <w:bottom w:val="none" w:sz="0" w:space="0" w:color="auto"/>
        <w:right w:val="none" w:sz="0" w:space="0" w:color="auto"/>
      </w:divBdr>
    </w:div>
    <w:div w:id="1968075036">
      <w:marLeft w:val="0"/>
      <w:marRight w:val="0"/>
      <w:marTop w:val="0"/>
      <w:marBottom w:val="240"/>
      <w:divBdr>
        <w:top w:val="none" w:sz="0" w:space="0" w:color="auto"/>
        <w:left w:val="none" w:sz="0" w:space="0" w:color="auto"/>
        <w:bottom w:val="none" w:sz="0" w:space="0" w:color="auto"/>
        <w:right w:val="none" w:sz="0" w:space="0" w:color="auto"/>
      </w:divBdr>
    </w:div>
    <w:div w:id="1970015859">
      <w:marLeft w:val="0"/>
      <w:marRight w:val="0"/>
      <w:marTop w:val="0"/>
      <w:marBottom w:val="0"/>
      <w:divBdr>
        <w:top w:val="none" w:sz="0" w:space="0" w:color="auto"/>
        <w:left w:val="none" w:sz="0" w:space="0" w:color="auto"/>
        <w:bottom w:val="none" w:sz="0" w:space="0" w:color="auto"/>
        <w:right w:val="none" w:sz="0" w:space="0" w:color="auto"/>
      </w:divBdr>
    </w:div>
    <w:div w:id="1975137453">
      <w:marLeft w:val="0"/>
      <w:marRight w:val="0"/>
      <w:marTop w:val="240"/>
      <w:marBottom w:val="0"/>
      <w:divBdr>
        <w:top w:val="none" w:sz="0" w:space="0" w:color="auto"/>
        <w:left w:val="none" w:sz="0" w:space="0" w:color="auto"/>
        <w:bottom w:val="none" w:sz="0" w:space="0" w:color="auto"/>
        <w:right w:val="none" w:sz="0" w:space="0" w:color="auto"/>
      </w:divBdr>
    </w:div>
    <w:div w:id="1977293860">
      <w:marLeft w:val="0"/>
      <w:marRight w:val="0"/>
      <w:marTop w:val="0"/>
      <w:marBottom w:val="0"/>
      <w:divBdr>
        <w:top w:val="none" w:sz="0" w:space="0" w:color="auto"/>
        <w:left w:val="none" w:sz="0" w:space="0" w:color="auto"/>
        <w:bottom w:val="none" w:sz="0" w:space="0" w:color="auto"/>
        <w:right w:val="none" w:sz="0" w:space="0" w:color="auto"/>
      </w:divBdr>
      <w:divsChild>
        <w:div w:id="1210724580">
          <w:marLeft w:val="0"/>
          <w:marRight w:val="0"/>
          <w:marTop w:val="0"/>
          <w:marBottom w:val="0"/>
          <w:divBdr>
            <w:top w:val="none" w:sz="0" w:space="0" w:color="auto"/>
            <w:left w:val="none" w:sz="0" w:space="0" w:color="auto"/>
            <w:bottom w:val="none" w:sz="0" w:space="0" w:color="auto"/>
            <w:right w:val="none" w:sz="0" w:space="0" w:color="auto"/>
          </w:divBdr>
        </w:div>
      </w:divsChild>
    </w:div>
    <w:div w:id="1978994705">
      <w:marLeft w:val="0"/>
      <w:marRight w:val="0"/>
      <w:marTop w:val="0"/>
      <w:marBottom w:val="200"/>
      <w:divBdr>
        <w:top w:val="none" w:sz="0" w:space="0" w:color="auto"/>
        <w:left w:val="none" w:sz="0" w:space="0" w:color="auto"/>
        <w:bottom w:val="none" w:sz="0" w:space="0" w:color="auto"/>
        <w:right w:val="none" w:sz="0" w:space="0" w:color="auto"/>
      </w:divBdr>
    </w:div>
    <w:div w:id="1979021196">
      <w:marLeft w:val="0"/>
      <w:marRight w:val="0"/>
      <w:marTop w:val="0"/>
      <w:marBottom w:val="0"/>
      <w:divBdr>
        <w:top w:val="none" w:sz="0" w:space="0" w:color="auto"/>
        <w:left w:val="none" w:sz="0" w:space="0" w:color="auto"/>
        <w:bottom w:val="none" w:sz="0" w:space="0" w:color="auto"/>
        <w:right w:val="none" w:sz="0" w:space="0" w:color="auto"/>
      </w:divBdr>
      <w:divsChild>
        <w:div w:id="136996794">
          <w:marLeft w:val="0"/>
          <w:marRight w:val="0"/>
          <w:marTop w:val="0"/>
          <w:marBottom w:val="0"/>
          <w:divBdr>
            <w:top w:val="none" w:sz="0" w:space="0" w:color="auto"/>
            <w:left w:val="none" w:sz="0" w:space="0" w:color="auto"/>
            <w:bottom w:val="none" w:sz="0" w:space="0" w:color="auto"/>
            <w:right w:val="none" w:sz="0" w:space="0" w:color="auto"/>
          </w:divBdr>
        </w:div>
      </w:divsChild>
    </w:div>
    <w:div w:id="1979533686">
      <w:marLeft w:val="0"/>
      <w:marRight w:val="0"/>
      <w:marTop w:val="0"/>
      <w:marBottom w:val="240"/>
      <w:divBdr>
        <w:top w:val="none" w:sz="0" w:space="0" w:color="auto"/>
        <w:left w:val="none" w:sz="0" w:space="0" w:color="auto"/>
        <w:bottom w:val="none" w:sz="0" w:space="0" w:color="auto"/>
        <w:right w:val="none" w:sz="0" w:space="0" w:color="auto"/>
      </w:divBdr>
    </w:div>
    <w:div w:id="1982736217">
      <w:marLeft w:val="0"/>
      <w:marRight w:val="0"/>
      <w:marTop w:val="0"/>
      <w:marBottom w:val="200"/>
      <w:divBdr>
        <w:top w:val="none" w:sz="0" w:space="0" w:color="auto"/>
        <w:left w:val="none" w:sz="0" w:space="0" w:color="auto"/>
        <w:bottom w:val="none" w:sz="0" w:space="0" w:color="auto"/>
        <w:right w:val="none" w:sz="0" w:space="0" w:color="auto"/>
      </w:divBdr>
    </w:div>
    <w:div w:id="1987664382">
      <w:marLeft w:val="0"/>
      <w:marRight w:val="0"/>
      <w:marTop w:val="0"/>
      <w:marBottom w:val="0"/>
      <w:divBdr>
        <w:top w:val="none" w:sz="0" w:space="0" w:color="auto"/>
        <w:left w:val="none" w:sz="0" w:space="0" w:color="auto"/>
        <w:bottom w:val="none" w:sz="0" w:space="0" w:color="auto"/>
        <w:right w:val="none" w:sz="0" w:space="0" w:color="auto"/>
      </w:divBdr>
      <w:divsChild>
        <w:div w:id="1563785084">
          <w:marLeft w:val="0"/>
          <w:marRight w:val="0"/>
          <w:marTop w:val="0"/>
          <w:marBottom w:val="0"/>
          <w:divBdr>
            <w:top w:val="none" w:sz="0" w:space="0" w:color="auto"/>
            <w:left w:val="none" w:sz="0" w:space="0" w:color="auto"/>
            <w:bottom w:val="none" w:sz="0" w:space="0" w:color="auto"/>
            <w:right w:val="none" w:sz="0" w:space="0" w:color="auto"/>
          </w:divBdr>
        </w:div>
      </w:divsChild>
    </w:div>
    <w:div w:id="1988900680">
      <w:marLeft w:val="0"/>
      <w:marRight w:val="0"/>
      <w:marTop w:val="240"/>
      <w:marBottom w:val="0"/>
      <w:divBdr>
        <w:top w:val="none" w:sz="0" w:space="0" w:color="auto"/>
        <w:left w:val="none" w:sz="0" w:space="0" w:color="auto"/>
        <w:bottom w:val="none" w:sz="0" w:space="0" w:color="auto"/>
        <w:right w:val="none" w:sz="0" w:space="0" w:color="auto"/>
      </w:divBdr>
    </w:div>
    <w:div w:id="2008286663">
      <w:marLeft w:val="0"/>
      <w:marRight w:val="0"/>
      <w:marTop w:val="0"/>
      <w:marBottom w:val="0"/>
      <w:divBdr>
        <w:top w:val="none" w:sz="0" w:space="0" w:color="auto"/>
        <w:left w:val="none" w:sz="0" w:space="0" w:color="auto"/>
        <w:bottom w:val="none" w:sz="0" w:space="0" w:color="auto"/>
        <w:right w:val="none" w:sz="0" w:space="0" w:color="auto"/>
      </w:divBdr>
    </w:div>
    <w:div w:id="2010938345">
      <w:marLeft w:val="0"/>
      <w:marRight w:val="0"/>
      <w:marTop w:val="240"/>
      <w:marBottom w:val="240"/>
      <w:divBdr>
        <w:top w:val="none" w:sz="0" w:space="0" w:color="auto"/>
        <w:left w:val="none" w:sz="0" w:space="0" w:color="auto"/>
        <w:bottom w:val="none" w:sz="0" w:space="0" w:color="auto"/>
        <w:right w:val="none" w:sz="0" w:space="0" w:color="auto"/>
      </w:divBdr>
    </w:div>
    <w:div w:id="2013336823">
      <w:marLeft w:val="0"/>
      <w:marRight w:val="0"/>
      <w:marTop w:val="0"/>
      <w:marBottom w:val="240"/>
      <w:divBdr>
        <w:top w:val="none" w:sz="0" w:space="0" w:color="auto"/>
        <w:left w:val="none" w:sz="0" w:space="0" w:color="auto"/>
        <w:bottom w:val="none" w:sz="0" w:space="0" w:color="auto"/>
        <w:right w:val="none" w:sz="0" w:space="0" w:color="auto"/>
      </w:divBdr>
    </w:div>
    <w:div w:id="2014185949">
      <w:marLeft w:val="0"/>
      <w:marRight w:val="0"/>
      <w:marTop w:val="0"/>
      <w:marBottom w:val="0"/>
      <w:divBdr>
        <w:top w:val="none" w:sz="0" w:space="0" w:color="auto"/>
        <w:left w:val="none" w:sz="0" w:space="0" w:color="auto"/>
        <w:bottom w:val="none" w:sz="0" w:space="0" w:color="auto"/>
        <w:right w:val="none" w:sz="0" w:space="0" w:color="auto"/>
      </w:divBdr>
      <w:divsChild>
        <w:div w:id="2011758865">
          <w:marLeft w:val="0"/>
          <w:marRight w:val="0"/>
          <w:marTop w:val="0"/>
          <w:marBottom w:val="0"/>
          <w:divBdr>
            <w:top w:val="none" w:sz="0" w:space="0" w:color="auto"/>
            <w:left w:val="none" w:sz="0" w:space="0" w:color="auto"/>
            <w:bottom w:val="none" w:sz="0" w:space="0" w:color="auto"/>
            <w:right w:val="none" w:sz="0" w:space="0" w:color="auto"/>
          </w:divBdr>
        </w:div>
      </w:divsChild>
    </w:div>
    <w:div w:id="2016150788">
      <w:marLeft w:val="0"/>
      <w:marRight w:val="0"/>
      <w:marTop w:val="0"/>
      <w:marBottom w:val="0"/>
      <w:divBdr>
        <w:top w:val="none" w:sz="0" w:space="0" w:color="auto"/>
        <w:left w:val="none" w:sz="0" w:space="0" w:color="auto"/>
        <w:bottom w:val="none" w:sz="0" w:space="0" w:color="auto"/>
        <w:right w:val="none" w:sz="0" w:space="0" w:color="auto"/>
      </w:divBdr>
    </w:div>
    <w:div w:id="2016610835">
      <w:marLeft w:val="0"/>
      <w:marRight w:val="0"/>
      <w:marTop w:val="240"/>
      <w:marBottom w:val="240"/>
      <w:divBdr>
        <w:top w:val="none" w:sz="0" w:space="0" w:color="auto"/>
        <w:left w:val="none" w:sz="0" w:space="0" w:color="auto"/>
        <w:bottom w:val="none" w:sz="0" w:space="0" w:color="auto"/>
        <w:right w:val="none" w:sz="0" w:space="0" w:color="auto"/>
      </w:divBdr>
    </w:div>
    <w:div w:id="2019035533">
      <w:marLeft w:val="0"/>
      <w:marRight w:val="0"/>
      <w:marTop w:val="0"/>
      <w:marBottom w:val="120"/>
      <w:divBdr>
        <w:top w:val="none" w:sz="0" w:space="0" w:color="auto"/>
        <w:left w:val="none" w:sz="0" w:space="0" w:color="auto"/>
        <w:bottom w:val="none" w:sz="0" w:space="0" w:color="auto"/>
        <w:right w:val="none" w:sz="0" w:space="0" w:color="auto"/>
      </w:divBdr>
    </w:div>
    <w:div w:id="2022197087">
      <w:marLeft w:val="0"/>
      <w:marRight w:val="0"/>
      <w:marTop w:val="0"/>
      <w:marBottom w:val="240"/>
      <w:divBdr>
        <w:top w:val="none" w:sz="0" w:space="0" w:color="auto"/>
        <w:left w:val="none" w:sz="0" w:space="0" w:color="auto"/>
        <w:bottom w:val="none" w:sz="0" w:space="0" w:color="auto"/>
        <w:right w:val="none" w:sz="0" w:space="0" w:color="auto"/>
      </w:divBdr>
    </w:div>
    <w:div w:id="2023510652">
      <w:marLeft w:val="0"/>
      <w:marRight w:val="0"/>
      <w:marTop w:val="0"/>
      <w:marBottom w:val="240"/>
      <w:divBdr>
        <w:top w:val="none" w:sz="0" w:space="0" w:color="auto"/>
        <w:left w:val="none" w:sz="0" w:space="0" w:color="auto"/>
        <w:bottom w:val="none" w:sz="0" w:space="0" w:color="auto"/>
        <w:right w:val="none" w:sz="0" w:space="0" w:color="auto"/>
      </w:divBdr>
    </w:div>
    <w:div w:id="2024816655">
      <w:marLeft w:val="0"/>
      <w:marRight w:val="0"/>
      <w:marTop w:val="0"/>
      <w:marBottom w:val="240"/>
      <w:divBdr>
        <w:top w:val="none" w:sz="0" w:space="0" w:color="auto"/>
        <w:left w:val="none" w:sz="0" w:space="0" w:color="auto"/>
        <w:bottom w:val="none" w:sz="0" w:space="0" w:color="auto"/>
        <w:right w:val="none" w:sz="0" w:space="0" w:color="auto"/>
      </w:divBdr>
    </w:div>
    <w:div w:id="2030527157">
      <w:marLeft w:val="0"/>
      <w:marRight w:val="0"/>
      <w:marTop w:val="0"/>
      <w:marBottom w:val="0"/>
      <w:divBdr>
        <w:top w:val="none" w:sz="0" w:space="0" w:color="auto"/>
        <w:left w:val="none" w:sz="0" w:space="0" w:color="auto"/>
        <w:bottom w:val="none" w:sz="0" w:space="0" w:color="auto"/>
        <w:right w:val="none" w:sz="0" w:space="0" w:color="auto"/>
      </w:divBdr>
    </w:div>
    <w:div w:id="2030639457">
      <w:marLeft w:val="0"/>
      <w:marRight w:val="0"/>
      <w:marTop w:val="0"/>
      <w:marBottom w:val="240"/>
      <w:divBdr>
        <w:top w:val="none" w:sz="0" w:space="0" w:color="auto"/>
        <w:left w:val="none" w:sz="0" w:space="0" w:color="auto"/>
        <w:bottom w:val="none" w:sz="0" w:space="0" w:color="auto"/>
        <w:right w:val="none" w:sz="0" w:space="0" w:color="auto"/>
      </w:divBdr>
    </w:div>
    <w:div w:id="2034258607">
      <w:marLeft w:val="0"/>
      <w:marRight w:val="0"/>
      <w:marTop w:val="0"/>
      <w:marBottom w:val="120"/>
      <w:divBdr>
        <w:top w:val="none" w:sz="0" w:space="0" w:color="auto"/>
        <w:left w:val="none" w:sz="0" w:space="0" w:color="auto"/>
        <w:bottom w:val="none" w:sz="0" w:space="0" w:color="auto"/>
        <w:right w:val="none" w:sz="0" w:space="0" w:color="auto"/>
      </w:divBdr>
    </w:div>
    <w:div w:id="2039039076">
      <w:marLeft w:val="0"/>
      <w:marRight w:val="0"/>
      <w:marTop w:val="0"/>
      <w:marBottom w:val="0"/>
      <w:divBdr>
        <w:top w:val="none" w:sz="0" w:space="0" w:color="auto"/>
        <w:left w:val="none" w:sz="0" w:space="0" w:color="auto"/>
        <w:bottom w:val="none" w:sz="0" w:space="0" w:color="auto"/>
        <w:right w:val="none" w:sz="0" w:space="0" w:color="auto"/>
      </w:divBdr>
    </w:div>
    <w:div w:id="2040080773">
      <w:marLeft w:val="0"/>
      <w:marRight w:val="0"/>
      <w:marTop w:val="0"/>
      <w:marBottom w:val="0"/>
      <w:divBdr>
        <w:top w:val="none" w:sz="0" w:space="0" w:color="auto"/>
        <w:left w:val="none" w:sz="0" w:space="0" w:color="auto"/>
        <w:bottom w:val="none" w:sz="0" w:space="0" w:color="auto"/>
        <w:right w:val="none" w:sz="0" w:space="0" w:color="auto"/>
      </w:divBdr>
      <w:divsChild>
        <w:div w:id="232936363">
          <w:marLeft w:val="0"/>
          <w:marRight w:val="0"/>
          <w:marTop w:val="0"/>
          <w:marBottom w:val="0"/>
          <w:divBdr>
            <w:top w:val="none" w:sz="0" w:space="0" w:color="auto"/>
            <w:left w:val="none" w:sz="0" w:space="0" w:color="auto"/>
            <w:bottom w:val="none" w:sz="0" w:space="0" w:color="auto"/>
            <w:right w:val="none" w:sz="0" w:space="0" w:color="auto"/>
          </w:divBdr>
        </w:div>
      </w:divsChild>
    </w:div>
    <w:div w:id="2040930212">
      <w:marLeft w:val="0"/>
      <w:marRight w:val="0"/>
      <w:marTop w:val="0"/>
      <w:marBottom w:val="0"/>
      <w:divBdr>
        <w:top w:val="none" w:sz="0" w:space="0" w:color="auto"/>
        <w:left w:val="none" w:sz="0" w:space="0" w:color="auto"/>
        <w:bottom w:val="none" w:sz="0" w:space="0" w:color="auto"/>
        <w:right w:val="none" w:sz="0" w:space="0" w:color="auto"/>
      </w:divBdr>
      <w:divsChild>
        <w:div w:id="1211071376">
          <w:marLeft w:val="0"/>
          <w:marRight w:val="0"/>
          <w:marTop w:val="0"/>
          <w:marBottom w:val="0"/>
          <w:divBdr>
            <w:top w:val="none" w:sz="0" w:space="0" w:color="auto"/>
            <w:left w:val="none" w:sz="0" w:space="0" w:color="auto"/>
            <w:bottom w:val="none" w:sz="0" w:space="0" w:color="auto"/>
            <w:right w:val="none" w:sz="0" w:space="0" w:color="auto"/>
          </w:divBdr>
        </w:div>
      </w:divsChild>
    </w:div>
    <w:div w:id="2068215519">
      <w:marLeft w:val="0"/>
      <w:marRight w:val="0"/>
      <w:marTop w:val="0"/>
      <w:marBottom w:val="240"/>
      <w:divBdr>
        <w:top w:val="none" w:sz="0" w:space="0" w:color="auto"/>
        <w:left w:val="none" w:sz="0" w:space="0" w:color="auto"/>
        <w:bottom w:val="none" w:sz="0" w:space="0" w:color="auto"/>
        <w:right w:val="none" w:sz="0" w:space="0" w:color="auto"/>
      </w:divBdr>
    </w:div>
    <w:div w:id="2069649204">
      <w:marLeft w:val="0"/>
      <w:marRight w:val="0"/>
      <w:marTop w:val="0"/>
      <w:marBottom w:val="240"/>
      <w:divBdr>
        <w:top w:val="none" w:sz="0" w:space="0" w:color="auto"/>
        <w:left w:val="none" w:sz="0" w:space="0" w:color="auto"/>
        <w:bottom w:val="none" w:sz="0" w:space="0" w:color="auto"/>
        <w:right w:val="none" w:sz="0" w:space="0" w:color="auto"/>
      </w:divBdr>
    </w:div>
    <w:div w:id="2072996857">
      <w:marLeft w:val="0"/>
      <w:marRight w:val="0"/>
      <w:marTop w:val="0"/>
      <w:marBottom w:val="0"/>
      <w:divBdr>
        <w:top w:val="none" w:sz="0" w:space="0" w:color="auto"/>
        <w:left w:val="none" w:sz="0" w:space="0" w:color="auto"/>
        <w:bottom w:val="none" w:sz="0" w:space="0" w:color="auto"/>
        <w:right w:val="none" w:sz="0" w:space="0" w:color="auto"/>
      </w:divBdr>
      <w:divsChild>
        <w:div w:id="953950624">
          <w:marLeft w:val="0"/>
          <w:marRight w:val="0"/>
          <w:marTop w:val="0"/>
          <w:marBottom w:val="0"/>
          <w:divBdr>
            <w:top w:val="none" w:sz="0" w:space="0" w:color="auto"/>
            <w:left w:val="none" w:sz="0" w:space="0" w:color="auto"/>
            <w:bottom w:val="none" w:sz="0" w:space="0" w:color="auto"/>
            <w:right w:val="none" w:sz="0" w:space="0" w:color="auto"/>
          </w:divBdr>
        </w:div>
      </w:divsChild>
    </w:div>
    <w:div w:id="2085569901">
      <w:marLeft w:val="0"/>
      <w:marRight w:val="0"/>
      <w:marTop w:val="0"/>
      <w:marBottom w:val="0"/>
      <w:divBdr>
        <w:top w:val="none" w:sz="0" w:space="0" w:color="auto"/>
        <w:left w:val="none" w:sz="0" w:space="0" w:color="auto"/>
        <w:bottom w:val="none" w:sz="0" w:space="0" w:color="auto"/>
        <w:right w:val="none" w:sz="0" w:space="0" w:color="auto"/>
      </w:divBdr>
      <w:divsChild>
        <w:div w:id="205337156">
          <w:marLeft w:val="0"/>
          <w:marRight w:val="0"/>
          <w:marTop w:val="0"/>
          <w:marBottom w:val="0"/>
          <w:divBdr>
            <w:top w:val="none" w:sz="0" w:space="0" w:color="auto"/>
            <w:left w:val="none" w:sz="0" w:space="0" w:color="auto"/>
            <w:bottom w:val="none" w:sz="0" w:space="0" w:color="auto"/>
            <w:right w:val="none" w:sz="0" w:space="0" w:color="auto"/>
          </w:divBdr>
        </w:div>
      </w:divsChild>
    </w:div>
    <w:div w:id="2089156946">
      <w:marLeft w:val="0"/>
      <w:marRight w:val="0"/>
      <w:marTop w:val="0"/>
      <w:marBottom w:val="0"/>
      <w:divBdr>
        <w:top w:val="none" w:sz="0" w:space="0" w:color="auto"/>
        <w:left w:val="none" w:sz="0" w:space="0" w:color="auto"/>
        <w:bottom w:val="none" w:sz="0" w:space="0" w:color="auto"/>
        <w:right w:val="none" w:sz="0" w:space="0" w:color="auto"/>
      </w:divBdr>
    </w:div>
    <w:div w:id="2092702680">
      <w:marLeft w:val="0"/>
      <w:marRight w:val="0"/>
      <w:marTop w:val="0"/>
      <w:marBottom w:val="0"/>
      <w:divBdr>
        <w:top w:val="none" w:sz="0" w:space="0" w:color="auto"/>
        <w:left w:val="none" w:sz="0" w:space="0" w:color="auto"/>
        <w:bottom w:val="none" w:sz="0" w:space="0" w:color="auto"/>
        <w:right w:val="none" w:sz="0" w:space="0" w:color="auto"/>
      </w:divBdr>
    </w:div>
    <w:div w:id="2093114645">
      <w:marLeft w:val="0"/>
      <w:marRight w:val="0"/>
      <w:marTop w:val="240"/>
      <w:marBottom w:val="240"/>
      <w:divBdr>
        <w:top w:val="none" w:sz="0" w:space="0" w:color="auto"/>
        <w:left w:val="none" w:sz="0" w:space="0" w:color="auto"/>
        <w:bottom w:val="none" w:sz="0" w:space="0" w:color="auto"/>
        <w:right w:val="none" w:sz="0" w:space="0" w:color="auto"/>
      </w:divBdr>
    </w:div>
    <w:div w:id="2097482307">
      <w:marLeft w:val="0"/>
      <w:marRight w:val="0"/>
      <w:marTop w:val="240"/>
      <w:marBottom w:val="240"/>
      <w:divBdr>
        <w:top w:val="none" w:sz="0" w:space="0" w:color="auto"/>
        <w:left w:val="none" w:sz="0" w:space="0" w:color="auto"/>
        <w:bottom w:val="none" w:sz="0" w:space="0" w:color="auto"/>
        <w:right w:val="none" w:sz="0" w:space="0" w:color="auto"/>
      </w:divBdr>
    </w:div>
    <w:div w:id="2100902671">
      <w:marLeft w:val="0"/>
      <w:marRight w:val="0"/>
      <w:marTop w:val="240"/>
      <w:marBottom w:val="240"/>
      <w:divBdr>
        <w:top w:val="none" w:sz="0" w:space="0" w:color="auto"/>
        <w:left w:val="none" w:sz="0" w:space="0" w:color="auto"/>
        <w:bottom w:val="none" w:sz="0" w:space="0" w:color="auto"/>
        <w:right w:val="none" w:sz="0" w:space="0" w:color="auto"/>
      </w:divBdr>
    </w:div>
    <w:div w:id="2113360062">
      <w:marLeft w:val="0"/>
      <w:marRight w:val="0"/>
      <w:marTop w:val="0"/>
      <w:marBottom w:val="240"/>
      <w:divBdr>
        <w:top w:val="none" w:sz="0" w:space="0" w:color="auto"/>
        <w:left w:val="none" w:sz="0" w:space="0" w:color="auto"/>
        <w:bottom w:val="none" w:sz="0" w:space="0" w:color="auto"/>
        <w:right w:val="none" w:sz="0" w:space="0" w:color="auto"/>
      </w:divBdr>
    </w:div>
    <w:div w:id="2119524649">
      <w:marLeft w:val="0"/>
      <w:marRight w:val="0"/>
      <w:marTop w:val="0"/>
      <w:marBottom w:val="240"/>
      <w:divBdr>
        <w:top w:val="none" w:sz="0" w:space="0" w:color="auto"/>
        <w:left w:val="none" w:sz="0" w:space="0" w:color="auto"/>
        <w:bottom w:val="none" w:sz="0" w:space="0" w:color="auto"/>
        <w:right w:val="none" w:sz="0" w:space="0" w:color="auto"/>
      </w:divBdr>
    </w:div>
    <w:div w:id="2125953894">
      <w:marLeft w:val="0"/>
      <w:marRight w:val="0"/>
      <w:marTop w:val="0"/>
      <w:marBottom w:val="0"/>
      <w:divBdr>
        <w:top w:val="none" w:sz="0" w:space="0" w:color="auto"/>
        <w:left w:val="none" w:sz="0" w:space="0" w:color="auto"/>
        <w:bottom w:val="none" w:sz="0" w:space="0" w:color="auto"/>
        <w:right w:val="none" w:sz="0" w:space="0" w:color="auto"/>
      </w:divBdr>
    </w:div>
    <w:div w:id="2128428276">
      <w:marLeft w:val="0"/>
      <w:marRight w:val="0"/>
      <w:marTop w:val="0"/>
      <w:marBottom w:val="200"/>
      <w:divBdr>
        <w:top w:val="none" w:sz="0" w:space="0" w:color="auto"/>
        <w:left w:val="none" w:sz="0" w:space="0" w:color="auto"/>
        <w:bottom w:val="none" w:sz="0" w:space="0" w:color="auto"/>
        <w:right w:val="none" w:sz="0" w:space="0" w:color="auto"/>
      </w:divBdr>
    </w:div>
    <w:div w:id="2129741625">
      <w:marLeft w:val="0"/>
      <w:marRight w:val="0"/>
      <w:marTop w:val="0"/>
      <w:marBottom w:val="0"/>
      <w:divBdr>
        <w:top w:val="none" w:sz="0" w:space="0" w:color="auto"/>
        <w:left w:val="none" w:sz="0" w:space="0" w:color="auto"/>
        <w:bottom w:val="none" w:sz="0" w:space="0" w:color="auto"/>
        <w:right w:val="none" w:sz="0" w:space="0" w:color="auto"/>
      </w:divBdr>
    </w:div>
    <w:div w:id="2131824305">
      <w:marLeft w:val="0"/>
      <w:marRight w:val="0"/>
      <w:marTop w:val="200"/>
      <w:marBottom w:val="200"/>
      <w:divBdr>
        <w:top w:val="none" w:sz="0" w:space="0" w:color="auto"/>
        <w:left w:val="none" w:sz="0" w:space="0" w:color="auto"/>
        <w:bottom w:val="none" w:sz="0" w:space="0" w:color="auto"/>
        <w:right w:val="none" w:sz="0" w:space="0" w:color="auto"/>
      </w:divBdr>
    </w:div>
    <w:div w:id="2132361294">
      <w:marLeft w:val="0"/>
      <w:marRight w:val="0"/>
      <w:marTop w:val="0"/>
      <w:marBottom w:val="0"/>
      <w:divBdr>
        <w:top w:val="none" w:sz="0" w:space="0" w:color="auto"/>
        <w:left w:val="none" w:sz="0" w:space="0" w:color="auto"/>
        <w:bottom w:val="none" w:sz="0" w:space="0" w:color="auto"/>
        <w:right w:val="none" w:sz="0" w:space="0" w:color="auto"/>
      </w:divBdr>
      <w:divsChild>
        <w:div w:id="745615690">
          <w:marLeft w:val="0"/>
          <w:marRight w:val="0"/>
          <w:marTop w:val="0"/>
          <w:marBottom w:val="0"/>
          <w:divBdr>
            <w:top w:val="none" w:sz="0" w:space="0" w:color="auto"/>
            <w:left w:val="none" w:sz="0" w:space="0" w:color="auto"/>
            <w:bottom w:val="none" w:sz="0" w:space="0" w:color="auto"/>
            <w:right w:val="none" w:sz="0" w:space="0" w:color="auto"/>
          </w:divBdr>
        </w:div>
      </w:divsChild>
    </w:div>
    <w:div w:id="2141261757">
      <w:marLeft w:val="0"/>
      <w:marRight w:val="0"/>
      <w:marTop w:val="240"/>
      <w:marBottom w:val="0"/>
      <w:divBdr>
        <w:top w:val="none" w:sz="0" w:space="0" w:color="auto"/>
        <w:left w:val="none" w:sz="0" w:space="0" w:color="auto"/>
        <w:bottom w:val="none" w:sz="0" w:space="0" w:color="auto"/>
        <w:right w:val="none" w:sz="0" w:space="0" w:color="auto"/>
      </w:divBdr>
    </w:div>
    <w:div w:id="2142451760">
      <w:marLeft w:val="0"/>
      <w:marRight w:val="0"/>
      <w:marTop w:val="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psa-63022xex31_1.htm" TargetMode="External"/><Relationship Id="rId3" Type="http://schemas.openxmlformats.org/officeDocument/2006/relationships/webSettings" Target="webSettings.xml"/><Relationship Id="rId7" Type="http://schemas.openxmlformats.org/officeDocument/2006/relationships/hyperlink" Target="psa-63022xex10_3formofperf.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psa-63022xex10_2formofperf.htm" TargetMode="External"/><Relationship Id="rId11" Type="http://schemas.openxmlformats.org/officeDocument/2006/relationships/fontTable" Target="fontTable.xml"/><Relationship Id="rId5" Type="http://schemas.openxmlformats.org/officeDocument/2006/relationships/hyperlink" Target="psa-63022xex10_1formoftrus.htm" TargetMode="External"/><Relationship Id="rId10" Type="http://schemas.openxmlformats.org/officeDocument/2006/relationships/hyperlink" Target="psa-63022xex32.htm" TargetMode="External"/><Relationship Id="rId4" Type="http://schemas.openxmlformats.org/officeDocument/2006/relationships/hyperlink" Target="https://www.sec.gov/Archives/edgar/data/1393311/000119312522133807/d229786dex31.htm" TargetMode="External"/><Relationship Id="rId9" Type="http://schemas.openxmlformats.org/officeDocument/2006/relationships/hyperlink" Target="psa-63022xex31_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27050</Words>
  <Characters>154185</Characters>
  <Application>Microsoft Office Word</Application>
  <DocSecurity>0</DocSecurity>
  <Lines>1284</Lines>
  <Paragraphs>361</Paragraphs>
  <ScaleCrop>false</ScaleCrop>
  <Company/>
  <LinksUpToDate>false</LinksUpToDate>
  <CharactersWithSpaces>180874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psa-20220630</dc:title>
  <dc:subject/>
  <dc:creator>Chongjian.Yue</dc:creator>
  <cp:keywords/>
  <dc:description/>
  <cp:lastModifiedBy>Yue Chongjian</cp:lastModifiedBy>
  <cp:revision>1</cp:revision>
  <dcterms:created xsi:type="dcterms:W3CDTF">2024-01-04T15:58:00Z</dcterms:created>
  <dcterms:modified xsi:type="dcterms:W3CDTF">2024-01-04T15:58:00Z</dcterms:modified>
</cp:coreProperties>
</file>