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73C5F">
      <w:pPr>
        <w:divId w:val="297733454"/>
        <w:rPr>
          <w:rFonts w:eastAsia="Times New Roman"/>
          <w:vanish/>
        </w:rPr>
      </w:pPr>
      <w:r>
        <w:rPr>
          <w:rFonts w:eastAsia="Times New Roman"/>
          <w:vanish/>
        </w:rPr>
        <w:t>FALSE2022FY000139331100013933112022-01-012022-12-310001393311us-gaap:CommonStockMember2022-01-012022-12-310001393311us-gaap:SeriesFPreferredStockMember2022-01-012022-12-310001393311us-gaap:SeriesGPreferredStockMember2022-01-012022-12-31</w:t>
      </w:r>
      <w:r>
        <w:rPr>
          <w:rFonts w:eastAsia="Times New Roman"/>
          <w:vanish/>
        </w:rPr>
        <w:t>0001393311us-gaap:SeriesHPreferredStockMember2022-01-012022-12-310001393311psa:SeriesIPreferredStockMember2022-01-012022-12-310001393311psa:SeriesJPreferredStockMember2022-01-012022-12-310001393311psa:SeriesKPreferredStockMember2022-01-012022-12-3100013933</w:t>
      </w:r>
      <w:r>
        <w:rPr>
          <w:rFonts w:eastAsia="Times New Roman"/>
          <w:vanish/>
        </w:rPr>
        <w:t>11psa:SeriesLPreferredStockMember2022-01-012022-12-310001393311psa:SeriesMPreferredStockMember2022-01-012022-12-310001393311psa:SeriesNPreferredStockMember2022-01-012022-12-310001393311psa:SeriesOPreferredStockMember2022-01-012022-12-310001393311psa:Series</w:t>
      </w:r>
      <w:r>
        <w:rPr>
          <w:rFonts w:eastAsia="Times New Roman"/>
          <w:vanish/>
        </w:rPr>
        <w:t>PPreferredStockMember2022-01-012022-12-310001393311psa:SeriesQPreferredStockMember2022-01-012022-12-310001393311psa:SeriesRPreferredStockMember2022-01-012022-12-310001393311psa:SeriesSPreferredStockMember2022-01-012022-12-310001393311psa:NotesDue2032Member</w:t>
      </w:r>
      <w:r>
        <w:rPr>
          <w:rFonts w:eastAsia="Times New Roman"/>
          <w:vanish/>
        </w:rPr>
        <w:t>2022-01-012022-12-310001393311psa:NotesDue2030Member2022-01-012022-12-3100013933112022-06-30iso4217:USD00013933112023-02-16xbrli:shares00013933112022-12-3100013933112021-12-31iso4217:USDxbrli:shares0001393311psa:SelfStorageOperationsMember2022-01-012022-12</w:t>
      </w:r>
      <w:r>
        <w:rPr>
          <w:rFonts w:eastAsia="Times New Roman"/>
          <w:vanish/>
        </w:rPr>
        <w:t>-310001393311psa:SelfStorageOperationsMember2021-01-012021-12-310001393311psa:SelfStorageOperationsMember2020-01-012020-12-310001393311psa:AncillaryOperationsMember2022-01-012022-12-310001393311psa:AncillaryOperationsMember2021-01-012021-12-310001393311psa</w:t>
      </w:r>
      <w:r>
        <w:rPr>
          <w:rFonts w:eastAsia="Times New Roman"/>
          <w:vanish/>
        </w:rPr>
        <w:t>:AncillaryOperationsMember2020-01-012020-12-3100013933112021-01-012021-12-3100013933112020-01-012020-12-310001393311us-gaap:PreferredStockMember2019-12-310001393311us-gaap:CommonStockMember2019-12-310001393311us-gaap:AdditionalPaidInCapitalMember2019-12-31</w:t>
      </w:r>
      <w:r>
        <w:rPr>
          <w:rFonts w:eastAsia="Times New Roman"/>
          <w:vanish/>
        </w:rPr>
        <w:t>0001393311us-gaap:RetainedEarningsMember2019-12-310001393311us-gaap:AccumulatedOtherComprehensiveIncomeMember2019-12-310001393311us-gaap:ParentMember2019-12-310001393311us-gaap:NoncontrollingInterestMember2019-12-3100013933112019-12-310001393311us-gaap:Pre</w:t>
      </w:r>
      <w:r>
        <w:rPr>
          <w:rFonts w:eastAsia="Times New Roman"/>
          <w:vanish/>
        </w:rPr>
        <w:t>ferredStockMember2020-01-012020-12-310001393311us-gaap:PreferredStockMemberus-gaap:PreferredStockMember2020-01-012020-12-310001393311us-gaap:PreferredStockMemberus-gaap:AdditionalPaidInCapitalMember2020-01-012020-12-310001393311us-gaap:PreferredStockMember</w:t>
      </w:r>
      <w:r>
        <w:rPr>
          <w:rFonts w:eastAsia="Times New Roman"/>
          <w:vanish/>
        </w:rPr>
        <w:t>us-gaap:ParentMember2020-01-012020-12-310001393311us-gaap:CommonStockMember2020-01-012020-12-310001393311us-gaap:CommonStockMemberus-gaap:CommonStockMember2020-01-012020-12-310001393311us-gaap:AdditionalPaidInCapitalMemberus-gaap:CommonStockMember2020-01-0</w:t>
      </w:r>
      <w:r>
        <w:rPr>
          <w:rFonts w:eastAsia="Times New Roman"/>
          <w:vanish/>
        </w:rPr>
        <w:t>12020-12-310001393311us-gaap:ParentMemberus-gaap:CommonStockMember2020-01-012020-12-310001393311us-gaap:AdditionalPaidInCapitalMember2020-01-012020-12-310001393311us-gaap:ParentMember2020-01-012020-12-310001393311us-gaap:NoncontrollingInterestMember2020-01</w:t>
      </w:r>
      <w:r>
        <w:rPr>
          <w:rFonts w:eastAsia="Times New Roman"/>
          <w:vanish/>
        </w:rPr>
        <w:t>-012020-12-310001393311us-gaap:RetainedEarningsMember2020-01-012020-12-310001393311us-gaap:AccumulatedOtherComprehensiveIncomeMember2020-01-012020-12-310001393311us-gaap:PreferredStockMember2020-12-310001393311us-gaap:CommonStockMember2020-12-310001393311u</w:t>
      </w:r>
      <w:r>
        <w:rPr>
          <w:rFonts w:eastAsia="Times New Roman"/>
          <w:vanish/>
        </w:rPr>
        <w:t>s-gaap:AdditionalPaidInCapitalMember2020-12-310001393311us-gaap:RetainedEarningsMember2020-12-310001393311us-gaap:AccumulatedOtherComprehensiveIncomeMember2020-12-310001393311us-gaap:ParentMember2020-12-310001393311us-gaap:NoncontrollingInterestMember2020-</w:t>
      </w:r>
      <w:r>
        <w:rPr>
          <w:rFonts w:eastAsia="Times New Roman"/>
          <w:vanish/>
        </w:rPr>
        <w:t>12-3100013933112020-12-310001393311us-gaap:PreferredStockMember2021-01-012021-12-310001393311us-gaap:PreferredStockMemberus-gaap:PreferredStockMember2021-01-012021-12-310001393311us-gaap:PreferredStockMemberus-gaap:AdditionalPaidInCapitalMember2021-01-0120</w:t>
      </w:r>
      <w:r>
        <w:rPr>
          <w:rFonts w:eastAsia="Times New Roman"/>
          <w:vanish/>
        </w:rPr>
        <w:t>21-12-310001393311us-gaap:PreferredStockMemberus-gaap:ParentMember2021-01-012021-12-310001393311us-gaap:CommonStockMember2021-01-012021-12-310001393311us-gaap:CommonStockMemberus-gaap:CommonStockMember2021-01-012021-12-310001393311us-gaap:AdditionalPaidInC</w:t>
      </w:r>
      <w:r>
        <w:rPr>
          <w:rFonts w:eastAsia="Times New Roman"/>
          <w:vanish/>
        </w:rPr>
        <w:t>apitalMemberus-gaap:CommonStockMember2021-01-012021-12-310001393311us-gaap:ParentMemberus-gaap:CommonStockMember2021-01-012021-12-310001393311us-gaap:AdditionalPaidInCapitalMember2021-01-012021-12-310001393311us-gaap:ParentMember2021-01-012021-12-310001393</w:t>
      </w:r>
      <w:r>
        <w:rPr>
          <w:rFonts w:eastAsia="Times New Roman"/>
          <w:vanish/>
        </w:rPr>
        <w:t>311us-gaap:NoncontrollingInterestMember2021-01-012021-12-310001393311us-gaap:RetainedEarningsMember2021-01-012021-12-310001393311us-gaap:AccumulatedOtherComprehensiveIncomeMember2021-01-012021-12-310001393311us-gaap:PreferredStockMember2021-12-310001393311</w:t>
      </w:r>
      <w:r>
        <w:rPr>
          <w:rFonts w:eastAsia="Times New Roman"/>
          <w:vanish/>
        </w:rPr>
        <w:t>us-gaap:CommonStockMember2021-12-310001393311us-gaap:AdditionalPaidInCapitalMember2021-12-310001393311us-gaap:RetainedEarningsMember2021-12-310001393311us-gaap:AccumulatedOtherComprehensiveIncomeMember2021-12-310001393311us-gaap:ParentMember2021-12-3100013</w:t>
      </w:r>
      <w:r>
        <w:rPr>
          <w:rFonts w:eastAsia="Times New Roman"/>
          <w:vanish/>
        </w:rPr>
        <w:t>93311us-gaap:NoncontrollingInterestMember2021-12-310001393311us-gaap:PreferredStockMember2022-01-012022-12-310001393311us-gaap:PreferredStockMemberus-gaap:PreferredStockMember2022-01-012022-12-310001393311us-gaap:PreferredStockMemberus-gaap:AdditionalPaidI</w:t>
      </w:r>
      <w:r>
        <w:rPr>
          <w:rFonts w:eastAsia="Times New Roman"/>
          <w:vanish/>
        </w:rPr>
        <w:t>nCapitalMember2022-01-012022-12-310001393311us-gaap:PreferredStockMemberus-gaap:ParentMember2022-01-012022-12-310001393311us-gaap:CommonStockMemberus-gaap:CommonStockMember2022-01-012022-12-310001393311us-gaap:AdditionalPaidInCapitalMemberus-gaap:CommonSto</w:t>
      </w:r>
      <w:r>
        <w:rPr>
          <w:rFonts w:eastAsia="Times New Roman"/>
          <w:vanish/>
        </w:rPr>
        <w:t>ckMember2022-01-012022-12-310001393311us-gaap:ParentMemberus-gaap:CommonStockMember2022-01-012022-12-310001393311us-gaap:AdditionalPaidInCapitalMember2022-01-012022-12-310001393311us-gaap:ParentMember2022-01-012022-12-310001393311us-gaap:NoncontrollingInte</w:t>
      </w:r>
      <w:r>
        <w:rPr>
          <w:rFonts w:eastAsia="Times New Roman"/>
          <w:vanish/>
        </w:rPr>
        <w:t>restMember2022-01-012022-12-310001393311us-gaap:RetainedEarningsMember2022-01-012022-12-310001393311us-gaap:AccumulatedOtherComprehensiveIncomeMember2022-01-012022-12-310001393311us-gaap:PreferredStockMember2022-12-310001393311us-gaap:CommonStockMember2022</w:t>
      </w:r>
      <w:r>
        <w:rPr>
          <w:rFonts w:eastAsia="Times New Roman"/>
          <w:vanish/>
        </w:rPr>
        <w:t>-12-310001393311us-gaap:AdditionalPaidInCapitalMember2022-12-310001393311us-gaap:RetainedEarningsMember2022-12-310001393311us-gaap:AccumulatedOtherComprehensiveIncomeMember2022-12-310001393311us-gaap:ParentMember2022-12-310001393311us-gaap:NoncontrollingIn</w:t>
      </w:r>
      <w:r>
        <w:rPr>
          <w:rFonts w:eastAsia="Times New Roman"/>
          <w:vanish/>
        </w:rPr>
        <w:t>terestMember2022-12-310001393311psa:PublicStorageMember2022-12-31psa:storage_facilityutr:sqftpsa:state0001393311psa:PublicStorageMemberpsa:CommercialAndRetailSpaceMember2022-12-310001393311psa:ShurgardSelfStorageSaMember2022-12-31xbrli:purepsa:country00013</w:t>
      </w:r>
      <w:r>
        <w:rPr>
          <w:rFonts w:eastAsia="Times New Roman"/>
          <w:vanish/>
        </w:rPr>
        <w:t>93311psa:PSBusinessParksMember2022-07-200001393311srt:MinimumMember2022-01-012022-12-310001393311srt:MaximumMember2022-01-012022-12-310001393311srt:WeightedAverageMember2022-01-012022-12-310001393311srt:WeightedAverageMember2021-01-012021-12-310001393311sr</w:t>
      </w:r>
      <w:r>
        <w:rPr>
          <w:rFonts w:eastAsia="Times New Roman"/>
          <w:vanish/>
        </w:rPr>
        <w:t>t:WeightedAverageMember2020-01-012020-12-310001393311psa:AcquisitionOfSelfStorageFacilitiesMember2022-01-012022-12-310001393311psa:ExpansionProjectsMemberpsa:CompletedDevelopmentAndExpansionProjectMember2022-01-012022-12-310001393311psa:CommercialInterests</w:t>
      </w:r>
      <w:r>
        <w:rPr>
          <w:rFonts w:eastAsia="Times New Roman"/>
          <w:vanish/>
        </w:rPr>
        <w:t>Member2022-07-08psa:propertypsa:site0001393311psa:CommercialInterestsMember2022-07-082022-07-080001393311psa:DisposalOfRealEstateFacilitiesMember2022-01-012022-12-310001393311psa:AcquisitionOfSelfStorageFacilitiesMember2021-01-012021-12-310001393311psa:Exp</w:t>
      </w:r>
      <w:r>
        <w:rPr>
          <w:rFonts w:eastAsia="Times New Roman"/>
          <w:vanish/>
        </w:rPr>
        <w:t>ansionProjectsMemberpsa:CompletedDevelopmentAndExpansionProjectMember2021-01-012021-12-310001393311psa:DisposalOfRealEstateFacilitiesMember2021-01-012021-12-310001393311psa:AcquisitionOfSelfStorageFacilitiesMember2020-01-012020-12-310001393311psa:Expansion</w:t>
      </w:r>
      <w:r>
        <w:rPr>
          <w:rFonts w:eastAsia="Times New Roman"/>
          <w:vanish/>
        </w:rPr>
        <w:t>ProjectsMemberpsa:CompletedDevelopmentAndExpansionProjectMember2020-01-012020-12-310001393311psa:PSBusinessParksMember2022-12-310001393311psa:PSBusinessParksMember2021-12-310001393311psa:PSBusinessParksMember2022-01-012022-12-310001393311psa:PSBusinessPark</w:t>
      </w:r>
      <w:r>
        <w:rPr>
          <w:rFonts w:eastAsia="Times New Roman"/>
          <w:vanish/>
        </w:rPr>
        <w:t>sMember2021-01-012021-12-310001393311psa:PSBusinessParksMember2020-01-012020-12-310001393311psa:ShurgardSelfStorageSaMember2021-12-310001393311psa:ShurgardSelfStorageSaMember2022-01-012022-12-310001393311psa:ShurgardSelfStorageSaMember2021-01-012021-12-310</w:t>
      </w:r>
      <w:r>
        <w:rPr>
          <w:rFonts w:eastAsia="Times New Roman"/>
          <w:vanish/>
        </w:rPr>
        <w:t>001393311psa:ShurgardSelfStorageSaMember2020-01-012020-12-310001393311psa:PSBAndShurgardMember2022-01-012022-12-310001393311psa:PSBAndShurgardMember2021-01-012021-12-310001393311psa:PSBAndShurgardMember2020-01-012020-12-310001393311psa:PSBAndShurgardMember</w:t>
      </w:r>
      <w:r>
        <w:rPr>
          <w:rFonts w:eastAsia="Times New Roman"/>
          <w:vanish/>
        </w:rPr>
        <w:t>2022-12-310001393311psa:PSBAndShurgardMember2021-12-310001393311psa:BlackstoneRealEstateMemberpsa:PSBusinessParksMember2022-07-200001393311psa:PSBusinessParksMemberpsa:BlackstoneRealEstateMember2022-07-202022-07-200001393311psa:BlackstoneRealEstateMemberps</w:t>
      </w:r>
      <w:r>
        <w:rPr>
          <w:rFonts w:eastAsia="Times New Roman"/>
          <w:vanish/>
        </w:rPr>
        <w:t>a:PSBusinessParksMember2022-01-012022-12-310001393311psa:ShurgardSelfStorageSaMember2020-12-31iso4217:EURxbrli:shares0001393311us-gaap:LicenseMemberpsa:ShurgardSelfStorageSaMember2022-01-012022-12-310001393311us-gaap:LicenseMemberpsa:ShurgardSelfStorageSaM</w:t>
      </w:r>
      <w:r>
        <w:rPr>
          <w:rFonts w:eastAsia="Times New Roman"/>
          <w:vanish/>
        </w:rPr>
        <w:t>ember2021-01-012021-12-310001393311us-gaap:LicenseMemberpsa:ShurgardSelfStorageSaMember2020-01-012020-12-310001393311us-gaap:TradeNamesMember2022-12-310001393311us-gaap:TradeNamesMember2021-12-310001393311us-gaap:RevolvingCreditFacilityMember2022-12-310001</w:t>
      </w:r>
      <w:r>
        <w:rPr>
          <w:rFonts w:eastAsia="Times New Roman"/>
          <w:vanish/>
        </w:rPr>
        <w:t>393311us-gaap:RevolvingCreditFacilityMembersrt:MinimumMember2022-01-012022-12-310001393311srt:MaximumMemberus-gaap:RevolvingCreditFacilityMember2022-01-012022-12-310001393311us-gaap:RevolvingCreditFacilityMember2022-12-312022-12-310001393311us-gaap:Revolvi</w:t>
      </w:r>
      <w:r>
        <w:rPr>
          <w:rFonts w:eastAsia="Times New Roman"/>
          <w:vanish/>
        </w:rPr>
        <w:t>ngCreditFacilityMemberus-gaap:SubsequentEventMember2023-02-210001393311us-gaap:StandbyLettersOfCreditMember2022-12-310001393311us-gaap:StandbyLettersOfCreditMember2021-12-310001393311psa:USDollarDenominatedUnsecuredDebtMemberus-gaap:SecuredOvernightFinanci</w:t>
      </w:r>
      <w:r>
        <w:rPr>
          <w:rFonts w:eastAsia="Times New Roman"/>
          <w:vanish/>
        </w:rPr>
        <w:t>ngRateSofrOvernightIndexSwapRateMemberpsa:NotesDueApril232024Member2022-12-312022-12-310001393311psa:USDollarDenominatedUnsecuredDebtMemberpsa:NotesDueApril232024Member2022-12-310001393311psa:USDollarDenominatedUnsecuredDebtMemberpsa:NotesDueFebruary152026</w:t>
      </w:r>
      <w:r>
        <w:rPr>
          <w:rFonts w:eastAsia="Times New Roman"/>
          <w:vanish/>
        </w:rPr>
        <w:t>Member2022-12-310001393311psa:USDollarDenominatedUnsecuredDebtMemberpsa:NotesDueNovember92026Member2022-12-310001393311psa:USDollarDenominatedUnsecuredDebtMemberpsa:NotesDueSeptember152027Member2022-12-310001393311psa:USDollarDenominatedUnsecuredDebtMember</w:t>
      </w:r>
      <w:r>
        <w:rPr>
          <w:rFonts w:eastAsia="Times New Roman"/>
          <w:vanish/>
        </w:rPr>
        <w:t>psa:NotesDueMay12028Member2022-12-310001393311psa:USDollarDenominatedUnsecuredDebtMemberpsa:NotesDueNovember92028Member2022-12-310001393311psa:NotesDueMay12029Memberpsa:USDollarDenominatedUnsecuredDebtMember2022-12-310001393311psa:USDollarDenominatedUnsecu</w:t>
      </w:r>
      <w:r>
        <w:rPr>
          <w:rFonts w:eastAsia="Times New Roman"/>
          <w:vanish/>
        </w:rPr>
        <w:t>redDebtMemberpsa:NotesDueMay12031Member2022-12-310001393311psa:NotesDueNovember92031Memberpsa:USDollarDenominatedUnsecuredDebtMember2022-12-310001393311psa:USDollarDenominatedUnsecuredDebtMember2022-12-310001393311psa:NotesDueApril122024Memberpsa:EuroDenom</w:t>
      </w:r>
      <w:r>
        <w:rPr>
          <w:rFonts w:eastAsia="Times New Roman"/>
          <w:vanish/>
        </w:rPr>
        <w:t>inatedUnsecuredDebtMember2022-12-310001393311psa:NotesDueNovember32025Memberpsa:EuroDenominatedUnsecuredDebtMember2022-12-310001393311psa:NotesDueSeptember92030Memberpsa:EuroDenominatedUnsecuredDebtMember2022-12-310001393311psa:NotesDueJanuary242032Memberp</w:t>
      </w:r>
      <w:r>
        <w:rPr>
          <w:rFonts w:eastAsia="Times New Roman"/>
          <w:vanish/>
        </w:rPr>
        <w:t>sa:EuroDenominatedUnsecuredDebtMember2022-12-310001393311psa:EuroDenominatedUnsecuredDebtMember2022-12-310001393311us-gaap:MortgagesMember2022-12-31psa:real_estate_facility0001393311psa:USDollarDenominatedUnsecuredDebtMemberpsa:NotesDueSeptember152022Membe</w:t>
      </w:r>
      <w:r>
        <w:rPr>
          <w:rFonts w:eastAsia="Times New Roman"/>
          <w:vanish/>
        </w:rPr>
        <w:t>r2021-12-310001393311psa:USDollarDenominatedUnsecuredDebtMemberpsa:NotesDueApril232024Member2021-12-310001393311psa:USDollarDenominatedUnsecuredDebtMemberpsa:NotesDueFebruary152026Member2021-12-310001393311psa:USDollarDenominatedUnsecuredDebtMemberpsa:Note</w:t>
      </w:r>
      <w:r>
        <w:rPr>
          <w:rFonts w:eastAsia="Times New Roman"/>
          <w:vanish/>
        </w:rPr>
        <w:t>sDueNovember92026Member2021-12-310001393311psa:USDollarDenominatedUnsecuredDebtMemberpsa:NotesDueSeptember152027Member2021-12-310001393311psa:USDollarDenominatedUnsecuredDebtMemberpsa:NotesDueMay12028Member2021-12-310001393311psa:USDollarDenominatedUnsecur</w:t>
      </w:r>
      <w:r>
        <w:rPr>
          <w:rFonts w:eastAsia="Times New Roman"/>
          <w:vanish/>
        </w:rPr>
        <w:t>edDebtMemberpsa:NotesDueNovember92028Member2021-12-310001393311psa:NotesDueMay12029Memberpsa:USDollarDenominatedUnsecuredDebtMember2021-12-310001393311psa:USDollarDenominatedUnsecuredDebtMemberpsa:NotesDueMay12031Member2021-12-310001393311psa:NotesDueNovem</w:t>
      </w:r>
      <w:r>
        <w:rPr>
          <w:rFonts w:eastAsia="Times New Roman"/>
          <w:vanish/>
        </w:rPr>
        <w:t>ber92031Memberpsa:USDollarDenominatedUnsecuredDebtMember2021-12-310001393311psa:USDollarDenominatedUnsecuredDebtMember2021-12-310001393311psa:NotesDueApril122024Memberpsa:EuroDenominatedUnsecuredDebtMember2021-12-310001393311psa:NotesDueNovember32025Member</w:t>
      </w:r>
      <w:r>
        <w:rPr>
          <w:rFonts w:eastAsia="Times New Roman"/>
          <w:vanish/>
        </w:rPr>
        <w:t>psa:EuroDenominatedUnsecuredDebtMember2021-12-310001393311psa:NotesDueSeptember92030Memberpsa:EuroDenominatedUnsecuredDebtMember2021-12-310001393311psa:NotesDueJanuary242032Memberpsa:EuroDenominatedUnsecuredDebtMember2021-12-310001393311psa:EuroDenominated</w:t>
      </w:r>
      <w:r>
        <w:rPr>
          <w:rFonts w:eastAsia="Times New Roman"/>
          <w:vanish/>
        </w:rPr>
        <w:t>UnsecuredDebtMember2021-12-310001393311us-gaap:MortgagesMember2021-12-310001393311psa:USDollarDenominatedUnsecuredDebtMemberpsa:NotesDueSeptember152022Member2022-08-150001393311psa:USDollarDenominatedUnsecuredDebtMemberpsa:NotesDueFebruary152026Member2021-</w:t>
      </w:r>
      <w:r>
        <w:rPr>
          <w:rFonts w:eastAsia="Times New Roman"/>
          <w:vanish/>
        </w:rPr>
        <w:t>01-190001393311psa:USDollarDenominatedUnsecuredDebtMemberpsa:NotesDueApril232024Member2021-04-230001393311psa:USDollarDenominatedUnsecuredDebtMemberpsa:NotesDueMay12028Member2021-04-230001393311psa:USDollarDenominatedUnsecuredDebtMemberpsa:NotesDueMay12031</w:t>
      </w:r>
      <w:r>
        <w:rPr>
          <w:rFonts w:eastAsia="Times New Roman"/>
          <w:vanish/>
        </w:rPr>
        <w:t>Member2021-04-230001393311psa:USDollarDenominatedUnsecuredDebtMemberus-gaap:SecuredOvernightFinancingRateSofrOvernightIndexSwapRateMemberpsa:NotesDueApril232024Member2021-04-232021-04-230001393311psa:USDollarDenominatedUnsecuredDebtMemberpsa:NotesDueApril2</w:t>
      </w:r>
      <w:r>
        <w:rPr>
          <w:rFonts w:eastAsia="Times New Roman"/>
          <w:vanish/>
        </w:rPr>
        <w:t>32024May12028AndMay12031Member2021-04-230001393311psa:USDollarDenominatedUnsecuredDebtMemberpsa:NotesDueNovember92026Member2021-11-090001393311psa:USDollarDenominatedUnsecuredDebtMemberpsa:NotesDueNovember92028Member2021-11-090001393311psa:NotesDueNovember</w:t>
      </w:r>
      <w:r>
        <w:rPr>
          <w:rFonts w:eastAsia="Times New Roman"/>
          <w:vanish/>
        </w:rPr>
        <w:t>92031Memberpsa:USDollarDenominatedUnsecuredDebtMember2021-11-090001393311psa:NotesDueNovember92026November92028AndNovember92031Memberpsa:USDollarDenominatedUnsecuredDebtMember2021-11-090001393311psa:USDollarDenominatedUnsecuredDebtMemberpsa:MaximumCovenant</w:t>
      </w:r>
      <w:r>
        <w:rPr>
          <w:rFonts w:eastAsia="Times New Roman"/>
          <w:vanish/>
        </w:rPr>
        <w:t>Member2022-12-310001393311psa:USDollarDenominatedUnsecuredDebtMembersrt:MinimumMember2022-01-012022-12-310001393311psa:USDollarDenominatedUnsecuredDebtMember2022-01-012022-12-31psa:tranche0001393311psa:NotesDueNovember32025Memberpsa:EuroDenominatedUnsecure</w:t>
      </w:r>
      <w:r>
        <w:rPr>
          <w:rFonts w:eastAsia="Times New Roman"/>
          <w:vanish/>
        </w:rPr>
        <w:t>dDebtMember2015-11-03iso4217:EUR0001393311psa:NotesDueApril122024Memberpsa:EuroDenominatedUnsecuredDebtMember2016-04-120001393311psa:NotesDueJanuary242032Memberpsa:EuroDenominatedUnsecuredDebtMember2020-01-240001393311psa:NotesDueSeptember92030Memberpsa:Eu</w:t>
      </w:r>
      <w:r>
        <w:rPr>
          <w:rFonts w:eastAsia="Times New Roman"/>
          <w:vanish/>
        </w:rPr>
        <w:t>roDenominatedUnsecuredDebtMember2021-09-090001393311psa:EuroDenominatedUnsecuredDebtMember2022-01-012022-12-310001393311psa:EuroDenominatedUnsecuredDebtMember2021-01-012021-12-310001393311psa:EuroDenominatedUnsecuredDebtMember2020-01-012020-12-310001393311</w:t>
      </w:r>
      <w:r>
        <w:rPr>
          <w:rFonts w:eastAsia="Times New Roman"/>
          <w:vanish/>
        </w:rPr>
        <w:t>us-gaap:MortgagesMembersrt:MinimumMember2022-12-310001393311us-gaap:MortgagesMembersrt:MaximumMember2022-12-310001393311us-gaap:UnsecuredDebtMember2022-12-310001393311us-gaap:NotesPayableToBanksMember2022-12-310001393311us-gaap:NoncontrollingInterestMember</w:t>
      </w:r>
      <w:r>
        <w:rPr>
          <w:rFonts w:eastAsia="Times New Roman"/>
          <w:vanish/>
        </w:rPr>
        <w:t>psa:AcquisitionOfSelfStorageFacilitiesMember2022-12-310001393311us-gaap:NoncontrollingInterestMemberpsa:AcquisitionOfSelfStorageFacilitiesToDateMember2022-03-310001393311psa:AcquisitionOfSelfStorageFacilitiesToDateMember2022-03-312022-03-310001393311psa:Ac</w:t>
      </w:r>
      <w:r>
        <w:rPr>
          <w:rFonts w:eastAsia="Times New Roman"/>
          <w:vanish/>
        </w:rPr>
        <w:t>quisitionOfSelfStorageFacilitiesToDateMember2022-04-012022-06-300001393311us-gaap:SeriesFPreferredStockMember2022-12-310001393311us-gaap:SeriesFPreferredStockMember2021-12-310001393311us-gaap:SeriesGPreferredStockMember2022-12-310001393311us-gaap:SeriesGPr</w:t>
      </w:r>
      <w:r>
        <w:rPr>
          <w:rFonts w:eastAsia="Times New Roman"/>
          <w:vanish/>
        </w:rPr>
        <w:t>eferredStockMember2021-12-310001393311us-gaap:SeriesHPreferredStockMember2022-12-310001393311us-gaap:SeriesHPreferredStockMember2021-12-310001393311psa:SeriesIPreferredStockMember2022-12-310001393311psa:SeriesIPreferredStockMember2021-12-310001393311psa:Se</w:t>
      </w:r>
      <w:r>
        <w:rPr>
          <w:rFonts w:eastAsia="Times New Roman"/>
          <w:vanish/>
        </w:rPr>
        <w:t>riesJPreferredStockMember2022-12-310001393311psa:SeriesJPreferredStockMember2021-12-310001393311psa:SeriesKPreferredStockMember2022-12-310001393311psa:SeriesKPreferredStockMember2021-12-310001393311psa:SeriesLPreferredStockMember2022-12-310001393311psa:Ser</w:t>
      </w:r>
      <w:r>
        <w:rPr>
          <w:rFonts w:eastAsia="Times New Roman"/>
          <w:vanish/>
        </w:rPr>
        <w:t>iesLPreferredStockMember2021-12-310001393311psa:SeriesMPreferredStockMember2022-12-310001393311psa:SeriesMPreferredStockMember2021-12-310001393311psa:SeriesNPreferredStockMember2022-12-310001393311psa:SeriesNPreferredStockMember2021-12-310001393311psa:Seri</w:t>
      </w:r>
      <w:r>
        <w:rPr>
          <w:rFonts w:eastAsia="Times New Roman"/>
          <w:vanish/>
        </w:rPr>
        <w:t>esOPreferredStockMember2022-12-310001393311psa:SeriesOPreferredStockMember2021-12-310001393311psa:SeriesPPreferredStockMember2022-12-310001393311psa:SeriesPPreferredStockMember2021-12-310001393311psa:SeriesQPreferredStockMember2022-12-310001393311psa:Serie</w:t>
      </w:r>
      <w:r>
        <w:rPr>
          <w:rFonts w:eastAsia="Times New Roman"/>
          <w:vanish/>
        </w:rPr>
        <w:t>sQPreferredStockMember2021-12-310001393311psa:SeriesRPreferredStockMember2022-12-310001393311psa:SeriesRPreferredStockMember2021-12-310001393311psa:SeriesSPreferredStockMember2022-12-310001393311psa:SeriesSPreferredStockMember2021-12-31psa:dividendpsa:boar</w:t>
      </w:r>
      <w:r>
        <w:rPr>
          <w:rFonts w:eastAsia="Times New Roman"/>
          <w:vanish/>
        </w:rPr>
        <w:t>d_member0001393311psa:SeriesPQAndRPreferredStockMember2021-12-310001393311psa:SeriesPQAndRPreferredStockMember2021-01-012021-12-310001393311psa:SeriesLMNAndOPreferredStockMember2020-12-310001393311psa:SeriesLMNAndOPreferredStockMember2020-01-012020-12-3100</w:t>
      </w:r>
      <w:r>
        <w:rPr>
          <w:rFonts w:eastAsia="Times New Roman"/>
          <w:vanish/>
        </w:rPr>
        <w:t>01393311psa:SeriesCDAndEPreferredStockMember2021-12-310001393311psa:SeriesCDAndEPreferredStockMember2021-01-012021-12-310001393311psa:SeriesVWXAndBPreferredStockMember2020-12-310001393311psa:SeriesVWXAndBPreferredStockMember2020-01-012020-12-310001393311ps</w:t>
      </w:r>
      <w:r>
        <w:rPr>
          <w:rFonts w:eastAsia="Times New Roman"/>
          <w:vanish/>
        </w:rPr>
        <w:t>a:SpecialDividendMember2022-01-012022-12-310001393311psa:SpecialDividendMember2022-08-042022-08-0400013933112022-01-012022-03-3100013933112022-04-012022-06-3000013933112022-08-042022-08-0400013933112022-07-012022-09-3000013933112022-10-012022-12-3100013933</w:t>
      </w:r>
      <w:r>
        <w:rPr>
          <w:rFonts w:eastAsia="Times New Roman"/>
          <w:vanish/>
        </w:rPr>
        <w:t>11psa:TamaraHughesGustavsonMembercountry:CApsa:HughesOwnedCanadianFacilitiesMember2022-12-310001393311country:CApsa:HughesOwnedCanadianFacilitiesMember2022-12-31psa:adult_children0001393311psa:EquityAndPerformanceBasedIncentiveCompensationPlan2021Member202</w:t>
      </w:r>
      <w:r>
        <w:rPr>
          <w:rFonts w:eastAsia="Times New Roman"/>
          <w:vanish/>
        </w:rPr>
        <w:t>1-04-260001393311psa:EquityAndPerformanceBasedIncentiveCompensationPlan2021Member2022-12-310001393311psa:DirectCostsOfLeasedAndRentedPropertyOrEquipmentMember2022-01-012022-12-310001393311psa:DirectCostsOfLeasedAndRentedPropertyOrEquipmentMember2021-01-012</w:t>
      </w:r>
      <w:r>
        <w:rPr>
          <w:rFonts w:eastAsia="Times New Roman"/>
          <w:vanish/>
        </w:rPr>
        <w:t>021-12-310001393311psa:DirectCostsOfLeasedAndRentedPropertyOrEquipmentMember2020-01-012020-12-310001393311psa:OtherCostOfOperatingRevenueMember2022-01-012022-12-310001393311psa:OtherCostOfOperatingRevenueMember2021-01-012021-12-310001393311psa:OtherCostOfO</w:t>
      </w:r>
      <w:r>
        <w:rPr>
          <w:rFonts w:eastAsia="Times New Roman"/>
          <w:vanish/>
        </w:rPr>
        <w:t>peratingRevenueMember2020-01-012020-12-310001393311us-gaap:GeneralAndAdministrativeExpenseMember2022-01-012022-12-310001393311us-gaap:GeneralAndAdministrativeExpenseMember2021-01-012021-12-310001393311us-gaap:GeneralAndAdministrativeExpenseMember2020-01-01</w:t>
      </w:r>
      <w:r>
        <w:rPr>
          <w:rFonts w:eastAsia="Times New Roman"/>
          <w:vanish/>
        </w:rPr>
        <w:t>2020-12-310001393311us-gaap:EmployeeStockOptionMembersrt:MinimumMember2022-01-012022-12-310001393311us-gaap:EmployeeStockOptionMembersrt:MaximumMember2022-01-012022-12-310001393311us-gaap:EmployeeStockOptionMember2022-01-012022-12-310001393311us-gaap:Emplo</w:t>
      </w:r>
      <w:r>
        <w:rPr>
          <w:rFonts w:eastAsia="Times New Roman"/>
          <w:vanish/>
        </w:rPr>
        <w:t>yeeStockOptionMember2021-01-012021-12-310001393311us-gaap:EmployeeStockOptionMember2020-01-012020-12-310001393311psa:NonManagementTrusteeMember2022-01-012022-12-310001393311psa:PerformanceTargetStockOptionsMember2022-01-012022-12-310001393311psa:Performanc</w:t>
      </w:r>
      <w:r>
        <w:rPr>
          <w:rFonts w:eastAsia="Times New Roman"/>
          <w:vanish/>
        </w:rPr>
        <w:t>eTargetStockOptionsMember2022-12-310001393311us-gaap:ShareBasedCompensationAwardTrancheOneMemberpsa:PerformanceTargetStockOptionsMember2021-01-012021-12-310001393311psa:PerformanceTargetStockOptionsMember2021-01-012021-12-310001393311us-gaap:ShareBasedComp</w:t>
      </w:r>
      <w:r>
        <w:rPr>
          <w:rFonts w:eastAsia="Times New Roman"/>
          <w:vanish/>
        </w:rPr>
        <w:t>ensationAwardTrancheOneMemberpsa:PerformanceTargetStockOptionsMember2022-12-310001393311us-gaap:ShareBasedCompensationAwardTrancheOneMemberpsa:PerformanceTargetStockOptionsMember2021-12-310001393311us-gaap:ShareBasedCompensationAwardTrancheTwoMemberpsa:Per</w:t>
      </w:r>
      <w:r>
        <w:rPr>
          <w:rFonts w:eastAsia="Times New Roman"/>
          <w:vanish/>
        </w:rPr>
        <w:t>formanceTargetStockOptionsMember2020-01-012020-12-310001393311psa:PerformanceTargetStockOptionsMember2020-01-012020-12-310001393311us-gaap:ShareBasedCompensationAwardTrancheTwoMemberpsa:PerformanceTargetStockOptionsMember2022-12-310001393311us-gaap:Employe</w:t>
      </w:r>
      <w:r>
        <w:rPr>
          <w:rFonts w:eastAsia="Times New Roman"/>
          <w:vanish/>
        </w:rPr>
        <w:t>eStockOptionMember2022-12-310001393311psa:ServiceBasedStockOptionsMember2019-12-310001393311psa:PerformanceBasedStockOptionsMember2019-12-310001393311psa:ServiceBasedStockOptionsMember2020-01-012020-12-310001393311psa:PerformanceBasedStockOptionsMember2020</w:t>
      </w:r>
      <w:r>
        <w:rPr>
          <w:rFonts w:eastAsia="Times New Roman"/>
          <w:vanish/>
        </w:rPr>
        <w:t>-01-012020-12-310001393311psa:ServiceBasedStockOptionsMember2020-12-310001393311psa:PerformanceBasedStockOptionsMember2020-12-310001393311psa:ServiceBasedStockOptionsMember2021-01-012021-12-310001393311psa:PerformanceBasedStockOptionsMember2021-01-012021-1</w:t>
      </w:r>
      <w:r>
        <w:rPr>
          <w:rFonts w:eastAsia="Times New Roman"/>
          <w:vanish/>
        </w:rPr>
        <w:t>2-310001393311psa:ServiceBasedStockOptionsMember2021-12-310001393311psa:PerformanceBasedStockOptionsMember2021-12-310001393311psa:ServiceBasedStockOptionsMember2022-01-012022-12-310001393311psa:PerformanceBasedStockOptionsMember2022-01-012022-12-3100013933</w:t>
      </w:r>
      <w:r>
        <w:rPr>
          <w:rFonts w:eastAsia="Times New Roman"/>
          <w:vanish/>
        </w:rPr>
        <w:t>11psa:ServiceBasedStockOptionsMember2022-12-310001393311psa:PerformanceBasedStockOptionsMember2022-12-310001393311psa:ShareBasedPaymentArrangementOptionValuedWithBlackScholesMethodMember2022-01-012022-12-310001393311psa:ShareBasedPaymentArrangementOptionVa</w:t>
      </w:r>
      <w:r>
        <w:rPr>
          <w:rFonts w:eastAsia="Times New Roman"/>
          <w:vanish/>
        </w:rPr>
        <w:t>luedWithBlackScholesMethodMember2021-01-012021-12-310001393311psa:ShareBasedPaymentArrangementOptionValuedWithBlackScholesMethodMember2020-01-012020-12-310001393311psa:ShareBasedPaymentArrangementOptionValuedWithMonteCarloSimulationMethodMember2022-01-0120</w:t>
      </w:r>
      <w:r>
        <w:rPr>
          <w:rFonts w:eastAsia="Times New Roman"/>
          <w:vanish/>
        </w:rPr>
        <w:t>22-12-310001393311psa:ShareBasedPaymentArrangementOptionValuedWithMonteCarloSimulationMethodMember2021-01-012021-12-310001393311us-gaap:RestrictedStockUnitsRSUMembersrt:MinimumMember2022-01-012022-12-310001393311us-gaap:RestrictedStockUnitsRSUMembersrt:Max</w:t>
      </w:r>
      <w:r>
        <w:rPr>
          <w:rFonts w:eastAsia="Times New Roman"/>
          <w:vanish/>
        </w:rPr>
        <w:t>imumMember2022-01-012022-12-310001393311us-gaap:RestrictedStockUnitsRSUMember2022-01-012022-12-310001393311us-gaap:RestrictedStockUnitsRSUMember2021-01-012021-12-310001393311us-gaap:RestrictedStockUnitsRSUMember2020-01-012020-12-310001393311psa:Performance</w:t>
      </w:r>
      <w:r>
        <w:rPr>
          <w:rFonts w:eastAsia="Times New Roman"/>
          <w:vanish/>
        </w:rPr>
        <w:t>TargetRestrictedShareUnitsMember2022-01-012022-12-310001393311psa:PerformanceTargetRestrictedShareUnitsMember2022-12-310001393311psa:PerformanceTargetRestrictedShareUnitsMember2021-01-012021-12-310001393311psa:PerformanceTargetRestrictedShareUnitsMember202</w:t>
      </w:r>
      <w:r>
        <w:rPr>
          <w:rFonts w:eastAsia="Times New Roman"/>
          <w:vanish/>
        </w:rPr>
        <w:t>1-12-310001393311us-gaap:RestrictedStockUnitsRSUMember2022-12-310001393311us-gaap:PerformanceSharesMember2019-12-310001393311us-gaap:PerformanceSharesMember2020-01-012020-12-310001393311us-gaap:PerformanceSharesMember2020-12-310001393311us-gaap:Performance</w:t>
      </w:r>
      <w:r>
        <w:rPr>
          <w:rFonts w:eastAsia="Times New Roman"/>
          <w:vanish/>
        </w:rPr>
        <w:t>SharesMember2021-01-012021-12-310001393311us-gaap:PerformanceSharesMember2021-12-310001393311us-gaap:PerformanceSharesMember2022-01-012022-12-310001393311us-gaap:PerformanceSharesMember2022-12-310001393311psa:DeferredStockUnitsDSUsMember2022-01-012022-12-3</w:t>
      </w:r>
      <w:r>
        <w:rPr>
          <w:rFonts w:eastAsia="Times New Roman"/>
          <w:vanish/>
        </w:rPr>
        <w:t>10001393311psa:UnrestrictedCommonStockMember2022-01-012022-12-310001393311psa:SelfStorageOperationsMemberus-gaap:OperatingSegmentsMember2022-01-012022-12-310001393311psa:SelfStorageOperationsMemberus-gaap:OperatingSegmentsMember2021-01-012021-12-3100013933</w:t>
      </w:r>
      <w:r>
        <w:rPr>
          <w:rFonts w:eastAsia="Times New Roman"/>
          <w:vanish/>
        </w:rPr>
        <w:t>11psa:SelfStorageOperationsMemberus-gaap:OperatingSegmentsMember2020-01-012020-12-310001393311psa:AncillaryOperationsMemberus-gaap:OperatingSegmentsMember2022-01-012022-12-310001393311psa:AncillaryOperationsMemberus-gaap:OperatingSegmentsMember2021-01-0120</w:t>
      </w:r>
      <w:r>
        <w:rPr>
          <w:rFonts w:eastAsia="Times New Roman"/>
          <w:vanish/>
        </w:rPr>
        <w:t>21-12-310001393311psa:AncillaryOperationsMemberus-gaap:OperatingSegmentsMember2020-01-012020-12-310001393311us-gaap:OperatingSegmentsMember2022-01-012022-12-310001393311us-gaap:OperatingSegmentsMember2021-01-012021-12-310001393311us-gaap:OperatingSegmentsM</w:t>
      </w:r>
      <w:r>
        <w:rPr>
          <w:rFonts w:eastAsia="Times New Roman"/>
          <w:vanish/>
        </w:rPr>
        <w:t>ember2020-01-012020-12-310001393311us-gaap:MaterialReconcilingItemsMember2022-01-012022-12-310001393311us-gaap:MaterialReconcilingItemsMember2021-01-012021-12-310001393311us-gaap:MaterialReconcilingItemsMember2020-01-012020-12-31psa:certificate0001393311ps</w:t>
      </w:r>
      <w:r>
        <w:rPr>
          <w:rFonts w:eastAsia="Times New Roman"/>
          <w:vanish/>
        </w:rPr>
        <w:t>a:AcquisitionOfSelfStorageFacilitiesMemberus-gaap:SubsequentEventMember2023-02-210001393311psa:AcquisitionOfSelfStorageFacilitiesMemberus-gaap:SubsequentEventMember2023-01-012023-02-210001393311us-gaap:SubsequentEventMember2023-02-042023-02-040001393311us-</w:t>
      </w:r>
      <w:r>
        <w:rPr>
          <w:rFonts w:eastAsia="Times New Roman"/>
          <w:vanish/>
        </w:rPr>
        <w:t>gaap:SubsequentEventMember2023-02-032023-02-030001393311us-gaap:SubsequentEventMember2023-02-030001393311us-gaap:SubsequentEventMember2023-02-040001393311psa:SelfStorageFacilitiesMemberpsa:LosAngelesMember2022-12-310001393311psa:SelfStorageFacilitiesMember</w:t>
      </w:r>
      <w:r>
        <w:rPr>
          <w:rFonts w:eastAsia="Times New Roman"/>
          <w:vanish/>
        </w:rPr>
        <w:t>psa:DallasFtWorthMember2022-12-310001393311psa:SelfStorageFacilitiesMemberpsa:HoustonMember2022-12-310001393311psa:SelfStorageFacilitiesMemberpsa:SanFranciscoMember2022-12-310001393311psa:SelfStorageFacilitiesMemberpsa:ChicagoMember2022-12-310001393311psa:</w:t>
      </w:r>
      <w:r>
        <w:rPr>
          <w:rFonts w:eastAsia="Times New Roman"/>
          <w:vanish/>
        </w:rPr>
        <w:t>SelfStorageFacilitiesMemberpsa:WashingtonDC1Member2022-12-310001393311psa:SelfStorageFacilitiesMemberpsa:AtlantaMember2022-12-310001393311psa:SelfStorageFacilitiesMemberpsa:SeattleTacomaMember2022-12-310001393311psa:SelfStorageFacilitiesMemberpsa:MiamiMemb</w:t>
      </w:r>
      <w:r>
        <w:rPr>
          <w:rFonts w:eastAsia="Times New Roman"/>
          <w:vanish/>
        </w:rPr>
        <w:t>er2022-12-310001393311psa:SelfStorageFacilitiesMemberpsa:NewYorkCityMember2022-12-310001393311psa:SelfStorageFacilitiesMemberpsa:OrlandoDaytonaMember2022-12-310001393311psa:SelfStorageFacilitiesMemberpsa:DenverMember2022-12-310001393311psa:SelfStorageFacil</w:t>
      </w:r>
      <w:r>
        <w:rPr>
          <w:rFonts w:eastAsia="Times New Roman"/>
          <w:vanish/>
        </w:rPr>
        <w:t>itiesMemberpsa:MinneapolisStPaulMember2022-12-310001393311psa:SelfStorageFacilitiesMemberpsa:PhiladelphiaMember2022-12-310001393311psa:CharlotteMemberpsa:SelfStorageFacilitiesMember2022-12-310001393311psa:SelfStorageFacilitiesMemberpsa:TampaMember2022-12-3</w:t>
      </w:r>
      <w:r>
        <w:rPr>
          <w:rFonts w:eastAsia="Times New Roman"/>
          <w:vanish/>
        </w:rPr>
        <w:t>10001393311psa:SelfStorageFacilitiesMemberpsa:DetroitMember2022-12-310001393311psa:SelfStorageFacilitiesMemberpsa:PortlandMember2022-12-310001393311psa:SelfStorageFacilitiesMemberpsa:BaltimoreMember2022-12-310001393311psa:SelfStorageFacilitiesMemberpsa:Pho</w:t>
      </w:r>
      <w:r>
        <w:rPr>
          <w:rFonts w:eastAsia="Times New Roman"/>
          <w:vanish/>
        </w:rPr>
        <w:t>enixMember2022-12-310001393311psa:SelfStorageFacilitiesMemberpsa:WestPalmBeachMember2022-12-310001393311psa:SelfStorageFacilitiesMemberpsa:SanAntonioMember2022-12-310001393311psa:AustinMemberpsa:SelfStorageFacilitiesMember2022-12-310001393311psa:RaleighMem</w:t>
      </w:r>
      <w:r>
        <w:rPr>
          <w:rFonts w:eastAsia="Times New Roman"/>
          <w:vanish/>
        </w:rPr>
        <w:t>berpsa:SelfStorageFacilitiesMember2022-12-310001393311psa:NorfolkMemberpsa:SelfStorageFacilitiesMember2022-12-310001393311psa:SelfStorageFacilitiesMemberpsa:SacramentoMember2022-12-310001393311psa:SelfStorageFacilitiesMemberpsa:IndianapolisMember2022-12-31</w:t>
      </w:r>
      <w:r>
        <w:rPr>
          <w:rFonts w:eastAsia="Times New Roman"/>
          <w:vanish/>
        </w:rPr>
        <w:t>0001393311psa:SelfStorageFacilitiesMemberpsa:KansasCityMember2022-12-310001393311psa:SelfStorageFacilitiesMemberpsa:BostonMember2022-12-310001393311psa:SelfStorageFacilitiesMemberpsa:StLouisMember2022-12-310001393311psa:SelfStorageFacilitiesMemberpsa:Colum</w:t>
      </w:r>
      <w:r>
        <w:rPr>
          <w:rFonts w:eastAsia="Times New Roman"/>
          <w:vanish/>
        </w:rPr>
        <w:t>busMember2022-12-310001393311psa:ColumbiaMemberpsa:SelfStorageFacilitiesMember2022-12-310001393311psa:SelfStorageFacilitiesMemberpsa:OklahomaCityMember2022-12-310001393311psa:SelfStorageFacilitiesMemberpsa:SanDiegoMember2022-12-310001393311psa:LasVegasMemb</w:t>
      </w:r>
      <w:r>
        <w:rPr>
          <w:rFonts w:eastAsia="Times New Roman"/>
          <w:vanish/>
        </w:rPr>
        <w:t>erpsa:SelfStorageFacilitiesMember2022-12-310001393311psa:SelfStorageFacilitiesMemberpsa:CincinnatiMember2022-12-310001393311psa:SelfStorageFacilitiesMemberpsa:NashvilleBowlingGreenMember2022-12-310001393311psa:SelfStorageFacilitiesMemberpsa:ColoradoSprings</w:t>
      </w:r>
      <w:r>
        <w:rPr>
          <w:rFonts w:eastAsia="Times New Roman"/>
          <w:vanish/>
        </w:rPr>
        <w:t>Member2022-12-310001393311psa:SelfStorageFacilitiesMemberpsa:MilwaukeeMember2022-12-310001393311psa:SelfStorageFacilitiesMemberpsa:LouisvilleMember2022-12-310001393311psa:JacksonvilleMemberpsa:SelfStorageFacilitiesMember2022-12-310001393311psa:SelfStorageF</w:t>
      </w:r>
      <w:r>
        <w:rPr>
          <w:rFonts w:eastAsia="Times New Roman"/>
          <w:vanish/>
        </w:rPr>
        <w:t>acilitiesMemberpsa:BirminghamMember2022-12-310001393311psa:RichmondMemberpsa:SelfStorageFacilitiesMember2022-12-310001393311psa:SelfStorageFacilitiesMemberpsa:GreensboroMember2022-12-310001393311psa:CharlestonMemberpsa:SelfStorageFacilitiesMember2022-12-31</w:t>
      </w:r>
      <w:r>
        <w:rPr>
          <w:rFonts w:eastAsia="Times New Roman"/>
          <w:vanish/>
        </w:rPr>
        <w:t>0001393311psa:FortMyersNaplesMemberpsa:SelfStorageFacilitiesMember2022-12-310001393311psa:SelfStorageFacilitiesMemberpsa:ChattanoogaMember2022-12-310001393311psa:SelfStorageFacilitiesMemberpsa:SavannahMember2022-12-310001393311psa:SelfStorageFacilitiesMemb</w:t>
      </w:r>
      <w:r>
        <w:rPr>
          <w:rFonts w:eastAsia="Times New Roman"/>
          <w:vanish/>
        </w:rPr>
        <w:t>erpsa:GreensvilleSpartanburgAshevilleMember2022-12-310001393311psa:SelfStorageFacilitiesMemberpsa:HonoluluMember2022-12-310001393311psa:SelfStorageFacilitiesMemberpsa:HartfordNewHavenMember2022-12-310001393311psa:SelfStorageFacilitiesMemberpsa:NewOrleansMe</w:t>
      </w:r>
      <w:r>
        <w:rPr>
          <w:rFonts w:eastAsia="Times New Roman"/>
          <w:vanish/>
        </w:rPr>
        <w:t>mber2022-12-310001393311psa:SelfStorageFacilitiesMemberpsa:SaltLakeCityMember2022-12-310001393311psa:MemphisMemberpsa:SelfStorageFacilitiesMember2022-12-310001393311psa:MobileMemberpsa:SelfStorageFacilitiesMember2022-12-310001393311psa:SelfStorageFacilitie</w:t>
      </w:r>
      <w:r>
        <w:rPr>
          <w:rFonts w:eastAsia="Times New Roman"/>
          <w:vanish/>
        </w:rPr>
        <w:t>sMemberpsa:OmahaMember2022-12-310001393311psa:BuffaloRochesterMemberpsa:SelfStorageFacilitiesMember2022-12-310001393311psa:SelfStorageFacilitiesMemberpsa:ClevelandAkronMember2022-12-310001393311psa:SelfStorageFacilitiesMemberpsa:AugustaMember2022-12-310001</w:t>
      </w:r>
      <w:r>
        <w:rPr>
          <w:rFonts w:eastAsia="Times New Roman"/>
          <w:vanish/>
        </w:rPr>
        <w:t>393311psa:RenoMemberpsa:SelfStorageFacilitiesMember2022-12-310001393311psa:TucsonMemberpsa:SelfStorageFacilitiesMember2022-12-310001393311psa:SelfStorageFacilitiesMemberpsa:WichitaMember2022-12-310001393311psa:SelfStorageFacilitiesMemberpsa:MontereySalinas</w:t>
      </w:r>
      <w:r>
        <w:rPr>
          <w:rFonts w:eastAsia="Times New Roman"/>
          <w:vanish/>
        </w:rPr>
        <w:t>Member2022-12-310001393311psa:BoiseMemberpsa:SelfStorageFacilitiesMember2022-12-310001393311psa:SelfStorageFacilitiesMemberpsa:EvansvilleMember2022-12-310001393311psa:SelfStorageFacilitiesMemberpsa:DaytonMember2022-12-310001393311psa:SelfStorageFacilitiesM</w:t>
      </w:r>
      <w:r>
        <w:rPr>
          <w:rFonts w:eastAsia="Times New Roman"/>
          <w:vanish/>
        </w:rPr>
        <w:t>emberpsa:HuntsvilleDecaturMember2022-12-310001393311psa:SelfStorageFacilitiesMemberpsa:FortWayneMember2022-12-310001393311psa:SelfStorageFacilitiesMemberpsa:RoanokeMember2022-12-310001393311psa:SelfStorageFacilitiesMemberpsa:PalmSpringsMember2022-12-310001</w:t>
      </w:r>
      <w:r>
        <w:rPr>
          <w:rFonts w:eastAsia="Times New Roman"/>
          <w:vanish/>
        </w:rPr>
        <w:t>393311psa:SelfStorageFacilitiesMemberpsa:ProvidenceMember2022-12-310001393311psa:SelfStorageFacilitiesMemberpsa:ShreveportMember2022-12-310001393311psa:SelfStorageFacilitiesMemberpsa:SpringfieldHolyokeMember2022-12-310001393311psa:RochesterMemberpsa:SelfSt</w:t>
      </w:r>
      <w:r>
        <w:rPr>
          <w:rFonts w:eastAsia="Times New Roman"/>
          <w:vanish/>
        </w:rPr>
        <w:t>orageFacilitiesMember2022-12-310001393311psa:SelfStorageFacilitiesMemberpsa:SantaBarbaraMember2022-12-310001393311psa:SelfStorageFacilitiesMemberpsa:TopekaMember2022-12-310001393311psa:LansingMemberpsa:SelfStorageFacilitiesMember2022-12-310001393311psa:Sel</w:t>
      </w:r>
      <w:r>
        <w:rPr>
          <w:rFonts w:eastAsia="Times New Roman"/>
          <w:vanish/>
        </w:rPr>
        <w:t>fStorageFacilitiesMemberpsa:FlintMember2022-12-310001393311psa:SelfStorageFacilitiesMemberpsa:JoplinMember2022-12-310001393311psa:SelfStorageFacilitiesMemberpsa:SyracuseMember2022-12-310001393311psa:SelfStorageFacilitiesMemberpsa:ModestoFresnoStocktonMembe</w:t>
      </w:r>
      <w:r>
        <w:rPr>
          <w:rFonts w:eastAsia="Times New Roman"/>
          <w:vanish/>
        </w:rPr>
        <w:t>r2022-12-310001393311psa:CommercialAndNonOperatingRealEstateMember2022-12-31</w:t>
      </w:r>
    </w:p>
    <w:p w:rsidR="00000000" w:rsidRDefault="00473C5F">
      <w:pPr>
        <w:divId w:val="9336142"/>
        <w:rPr>
          <w:rFonts w:eastAsia="Times New Roman"/>
        </w:rPr>
      </w:pPr>
    </w:p>
    <w:p w:rsidR="00000000" w:rsidRDefault="00473C5F">
      <w:pPr>
        <w:jc w:val="center"/>
        <w:rPr>
          <w:rFonts w:eastAsia="Times New Roman"/>
        </w:rPr>
      </w:pPr>
      <w:r>
        <w:rPr>
          <w:rFonts w:eastAsia="Times New Roman"/>
          <w:b/>
          <w:bCs/>
          <w:color w:val="000000"/>
          <w:sz w:val="20"/>
          <w:szCs w:val="20"/>
        </w:rPr>
        <w:t>UNITED STATES SECURITIES AND EXCHANGE COMMISSION</w:t>
      </w:r>
    </w:p>
    <w:p w:rsidR="00000000" w:rsidRDefault="00473C5F">
      <w:pPr>
        <w:jc w:val="center"/>
        <w:rPr>
          <w:rFonts w:eastAsia="Times New Roman"/>
        </w:rPr>
      </w:pPr>
      <w:r>
        <w:rPr>
          <w:rFonts w:eastAsia="Times New Roman"/>
          <w:b/>
          <w:bCs/>
          <w:color w:val="000000"/>
          <w:sz w:val="20"/>
          <w:szCs w:val="20"/>
        </w:rPr>
        <w:t>WASHINGTON, D.C. 20549</w:t>
      </w:r>
    </w:p>
    <w:p w:rsidR="00000000" w:rsidRDefault="00473C5F">
      <w:pPr>
        <w:jc w:val="center"/>
        <w:divId w:val="264270643"/>
        <w:rPr>
          <w:rFonts w:eastAsia="Times New Roman"/>
        </w:rPr>
      </w:pPr>
      <w:r>
        <w:rPr>
          <w:rFonts w:eastAsia="Times New Roman"/>
          <w:b/>
          <w:bCs/>
          <w:color w:val="000000"/>
          <w:sz w:val="28"/>
          <w:szCs w:val="28"/>
        </w:rPr>
        <w:t>FORM</w:t>
      </w:r>
      <w:r>
        <w:rPr>
          <w:rFonts w:eastAsia="Times New Roman"/>
          <w:color w:val="000000"/>
          <w:sz w:val="28"/>
          <w:szCs w:val="28"/>
        </w:rPr>
        <w:t xml:space="preserve"> </w:t>
      </w:r>
      <w:r>
        <w:rPr>
          <w:rFonts w:eastAsia="Times New Roman"/>
          <w:b/>
          <w:bCs/>
          <w:color w:val="000000"/>
          <w:sz w:val="28"/>
          <w:szCs w:val="28"/>
        </w:rPr>
        <w:t>10-K</w:t>
      </w:r>
    </w:p>
    <w:p w:rsidR="00000000" w:rsidRDefault="00473C5F">
      <w:pPr>
        <w:jc w:val="center"/>
        <w:divId w:val="108282108"/>
        <w:rPr>
          <w:rFonts w:eastAsia="Times New Roman"/>
        </w:rPr>
      </w:pPr>
      <w:r>
        <w:rPr>
          <w:rFonts w:ascii="Segoe UI Symbol" w:eastAsia="Times New Roman" w:hAnsi="Segoe UI Symbol" w:cs="Segoe UI Symbol"/>
          <w:b/>
          <w:bCs/>
          <w:color w:val="000000"/>
          <w:sz w:val="20"/>
          <w:szCs w:val="20"/>
        </w:rPr>
        <w:t>☒</w:t>
      </w:r>
      <w:r>
        <w:rPr>
          <w:rFonts w:eastAsia="Times New Roman"/>
          <w:color w:val="000000"/>
          <w:sz w:val="20"/>
          <w:szCs w:val="20"/>
        </w:rPr>
        <w:t xml:space="preserve"> </w:t>
      </w:r>
      <w:r>
        <w:rPr>
          <w:rFonts w:eastAsia="Times New Roman"/>
          <w:b/>
          <w:bCs/>
          <w:color w:val="000000"/>
          <w:sz w:val="20"/>
          <w:szCs w:val="20"/>
        </w:rPr>
        <w:t>Annual Report Pursuant to Section 13 or 15(d) of the Securities Exchange Act of 1934</w:t>
      </w:r>
    </w:p>
    <w:p w:rsidR="00000000" w:rsidRDefault="00473C5F">
      <w:pPr>
        <w:ind w:firstLine="360"/>
        <w:jc w:val="center"/>
        <w:divId w:val="506822121"/>
        <w:rPr>
          <w:rFonts w:eastAsia="Times New Roman"/>
        </w:rPr>
      </w:pPr>
      <w:r>
        <w:rPr>
          <w:rFonts w:eastAsia="Times New Roman"/>
          <w:b/>
          <w:bCs/>
          <w:color w:val="000000"/>
          <w:sz w:val="20"/>
          <w:szCs w:val="20"/>
        </w:rPr>
        <w:t xml:space="preserve">For the </w:t>
      </w:r>
      <w:r>
        <w:rPr>
          <w:rFonts w:eastAsia="Times New Roman"/>
          <w:b/>
          <w:bCs/>
          <w:color w:val="000000"/>
          <w:sz w:val="20"/>
          <w:szCs w:val="20"/>
        </w:rPr>
        <w:t>fiscal year ended December 31, 2022.</w:t>
      </w:r>
    </w:p>
    <w:p w:rsidR="00000000" w:rsidRDefault="00473C5F">
      <w:pPr>
        <w:jc w:val="center"/>
        <w:divId w:val="2059939351"/>
        <w:rPr>
          <w:rFonts w:eastAsia="Times New Roman"/>
        </w:rPr>
      </w:pPr>
      <w:r>
        <w:rPr>
          <w:rFonts w:eastAsia="Times New Roman"/>
          <w:color w:val="000000"/>
          <w:sz w:val="20"/>
          <w:szCs w:val="20"/>
        </w:rPr>
        <w:t>or</w:t>
      </w:r>
    </w:p>
    <w:p w:rsidR="00000000" w:rsidRDefault="00473C5F">
      <w:pPr>
        <w:jc w:val="center"/>
        <w:divId w:val="810252643"/>
        <w:rPr>
          <w:rFonts w:eastAsia="Times New Roman"/>
        </w:rPr>
      </w:pPr>
      <w:r>
        <w:rPr>
          <w:rFonts w:ascii="Segoe UI Symbol" w:eastAsia="Times New Roman" w:hAnsi="Segoe UI Symbol" w:cs="Segoe UI Symbol"/>
          <w:b/>
          <w:bCs/>
          <w:color w:val="000000"/>
          <w:sz w:val="20"/>
          <w:szCs w:val="20"/>
        </w:rPr>
        <w:t>☐</w:t>
      </w:r>
      <w:r>
        <w:rPr>
          <w:rFonts w:eastAsia="Times New Roman"/>
          <w:color w:val="000000"/>
          <w:sz w:val="20"/>
          <w:szCs w:val="20"/>
        </w:rPr>
        <w:t xml:space="preserve"> </w:t>
      </w:r>
      <w:r>
        <w:rPr>
          <w:rFonts w:eastAsia="Times New Roman"/>
          <w:b/>
          <w:bCs/>
          <w:color w:val="000000"/>
          <w:sz w:val="20"/>
          <w:szCs w:val="20"/>
        </w:rPr>
        <w:t>Transition Report Pursuant to Section 13 or 15(d) of the Securities Exchange Act of 1934</w:t>
      </w:r>
    </w:p>
    <w:p w:rsidR="00000000" w:rsidRDefault="00473C5F">
      <w:pPr>
        <w:ind w:firstLine="360"/>
        <w:jc w:val="center"/>
        <w:divId w:val="14115926"/>
        <w:rPr>
          <w:rFonts w:eastAsia="Times New Roman"/>
        </w:rPr>
      </w:pPr>
      <w:r>
        <w:rPr>
          <w:rFonts w:eastAsia="Times New Roman"/>
          <w:b/>
          <w:bCs/>
          <w:color w:val="000000"/>
          <w:sz w:val="20"/>
          <w:szCs w:val="20"/>
        </w:rPr>
        <w:t>For the transition period from </w:t>
      </w:r>
      <w:r>
        <w:rPr>
          <w:rFonts w:eastAsia="Times New Roman"/>
          <w:b/>
          <w:bCs/>
          <w:color w:val="000000"/>
          <w:sz w:val="20"/>
          <w:szCs w:val="20"/>
          <w:u w:val="single"/>
        </w:rPr>
        <w:t>                      </w:t>
      </w:r>
      <w:r>
        <w:rPr>
          <w:rFonts w:eastAsia="Times New Roman"/>
          <w:b/>
          <w:bCs/>
          <w:color w:val="000000"/>
          <w:sz w:val="20"/>
          <w:szCs w:val="20"/>
        </w:rPr>
        <w:t> to</w:t>
      </w:r>
      <w:r>
        <w:rPr>
          <w:rFonts w:eastAsia="Times New Roman"/>
          <w:color w:val="000000"/>
          <w:sz w:val="20"/>
          <w:szCs w:val="20"/>
        </w:rPr>
        <w:t>  </w:t>
      </w:r>
      <w:r>
        <w:rPr>
          <w:rFonts w:eastAsia="Times New Roman"/>
          <w:color w:val="000000"/>
          <w:sz w:val="20"/>
          <w:szCs w:val="20"/>
          <w:u w:val="single"/>
        </w:rPr>
        <w:t>                      </w:t>
      </w:r>
      <w:r>
        <w:rPr>
          <w:rFonts w:eastAsia="Times New Roman"/>
          <w:b/>
          <w:bCs/>
          <w:color w:val="000000"/>
          <w:sz w:val="20"/>
          <w:szCs w:val="20"/>
        </w:rPr>
        <w:t>.</w:t>
      </w:r>
    </w:p>
    <w:p w:rsidR="00000000" w:rsidRDefault="00473C5F">
      <w:pPr>
        <w:jc w:val="center"/>
        <w:divId w:val="1496653725"/>
        <w:rPr>
          <w:rFonts w:eastAsia="Times New Roman"/>
        </w:rPr>
      </w:pPr>
      <w:r>
        <w:rPr>
          <w:rFonts w:eastAsia="Times New Roman"/>
          <w:b/>
          <w:bCs/>
          <w:color w:val="000000"/>
          <w:sz w:val="20"/>
          <w:szCs w:val="20"/>
        </w:rPr>
        <w:t>Commission File Number:</w:t>
      </w:r>
      <w:r>
        <w:rPr>
          <w:rFonts w:eastAsia="Times New Roman"/>
          <w:color w:val="000000"/>
          <w:sz w:val="20"/>
          <w:szCs w:val="20"/>
        </w:rPr>
        <w:t xml:space="preserve"> </w:t>
      </w:r>
      <w:r>
        <w:rPr>
          <w:rFonts w:eastAsia="Times New Roman"/>
          <w:b/>
          <w:bCs/>
          <w:color w:val="000000"/>
          <w:sz w:val="20"/>
          <w:szCs w:val="20"/>
        </w:rPr>
        <w:t>001-33519</w:t>
      </w:r>
    </w:p>
    <w:p w:rsidR="00000000" w:rsidRDefault="00473C5F">
      <w:pPr>
        <w:jc w:val="center"/>
        <w:divId w:val="1514152601"/>
        <w:rPr>
          <w:rFonts w:eastAsia="Times New Roman"/>
        </w:rPr>
      </w:pPr>
      <w:r>
        <w:rPr>
          <w:rFonts w:eastAsia="Times New Roman"/>
          <w:b/>
          <w:bCs/>
          <w:color w:val="000000"/>
          <w:sz w:val="28"/>
          <w:szCs w:val="28"/>
        </w:rPr>
        <w:t>PUBLIC ST</w:t>
      </w:r>
      <w:r>
        <w:rPr>
          <w:rFonts w:eastAsia="Times New Roman"/>
          <w:b/>
          <w:bCs/>
          <w:color w:val="000000"/>
          <w:sz w:val="28"/>
          <w:szCs w:val="28"/>
        </w:rPr>
        <w:t>ORAGE</w:t>
      </w:r>
    </w:p>
    <w:p w:rsidR="00000000" w:rsidRDefault="00473C5F">
      <w:pPr>
        <w:jc w:val="center"/>
        <w:rPr>
          <w:rFonts w:eastAsia="Times New Roman"/>
        </w:rPr>
      </w:pPr>
      <w:r>
        <w:rPr>
          <w:rFonts w:eastAsia="Times New Roman"/>
          <w:color w:val="000000"/>
          <w:sz w:val="20"/>
          <w:szCs w:val="20"/>
        </w:rPr>
        <w:t>(</w:t>
      </w:r>
      <w:r>
        <w:rPr>
          <w:rFonts w:eastAsia="Times New Roman"/>
          <w:i/>
          <w:iCs/>
          <w:color w:val="000000"/>
          <w:sz w:val="20"/>
          <w:szCs w:val="20"/>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0"/>
        <w:gridCol w:w="4015"/>
        <w:gridCol w:w="36"/>
        <w:gridCol w:w="36"/>
        <w:gridCol w:w="36"/>
        <w:gridCol w:w="36"/>
        <w:gridCol w:w="48"/>
        <w:gridCol w:w="4003"/>
        <w:gridCol w:w="36"/>
      </w:tblGrid>
      <w:tr w:rsidR="00000000">
        <w:trPr>
          <w:divId w:val="1168403563"/>
        </w:trPr>
        <w:tc>
          <w:tcPr>
            <w:tcW w:w="50" w:type="pct"/>
            <w:vAlign w:val="center"/>
            <w:hideMark/>
          </w:tcPr>
          <w:p w:rsidR="00000000" w:rsidRDefault="00473C5F">
            <w:pPr>
              <w:jc w:val="center"/>
              <w:rPr>
                <w:rFonts w:eastAsia="Times New Roman"/>
              </w:rPr>
            </w:pPr>
          </w:p>
        </w:tc>
        <w:tc>
          <w:tcPr>
            <w:tcW w:w="24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242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168403563"/>
        </w:trPr>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b/>
                <w:bCs/>
                <w:color w:val="000000"/>
                <w:sz w:val="18"/>
                <w:szCs w:val="18"/>
              </w:rPr>
              <w:t>Maryland</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b/>
                <w:bCs/>
                <w:color w:val="000000"/>
                <w:sz w:val="18"/>
                <w:szCs w:val="18"/>
              </w:rPr>
              <w:t>95-3551121</w:t>
            </w:r>
          </w:p>
        </w:tc>
      </w:tr>
      <w:tr w:rsidR="00000000">
        <w:trPr>
          <w:divId w:val="116840356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w:t>
            </w:r>
            <w:r>
              <w:rPr>
                <w:rFonts w:eastAsia="Times New Roman"/>
                <w:i/>
                <w:iCs/>
                <w:color w:val="000000"/>
                <w:sz w:val="18"/>
                <w:szCs w:val="18"/>
              </w:rPr>
              <w:t>State or other jurisdiction of incorporation or organization</w:t>
            </w: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w:t>
            </w:r>
            <w:r>
              <w:rPr>
                <w:rFonts w:eastAsia="Times New Roman"/>
                <w:i/>
                <w:iCs/>
                <w:color w:val="000000"/>
                <w:sz w:val="18"/>
                <w:szCs w:val="18"/>
              </w:rPr>
              <w:t>I.R.S. Employer Identification Number</w:t>
            </w:r>
            <w:r>
              <w:rPr>
                <w:rFonts w:eastAsia="Times New Roman"/>
                <w:color w:val="000000"/>
                <w:sz w:val="18"/>
                <w:szCs w:val="18"/>
              </w:rPr>
              <w:t>)</w:t>
            </w:r>
          </w:p>
        </w:tc>
      </w:tr>
    </w:tbl>
    <w:p w:rsidR="00000000" w:rsidRDefault="00473C5F">
      <w:pPr>
        <w:jc w:val="center"/>
        <w:divId w:val="2094348979"/>
        <w:rPr>
          <w:rFonts w:eastAsia="Times New Roman"/>
        </w:rPr>
      </w:pPr>
      <w:r>
        <w:rPr>
          <w:rFonts w:eastAsia="Times New Roman"/>
          <w:b/>
          <w:bCs/>
          <w:color w:val="000000"/>
          <w:sz w:val="18"/>
          <w:szCs w:val="18"/>
        </w:rPr>
        <w:t>701 Western Avenue,</w:t>
      </w:r>
      <w:r>
        <w:rPr>
          <w:rFonts w:eastAsia="Times New Roman"/>
          <w:color w:val="000000"/>
          <w:sz w:val="18"/>
          <w:szCs w:val="18"/>
        </w:rPr>
        <w:t xml:space="preserve"> </w:t>
      </w:r>
      <w:r>
        <w:rPr>
          <w:rFonts w:eastAsia="Times New Roman"/>
          <w:b/>
          <w:bCs/>
          <w:color w:val="000000"/>
          <w:sz w:val="18"/>
          <w:szCs w:val="18"/>
        </w:rPr>
        <w:t>Glendale,</w:t>
      </w:r>
      <w:r>
        <w:rPr>
          <w:rFonts w:eastAsia="Times New Roman"/>
          <w:color w:val="000000"/>
          <w:sz w:val="18"/>
          <w:szCs w:val="18"/>
        </w:rPr>
        <w:t xml:space="preserve"> </w:t>
      </w:r>
      <w:r>
        <w:rPr>
          <w:rFonts w:eastAsia="Times New Roman"/>
          <w:b/>
          <w:bCs/>
          <w:color w:val="000000"/>
          <w:sz w:val="18"/>
          <w:szCs w:val="18"/>
        </w:rPr>
        <w:t>California</w:t>
      </w:r>
      <w:r>
        <w:rPr>
          <w:rFonts w:eastAsia="Times New Roman"/>
          <w:color w:val="000000"/>
          <w:sz w:val="18"/>
          <w:szCs w:val="18"/>
        </w:rPr>
        <w:t xml:space="preserve"> </w:t>
      </w:r>
      <w:r>
        <w:rPr>
          <w:rFonts w:eastAsia="Times New Roman"/>
          <w:b/>
          <w:bCs/>
          <w:color w:val="000000"/>
          <w:sz w:val="18"/>
          <w:szCs w:val="18"/>
        </w:rPr>
        <w:t>91201-2349</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jc w:val="center"/>
        </w:trPr>
        <w:tc>
          <w:tcPr>
            <w:tcW w:w="50" w:type="pct"/>
            <w:vAlign w:val="center"/>
            <w:hideMark/>
          </w:tcPr>
          <w:p w:rsidR="00000000" w:rsidRDefault="00473C5F">
            <w:pPr>
              <w:jc w:val="center"/>
              <w:rPr>
                <w:rFonts w:eastAsia="Times New Roman"/>
              </w:rPr>
            </w:pPr>
          </w:p>
        </w:tc>
        <w:tc>
          <w:tcPr>
            <w:tcW w:w="494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bl>
    <w:p w:rsidR="00000000" w:rsidRDefault="00473C5F">
      <w:pPr>
        <w:jc w:val="center"/>
        <w:rPr>
          <w:rFonts w:eastAsia="Times New Roman"/>
        </w:rPr>
      </w:pPr>
      <w:r>
        <w:rPr>
          <w:rFonts w:eastAsia="Times New Roman"/>
          <w:i/>
          <w:iCs/>
          <w:color w:val="000000"/>
          <w:sz w:val="18"/>
          <w:szCs w:val="18"/>
        </w:rPr>
        <w:t>(Address of principal executive offices) (Zip Code)</w:t>
      </w:r>
    </w:p>
    <w:p w:rsidR="00000000" w:rsidRDefault="00473C5F">
      <w:pPr>
        <w:jc w:val="center"/>
        <w:divId w:val="459615592"/>
        <w:rPr>
          <w:rFonts w:eastAsia="Times New Roman"/>
        </w:rPr>
      </w:pPr>
      <w:r>
        <w:rPr>
          <w:rFonts w:eastAsia="Times New Roman"/>
          <w:color w:val="000000"/>
          <w:sz w:val="20"/>
          <w:szCs w:val="20"/>
        </w:rPr>
        <w:t>(818) 244-8080</w:t>
      </w:r>
    </w:p>
    <w:p w:rsidR="00000000" w:rsidRDefault="00473C5F">
      <w:pPr>
        <w:jc w:val="center"/>
        <w:divId w:val="1985812346"/>
        <w:rPr>
          <w:rFonts w:eastAsia="Times New Roman"/>
        </w:rPr>
      </w:pPr>
      <w:r>
        <w:rPr>
          <w:rFonts w:eastAsia="Times New Roman"/>
          <w:color w:val="000000"/>
          <w:sz w:val="20"/>
          <w:szCs w:val="20"/>
        </w:rPr>
        <w:t>(</w:t>
      </w:r>
      <w:r>
        <w:rPr>
          <w:rFonts w:eastAsia="Times New Roman"/>
          <w:i/>
          <w:iCs/>
          <w:color w:val="000000"/>
          <w:sz w:val="20"/>
          <w:szCs w:val="20"/>
        </w:rPr>
        <w:t>Registrant's telephone number, including area code)</w:t>
      </w:r>
    </w:p>
    <w:p w:rsidR="00000000" w:rsidRDefault="00473C5F">
      <w:pPr>
        <w:jc w:val="center"/>
        <w:divId w:val="1046419020"/>
        <w:rPr>
          <w:rFonts w:eastAsia="Times New Roman"/>
        </w:rPr>
      </w:pPr>
      <w:r>
        <w:rPr>
          <w:rFonts w:eastAsia="Times New Roman"/>
          <w:b/>
          <w:bCs/>
          <w:color w:val="000000"/>
          <w:sz w:val="20"/>
          <w:szCs w:val="20"/>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5181"/>
        <w:gridCol w:w="38"/>
        <w:gridCol w:w="69"/>
        <w:gridCol w:w="888"/>
        <w:gridCol w:w="36"/>
        <w:gridCol w:w="69"/>
        <w:gridCol w:w="1920"/>
        <w:gridCol w:w="36"/>
      </w:tblGrid>
      <w:tr w:rsidR="00000000">
        <w:trPr>
          <w:divId w:val="2061442951"/>
        </w:trPr>
        <w:tc>
          <w:tcPr>
            <w:tcW w:w="50" w:type="pct"/>
            <w:vAlign w:val="center"/>
            <w:hideMark/>
          </w:tcPr>
          <w:p w:rsidR="00000000" w:rsidRDefault="00473C5F">
            <w:pPr>
              <w:jc w:val="center"/>
              <w:rPr>
                <w:rFonts w:eastAsia="Times New Roman"/>
              </w:rPr>
            </w:pPr>
          </w:p>
        </w:tc>
        <w:tc>
          <w:tcPr>
            <w:tcW w:w="312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4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16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206144295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b/>
                <w:bCs/>
                <w:color w:val="000000"/>
                <w:sz w:val="20"/>
                <w:szCs w:val="20"/>
              </w:rPr>
              <w:t>Title of Class</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b/>
                <w:bCs/>
                <w:color w:val="000000"/>
                <w:sz w:val="20"/>
                <w:szCs w:val="20"/>
              </w:rPr>
              <w:t>Trading Symbol</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b/>
                <w:bCs/>
                <w:color w:val="000000"/>
                <w:sz w:val="20"/>
                <w:szCs w:val="20"/>
              </w:rPr>
              <w:t>Name of exchange on which registered</w:t>
            </w:r>
          </w:p>
        </w:tc>
      </w:tr>
      <w:tr w:rsidR="00000000">
        <w:trPr>
          <w:divId w:val="206144295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061442951"/>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Common Shares, $0.10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Depositary Shares Each Representing 1/1,000 of a 5.150% Cum Pref Share, Series F, $0.01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PSAPrF</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Depositary Shares Each Representing 1/1,000 of a 5.050% Cum Pref Share, Series G, $0.01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PSAPrG</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Depositary Shares Each Representing 1/1,000 of a 5.600% Cum Pref Share, Series H, $0.01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PSAPrH</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Depositary Shares Each Representing 1/1,000 of a 4.875% Cum Pref Share, Series I, $0.01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PSAPrI</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Depositary Shares Each Representing 1/1,000 of a 4.700% Cum Pref Share, Series J, $0.01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PSAPrJ</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Depositary Shares Each Representing 1/1,000 of a 4.750% Cum Pref Share, Series K, $0.01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PSAPrK</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Depositary Shares Each Representing 1/1,000 of a 4.625% Cum Pref Share, Series L, $0.01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PSAPrL</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Depositary Shares Each Representing 1/1,000 of a 4.125% Cum Pref Share, Series M, $0.01 par v</w:t>
            </w:r>
            <w:r>
              <w:rPr>
                <w:rFonts w:eastAsia="Times New Roman"/>
                <w:color w:val="000000"/>
                <w:sz w:val="20"/>
                <w:szCs w:val="20"/>
              </w:rPr>
              <w:t>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PSAPrM</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lastRenderedPageBreak/>
              <w:t>Depositary Shares Each Representing 1/1,000 of a 3.875% Cum Pref Share, Series N, $0.01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PSAPrN</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Depositary Shares Each Representing 1/1,000 of a 3.900% Cum Pref Share, Series O, $0.01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PSAPrO</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Depositary Shares Each Representing 1/1,000 of a 4.000% Cum Pref Share, Series P, $0.01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PSAPrP</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Depositary Shares Each Representing 1/1,000 of a 3.950% Cum Pref Share, Series Q, $0.01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PSAPrQ</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w:t>
            </w:r>
            <w:r>
              <w:rPr>
                <w:rFonts w:eastAsia="Times New Roman"/>
                <w:color w:val="000000"/>
                <w:sz w:val="20"/>
                <w:szCs w:val="20"/>
              </w:rPr>
              <w: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Depositary Shares Each Representing 1/1,000 of a 4.000% Cum Pref Share, Series R, $0.01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PSAPrR</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Depositary Shares Each Representing 1/1,000 of a 4.100% Cum Pref Share, Series S, $0.01 par value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PSAPrS</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0.875% Senior Notes due 2032</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PSA32</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r w:rsidR="00000000">
        <w:trPr>
          <w:divId w:val="206144295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0.500% Senior Notes due 2030</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PSA30</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New York Stock Exchange</w:t>
            </w:r>
          </w:p>
        </w:tc>
      </w:tr>
    </w:tbl>
    <w:p w:rsidR="00000000" w:rsidRDefault="00473C5F">
      <w:pPr>
        <w:jc w:val="center"/>
        <w:divId w:val="2115048291"/>
        <w:rPr>
          <w:rFonts w:eastAsia="Times New Roman"/>
        </w:rPr>
      </w:pPr>
      <w:r>
        <w:rPr>
          <w:rFonts w:eastAsia="Times New Roman"/>
          <w:b/>
          <w:bCs/>
          <w:color w:val="000000"/>
          <w:sz w:val="18"/>
          <w:szCs w:val="18"/>
        </w:rPr>
        <w:t>Securities registered pursuant to Section 12(g) of the Act: None</w:t>
      </w:r>
    </w:p>
    <w:p w:rsidR="00000000" w:rsidRDefault="00473C5F">
      <w:pPr>
        <w:jc w:val="both"/>
        <w:divId w:val="1352801028"/>
        <w:rPr>
          <w:rFonts w:eastAsia="Times New Roman"/>
        </w:rPr>
      </w:pPr>
      <w:r>
        <w:rPr>
          <w:rFonts w:eastAsia="Times New Roman"/>
          <w:color w:val="000000"/>
          <w:sz w:val="20"/>
          <w:szCs w:val="20"/>
        </w:rPr>
        <w:t>Indicate by check mark if the registrant is a well-known seasoned issuer, as defined in Rule 405 of the Securities Act.</w:t>
      </w:r>
    </w:p>
    <w:tbl>
      <w:tblPr>
        <w:tblW w:w="1090" w:type="pct"/>
        <w:jc w:val="center"/>
        <w:tblCellMar>
          <w:top w:w="15" w:type="dxa"/>
          <w:left w:w="15" w:type="dxa"/>
          <w:bottom w:w="15" w:type="dxa"/>
          <w:right w:w="15" w:type="dxa"/>
        </w:tblCellMar>
        <w:tblLook w:val="04A0" w:firstRow="1" w:lastRow="0" w:firstColumn="1" w:lastColumn="0" w:noHBand="0" w:noVBand="1"/>
      </w:tblPr>
      <w:tblGrid>
        <w:gridCol w:w="37"/>
        <w:gridCol w:w="578"/>
        <w:gridCol w:w="36"/>
        <w:gridCol w:w="37"/>
        <w:gridCol w:w="195"/>
        <w:gridCol w:w="36"/>
        <w:gridCol w:w="37"/>
        <w:gridCol w:w="551"/>
        <w:gridCol w:w="36"/>
        <w:gridCol w:w="37"/>
        <w:gridCol w:w="195"/>
        <w:gridCol w:w="36"/>
      </w:tblGrid>
      <w:tr w:rsidR="00000000">
        <w:trPr>
          <w:divId w:val="963265600"/>
          <w:jc w:val="center"/>
        </w:trPr>
        <w:tc>
          <w:tcPr>
            <w:tcW w:w="50" w:type="pct"/>
            <w:vAlign w:val="center"/>
            <w:hideMark/>
          </w:tcPr>
          <w:p w:rsidR="00000000" w:rsidRDefault="00473C5F">
            <w:pPr>
              <w:jc w:val="both"/>
              <w:rPr>
                <w:rFonts w:eastAsia="Times New Roman"/>
              </w:rPr>
            </w:pPr>
          </w:p>
        </w:tc>
        <w:tc>
          <w:tcPr>
            <w:tcW w:w="178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0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78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0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963265600"/>
          <w:jc w:val="center"/>
        </w:trPr>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Yes</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No</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473C5F">
      <w:pPr>
        <w:jc w:val="both"/>
        <w:divId w:val="2015721747"/>
        <w:rPr>
          <w:rFonts w:eastAsia="Times New Roman"/>
        </w:rPr>
      </w:pPr>
      <w:r>
        <w:rPr>
          <w:rFonts w:eastAsia="Times New Roman"/>
          <w:color w:val="000000"/>
          <w:sz w:val="20"/>
          <w:szCs w:val="20"/>
        </w:rPr>
        <w:t>Indicate by check mark if the registrant is not required to file reports pursuant to Section 13 or Section 15(d) of the Exchange Act.</w:t>
      </w:r>
    </w:p>
    <w:tbl>
      <w:tblPr>
        <w:tblW w:w="1090" w:type="pct"/>
        <w:jc w:val="center"/>
        <w:tblCellMar>
          <w:top w:w="15" w:type="dxa"/>
          <w:left w:w="15" w:type="dxa"/>
          <w:bottom w:w="15" w:type="dxa"/>
          <w:right w:w="15" w:type="dxa"/>
        </w:tblCellMar>
        <w:tblLook w:val="04A0" w:firstRow="1" w:lastRow="0" w:firstColumn="1" w:lastColumn="0" w:noHBand="0" w:noVBand="1"/>
      </w:tblPr>
      <w:tblGrid>
        <w:gridCol w:w="37"/>
        <w:gridCol w:w="578"/>
        <w:gridCol w:w="36"/>
        <w:gridCol w:w="37"/>
        <w:gridCol w:w="195"/>
        <w:gridCol w:w="36"/>
        <w:gridCol w:w="37"/>
        <w:gridCol w:w="551"/>
        <w:gridCol w:w="36"/>
        <w:gridCol w:w="37"/>
        <w:gridCol w:w="195"/>
        <w:gridCol w:w="36"/>
      </w:tblGrid>
      <w:tr w:rsidR="00000000">
        <w:trPr>
          <w:divId w:val="1783263202"/>
          <w:jc w:val="center"/>
        </w:trPr>
        <w:tc>
          <w:tcPr>
            <w:tcW w:w="50" w:type="pct"/>
            <w:vAlign w:val="center"/>
            <w:hideMark/>
          </w:tcPr>
          <w:p w:rsidR="00000000" w:rsidRDefault="00473C5F">
            <w:pPr>
              <w:jc w:val="both"/>
              <w:rPr>
                <w:rFonts w:eastAsia="Times New Roman"/>
              </w:rPr>
            </w:pPr>
          </w:p>
        </w:tc>
        <w:tc>
          <w:tcPr>
            <w:tcW w:w="178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0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78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0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783263202"/>
          <w:jc w:val="center"/>
        </w:trPr>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Yes</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No</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473C5F">
      <w:pPr>
        <w:jc w:val="both"/>
        <w:divId w:val="1807697944"/>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w:t>
      </w:r>
    </w:p>
    <w:tbl>
      <w:tblPr>
        <w:tblW w:w="1090" w:type="pct"/>
        <w:jc w:val="center"/>
        <w:tblCellMar>
          <w:top w:w="15" w:type="dxa"/>
          <w:left w:w="15" w:type="dxa"/>
          <w:bottom w:w="15" w:type="dxa"/>
          <w:right w:w="15" w:type="dxa"/>
        </w:tblCellMar>
        <w:tblLook w:val="04A0" w:firstRow="1" w:lastRow="0" w:firstColumn="1" w:lastColumn="0" w:noHBand="0" w:noVBand="1"/>
      </w:tblPr>
      <w:tblGrid>
        <w:gridCol w:w="37"/>
        <w:gridCol w:w="578"/>
        <w:gridCol w:w="36"/>
        <w:gridCol w:w="37"/>
        <w:gridCol w:w="195"/>
        <w:gridCol w:w="36"/>
        <w:gridCol w:w="37"/>
        <w:gridCol w:w="551"/>
        <w:gridCol w:w="36"/>
        <w:gridCol w:w="37"/>
        <w:gridCol w:w="195"/>
        <w:gridCol w:w="36"/>
      </w:tblGrid>
      <w:tr w:rsidR="00000000">
        <w:trPr>
          <w:divId w:val="823088462"/>
          <w:jc w:val="center"/>
        </w:trPr>
        <w:tc>
          <w:tcPr>
            <w:tcW w:w="50" w:type="pct"/>
            <w:vAlign w:val="center"/>
            <w:hideMark/>
          </w:tcPr>
          <w:p w:rsidR="00000000" w:rsidRDefault="00473C5F">
            <w:pPr>
              <w:jc w:val="both"/>
              <w:rPr>
                <w:rFonts w:eastAsia="Times New Roman"/>
              </w:rPr>
            </w:pPr>
          </w:p>
        </w:tc>
        <w:tc>
          <w:tcPr>
            <w:tcW w:w="178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0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78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0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823088462"/>
          <w:jc w:val="center"/>
        </w:trPr>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Yes</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No</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473C5F">
      <w:pPr>
        <w:jc w:val="both"/>
        <w:divId w:val="1069963458"/>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w:t>
      </w:r>
    </w:p>
    <w:tbl>
      <w:tblPr>
        <w:tblW w:w="1090" w:type="pct"/>
        <w:jc w:val="center"/>
        <w:tblCellMar>
          <w:top w:w="15" w:type="dxa"/>
          <w:left w:w="15" w:type="dxa"/>
          <w:bottom w:w="15" w:type="dxa"/>
          <w:right w:w="15" w:type="dxa"/>
        </w:tblCellMar>
        <w:tblLook w:val="04A0" w:firstRow="1" w:lastRow="0" w:firstColumn="1" w:lastColumn="0" w:noHBand="0" w:noVBand="1"/>
      </w:tblPr>
      <w:tblGrid>
        <w:gridCol w:w="37"/>
        <w:gridCol w:w="578"/>
        <w:gridCol w:w="36"/>
        <w:gridCol w:w="37"/>
        <w:gridCol w:w="195"/>
        <w:gridCol w:w="36"/>
        <w:gridCol w:w="37"/>
        <w:gridCol w:w="551"/>
        <w:gridCol w:w="36"/>
        <w:gridCol w:w="37"/>
        <w:gridCol w:w="195"/>
        <w:gridCol w:w="36"/>
      </w:tblGrid>
      <w:tr w:rsidR="00000000">
        <w:trPr>
          <w:divId w:val="52893189"/>
          <w:jc w:val="center"/>
        </w:trPr>
        <w:tc>
          <w:tcPr>
            <w:tcW w:w="50" w:type="pct"/>
            <w:vAlign w:val="center"/>
            <w:hideMark/>
          </w:tcPr>
          <w:p w:rsidR="00000000" w:rsidRDefault="00473C5F">
            <w:pPr>
              <w:jc w:val="both"/>
              <w:rPr>
                <w:rFonts w:eastAsia="Times New Roman"/>
              </w:rPr>
            </w:pPr>
          </w:p>
        </w:tc>
        <w:tc>
          <w:tcPr>
            <w:tcW w:w="178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0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78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0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52893189"/>
          <w:jc w:val="center"/>
        </w:trPr>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Yes</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No</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473C5F">
      <w:pPr>
        <w:jc w:val="both"/>
        <w:divId w:val="1354112062"/>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the definitions of “large accelerated filer,” “accelerated filer,” “s</w:t>
      </w:r>
      <w:r>
        <w:rPr>
          <w:rFonts w:eastAsia="Times New Roman"/>
          <w:color w:val="000000"/>
          <w:sz w:val="20"/>
          <w:szCs w:val="20"/>
        </w:rPr>
        <w:t>maller reporting company,” and “emerging growth company” in Rule 12b-2 of the Exchange Act.</w:t>
      </w:r>
    </w:p>
    <w:tbl>
      <w:tblPr>
        <w:tblW w:w="10200" w:type="dxa"/>
        <w:jc w:val="center"/>
        <w:tblCellMar>
          <w:top w:w="15" w:type="dxa"/>
          <w:left w:w="15" w:type="dxa"/>
          <w:bottom w:w="15" w:type="dxa"/>
          <w:right w:w="15" w:type="dxa"/>
        </w:tblCellMar>
        <w:tblLook w:val="04A0" w:firstRow="1" w:lastRow="0" w:firstColumn="1" w:lastColumn="0" w:noHBand="0" w:noVBand="1"/>
      </w:tblPr>
      <w:tblGrid>
        <w:gridCol w:w="36"/>
        <w:gridCol w:w="1912"/>
        <w:gridCol w:w="36"/>
        <w:gridCol w:w="36"/>
        <w:gridCol w:w="1917"/>
        <w:gridCol w:w="36"/>
        <w:gridCol w:w="36"/>
        <w:gridCol w:w="1913"/>
        <w:gridCol w:w="36"/>
        <w:gridCol w:w="39"/>
        <w:gridCol w:w="2041"/>
        <w:gridCol w:w="39"/>
        <w:gridCol w:w="39"/>
        <w:gridCol w:w="2045"/>
        <w:gridCol w:w="39"/>
      </w:tblGrid>
      <w:tr w:rsidR="00000000">
        <w:trPr>
          <w:divId w:val="1572735208"/>
          <w:jc w:val="center"/>
        </w:trPr>
        <w:tc>
          <w:tcPr>
            <w:tcW w:w="20" w:type="dxa"/>
            <w:vAlign w:val="center"/>
            <w:hideMark/>
          </w:tcPr>
          <w:p w:rsidR="00000000" w:rsidRDefault="00473C5F">
            <w:pPr>
              <w:jc w:val="both"/>
              <w:rPr>
                <w:rFonts w:eastAsia="Times New Roman"/>
              </w:rPr>
            </w:pPr>
          </w:p>
        </w:tc>
        <w:tc>
          <w:tcPr>
            <w:tcW w:w="2000" w:type="dxa"/>
            <w:vAlign w:val="center"/>
            <w:hideMark/>
          </w:tcPr>
          <w:p w:rsidR="00000000" w:rsidRDefault="00473C5F">
            <w:pPr>
              <w:spacing w:after="100"/>
              <w:rPr>
                <w:rFonts w:eastAsia="Times New Roman"/>
                <w:sz w:val="20"/>
                <w:szCs w:val="20"/>
              </w:rPr>
            </w:pPr>
          </w:p>
        </w:tc>
        <w:tc>
          <w:tcPr>
            <w:tcW w:w="20" w:type="dxa"/>
            <w:vAlign w:val="center"/>
            <w:hideMark/>
          </w:tcPr>
          <w:p w:rsidR="00000000" w:rsidRDefault="00473C5F">
            <w:pPr>
              <w:spacing w:after="100"/>
              <w:rPr>
                <w:rFonts w:eastAsia="Times New Roman"/>
                <w:sz w:val="20"/>
                <w:szCs w:val="20"/>
              </w:rPr>
            </w:pPr>
          </w:p>
        </w:tc>
        <w:tc>
          <w:tcPr>
            <w:tcW w:w="20" w:type="dxa"/>
            <w:vAlign w:val="center"/>
            <w:hideMark/>
          </w:tcPr>
          <w:p w:rsidR="00000000" w:rsidRDefault="00473C5F">
            <w:pPr>
              <w:spacing w:after="100"/>
              <w:rPr>
                <w:rFonts w:eastAsia="Times New Roman"/>
                <w:sz w:val="20"/>
                <w:szCs w:val="20"/>
              </w:rPr>
            </w:pPr>
          </w:p>
        </w:tc>
        <w:tc>
          <w:tcPr>
            <w:tcW w:w="2000" w:type="dxa"/>
            <w:vAlign w:val="center"/>
            <w:hideMark/>
          </w:tcPr>
          <w:p w:rsidR="00000000" w:rsidRDefault="00473C5F">
            <w:pPr>
              <w:spacing w:after="100"/>
              <w:rPr>
                <w:rFonts w:eastAsia="Times New Roman"/>
                <w:sz w:val="20"/>
                <w:szCs w:val="20"/>
              </w:rPr>
            </w:pPr>
          </w:p>
        </w:tc>
        <w:tc>
          <w:tcPr>
            <w:tcW w:w="20" w:type="dxa"/>
            <w:vAlign w:val="center"/>
            <w:hideMark/>
          </w:tcPr>
          <w:p w:rsidR="00000000" w:rsidRDefault="00473C5F">
            <w:pPr>
              <w:spacing w:after="100"/>
              <w:rPr>
                <w:rFonts w:eastAsia="Times New Roman"/>
                <w:sz w:val="20"/>
                <w:szCs w:val="20"/>
              </w:rPr>
            </w:pPr>
          </w:p>
        </w:tc>
        <w:tc>
          <w:tcPr>
            <w:tcW w:w="20" w:type="dxa"/>
            <w:vAlign w:val="center"/>
            <w:hideMark/>
          </w:tcPr>
          <w:p w:rsidR="00000000" w:rsidRDefault="00473C5F">
            <w:pPr>
              <w:spacing w:after="100"/>
              <w:rPr>
                <w:rFonts w:eastAsia="Times New Roman"/>
                <w:sz w:val="20"/>
                <w:szCs w:val="20"/>
              </w:rPr>
            </w:pPr>
          </w:p>
        </w:tc>
        <w:tc>
          <w:tcPr>
            <w:tcW w:w="2000" w:type="dxa"/>
            <w:vAlign w:val="center"/>
            <w:hideMark/>
          </w:tcPr>
          <w:p w:rsidR="00000000" w:rsidRDefault="00473C5F">
            <w:pPr>
              <w:spacing w:after="100"/>
              <w:rPr>
                <w:rFonts w:eastAsia="Times New Roman"/>
                <w:sz w:val="20"/>
                <w:szCs w:val="20"/>
              </w:rPr>
            </w:pPr>
          </w:p>
        </w:tc>
        <w:tc>
          <w:tcPr>
            <w:tcW w:w="20" w:type="dxa"/>
            <w:vAlign w:val="center"/>
            <w:hideMark/>
          </w:tcPr>
          <w:p w:rsidR="00000000" w:rsidRDefault="00473C5F">
            <w:pPr>
              <w:spacing w:after="100"/>
              <w:rPr>
                <w:rFonts w:eastAsia="Times New Roman"/>
                <w:sz w:val="20"/>
                <w:szCs w:val="20"/>
              </w:rPr>
            </w:pPr>
          </w:p>
        </w:tc>
        <w:tc>
          <w:tcPr>
            <w:tcW w:w="20" w:type="dxa"/>
            <w:vAlign w:val="center"/>
            <w:hideMark/>
          </w:tcPr>
          <w:p w:rsidR="00000000" w:rsidRDefault="00473C5F">
            <w:pPr>
              <w:spacing w:after="100"/>
              <w:rPr>
                <w:rFonts w:eastAsia="Times New Roman"/>
                <w:sz w:val="20"/>
                <w:szCs w:val="20"/>
              </w:rPr>
            </w:pPr>
          </w:p>
        </w:tc>
        <w:tc>
          <w:tcPr>
            <w:tcW w:w="2000" w:type="dxa"/>
            <w:vAlign w:val="center"/>
            <w:hideMark/>
          </w:tcPr>
          <w:p w:rsidR="00000000" w:rsidRDefault="00473C5F">
            <w:pPr>
              <w:spacing w:after="100"/>
              <w:rPr>
                <w:rFonts w:eastAsia="Times New Roman"/>
                <w:sz w:val="20"/>
                <w:szCs w:val="20"/>
              </w:rPr>
            </w:pPr>
          </w:p>
        </w:tc>
        <w:tc>
          <w:tcPr>
            <w:tcW w:w="20" w:type="dxa"/>
            <w:vAlign w:val="center"/>
            <w:hideMark/>
          </w:tcPr>
          <w:p w:rsidR="00000000" w:rsidRDefault="00473C5F">
            <w:pPr>
              <w:spacing w:after="100"/>
              <w:rPr>
                <w:rFonts w:eastAsia="Times New Roman"/>
                <w:sz w:val="20"/>
                <w:szCs w:val="20"/>
              </w:rPr>
            </w:pPr>
          </w:p>
        </w:tc>
        <w:tc>
          <w:tcPr>
            <w:tcW w:w="20" w:type="dxa"/>
            <w:vAlign w:val="center"/>
            <w:hideMark/>
          </w:tcPr>
          <w:p w:rsidR="00000000" w:rsidRDefault="00473C5F">
            <w:pPr>
              <w:spacing w:after="100"/>
              <w:rPr>
                <w:rFonts w:eastAsia="Times New Roman"/>
                <w:sz w:val="20"/>
                <w:szCs w:val="20"/>
              </w:rPr>
            </w:pPr>
          </w:p>
        </w:tc>
        <w:tc>
          <w:tcPr>
            <w:tcW w:w="2000" w:type="dxa"/>
            <w:vAlign w:val="center"/>
            <w:hideMark/>
          </w:tcPr>
          <w:p w:rsidR="00000000" w:rsidRDefault="00473C5F">
            <w:pPr>
              <w:spacing w:after="100"/>
              <w:rPr>
                <w:rFonts w:eastAsia="Times New Roman"/>
                <w:sz w:val="20"/>
                <w:szCs w:val="20"/>
              </w:rPr>
            </w:pPr>
          </w:p>
        </w:tc>
        <w:tc>
          <w:tcPr>
            <w:tcW w:w="20" w:type="dxa"/>
            <w:vAlign w:val="center"/>
            <w:hideMark/>
          </w:tcPr>
          <w:p w:rsidR="00000000" w:rsidRDefault="00473C5F">
            <w:pPr>
              <w:spacing w:after="100"/>
              <w:rPr>
                <w:rFonts w:eastAsia="Times New Roman"/>
                <w:sz w:val="20"/>
                <w:szCs w:val="20"/>
              </w:rPr>
            </w:pPr>
          </w:p>
        </w:tc>
      </w:tr>
      <w:tr w:rsidR="00000000">
        <w:trPr>
          <w:divId w:val="1572735208"/>
          <w:trHeight w:val="480"/>
          <w:jc w:val="center"/>
        </w:trPr>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color w:val="000000"/>
                <w:sz w:val="20"/>
                <w:szCs w:val="20"/>
              </w:rPr>
              <w:t>Emerging growth company</w:t>
            </w:r>
          </w:p>
        </w:tc>
      </w:tr>
      <w:tr w:rsidR="00000000">
        <w:trPr>
          <w:divId w:val="1572735208"/>
          <w:trHeight w:val="280"/>
          <w:jc w:val="center"/>
        </w:trPr>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473C5F">
      <w:pPr>
        <w:jc w:val="both"/>
        <w:divId w:val="823933595"/>
        <w:rPr>
          <w:rFonts w:eastAsia="Times New Roman"/>
        </w:rPr>
      </w:pPr>
      <w:r>
        <w:rPr>
          <w:rFonts w:eastAsia="Times New Roman"/>
          <w:color w:val="000000"/>
          <w:sz w:val="20"/>
          <w:szCs w:val="20"/>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473C5F">
      <w:pPr>
        <w:jc w:val="both"/>
        <w:divId w:val="1794056380"/>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eastAsia="Times New Roman"/>
          <w:color w:val="000000"/>
          <w:sz w:val="20"/>
          <w:szCs w:val="20"/>
        </w:rPr>
        <w:t>registered public accounting firm that prepared or issued its audit report.</w:t>
      </w:r>
      <w:r>
        <w:rPr>
          <w:rFonts w:eastAsia="Times New Roman"/>
          <w:b/>
          <w:bCs/>
          <w:color w:val="000000"/>
          <w:sz w:val="20"/>
          <w:szCs w:val="20"/>
        </w:rPr>
        <w:t xml:space="preserve"> </w:t>
      </w:r>
      <w:r>
        <w:rPr>
          <w:rFonts w:ascii="Segoe UI Symbol" w:eastAsia="Times New Roman" w:hAnsi="Segoe UI Symbol" w:cs="Segoe UI Symbol"/>
          <w:color w:val="000000"/>
          <w:sz w:val="20"/>
          <w:szCs w:val="20"/>
        </w:rPr>
        <w:t>☒</w:t>
      </w:r>
    </w:p>
    <w:p w:rsidR="00000000" w:rsidRDefault="00473C5F">
      <w:pPr>
        <w:jc w:val="both"/>
        <w:divId w:val="1437169840"/>
        <w:rPr>
          <w:rFonts w:eastAsia="Times New Roman"/>
        </w:rPr>
      </w:pPr>
      <w:r>
        <w:rPr>
          <w:rFonts w:eastAsia="Times New Roman"/>
          <w:color w:val="000000"/>
          <w:sz w:val="20"/>
          <w:szCs w:val="20"/>
        </w:rPr>
        <w:t>Indicate by check mark whether the registrant is a shell company (as defined in Rule 12b-2 of the Exchange Act).</w:t>
      </w:r>
    </w:p>
    <w:tbl>
      <w:tblPr>
        <w:tblW w:w="1090" w:type="pct"/>
        <w:jc w:val="center"/>
        <w:tblCellMar>
          <w:top w:w="15" w:type="dxa"/>
          <w:left w:w="15" w:type="dxa"/>
          <w:bottom w:w="15" w:type="dxa"/>
          <w:right w:w="15" w:type="dxa"/>
        </w:tblCellMar>
        <w:tblLook w:val="04A0" w:firstRow="1" w:lastRow="0" w:firstColumn="1" w:lastColumn="0" w:noHBand="0" w:noVBand="1"/>
      </w:tblPr>
      <w:tblGrid>
        <w:gridCol w:w="37"/>
        <w:gridCol w:w="578"/>
        <w:gridCol w:w="36"/>
        <w:gridCol w:w="37"/>
        <w:gridCol w:w="195"/>
        <w:gridCol w:w="36"/>
        <w:gridCol w:w="37"/>
        <w:gridCol w:w="551"/>
        <w:gridCol w:w="36"/>
        <w:gridCol w:w="37"/>
        <w:gridCol w:w="195"/>
        <w:gridCol w:w="36"/>
      </w:tblGrid>
      <w:tr w:rsidR="00000000">
        <w:trPr>
          <w:divId w:val="1857377621"/>
          <w:jc w:val="center"/>
        </w:trPr>
        <w:tc>
          <w:tcPr>
            <w:tcW w:w="50" w:type="pct"/>
            <w:vAlign w:val="center"/>
            <w:hideMark/>
          </w:tcPr>
          <w:p w:rsidR="00000000" w:rsidRDefault="00473C5F">
            <w:pPr>
              <w:jc w:val="both"/>
              <w:rPr>
                <w:rFonts w:eastAsia="Times New Roman"/>
              </w:rPr>
            </w:pPr>
          </w:p>
        </w:tc>
        <w:tc>
          <w:tcPr>
            <w:tcW w:w="178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0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78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0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857377621"/>
          <w:jc w:val="center"/>
        </w:trPr>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Yes</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No</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473C5F">
      <w:pPr>
        <w:jc w:val="both"/>
        <w:divId w:val="835996371"/>
        <w:rPr>
          <w:rFonts w:eastAsia="Times New Roman"/>
        </w:rPr>
      </w:pPr>
      <w:r>
        <w:rPr>
          <w:rFonts w:eastAsia="Times New Roman"/>
          <w:color w:val="000000"/>
          <w:sz w:val="20"/>
          <w:szCs w:val="20"/>
        </w:rPr>
        <w:t>The aggregate market value of the voting and non-voting common shares held by non-affiliates of the Registrant as of June 30, 2022:</w:t>
      </w:r>
    </w:p>
    <w:p w:rsidR="00000000" w:rsidRDefault="00473C5F">
      <w:pPr>
        <w:jc w:val="both"/>
        <w:divId w:val="228928078"/>
        <w:rPr>
          <w:rFonts w:eastAsia="Times New Roman"/>
        </w:rPr>
      </w:pPr>
      <w:r>
        <w:rPr>
          <w:rFonts w:eastAsia="Times New Roman"/>
          <w:color w:val="000000"/>
          <w:sz w:val="20"/>
          <w:szCs w:val="20"/>
        </w:rPr>
        <w:t>Common Shares, $0.10 par value per share – $47,054,755,000 (computed on the basis of $312.67 per share, which was the report</w:t>
      </w:r>
      <w:r>
        <w:rPr>
          <w:rFonts w:eastAsia="Times New Roman"/>
          <w:color w:val="000000"/>
          <w:sz w:val="20"/>
          <w:szCs w:val="20"/>
        </w:rPr>
        <w:t>ed closing sale price of the Company's Common Shares on the New York Stock Exchange (the “NYSE”) on June 30, 2022).</w:t>
      </w:r>
    </w:p>
    <w:p w:rsidR="00000000" w:rsidRDefault="00473C5F">
      <w:pPr>
        <w:jc w:val="both"/>
        <w:divId w:val="2015645432"/>
        <w:rPr>
          <w:rFonts w:eastAsia="Times New Roman"/>
        </w:rPr>
      </w:pPr>
      <w:r>
        <w:rPr>
          <w:rFonts w:eastAsia="Times New Roman"/>
          <w:color w:val="000000"/>
          <w:sz w:val="20"/>
          <w:szCs w:val="20"/>
        </w:rPr>
        <w:t>As of February 16, 2023, there were 175,757,442 outstanding Common Shares, $0.10 par value per share.</w:t>
      </w:r>
    </w:p>
    <w:p w:rsidR="00000000" w:rsidRDefault="00473C5F">
      <w:pPr>
        <w:jc w:val="center"/>
        <w:divId w:val="348676688"/>
        <w:rPr>
          <w:rFonts w:eastAsia="Times New Roman"/>
        </w:rPr>
      </w:pPr>
      <w:r>
        <w:rPr>
          <w:rFonts w:eastAsia="Times New Roman"/>
          <w:b/>
          <w:bCs/>
          <w:color w:val="000000"/>
          <w:sz w:val="20"/>
          <w:szCs w:val="20"/>
        </w:rPr>
        <w:t>DOCUMENTS INCORPORATED BY REFERENCE</w:t>
      </w:r>
    </w:p>
    <w:p w:rsidR="00000000" w:rsidRDefault="00473C5F">
      <w:pPr>
        <w:jc w:val="both"/>
        <w:divId w:val="1022246539"/>
        <w:rPr>
          <w:rFonts w:eastAsia="Times New Roman"/>
        </w:rPr>
      </w:pPr>
      <w:r>
        <w:rPr>
          <w:rFonts w:eastAsia="Times New Roman"/>
          <w:color w:val="000000"/>
          <w:sz w:val="20"/>
          <w:szCs w:val="20"/>
        </w:rPr>
        <w:t>Portions of the definitive proxy statement to be filed in connection with the Annual Meeting of Shareholders to be held in 2023 are incorporated by reference into Part III of this Annual Report on Form 10-K to the extent</w:t>
      </w:r>
      <w:r>
        <w:rPr>
          <w:rFonts w:eastAsia="Times New Roman"/>
          <w:color w:val="000000"/>
          <w:sz w:val="20"/>
          <w:szCs w:val="20"/>
        </w:rPr>
        <w:t xml:space="preserve"> described therein.</w:t>
      </w:r>
    </w:p>
    <w:p w:rsidR="00000000" w:rsidRDefault="00473C5F">
      <w:pPr>
        <w:jc w:val="center"/>
        <w:divId w:val="1686245347"/>
        <w:rPr>
          <w:rFonts w:eastAsia="Times New Roman"/>
        </w:rPr>
      </w:pPr>
    </w:p>
    <w:p w:rsidR="00000000" w:rsidRDefault="00473C5F">
      <w:pPr>
        <w:rPr>
          <w:rFonts w:eastAsia="Times New Roman"/>
        </w:rPr>
      </w:pPr>
      <w:r>
        <w:rPr>
          <w:rFonts w:eastAsia="Times New Roman"/>
        </w:rPr>
        <w:pict>
          <v:rect id="_x0000_i1025" style="width:0;height:1.5pt" o:hralign="center" o:hrstd="t" o:hr="t" fillcolor="#a0a0a0" stroked="f"/>
        </w:pict>
      </w:r>
    </w:p>
    <w:p w:rsidR="00000000" w:rsidRDefault="00473C5F">
      <w:pPr>
        <w:divId w:val="2017071990"/>
        <w:rPr>
          <w:rFonts w:eastAsia="Times New Roman"/>
        </w:rPr>
      </w:pPr>
    </w:p>
    <w:p w:rsidR="00000000" w:rsidRDefault="00473C5F">
      <w:pPr>
        <w:jc w:val="center"/>
        <w:rPr>
          <w:rFonts w:eastAsia="Times New Roman"/>
        </w:rPr>
      </w:pPr>
      <w:r>
        <w:rPr>
          <w:rFonts w:eastAsia="Times New Roman"/>
          <w:b/>
          <w:bCs/>
          <w:color w:val="000000"/>
          <w:sz w:val="20"/>
          <w:szCs w:val="20"/>
        </w:rPr>
        <w:t>Public Storage</w:t>
      </w:r>
    </w:p>
    <w:p w:rsidR="00000000" w:rsidRDefault="00473C5F">
      <w:pPr>
        <w:jc w:val="center"/>
        <w:rPr>
          <w:rFonts w:eastAsia="Times New Roman"/>
        </w:rPr>
      </w:pPr>
      <w:r>
        <w:rPr>
          <w:rFonts w:eastAsia="Times New Roman"/>
          <w:b/>
          <w:bCs/>
          <w:color w:val="000000"/>
          <w:sz w:val="20"/>
          <w:szCs w:val="20"/>
        </w:rPr>
        <w:t>Form 10-K</w:t>
      </w:r>
    </w:p>
    <w:p w:rsidR="00000000" w:rsidRDefault="00473C5F">
      <w:pPr>
        <w:jc w:val="center"/>
        <w:divId w:val="1372919583"/>
        <w:rPr>
          <w:rFonts w:eastAsia="Times New Roman"/>
        </w:rPr>
      </w:pPr>
      <w:r>
        <w:rPr>
          <w:rFonts w:eastAsia="Times New Roman"/>
          <w:b/>
          <w:bCs/>
          <w:color w:val="000000"/>
          <w:sz w:val="20"/>
          <w:szCs w:val="20"/>
        </w:rPr>
        <w:t>For the Fiscal Year Ended December 31, 2022</w:t>
      </w:r>
    </w:p>
    <w:p w:rsidR="00000000" w:rsidRDefault="00473C5F">
      <w:pPr>
        <w:jc w:val="center"/>
        <w:divId w:val="255142402"/>
        <w:rPr>
          <w:rFonts w:eastAsia="Times New Roman"/>
        </w:rPr>
      </w:pPr>
      <w:r>
        <w:rPr>
          <w:rFonts w:eastAsia="Times New Roman"/>
          <w:b/>
          <w:bCs/>
          <w:color w:val="000000"/>
          <w:sz w:val="20"/>
          <w:szCs w:val="20"/>
        </w:rPr>
        <w:t>TABLE OF CONTENTS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888"/>
        <w:gridCol w:w="36"/>
        <w:gridCol w:w="69"/>
        <w:gridCol w:w="6440"/>
        <w:gridCol w:w="38"/>
        <w:gridCol w:w="69"/>
        <w:gridCol w:w="649"/>
        <w:gridCol w:w="36"/>
      </w:tblGrid>
      <w:tr w:rsidR="00000000">
        <w:trPr>
          <w:jc w:val="center"/>
        </w:trPr>
        <w:tc>
          <w:tcPr>
            <w:tcW w:w="50" w:type="pct"/>
            <w:vAlign w:val="center"/>
            <w:hideMark/>
          </w:tcPr>
          <w:p w:rsidR="00000000" w:rsidRDefault="00473C5F">
            <w:pPr>
              <w:jc w:val="center"/>
              <w:rPr>
                <w:rFonts w:eastAsia="Times New Roman"/>
              </w:rPr>
            </w:pPr>
          </w:p>
        </w:tc>
        <w:tc>
          <w:tcPr>
            <w:tcW w:w="54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89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color w:val="000000"/>
                <w:sz w:val="20"/>
                <w:szCs w:val="20"/>
              </w:rPr>
              <w:t>Page</w:t>
            </w:r>
          </w:p>
        </w:tc>
      </w:tr>
      <w:tr w:rsidR="00000000">
        <w:trPr>
          <w:jc w:val="center"/>
        </w:trPr>
        <w:tc>
          <w:tcPr>
            <w:tcW w:w="0" w:type="auto"/>
            <w:gridSpan w:val="9"/>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b/>
                <w:bCs/>
                <w:color w:val="000000"/>
                <w:sz w:val="20"/>
                <w:szCs w:val="20"/>
              </w:rPr>
              <w:t>Part I</w:t>
            </w:r>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733744987"/>
              <w:rPr>
                <w:rFonts w:eastAsia="Times New Roman"/>
              </w:rPr>
            </w:pPr>
            <w:hyperlink w:anchor="idcbceb955cc148bc8844018cabe9b51f_172"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hideMark/>
          </w:tcPr>
          <w:p w:rsidR="00000000" w:rsidRDefault="00473C5F">
            <w:pPr>
              <w:spacing w:after="100"/>
              <w:divId w:val="369762464"/>
              <w:rPr>
                <w:rFonts w:eastAsia="Times New Roman"/>
              </w:rPr>
            </w:pPr>
            <w:hyperlink w:anchor="idcbceb955cc148bc8844018cabe9b51f_172" w:history="1">
              <w:r>
                <w:rPr>
                  <w:rStyle w:val="a3"/>
                  <w:rFonts w:eastAsia="Times New Roman"/>
                  <w:color w:val="000000"/>
                  <w:sz w:val="20"/>
                  <w:szCs w:val="20"/>
                  <w:u w:val="none"/>
                </w:rPr>
                <w:t>Business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172" w:history="1">
              <w:r>
                <w:rPr>
                  <w:rStyle w:val="a3"/>
                  <w:rFonts w:eastAsia="Times New Roman"/>
                  <w:color w:val="000000"/>
                  <w:sz w:val="20"/>
                  <w:szCs w:val="20"/>
                  <w:u w:val="none"/>
                </w:rPr>
                <w:t>1</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508057462"/>
              <w:rPr>
                <w:rFonts w:eastAsia="Times New Roman"/>
              </w:rPr>
            </w:pPr>
            <w:hyperlink w:anchor="idcbceb955cc148bc8844018cabe9b51f_175"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hideMark/>
          </w:tcPr>
          <w:p w:rsidR="00000000" w:rsidRDefault="00473C5F">
            <w:pPr>
              <w:spacing w:after="100"/>
              <w:divId w:val="1609501751"/>
              <w:rPr>
                <w:rFonts w:eastAsia="Times New Roman"/>
              </w:rPr>
            </w:pPr>
            <w:hyperlink w:anchor="idcbceb955cc148bc8844018cabe9b51f_175" w:history="1">
              <w:r>
                <w:rPr>
                  <w:rStyle w:val="a3"/>
                  <w:rFonts w:eastAsia="Times New Roman"/>
                  <w:color w:val="000000"/>
                  <w:sz w:val="20"/>
                  <w:szCs w:val="20"/>
                  <w:u w:val="none"/>
                </w:rPr>
                <w:t>Risk Factors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175" w:history="1">
              <w:r>
                <w:rPr>
                  <w:rStyle w:val="a3"/>
                  <w:rFonts w:eastAsia="Times New Roman"/>
                  <w:color w:val="000000"/>
                  <w:sz w:val="20"/>
                  <w:szCs w:val="20"/>
                  <w:u w:val="none"/>
                </w:rPr>
                <w:t>10</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351028652"/>
              <w:rPr>
                <w:rFonts w:eastAsia="Times New Roman"/>
              </w:rPr>
            </w:pPr>
            <w:hyperlink w:anchor="idcbceb955cc148bc8844018cabe9b51f_178" w:history="1">
              <w:r>
                <w:rPr>
                  <w:rStyle w:val="a3"/>
                  <w:rFonts w:eastAsia="Times New Roman"/>
                  <w:color w:val="000000"/>
                  <w:sz w:val="20"/>
                  <w:szCs w:val="20"/>
                  <w:u w:val="none"/>
                </w:rPr>
                <w:t>Item 1B.</w:t>
              </w:r>
            </w:hyperlink>
          </w:p>
        </w:tc>
        <w:tc>
          <w:tcPr>
            <w:tcW w:w="0" w:type="auto"/>
            <w:gridSpan w:val="3"/>
            <w:tcMar>
              <w:top w:w="30" w:type="dxa"/>
              <w:left w:w="20" w:type="dxa"/>
              <w:bottom w:w="30" w:type="dxa"/>
              <w:right w:w="20" w:type="dxa"/>
            </w:tcMar>
            <w:hideMark/>
          </w:tcPr>
          <w:p w:rsidR="00000000" w:rsidRDefault="00473C5F">
            <w:pPr>
              <w:spacing w:after="100"/>
              <w:divId w:val="2014529868"/>
              <w:rPr>
                <w:rFonts w:eastAsia="Times New Roman"/>
              </w:rPr>
            </w:pPr>
            <w:hyperlink w:anchor="idcbceb955cc148bc8844018cabe9b51f_178" w:history="1">
              <w:r>
                <w:rPr>
                  <w:rStyle w:val="a3"/>
                  <w:rFonts w:eastAsia="Times New Roman"/>
                  <w:color w:val="000000"/>
                  <w:sz w:val="20"/>
                  <w:szCs w:val="20"/>
                  <w:u w:val="none"/>
                </w:rPr>
                <w:t>Unresolved Staff Comments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178" w:history="1">
              <w:r>
                <w:rPr>
                  <w:rStyle w:val="a3"/>
                  <w:rFonts w:eastAsia="Times New Roman"/>
                  <w:color w:val="000000"/>
                  <w:sz w:val="20"/>
                  <w:szCs w:val="20"/>
                  <w:u w:val="none"/>
                </w:rPr>
                <w:t>19</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313412782"/>
              <w:rPr>
                <w:rFonts w:eastAsia="Times New Roman"/>
              </w:rPr>
            </w:pPr>
            <w:hyperlink w:anchor="idcbceb955cc148bc8844018cabe9b51f_181"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hideMark/>
          </w:tcPr>
          <w:p w:rsidR="00000000" w:rsidRDefault="00473C5F">
            <w:pPr>
              <w:spacing w:after="100"/>
              <w:divId w:val="1079987576"/>
              <w:rPr>
                <w:rFonts w:eastAsia="Times New Roman"/>
              </w:rPr>
            </w:pPr>
            <w:hyperlink w:anchor="idcbceb955cc148bc8844018cabe9b51f_181" w:history="1">
              <w:r>
                <w:rPr>
                  <w:rStyle w:val="a3"/>
                  <w:rFonts w:eastAsia="Times New Roman"/>
                  <w:color w:val="000000"/>
                  <w:sz w:val="20"/>
                  <w:szCs w:val="20"/>
                  <w:u w:val="none"/>
                </w:rPr>
                <w:t>Properties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181" w:history="1">
              <w:r>
                <w:rPr>
                  <w:rStyle w:val="a3"/>
                  <w:rFonts w:eastAsia="Times New Roman"/>
                  <w:color w:val="000000"/>
                  <w:sz w:val="20"/>
                  <w:szCs w:val="20"/>
                  <w:u w:val="none"/>
                </w:rPr>
                <w:t>20</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42215979"/>
              <w:rPr>
                <w:rFonts w:eastAsia="Times New Roman"/>
              </w:rPr>
            </w:pPr>
            <w:hyperlink w:anchor="idcbceb955cc148bc8844018cabe9b51f_184"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hideMark/>
          </w:tcPr>
          <w:p w:rsidR="00000000" w:rsidRDefault="00473C5F">
            <w:pPr>
              <w:spacing w:after="100"/>
              <w:divId w:val="1378317792"/>
              <w:rPr>
                <w:rFonts w:eastAsia="Times New Roman"/>
              </w:rPr>
            </w:pPr>
            <w:hyperlink w:anchor="idcbceb955cc148bc8844018cabe9b51f_184" w:history="1">
              <w:r>
                <w:rPr>
                  <w:rStyle w:val="a3"/>
                  <w:rFonts w:eastAsia="Times New Roman"/>
                  <w:color w:val="000000"/>
                  <w:sz w:val="20"/>
                  <w:szCs w:val="20"/>
                  <w:u w:val="none"/>
                </w:rPr>
                <w:t>Legal Proceedings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184" w:history="1">
              <w:r>
                <w:rPr>
                  <w:rStyle w:val="a3"/>
                  <w:rFonts w:eastAsia="Times New Roman"/>
                  <w:color w:val="000000"/>
                  <w:sz w:val="20"/>
                  <w:szCs w:val="20"/>
                  <w:u w:val="none"/>
                </w:rPr>
                <w:t>21</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789085179"/>
              <w:rPr>
                <w:rFonts w:eastAsia="Times New Roman"/>
              </w:rPr>
            </w:pPr>
            <w:hyperlink w:anchor="idcbceb955cc148bc8844018cabe9b51f_187"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hideMark/>
          </w:tcPr>
          <w:p w:rsidR="00000000" w:rsidRDefault="00473C5F">
            <w:pPr>
              <w:spacing w:after="100"/>
              <w:divId w:val="2142843825"/>
              <w:rPr>
                <w:rFonts w:eastAsia="Times New Roman"/>
              </w:rPr>
            </w:pPr>
            <w:hyperlink w:anchor="idcbceb955cc148bc8844018cabe9b51f_187" w:history="1">
              <w:r>
                <w:rPr>
                  <w:rStyle w:val="a3"/>
                  <w:rFonts w:eastAsia="Times New Roman"/>
                  <w:color w:val="000000"/>
                  <w:sz w:val="20"/>
                  <w:szCs w:val="20"/>
                  <w:u w:val="none"/>
                </w:rPr>
                <w:t>Mine Safety Disclosures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187" w:history="1">
              <w:r>
                <w:rPr>
                  <w:rStyle w:val="a3"/>
                  <w:rFonts w:eastAsia="Times New Roman"/>
                  <w:color w:val="000000"/>
                  <w:sz w:val="20"/>
                  <w:szCs w:val="20"/>
                  <w:u w:val="none"/>
                </w:rPr>
                <w:t>21</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b/>
                <w:bCs/>
                <w:color w:val="000000"/>
                <w:sz w:val="20"/>
                <w:szCs w:val="20"/>
              </w:rPr>
              <w:t>Part II</w:t>
            </w:r>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519205265"/>
              <w:rPr>
                <w:rFonts w:eastAsia="Times New Roman"/>
              </w:rPr>
            </w:pPr>
            <w:hyperlink w:anchor="idcbceb955cc148bc8844018cabe9b51f_193"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hideMark/>
          </w:tcPr>
          <w:p w:rsidR="00000000" w:rsidRDefault="00473C5F">
            <w:pPr>
              <w:spacing w:after="100"/>
              <w:divId w:val="1851219899"/>
              <w:rPr>
                <w:rFonts w:eastAsia="Times New Roman"/>
              </w:rPr>
            </w:pPr>
            <w:hyperlink w:anchor="idcbceb955cc148bc8844018cabe9b51f_193" w:history="1">
              <w:r>
                <w:rPr>
                  <w:rStyle w:val="a3"/>
                  <w:rFonts w:eastAsia="Times New Roman"/>
                  <w:color w:val="000000"/>
                  <w:sz w:val="20"/>
                  <w:szCs w:val="20"/>
                  <w:u w:val="none"/>
                </w:rPr>
                <w:t>Market for Registrant’s Common Equity, Related Shareholder Matters and Issuer Purchases of Equity Securities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193" w:history="1">
              <w:r>
                <w:rPr>
                  <w:rStyle w:val="a3"/>
                  <w:rFonts w:eastAsia="Times New Roman"/>
                  <w:color w:val="000000"/>
                  <w:sz w:val="20"/>
                  <w:szCs w:val="20"/>
                  <w:u w:val="none"/>
                </w:rPr>
                <w:t>22</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842668661"/>
              <w:rPr>
                <w:rFonts w:eastAsia="Times New Roman"/>
              </w:rPr>
            </w:pPr>
            <w:hyperlink w:anchor="idcbceb955cc148bc8844018cabe9b51f_196"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hideMark/>
          </w:tcPr>
          <w:p w:rsidR="00000000" w:rsidRDefault="00473C5F">
            <w:pPr>
              <w:spacing w:after="100"/>
              <w:divId w:val="2025862458"/>
              <w:rPr>
                <w:rFonts w:eastAsia="Times New Roman"/>
              </w:rPr>
            </w:pPr>
            <w:hyperlink w:anchor="idcbceb955cc148bc8844018cabe9b51f_196" w:history="1">
              <w:r>
                <w:rPr>
                  <w:rStyle w:val="a3"/>
                  <w:rFonts w:eastAsia="Times New Roman"/>
                  <w:color w:val="000000"/>
                  <w:sz w:val="20"/>
                  <w:szCs w:val="20"/>
                  <w:u w:val="none"/>
                </w:rPr>
                <w:t>[Reserved]</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196" w:history="1">
              <w:r>
                <w:rPr>
                  <w:rStyle w:val="a3"/>
                  <w:rFonts w:eastAsia="Times New Roman"/>
                  <w:color w:val="000000"/>
                  <w:sz w:val="20"/>
                  <w:szCs w:val="20"/>
                  <w:u w:val="none"/>
                </w:rPr>
                <w:t>22</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467019799"/>
              <w:rPr>
                <w:rFonts w:eastAsia="Times New Roman"/>
              </w:rPr>
            </w:pPr>
            <w:hyperlink w:anchor="idcbceb955cc148bc8844018cabe9b51f_91" w:history="1">
              <w:r>
                <w:rPr>
                  <w:rStyle w:val="a3"/>
                  <w:rFonts w:eastAsia="Times New Roman"/>
                  <w:color w:val="000000"/>
                  <w:sz w:val="20"/>
                  <w:szCs w:val="20"/>
                  <w:u w:val="none"/>
                </w:rPr>
                <w:t>Item 7.</w:t>
              </w:r>
            </w:hyperlink>
          </w:p>
        </w:tc>
        <w:tc>
          <w:tcPr>
            <w:tcW w:w="0" w:type="auto"/>
            <w:gridSpan w:val="3"/>
            <w:tcMar>
              <w:top w:w="30" w:type="dxa"/>
              <w:left w:w="20" w:type="dxa"/>
              <w:bottom w:w="30" w:type="dxa"/>
              <w:right w:w="20" w:type="dxa"/>
            </w:tcMar>
            <w:hideMark/>
          </w:tcPr>
          <w:p w:rsidR="00000000" w:rsidRDefault="00473C5F">
            <w:pPr>
              <w:spacing w:after="100"/>
              <w:divId w:val="549340413"/>
              <w:rPr>
                <w:rFonts w:eastAsia="Times New Roman"/>
              </w:rPr>
            </w:pPr>
            <w:hyperlink w:anchor="idcbceb955cc148bc8844018cabe9b51f_91" w:history="1">
              <w:r>
                <w:rPr>
                  <w:rStyle w:val="a3"/>
                  <w:rFonts w:eastAsia="Times New Roman"/>
                  <w:color w:val="000000"/>
                  <w:sz w:val="20"/>
                  <w:szCs w:val="20"/>
                  <w:u w:val="none"/>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91" w:history="1">
              <w:r>
                <w:rPr>
                  <w:rStyle w:val="a3"/>
                  <w:rFonts w:eastAsia="Times New Roman"/>
                  <w:color w:val="000000"/>
                  <w:sz w:val="20"/>
                  <w:szCs w:val="20"/>
                  <w:u w:val="none"/>
                </w:rPr>
                <w:t>22</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1125126244"/>
              <w:rPr>
                <w:rFonts w:eastAsia="Times New Roman"/>
              </w:rPr>
            </w:pPr>
            <w:hyperlink w:anchor="idcbceb955cc148bc8844018cabe9b51f_136" w:history="1">
              <w:r>
                <w:rPr>
                  <w:rStyle w:val="a3"/>
                  <w:rFonts w:eastAsia="Times New Roman"/>
                  <w:color w:val="000000"/>
                  <w:sz w:val="20"/>
                  <w:szCs w:val="20"/>
                  <w:u w:val="none"/>
                </w:rPr>
                <w:t>Item 7A.</w:t>
              </w:r>
            </w:hyperlink>
          </w:p>
        </w:tc>
        <w:tc>
          <w:tcPr>
            <w:tcW w:w="0" w:type="auto"/>
            <w:gridSpan w:val="3"/>
            <w:tcMar>
              <w:top w:w="30" w:type="dxa"/>
              <w:left w:w="20" w:type="dxa"/>
              <w:bottom w:w="30" w:type="dxa"/>
              <w:right w:w="20" w:type="dxa"/>
            </w:tcMar>
            <w:hideMark/>
          </w:tcPr>
          <w:p w:rsidR="00000000" w:rsidRDefault="00473C5F">
            <w:pPr>
              <w:spacing w:after="100"/>
              <w:divId w:val="1506433710"/>
              <w:rPr>
                <w:rFonts w:eastAsia="Times New Roman"/>
              </w:rPr>
            </w:pPr>
            <w:hyperlink w:anchor="idcbceb955cc148bc8844018cabe9b51f_136" w:history="1">
              <w:r>
                <w:rPr>
                  <w:rStyle w:val="a3"/>
                  <w:rFonts w:eastAsia="Times New Roman"/>
                  <w:color w:val="000000"/>
                  <w:sz w:val="20"/>
                  <w:szCs w:val="20"/>
                  <w:u w:val="none"/>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136" w:history="1">
              <w:r>
                <w:rPr>
                  <w:rStyle w:val="a3"/>
                  <w:rFonts w:eastAsia="Times New Roman"/>
                  <w:color w:val="000000"/>
                  <w:sz w:val="20"/>
                  <w:szCs w:val="20"/>
                  <w:u w:val="none"/>
                </w:rPr>
                <w:t>50</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1888367810"/>
              <w:rPr>
                <w:rFonts w:eastAsia="Times New Roman"/>
              </w:rPr>
            </w:pPr>
            <w:hyperlink w:anchor="idcbceb955cc148bc8844018cabe9b51f_199" w:history="1">
              <w:r>
                <w:rPr>
                  <w:rStyle w:val="a3"/>
                  <w:rFonts w:eastAsia="Times New Roman"/>
                  <w:color w:val="000000"/>
                  <w:sz w:val="20"/>
                  <w:szCs w:val="20"/>
                  <w:u w:val="none"/>
                </w:rPr>
                <w:t>Item 8.</w:t>
              </w:r>
            </w:hyperlink>
          </w:p>
        </w:tc>
        <w:tc>
          <w:tcPr>
            <w:tcW w:w="0" w:type="auto"/>
            <w:gridSpan w:val="3"/>
            <w:tcMar>
              <w:top w:w="30" w:type="dxa"/>
              <w:left w:w="20" w:type="dxa"/>
              <w:bottom w:w="30" w:type="dxa"/>
              <w:right w:w="20" w:type="dxa"/>
            </w:tcMar>
            <w:hideMark/>
          </w:tcPr>
          <w:p w:rsidR="00000000" w:rsidRDefault="00473C5F">
            <w:pPr>
              <w:spacing w:after="100"/>
              <w:divId w:val="2088376882"/>
              <w:rPr>
                <w:rFonts w:eastAsia="Times New Roman"/>
              </w:rPr>
            </w:pPr>
            <w:hyperlink w:anchor="idcbceb955cc148bc8844018cabe9b51f_199" w:history="1">
              <w:r>
                <w:rPr>
                  <w:rStyle w:val="a3"/>
                  <w:rFonts w:eastAsia="Times New Roman"/>
                  <w:color w:val="000000"/>
                  <w:sz w:val="20"/>
                  <w:szCs w:val="20"/>
                  <w:u w:val="none"/>
                </w:rPr>
                <w:t>Financial Statements and Supplementary Data</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199" w:history="1">
              <w:r>
                <w:rPr>
                  <w:rStyle w:val="a3"/>
                  <w:rFonts w:eastAsia="Times New Roman"/>
                  <w:color w:val="000000"/>
                  <w:sz w:val="20"/>
                  <w:szCs w:val="20"/>
                  <w:u w:val="none"/>
                </w:rPr>
                <w:t>50</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236332101"/>
              <w:rPr>
                <w:rFonts w:eastAsia="Times New Roman"/>
              </w:rPr>
            </w:pPr>
            <w:hyperlink w:anchor="idcbceb955cc148bc8844018cabe9b51f_202" w:history="1">
              <w:r>
                <w:rPr>
                  <w:rStyle w:val="a3"/>
                  <w:rFonts w:eastAsia="Times New Roman"/>
                  <w:color w:val="000000"/>
                  <w:sz w:val="20"/>
                  <w:szCs w:val="20"/>
                  <w:u w:val="none"/>
                </w:rPr>
                <w:t>Item 9.</w:t>
              </w:r>
            </w:hyperlink>
          </w:p>
        </w:tc>
        <w:tc>
          <w:tcPr>
            <w:tcW w:w="0" w:type="auto"/>
            <w:gridSpan w:val="3"/>
            <w:tcMar>
              <w:top w:w="30" w:type="dxa"/>
              <w:left w:w="20" w:type="dxa"/>
              <w:bottom w:w="30" w:type="dxa"/>
              <w:right w:w="20" w:type="dxa"/>
            </w:tcMar>
            <w:hideMark/>
          </w:tcPr>
          <w:p w:rsidR="00000000" w:rsidRDefault="00473C5F">
            <w:pPr>
              <w:spacing w:after="100"/>
              <w:divId w:val="2083678190"/>
              <w:rPr>
                <w:rFonts w:eastAsia="Times New Roman"/>
              </w:rPr>
            </w:pPr>
            <w:hyperlink w:anchor="idcbceb955cc148bc8844018cabe9b51f_202" w:history="1">
              <w:r>
                <w:rPr>
                  <w:rStyle w:val="a3"/>
                  <w:rFonts w:eastAsia="Times New Roman"/>
                  <w:color w:val="000000"/>
                  <w:sz w:val="20"/>
                  <w:szCs w:val="20"/>
                  <w:u w:val="none"/>
                </w:rPr>
                <w:t>Changes in and Disagreements With Accountants on Accounting and Financial Disclosure</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02" w:history="1">
              <w:r>
                <w:rPr>
                  <w:rStyle w:val="a3"/>
                  <w:rFonts w:eastAsia="Times New Roman"/>
                  <w:color w:val="000000"/>
                  <w:sz w:val="20"/>
                  <w:szCs w:val="20"/>
                  <w:u w:val="none"/>
                </w:rPr>
                <w:t>50</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742751652"/>
              <w:rPr>
                <w:rFonts w:eastAsia="Times New Roman"/>
              </w:rPr>
            </w:pPr>
            <w:hyperlink w:anchor="idcbceb955cc148bc8844018cabe9b51f_205" w:history="1">
              <w:r>
                <w:rPr>
                  <w:rStyle w:val="a3"/>
                  <w:rFonts w:eastAsia="Times New Roman"/>
                  <w:color w:val="000000"/>
                  <w:sz w:val="20"/>
                  <w:szCs w:val="20"/>
                  <w:u w:val="none"/>
                </w:rPr>
                <w:t>Item 9A.</w:t>
              </w:r>
            </w:hyperlink>
          </w:p>
        </w:tc>
        <w:tc>
          <w:tcPr>
            <w:tcW w:w="0" w:type="auto"/>
            <w:gridSpan w:val="3"/>
            <w:tcMar>
              <w:top w:w="30" w:type="dxa"/>
              <w:left w:w="20" w:type="dxa"/>
              <w:bottom w:w="30" w:type="dxa"/>
              <w:right w:w="20" w:type="dxa"/>
            </w:tcMar>
            <w:hideMark/>
          </w:tcPr>
          <w:p w:rsidR="00000000" w:rsidRDefault="00473C5F">
            <w:pPr>
              <w:spacing w:after="100"/>
              <w:divId w:val="618681601"/>
              <w:rPr>
                <w:rFonts w:eastAsia="Times New Roman"/>
              </w:rPr>
            </w:pPr>
            <w:hyperlink w:anchor="idcbceb955cc148bc8844018cabe9b51f_205" w:history="1">
              <w:r>
                <w:rPr>
                  <w:rStyle w:val="a3"/>
                  <w:rFonts w:eastAsia="Times New Roman"/>
                  <w:color w:val="000000"/>
                  <w:sz w:val="20"/>
                  <w:szCs w:val="20"/>
                  <w:u w:val="none"/>
                </w:rPr>
                <w:t>Controls and Procedures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05" w:history="1">
              <w:r>
                <w:rPr>
                  <w:rStyle w:val="a3"/>
                  <w:rFonts w:eastAsia="Times New Roman"/>
                  <w:color w:val="000000"/>
                  <w:sz w:val="20"/>
                  <w:szCs w:val="20"/>
                  <w:u w:val="none"/>
                </w:rPr>
                <w:t>50</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955217403"/>
              <w:rPr>
                <w:rFonts w:eastAsia="Times New Roman"/>
              </w:rPr>
            </w:pPr>
            <w:hyperlink w:anchor="idcbceb955cc148bc8844018cabe9b51f_211" w:history="1">
              <w:r>
                <w:rPr>
                  <w:rStyle w:val="a3"/>
                  <w:rFonts w:eastAsia="Times New Roman"/>
                  <w:color w:val="000000"/>
                  <w:sz w:val="20"/>
                  <w:szCs w:val="20"/>
                  <w:u w:val="none"/>
                </w:rPr>
                <w:t>Item 9B.</w:t>
              </w:r>
            </w:hyperlink>
          </w:p>
        </w:tc>
        <w:tc>
          <w:tcPr>
            <w:tcW w:w="0" w:type="auto"/>
            <w:gridSpan w:val="3"/>
            <w:tcMar>
              <w:top w:w="30" w:type="dxa"/>
              <w:left w:w="20" w:type="dxa"/>
              <w:bottom w:w="30" w:type="dxa"/>
              <w:right w:w="20" w:type="dxa"/>
            </w:tcMar>
            <w:hideMark/>
          </w:tcPr>
          <w:p w:rsidR="00000000" w:rsidRDefault="00473C5F">
            <w:pPr>
              <w:spacing w:after="100"/>
              <w:divId w:val="1520460969"/>
              <w:rPr>
                <w:rFonts w:eastAsia="Times New Roman"/>
              </w:rPr>
            </w:pPr>
            <w:hyperlink w:anchor="idcbceb955cc148bc8844018cabe9b51f_211" w:history="1">
              <w:r>
                <w:rPr>
                  <w:rStyle w:val="a3"/>
                  <w:rFonts w:eastAsia="Times New Roman"/>
                  <w:color w:val="000000"/>
                  <w:sz w:val="20"/>
                  <w:szCs w:val="20"/>
                  <w:u w:val="none"/>
                </w:rPr>
                <w:t>Other Information</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11" w:history="1">
              <w:r>
                <w:rPr>
                  <w:rStyle w:val="a3"/>
                  <w:rFonts w:eastAsia="Times New Roman"/>
                  <w:color w:val="000000"/>
                  <w:sz w:val="20"/>
                  <w:szCs w:val="20"/>
                  <w:u w:val="none"/>
                </w:rPr>
                <w:t>53</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1181626370"/>
              <w:rPr>
                <w:rFonts w:eastAsia="Times New Roman"/>
              </w:rPr>
            </w:pPr>
            <w:hyperlink w:anchor="idcbceb955cc148bc8844018cabe9b51f_214" w:history="1">
              <w:r>
                <w:rPr>
                  <w:rStyle w:val="a3"/>
                  <w:rFonts w:eastAsia="Times New Roman"/>
                  <w:color w:val="000000"/>
                  <w:sz w:val="20"/>
                  <w:szCs w:val="20"/>
                  <w:u w:val="none"/>
                </w:rPr>
                <w:t>Item 9C.</w:t>
              </w:r>
            </w:hyperlink>
          </w:p>
        </w:tc>
        <w:tc>
          <w:tcPr>
            <w:tcW w:w="0" w:type="auto"/>
            <w:gridSpan w:val="3"/>
            <w:tcMar>
              <w:top w:w="30" w:type="dxa"/>
              <w:left w:w="20" w:type="dxa"/>
              <w:bottom w:w="30" w:type="dxa"/>
              <w:right w:w="20" w:type="dxa"/>
            </w:tcMar>
            <w:hideMark/>
          </w:tcPr>
          <w:p w:rsidR="00000000" w:rsidRDefault="00473C5F">
            <w:pPr>
              <w:spacing w:after="100"/>
              <w:divId w:val="1658072392"/>
              <w:rPr>
                <w:rFonts w:eastAsia="Times New Roman"/>
              </w:rPr>
            </w:pPr>
            <w:hyperlink w:anchor="idcbceb955cc148bc8844018cabe9b51f_214" w:history="1">
              <w:r>
                <w:rPr>
                  <w:rStyle w:val="a3"/>
                  <w:rFonts w:eastAsia="Times New Roman"/>
                  <w:color w:val="000000"/>
                  <w:sz w:val="20"/>
                  <w:szCs w:val="20"/>
                  <w:u w:val="none"/>
                </w:rPr>
                <w:t>Disclosure Regarding Foreign Jurisdictions that Prevent Inspections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14" w:history="1">
              <w:r>
                <w:rPr>
                  <w:rStyle w:val="a3"/>
                  <w:rFonts w:eastAsia="Times New Roman"/>
                  <w:color w:val="000000"/>
                  <w:sz w:val="20"/>
                  <w:szCs w:val="20"/>
                  <w:u w:val="none"/>
                </w:rPr>
                <w:t>53</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b/>
                <w:bCs/>
                <w:color w:val="000000"/>
                <w:sz w:val="20"/>
                <w:szCs w:val="20"/>
              </w:rPr>
              <w:t>Part III</w:t>
            </w:r>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1264268933"/>
              <w:rPr>
                <w:rFonts w:eastAsia="Times New Roman"/>
              </w:rPr>
            </w:pPr>
            <w:hyperlink w:anchor="idcbceb955cc148bc8844018cabe9b51f_220" w:history="1">
              <w:r>
                <w:rPr>
                  <w:rStyle w:val="a3"/>
                  <w:rFonts w:eastAsia="Times New Roman"/>
                  <w:color w:val="000000"/>
                  <w:sz w:val="20"/>
                  <w:szCs w:val="20"/>
                  <w:u w:val="none"/>
                </w:rPr>
                <w:t>Item 10.</w:t>
              </w:r>
            </w:hyperlink>
          </w:p>
        </w:tc>
        <w:tc>
          <w:tcPr>
            <w:tcW w:w="0" w:type="auto"/>
            <w:gridSpan w:val="3"/>
            <w:tcMar>
              <w:top w:w="30" w:type="dxa"/>
              <w:left w:w="20" w:type="dxa"/>
              <w:bottom w:w="30" w:type="dxa"/>
              <w:right w:w="20" w:type="dxa"/>
            </w:tcMar>
            <w:hideMark/>
          </w:tcPr>
          <w:p w:rsidR="00000000" w:rsidRDefault="00473C5F">
            <w:pPr>
              <w:spacing w:after="100"/>
              <w:divId w:val="631324481"/>
              <w:rPr>
                <w:rFonts w:eastAsia="Times New Roman"/>
              </w:rPr>
            </w:pPr>
            <w:hyperlink w:anchor="idcbceb955cc148bc8844018cabe9b51f_220" w:history="1">
              <w:r>
                <w:rPr>
                  <w:rStyle w:val="a3"/>
                  <w:rFonts w:eastAsia="Times New Roman"/>
                  <w:color w:val="000000"/>
                  <w:sz w:val="20"/>
                  <w:szCs w:val="20"/>
                  <w:u w:val="none"/>
                </w:rPr>
                <w:t>Trustees, Executive Officers and Corporate Governance</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20" w:history="1">
              <w:r>
                <w:rPr>
                  <w:rStyle w:val="a3"/>
                  <w:rFonts w:eastAsia="Times New Roman"/>
                  <w:color w:val="000000"/>
                  <w:sz w:val="20"/>
                  <w:szCs w:val="20"/>
                  <w:u w:val="none"/>
                </w:rPr>
                <w:t>54</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1138500488"/>
              <w:rPr>
                <w:rFonts w:eastAsia="Times New Roman"/>
              </w:rPr>
            </w:pPr>
            <w:hyperlink w:anchor="idcbceb955cc148bc8844018cabe9b51f_223" w:history="1">
              <w:r>
                <w:rPr>
                  <w:rStyle w:val="a3"/>
                  <w:rFonts w:eastAsia="Times New Roman"/>
                  <w:color w:val="000000"/>
                  <w:sz w:val="20"/>
                  <w:szCs w:val="20"/>
                  <w:u w:val="none"/>
                </w:rPr>
                <w:t>Item 11.</w:t>
              </w:r>
            </w:hyperlink>
          </w:p>
        </w:tc>
        <w:tc>
          <w:tcPr>
            <w:tcW w:w="0" w:type="auto"/>
            <w:gridSpan w:val="3"/>
            <w:tcMar>
              <w:top w:w="30" w:type="dxa"/>
              <w:left w:w="20" w:type="dxa"/>
              <w:bottom w:w="30" w:type="dxa"/>
              <w:right w:w="20" w:type="dxa"/>
            </w:tcMar>
            <w:hideMark/>
          </w:tcPr>
          <w:p w:rsidR="00000000" w:rsidRDefault="00473C5F">
            <w:pPr>
              <w:spacing w:after="100"/>
              <w:divId w:val="869731379"/>
              <w:rPr>
                <w:rFonts w:eastAsia="Times New Roman"/>
              </w:rPr>
            </w:pPr>
            <w:hyperlink w:anchor="idcbceb955cc148bc8844018cabe9b51f_223" w:history="1">
              <w:r>
                <w:rPr>
                  <w:rStyle w:val="a3"/>
                  <w:rFonts w:eastAsia="Times New Roman"/>
                  <w:color w:val="000000"/>
                  <w:sz w:val="20"/>
                  <w:szCs w:val="20"/>
                  <w:u w:val="none"/>
                </w:rPr>
                <w:t>Executive Compensation</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23" w:history="1">
              <w:r>
                <w:rPr>
                  <w:rStyle w:val="a3"/>
                  <w:rFonts w:eastAsia="Times New Roman"/>
                  <w:color w:val="000000"/>
                  <w:sz w:val="20"/>
                  <w:szCs w:val="20"/>
                  <w:u w:val="none"/>
                </w:rPr>
                <w:t>54</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519856317"/>
              <w:rPr>
                <w:rFonts w:eastAsia="Times New Roman"/>
              </w:rPr>
            </w:pPr>
            <w:hyperlink w:anchor="idcbceb955cc148bc8844018cabe9b51f_226" w:history="1">
              <w:r>
                <w:rPr>
                  <w:rStyle w:val="a3"/>
                  <w:rFonts w:eastAsia="Times New Roman"/>
                  <w:color w:val="000000"/>
                  <w:sz w:val="20"/>
                  <w:szCs w:val="20"/>
                  <w:u w:val="none"/>
                </w:rPr>
                <w:t>Item 12.</w:t>
              </w:r>
            </w:hyperlink>
          </w:p>
        </w:tc>
        <w:tc>
          <w:tcPr>
            <w:tcW w:w="0" w:type="auto"/>
            <w:gridSpan w:val="3"/>
            <w:tcMar>
              <w:top w:w="30" w:type="dxa"/>
              <w:left w:w="20" w:type="dxa"/>
              <w:bottom w:w="30" w:type="dxa"/>
              <w:right w:w="20" w:type="dxa"/>
            </w:tcMar>
            <w:hideMark/>
          </w:tcPr>
          <w:p w:rsidR="00000000" w:rsidRDefault="00473C5F">
            <w:pPr>
              <w:spacing w:after="100"/>
              <w:divId w:val="1241871569"/>
              <w:rPr>
                <w:rFonts w:eastAsia="Times New Roman"/>
              </w:rPr>
            </w:pPr>
            <w:hyperlink w:anchor="idcbceb955cc148bc8844018cabe9b51f_226" w:history="1">
              <w:r>
                <w:rPr>
                  <w:rStyle w:val="a3"/>
                  <w:rFonts w:eastAsia="Times New Roman"/>
                  <w:color w:val="000000"/>
                  <w:sz w:val="20"/>
                  <w:szCs w:val="20"/>
                  <w:u w:val="none"/>
                </w:rPr>
                <w:t>Security Ownership of Certain Beneficial Owners and Management and Related Shareholder Matters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26" w:history="1">
              <w:r>
                <w:rPr>
                  <w:rStyle w:val="a3"/>
                  <w:rFonts w:eastAsia="Times New Roman"/>
                  <w:color w:val="000000"/>
                  <w:sz w:val="20"/>
                  <w:szCs w:val="20"/>
                  <w:u w:val="none"/>
                </w:rPr>
                <w:t>54</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629898642"/>
              <w:rPr>
                <w:rFonts w:eastAsia="Times New Roman"/>
              </w:rPr>
            </w:pPr>
            <w:hyperlink w:anchor="idcbceb955cc148bc8844018cabe9b51f_229" w:history="1">
              <w:r>
                <w:rPr>
                  <w:rStyle w:val="a3"/>
                  <w:rFonts w:eastAsia="Times New Roman"/>
                  <w:color w:val="000000"/>
                  <w:sz w:val="20"/>
                  <w:szCs w:val="20"/>
                  <w:u w:val="none"/>
                </w:rPr>
                <w:t>Item 13.</w:t>
              </w:r>
            </w:hyperlink>
          </w:p>
        </w:tc>
        <w:tc>
          <w:tcPr>
            <w:tcW w:w="0" w:type="auto"/>
            <w:gridSpan w:val="3"/>
            <w:tcMar>
              <w:top w:w="30" w:type="dxa"/>
              <w:left w:w="20" w:type="dxa"/>
              <w:bottom w:w="30" w:type="dxa"/>
              <w:right w:w="20" w:type="dxa"/>
            </w:tcMar>
            <w:hideMark/>
          </w:tcPr>
          <w:p w:rsidR="00000000" w:rsidRDefault="00473C5F">
            <w:pPr>
              <w:spacing w:after="100"/>
              <w:divId w:val="1739282949"/>
              <w:rPr>
                <w:rFonts w:eastAsia="Times New Roman"/>
              </w:rPr>
            </w:pPr>
            <w:hyperlink w:anchor="idcbceb955cc148bc8844018cabe9b51f_229" w:history="1">
              <w:r>
                <w:rPr>
                  <w:rStyle w:val="a3"/>
                  <w:rFonts w:eastAsia="Times New Roman"/>
                  <w:color w:val="000000"/>
                  <w:sz w:val="20"/>
                  <w:szCs w:val="20"/>
                  <w:u w:val="none"/>
                </w:rPr>
                <w:t>Certain Relationships and Related Transactions and Trustee Independence</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29" w:history="1">
              <w:r>
                <w:rPr>
                  <w:rStyle w:val="a3"/>
                  <w:rFonts w:eastAsia="Times New Roman"/>
                  <w:color w:val="000000"/>
                  <w:sz w:val="20"/>
                  <w:szCs w:val="20"/>
                  <w:u w:val="none"/>
                </w:rPr>
                <w:t>55</w:t>
              </w:r>
            </w:hyperlink>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54280087"/>
              <w:rPr>
                <w:rFonts w:eastAsia="Times New Roman"/>
              </w:rPr>
            </w:pPr>
            <w:hyperlink w:anchor="idcbceb955cc148bc8844018cabe9b51f_232" w:history="1">
              <w:r>
                <w:rPr>
                  <w:rStyle w:val="a3"/>
                  <w:rFonts w:eastAsia="Times New Roman"/>
                  <w:color w:val="000000"/>
                  <w:sz w:val="20"/>
                  <w:szCs w:val="20"/>
                  <w:u w:val="none"/>
                </w:rPr>
                <w:t>Item 14.</w:t>
              </w:r>
            </w:hyperlink>
          </w:p>
        </w:tc>
        <w:tc>
          <w:tcPr>
            <w:tcW w:w="0" w:type="auto"/>
            <w:gridSpan w:val="3"/>
            <w:tcMar>
              <w:top w:w="30" w:type="dxa"/>
              <w:left w:w="20" w:type="dxa"/>
              <w:bottom w:w="30" w:type="dxa"/>
              <w:right w:w="20" w:type="dxa"/>
            </w:tcMar>
            <w:hideMark/>
          </w:tcPr>
          <w:p w:rsidR="00000000" w:rsidRDefault="00473C5F">
            <w:pPr>
              <w:spacing w:after="100"/>
              <w:divId w:val="733503755"/>
              <w:rPr>
                <w:rFonts w:eastAsia="Times New Roman"/>
              </w:rPr>
            </w:pPr>
            <w:hyperlink w:anchor="idcbceb955cc148bc8844018cabe9b51f_232" w:history="1">
              <w:r>
                <w:rPr>
                  <w:rStyle w:val="a3"/>
                  <w:rFonts w:eastAsia="Times New Roman"/>
                  <w:color w:val="000000"/>
                  <w:sz w:val="20"/>
                  <w:szCs w:val="20"/>
                  <w:u w:val="none"/>
                </w:rPr>
                <w:t>Principal Accountant Fees and Services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32" w:history="1">
              <w:r>
                <w:rPr>
                  <w:rStyle w:val="a3"/>
                  <w:rFonts w:eastAsia="Times New Roman"/>
                  <w:color w:val="000000"/>
                  <w:sz w:val="20"/>
                  <w:szCs w:val="20"/>
                  <w:u w:val="none"/>
                </w:rPr>
                <w:t>55</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b/>
                <w:bCs/>
                <w:color w:val="000000"/>
                <w:sz w:val="20"/>
                <w:szCs w:val="20"/>
              </w:rPr>
              <w:t>Part IV</w:t>
            </w:r>
          </w:p>
        </w:tc>
      </w:tr>
      <w:tr w:rsidR="00000000">
        <w:trPr>
          <w:jc w:val="center"/>
        </w:trPr>
        <w:tc>
          <w:tcPr>
            <w:tcW w:w="0" w:type="auto"/>
            <w:gridSpan w:val="3"/>
            <w:tcMar>
              <w:top w:w="30" w:type="dxa"/>
              <w:left w:w="20" w:type="dxa"/>
              <w:bottom w:w="30" w:type="dxa"/>
              <w:right w:w="20" w:type="dxa"/>
            </w:tcMar>
            <w:hideMark/>
          </w:tcPr>
          <w:p w:rsidR="00000000" w:rsidRDefault="00473C5F">
            <w:pPr>
              <w:spacing w:after="100"/>
              <w:divId w:val="228853844"/>
              <w:rPr>
                <w:rFonts w:eastAsia="Times New Roman"/>
              </w:rPr>
            </w:pPr>
            <w:hyperlink w:anchor="idcbceb955cc148bc8844018cabe9b51f_238" w:history="1">
              <w:r>
                <w:rPr>
                  <w:rStyle w:val="a3"/>
                  <w:rFonts w:eastAsia="Times New Roman"/>
                  <w:color w:val="000000"/>
                  <w:sz w:val="20"/>
                  <w:szCs w:val="20"/>
                  <w:u w:val="none"/>
                </w:rPr>
                <w:t>Item 15.</w:t>
              </w:r>
            </w:hyperlink>
          </w:p>
        </w:tc>
        <w:tc>
          <w:tcPr>
            <w:tcW w:w="0" w:type="auto"/>
            <w:gridSpan w:val="3"/>
            <w:tcMar>
              <w:top w:w="30" w:type="dxa"/>
              <w:left w:w="20" w:type="dxa"/>
              <w:bottom w:w="30" w:type="dxa"/>
              <w:right w:w="20" w:type="dxa"/>
            </w:tcMar>
            <w:hideMark/>
          </w:tcPr>
          <w:p w:rsidR="00000000" w:rsidRDefault="00473C5F">
            <w:pPr>
              <w:spacing w:after="100"/>
              <w:divId w:val="247731882"/>
              <w:rPr>
                <w:rFonts w:eastAsia="Times New Roman"/>
              </w:rPr>
            </w:pPr>
            <w:hyperlink w:anchor="idcbceb955cc148bc8844018cabe9b51f_238" w:history="1">
              <w:r>
                <w:rPr>
                  <w:rStyle w:val="a3"/>
                  <w:rFonts w:eastAsia="Times New Roman"/>
                  <w:color w:val="000000"/>
                  <w:sz w:val="20"/>
                  <w:szCs w:val="20"/>
                  <w:u w:val="none"/>
                </w:rPr>
                <w:t>Exhibits and Financial Statement Schedules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38" w:history="1">
              <w:r>
                <w:rPr>
                  <w:rStyle w:val="a3"/>
                  <w:rFonts w:eastAsia="Times New Roman"/>
                  <w:color w:val="000000"/>
                  <w:sz w:val="20"/>
                  <w:szCs w:val="20"/>
                  <w:u w:val="none"/>
                </w:rPr>
                <w:t>56</w:t>
              </w:r>
            </w:hyperlink>
          </w:p>
        </w:tc>
      </w:tr>
    </w:tbl>
    <w:p w:rsidR="00000000" w:rsidRDefault="00473C5F">
      <w:pPr>
        <w:divId w:val="1105266623"/>
        <w:rPr>
          <w:rFonts w:eastAsia="Times New Roman"/>
        </w:rPr>
      </w:pPr>
    </w:p>
    <w:p w:rsidR="00000000" w:rsidRDefault="00473C5F">
      <w:pPr>
        <w:jc w:val="center"/>
        <w:divId w:val="1165978632"/>
        <w:rPr>
          <w:rFonts w:eastAsia="Times New Roman"/>
        </w:rPr>
      </w:pPr>
    </w:p>
    <w:p w:rsidR="00000000" w:rsidRDefault="00473C5F">
      <w:pPr>
        <w:rPr>
          <w:rFonts w:eastAsia="Times New Roman"/>
        </w:rPr>
      </w:pPr>
      <w:r>
        <w:rPr>
          <w:rFonts w:eastAsia="Times New Roman"/>
        </w:rPr>
        <w:pict>
          <v:rect id="_x0000_i1026" style="width:0;height:1.5pt" o:hralign="center" o:hrstd="t" o:hr="t" fillcolor="#a0a0a0" stroked="f"/>
        </w:pict>
      </w:r>
    </w:p>
    <w:p w:rsidR="00000000" w:rsidRDefault="00473C5F">
      <w:pPr>
        <w:divId w:val="60638558"/>
        <w:rPr>
          <w:rFonts w:eastAsia="Times New Roman"/>
        </w:rPr>
      </w:pPr>
    </w:p>
    <w:p w:rsidR="00000000" w:rsidRDefault="00473C5F">
      <w:pPr>
        <w:jc w:val="center"/>
        <w:divId w:val="290598939"/>
        <w:rPr>
          <w:rFonts w:eastAsia="Times New Roman"/>
        </w:rPr>
      </w:pPr>
      <w:r>
        <w:rPr>
          <w:rFonts w:eastAsia="Times New Roman"/>
          <w:b/>
          <w:bCs/>
          <w:color w:val="000000"/>
          <w:sz w:val="20"/>
          <w:szCs w:val="20"/>
          <w:u w:val="single"/>
        </w:rPr>
        <w:t>PART I</w:t>
      </w:r>
    </w:p>
    <w:p w:rsidR="00000000" w:rsidRDefault="00473C5F">
      <w:pPr>
        <w:jc w:val="both"/>
        <w:divId w:val="237137797"/>
        <w:rPr>
          <w:rFonts w:eastAsia="Times New Roman"/>
        </w:rPr>
      </w:pPr>
      <w:r>
        <w:rPr>
          <w:rFonts w:eastAsia="Times New Roman"/>
          <w:b/>
          <w:bCs/>
          <w:color w:val="000000"/>
          <w:sz w:val="20"/>
          <w:szCs w:val="20"/>
        </w:rPr>
        <w:t>ITEM 1.</w:t>
      </w:r>
      <w:r>
        <w:rPr>
          <w:rFonts w:eastAsia="Times New Roman"/>
          <w:color w:val="000000"/>
          <w:sz w:val="20"/>
          <w:szCs w:val="20"/>
        </w:rPr>
        <w:t>    </w:t>
      </w:r>
      <w:r>
        <w:rPr>
          <w:rFonts w:eastAsia="Times New Roman"/>
          <w:b/>
          <w:bCs/>
          <w:color w:val="000000"/>
          <w:sz w:val="20"/>
          <w:szCs w:val="20"/>
          <w:u w:val="single"/>
        </w:rPr>
        <w:t>Business</w:t>
      </w:r>
    </w:p>
    <w:p w:rsidR="00000000" w:rsidRDefault="00473C5F">
      <w:pPr>
        <w:jc w:val="both"/>
        <w:divId w:val="1804734829"/>
        <w:rPr>
          <w:rFonts w:eastAsia="Times New Roman"/>
        </w:rPr>
      </w:pPr>
      <w:r>
        <w:rPr>
          <w:rFonts w:eastAsia="Times New Roman"/>
          <w:b/>
          <w:bCs/>
          <w:color w:val="000000"/>
          <w:sz w:val="20"/>
          <w:szCs w:val="20"/>
          <w:u w:val="single"/>
        </w:rPr>
        <w:t>Cautionary Statement Regarding Forward Looking Statements</w:t>
      </w:r>
    </w:p>
    <w:p w:rsidR="00000000" w:rsidRDefault="00473C5F">
      <w:pPr>
        <w:ind w:firstLine="720"/>
        <w:jc w:val="both"/>
        <w:divId w:val="477766983"/>
        <w:rPr>
          <w:rFonts w:eastAsia="Times New Roman"/>
        </w:rPr>
      </w:pPr>
      <w:r>
        <w:rPr>
          <w:rFonts w:eastAsia="Times New Roman"/>
          <w:color w:val="000000"/>
          <w:sz w:val="20"/>
          <w:szCs w:val="20"/>
        </w:rPr>
        <w:t>This Annual Report on Form 10-K contains forward-looking statements within the meaning of the Private Securities Litigation Reform Act of 1995. Forward-looking statements include statements relating to our 2023 outlook and all underlying assumptions, our p</w:t>
      </w:r>
      <w:r>
        <w:rPr>
          <w:rFonts w:eastAsia="Times New Roman"/>
          <w:color w:val="000000"/>
          <w:sz w:val="20"/>
          <w:szCs w:val="20"/>
        </w:rPr>
        <w:t>roposal to acquire Life Storage, Inc. (“Life Storage”), our expected acquisition, disposition, development, and redevelopment activity, supply and demand for our self-storage facilities, information relating to operating trends in our markets, expectations</w:t>
      </w:r>
      <w:r>
        <w:rPr>
          <w:rFonts w:eastAsia="Times New Roman"/>
          <w:color w:val="000000"/>
          <w:sz w:val="20"/>
          <w:szCs w:val="20"/>
        </w:rPr>
        <w:t xml:space="preserve"> regarding operating expenses, including property tax changes, expectations regarding the impacts from inflation and a potential future recession, our strategic priorities, expectations with respect to financing activities, rental rates, cap rates, and yie</w:t>
      </w:r>
      <w:r>
        <w:rPr>
          <w:rFonts w:eastAsia="Times New Roman"/>
          <w:color w:val="000000"/>
          <w:sz w:val="20"/>
          <w:szCs w:val="20"/>
        </w:rPr>
        <w:t>lds, leasing expectations, our credit ratings, and all other statements other than statements of historical fact. Such statements are based on management’s beliefs and assumptions made based on information currently available to management and may be ident</w:t>
      </w:r>
      <w:r>
        <w:rPr>
          <w:rFonts w:eastAsia="Times New Roman"/>
          <w:color w:val="000000"/>
          <w:sz w:val="20"/>
          <w:szCs w:val="20"/>
        </w:rPr>
        <w:t>ified by the use of the words “expects,”  “believes,”  “anticipates,” “should,” “estimates,” and similar expressions.</w:t>
      </w:r>
    </w:p>
    <w:p w:rsidR="00000000" w:rsidRDefault="00473C5F">
      <w:pPr>
        <w:ind w:firstLine="720"/>
        <w:jc w:val="both"/>
        <w:divId w:val="433211604"/>
        <w:rPr>
          <w:rFonts w:eastAsia="Times New Roman"/>
        </w:rPr>
      </w:pPr>
      <w:r>
        <w:rPr>
          <w:rFonts w:eastAsia="Times New Roman"/>
          <w:color w:val="000000"/>
          <w:sz w:val="20"/>
          <w:szCs w:val="20"/>
        </w:rPr>
        <w:t xml:space="preserve">These forward-looking statements involve known and unknown risks and uncertainties, which may cause our actual results and performance to </w:t>
      </w:r>
      <w:r>
        <w:rPr>
          <w:rFonts w:eastAsia="Times New Roman"/>
          <w:color w:val="000000"/>
          <w:sz w:val="20"/>
          <w:szCs w:val="20"/>
        </w:rPr>
        <w:t xml:space="preserve">be materially different from those expressed or implied in the forward-looking statements. Risks and uncertainties that may impact future results and performance include, but are not limited to, those described in Part 1, Item 1A, “Risk Factors” of this </w:t>
      </w:r>
      <w:r>
        <w:rPr>
          <w:rFonts w:eastAsia="Times New Roman"/>
          <w:color w:val="000000"/>
          <w:sz w:val="20"/>
          <w:szCs w:val="20"/>
        </w:rPr>
        <w:lastRenderedPageBreak/>
        <w:t>re</w:t>
      </w:r>
      <w:r>
        <w:rPr>
          <w:rFonts w:eastAsia="Times New Roman"/>
          <w:color w:val="000000"/>
          <w:sz w:val="20"/>
          <w:szCs w:val="20"/>
        </w:rPr>
        <w:t>port and in our other filings with the Securities and Exchange Commission (the “SEC”). These include changes in demand for our facilities, impacts of natural disasters, adverse changes in laws and regulations including governing property tax, evictions, re</w:t>
      </w:r>
      <w:r>
        <w:rPr>
          <w:rFonts w:eastAsia="Times New Roman"/>
          <w:color w:val="000000"/>
          <w:sz w:val="20"/>
          <w:szCs w:val="20"/>
        </w:rPr>
        <w:t>ntal rates, minimum wage levels, and insurance, our ability to consummate acquisition transactions, including our proposed acquisition of Life Storage, and to realize the intended benefits of such transactions, adverse economic effects from the COVID-19 Pa</w:t>
      </w:r>
      <w:r>
        <w:rPr>
          <w:rFonts w:eastAsia="Times New Roman"/>
          <w:color w:val="000000"/>
          <w:sz w:val="20"/>
          <w:szCs w:val="20"/>
        </w:rPr>
        <w:t>ndemic, international military conflicts, or similar events impacting public health and/or economic activity, increases in the costs of our primary customer acquisition channels, adverse impacts to us and our customers from inflation, unfavorable foreign c</w:t>
      </w:r>
      <w:r>
        <w:rPr>
          <w:rFonts w:eastAsia="Times New Roman"/>
          <w:color w:val="000000"/>
          <w:sz w:val="20"/>
          <w:szCs w:val="20"/>
        </w:rPr>
        <w:t xml:space="preserve">urrency rate fluctuations, changes in federal or state tax laws related to the taxation of REITs, security breaches, including ransomware, or a failure of our networks, systems, or technology. </w:t>
      </w:r>
    </w:p>
    <w:p w:rsidR="00000000" w:rsidRDefault="00473C5F">
      <w:pPr>
        <w:ind w:firstLine="720"/>
        <w:jc w:val="both"/>
        <w:divId w:val="175733963"/>
        <w:rPr>
          <w:rFonts w:eastAsia="Times New Roman"/>
        </w:rPr>
      </w:pPr>
      <w:r>
        <w:rPr>
          <w:rFonts w:eastAsia="Times New Roman"/>
          <w:color w:val="000000"/>
          <w:sz w:val="20"/>
          <w:szCs w:val="20"/>
        </w:rPr>
        <w:t xml:space="preserve">These forward looking statements speak only as of the date of </w:t>
      </w:r>
      <w:r>
        <w:rPr>
          <w:rFonts w:eastAsia="Times New Roman"/>
          <w:color w:val="000000"/>
          <w:sz w:val="20"/>
          <w:szCs w:val="20"/>
        </w:rPr>
        <w:t>this report or as of the dates indicated in the statements. All of our forward-looking statements, including those in this report, are qualified in their entirety by this cautionary statement. We expressly disclaim any obligation to update publicly or othe</w:t>
      </w:r>
      <w:r>
        <w:rPr>
          <w:rFonts w:eastAsia="Times New Roman"/>
          <w:color w:val="000000"/>
          <w:sz w:val="20"/>
          <w:szCs w:val="20"/>
        </w:rPr>
        <w:t xml:space="preserve">rwise revise any forward-looking statements, whether as a result of new information, new estimates, or other factors, events, or circumstances after the date of these forward looking statements, except when expressly required by law. Given these risks and </w:t>
      </w:r>
      <w:r>
        <w:rPr>
          <w:rFonts w:eastAsia="Times New Roman"/>
          <w:color w:val="000000"/>
          <w:sz w:val="20"/>
          <w:szCs w:val="20"/>
        </w:rPr>
        <w:t>uncertainties, you should not rely on any forward-looking statements in this report, or which management may make orally or in writing from time to time, neither as predictions of future events nor guarantees of future performance.</w:t>
      </w:r>
    </w:p>
    <w:p w:rsidR="00000000" w:rsidRDefault="00473C5F">
      <w:pPr>
        <w:jc w:val="both"/>
        <w:divId w:val="675501560"/>
        <w:rPr>
          <w:rFonts w:eastAsia="Times New Roman"/>
        </w:rPr>
      </w:pPr>
      <w:r>
        <w:rPr>
          <w:rFonts w:eastAsia="Times New Roman"/>
          <w:b/>
          <w:bCs/>
          <w:color w:val="000000"/>
          <w:sz w:val="20"/>
          <w:szCs w:val="20"/>
          <w:u w:val="single"/>
        </w:rPr>
        <w:t>General Discussion of ou</w:t>
      </w:r>
      <w:r>
        <w:rPr>
          <w:rFonts w:eastAsia="Times New Roman"/>
          <w:b/>
          <w:bCs/>
          <w:color w:val="000000"/>
          <w:sz w:val="20"/>
          <w:szCs w:val="20"/>
          <w:u w:val="single"/>
        </w:rPr>
        <w:t>r Business</w:t>
      </w:r>
    </w:p>
    <w:p w:rsidR="00000000" w:rsidRDefault="00473C5F">
      <w:pPr>
        <w:ind w:firstLine="720"/>
        <w:jc w:val="both"/>
        <w:divId w:val="442572797"/>
        <w:rPr>
          <w:rFonts w:eastAsia="Times New Roman"/>
        </w:rPr>
      </w:pPr>
      <w:r>
        <w:rPr>
          <w:rFonts w:eastAsia="Times New Roman"/>
          <w:color w:val="000000"/>
          <w:sz w:val="20"/>
          <w:szCs w:val="20"/>
        </w:rPr>
        <w:t>Public Storage (referred to herein as the “Company,” “we,” “us,” or “our”), a Maryland real estate investment trust that has elected to be taxed as a real estate investment trust (“REIT”), was organized in 1980. Our principal business activities</w:t>
      </w:r>
      <w:r>
        <w:rPr>
          <w:rFonts w:eastAsia="Times New Roman"/>
          <w:color w:val="000000"/>
          <w:sz w:val="20"/>
          <w:szCs w:val="20"/>
        </w:rPr>
        <w:t xml:space="preserve"> include the ownership, development, and operation of self-storage facilities and other related operations including tenant reinsurance and third-party self-storage management. We are the industry leading owner and operator of self-storage properties, with</w:t>
      </w:r>
      <w:r>
        <w:rPr>
          <w:rFonts w:eastAsia="Times New Roman"/>
          <w:color w:val="000000"/>
          <w:sz w:val="20"/>
          <w:szCs w:val="20"/>
        </w:rPr>
        <w:t xml:space="preserve"> the most recognized brand in the self-storage industry, including our ubiquitous orange color.</w:t>
      </w:r>
    </w:p>
    <w:p w:rsidR="00000000" w:rsidRDefault="00473C5F">
      <w:pPr>
        <w:jc w:val="both"/>
        <w:divId w:val="1367753851"/>
        <w:rPr>
          <w:rFonts w:eastAsia="Times New Roman"/>
        </w:rPr>
      </w:pPr>
      <w:r>
        <w:rPr>
          <w:rFonts w:eastAsia="Times New Roman"/>
          <w:color w:val="000000"/>
          <w:sz w:val="20"/>
          <w:szCs w:val="20"/>
          <w:u w:val="single"/>
        </w:rPr>
        <w:t>Self-storage Operations</w:t>
      </w:r>
      <w:r>
        <w:rPr>
          <w:rFonts w:eastAsia="Times New Roman"/>
          <w:color w:val="000000"/>
          <w:sz w:val="20"/>
          <w:szCs w:val="20"/>
        </w:rPr>
        <w:t>:</w:t>
      </w:r>
    </w:p>
    <w:p w:rsidR="00000000" w:rsidRDefault="00473C5F">
      <w:pPr>
        <w:ind w:firstLine="720"/>
        <w:jc w:val="both"/>
        <w:divId w:val="850990700"/>
        <w:rPr>
          <w:rFonts w:eastAsia="Times New Roman"/>
        </w:rPr>
      </w:pPr>
      <w:r>
        <w:rPr>
          <w:rFonts w:eastAsia="Times New Roman"/>
          <w:color w:val="000000"/>
          <w:sz w:val="20"/>
          <w:szCs w:val="20"/>
        </w:rPr>
        <w:t>We acquire, develop, own, and operate self-storage facilities, which offer storage spaces for lease on a month-to-month basis, for pers</w:t>
      </w:r>
      <w:r>
        <w:rPr>
          <w:rFonts w:eastAsia="Times New Roman"/>
          <w:color w:val="000000"/>
          <w:sz w:val="20"/>
          <w:szCs w:val="20"/>
        </w:rPr>
        <w:t>onal and business use. We are the largest owner and operator of self-storage facilities in the United States (“U.S.”), with physical presence in most major markets and 40 states. We believe our scale, brand name, and technology platform afford us competiti</w:t>
      </w:r>
      <w:r>
        <w:rPr>
          <w:rFonts w:eastAsia="Times New Roman"/>
          <w:color w:val="000000"/>
          <w:sz w:val="20"/>
          <w:szCs w:val="20"/>
        </w:rPr>
        <w:t>ve advantages. At December 31, 2022, we held interests in and consolidated 2,869 self-storage facilities (an aggregate of 204 million net rentable square feet of space) operating under the Public Storage® name.</w:t>
      </w:r>
    </w:p>
    <w:p w:rsidR="00000000" w:rsidRDefault="00473C5F">
      <w:pPr>
        <w:jc w:val="center"/>
        <w:divId w:val="1200817644"/>
        <w:rPr>
          <w:rFonts w:eastAsia="Times New Roman"/>
        </w:rPr>
      </w:pPr>
      <w:r>
        <w:rPr>
          <w:rFonts w:eastAsia="Times New Roman"/>
          <w:color w:val="000000"/>
          <w:sz w:val="20"/>
          <w:szCs w:val="20"/>
        </w:rPr>
        <w:t>1</w:t>
      </w:r>
    </w:p>
    <w:p w:rsidR="00000000" w:rsidRDefault="00473C5F">
      <w:pPr>
        <w:rPr>
          <w:rFonts w:eastAsia="Times New Roman"/>
        </w:rPr>
      </w:pPr>
      <w:r>
        <w:rPr>
          <w:rFonts w:eastAsia="Times New Roman"/>
        </w:rPr>
        <w:pict>
          <v:rect id="_x0000_i1027" style="width:0;height:1.5pt" o:hralign="center" o:hrstd="t" o:hr="t" fillcolor="#a0a0a0" stroked="f"/>
        </w:pict>
      </w:r>
    </w:p>
    <w:p w:rsidR="00000000" w:rsidRDefault="00473C5F">
      <w:pPr>
        <w:divId w:val="1393504775"/>
        <w:rPr>
          <w:rFonts w:eastAsia="Times New Roman"/>
        </w:rPr>
      </w:pPr>
    </w:p>
    <w:p w:rsidR="00000000" w:rsidRDefault="00473C5F">
      <w:pPr>
        <w:jc w:val="both"/>
        <w:divId w:val="1216889821"/>
        <w:rPr>
          <w:rFonts w:eastAsia="Times New Roman"/>
        </w:rPr>
      </w:pPr>
      <w:r>
        <w:rPr>
          <w:rFonts w:eastAsia="Times New Roman"/>
          <w:color w:val="000000"/>
          <w:sz w:val="20"/>
          <w:szCs w:val="20"/>
          <w:u w:val="single"/>
        </w:rPr>
        <w:t>Othe</w:t>
      </w:r>
      <w:r>
        <w:rPr>
          <w:rFonts w:eastAsia="Times New Roman"/>
          <w:color w:val="000000"/>
          <w:sz w:val="20"/>
          <w:szCs w:val="20"/>
          <w:u w:val="single"/>
        </w:rPr>
        <w:t>r Operations:</w:t>
      </w:r>
    </w:p>
    <w:p w:rsidR="00000000" w:rsidRDefault="00473C5F">
      <w:pPr>
        <w:ind w:firstLine="720"/>
        <w:jc w:val="both"/>
        <w:divId w:val="254824269"/>
        <w:rPr>
          <w:rFonts w:eastAsia="Times New Roman"/>
        </w:rPr>
      </w:pPr>
      <w:r>
        <w:rPr>
          <w:rFonts w:eastAsia="Times New Roman"/>
          <w:color w:val="000000"/>
          <w:sz w:val="20"/>
          <w:szCs w:val="20"/>
        </w:rPr>
        <w:t>We manage insurance programs whereby customers at our facilities, including those we manage for third parties, have the option of purchasing insurance from a non-affiliated insurance company to cover certain losses to their stored goods. A wh</w:t>
      </w:r>
      <w:r>
        <w:rPr>
          <w:rFonts w:eastAsia="Times New Roman"/>
          <w:color w:val="000000"/>
          <w:sz w:val="20"/>
          <w:szCs w:val="20"/>
        </w:rPr>
        <w:t>olly-owned, consolidated subsidiary of Public Storage fully reinsures these policies and thereby assumes all risk of losses under the policies. This subsidiary receives from the non-affiliated insurance company reinsurance premiums substantially equal to t</w:t>
      </w:r>
      <w:r>
        <w:rPr>
          <w:rFonts w:eastAsia="Times New Roman"/>
          <w:color w:val="000000"/>
          <w:sz w:val="20"/>
          <w:szCs w:val="20"/>
        </w:rPr>
        <w:t>he premiums collected from our tenants. These policies cover claims for losses related to specified events up to a maximum limit of $5,000 per storage unit. We reinsure all risks in this program but purchase insurance from an independent third party insure</w:t>
      </w:r>
      <w:r>
        <w:rPr>
          <w:rFonts w:eastAsia="Times New Roman"/>
          <w:color w:val="000000"/>
          <w:sz w:val="20"/>
          <w:szCs w:val="20"/>
        </w:rPr>
        <w:t>r to cover this exposure for a limit of $15.0 million for losses in excess of $5.0 million per occurrence. At December 31, 2022, there were approximately 1.2 million certificates of insurance held by our self-storage customers, representing aggregate cover</w:t>
      </w:r>
      <w:r>
        <w:rPr>
          <w:rFonts w:eastAsia="Times New Roman"/>
          <w:color w:val="000000"/>
          <w:sz w:val="20"/>
          <w:szCs w:val="20"/>
        </w:rPr>
        <w:t>age of approximately $5.6 billion.</w:t>
      </w:r>
    </w:p>
    <w:p w:rsidR="00000000" w:rsidRDefault="00473C5F">
      <w:pPr>
        <w:ind w:firstLine="720"/>
        <w:jc w:val="both"/>
        <w:divId w:val="1295983213"/>
        <w:rPr>
          <w:rFonts w:eastAsia="Times New Roman"/>
        </w:rPr>
      </w:pPr>
      <w:r>
        <w:rPr>
          <w:rFonts w:eastAsia="Times New Roman"/>
          <w:color w:val="000000"/>
          <w:sz w:val="20"/>
          <w:szCs w:val="20"/>
        </w:rPr>
        <w:t>At December 31, 2022, we managed 114 facilities for third parties, and were under contract to manage 78 additional facilities including 73 facilities that are currently under construction. In addition, we sell merchandise</w:t>
      </w:r>
      <w:r>
        <w:rPr>
          <w:rFonts w:eastAsia="Times New Roman"/>
          <w:color w:val="000000"/>
          <w:sz w:val="20"/>
          <w:szCs w:val="20"/>
        </w:rPr>
        <w:t>, primarily locks and cardboard boxes at our self-storage facilities.</w:t>
      </w:r>
    </w:p>
    <w:p w:rsidR="00000000" w:rsidRDefault="00473C5F">
      <w:pPr>
        <w:ind w:firstLine="720"/>
        <w:jc w:val="both"/>
        <w:divId w:val="886994361"/>
        <w:rPr>
          <w:rFonts w:eastAsia="Times New Roman"/>
        </w:rPr>
      </w:pPr>
      <w:r>
        <w:rPr>
          <w:rFonts w:eastAsia="Times New Roman"/>
          <w:color w:val="000000"/>
          <w:sz w:val="20"/>
          <w:szCs w:val="20"/>
        </w:rPr>
        <w:lastRenderedPageBreak/>
        <w:t>We hold a 35% interest in Shurgard Self Storage Limited (“Shurgard”). Shurgard is a public company traded on Euronext Brussels under the “SHUR” symbol. At December 31, 2022, Shurgard own</w:t>
      </w:r>
      <w:r>
        <w:rPr>
          <w:rFonts w:eastAsia="Times New Roman"/>
          <w:color w:val="000000"/>
          <w:sz w:val="20"/>
          <w:szCs w:val="20"/>
        </w:rPr>
        <w:t>ed and operated 266 self-storage facilities (15 million net rentable square feet) located in seven countries in Western Europe under the Shurgard® name. We previously held a significant equity interest in PS Business Parks, Inc. (“PSB”), which we sold in J</w:t>
      </w:r>
      <w:r>
        <w:rPr>
          <w:rFonts w:eastAsia="Times New Roman"/>
          <w:color w:val="000000"/>
          <w:sz w:val="20"/>
          <w:szCs w:val="20"/>
        </w:rPr>
        <w:t>uly 2022 in connection with PSB’s merger with an unaffiliated third party.</w:t>
      </w:r>
    </w:p>
    <w:p w:rsidR="00000000" w:rsidRDefault="00473C5F">
      <w:pPr>
        <w:ind w:firstLine="720"/>
        <w:jc w:val="both"/>
        <w:divId w:val="1679498092"/>
        <w:rPr>
          <w:rFonts w:eastAsia="Times New Roman"/>
        </w:rPr>
      </w:pPr>
      <w:r>
        <w:rPr>
          <w:rFonts w:eastAsia="Times New Roman"/>
          <w:color w:val="000000"/>
          <w:sz w:val="20"/>
          <w:szCs w:val="20"/>
        </w:rPr>
        <w:t>For all periods presented herein, we have elected to be treated as a REIT, as defined in the Internal Revenue Code of 1986, as amended (the “Code”). For each taxable year in which w</w:t>
      </w:r>
      <w:r>
        <w:rPr>
          <w:rFonts w:eastAsia="Times New Roman"/>
          <w:color w:val="000000"/>
          <w:sz w:val="20"/>
          <w:szCs w:val="20"/>
        </w:rPr>
        <w:t>e qualify for taxation as a REIT, we will not be subject to U.S. federal corporate income tax on our “REIT taxable income” (generally, taxable income subject to specified adjustments, including a deduction for dividends paid and excluding our net capital g</w:t>
      </w:r>
      <w:r>
        <w:rPr>
          <w:rFonts w:eastAsia="Times New Roman"/>
          <w:color w:val="000000"/>
          <w:sz w:val="20"/>
          <w:szCs w:val="20"/>
        </w:rPr>
        <w:t>ain) that is distributed to our shareholders. We believe we met these requirements in all periods presented herein and we expect to continue to qualify as a REIT.</w:t>
      </w:r>
    </w:p>
    <w:p w:rsidR="00000000" w:rsidRDefault="00473C5F">
      <w:pPr>
        <w:ind w:firstLine="720"/>
        <w:jc w:val="both"/>
        <w:divId w:val="2098822158"/>
        <w:rPr>
          <w:rFonts w:eastAsia="Times New Roman"/>
        </w:rPr>
      </w:pPr>
      <w:r>
        <w:rPr>
          <w:rFonts w:eastAsia="Times New Roman"/>
          <w:color w:val="000000"/>
          <w:sz w:val="20"/>
          <w:szCs w:val="20"/>
        </w:rPr>
        <w:t>We file annually with the SEC annual reports on Form 10-K, which include consolidated financi</w:t>
      </w:r>
      <w:r>
        <w:rPr>
          <w:rFonts w:eastAsia="Times New Roman"/>
          <w:color w:val="000000"/>
          <w:sz w:val="20"/>
          <w:szCs w:val="20"/>
        </w:rPr>
        <w:t>al statements certified by our independent registered public accountants. We also file quarterly with the SEC quarterly reports on Form 10-Q, which include unaudited consolidated financial statements. We expect to continue such reporting.</w:t>
      </w:r>
    </w:p>
    <w:p w:rsidR="00000000" w:rsidRDefault="00473C5F">
      <w:pPr>
        <w:ind w:firstLine="720"/>
        <w:jc w:val="both"/>
        <w:divId w:val="1693217616"/>
        <w:rPr>
          <w:rFonts w:eastAsia="Times New Roman"/>
        </w:rPr>
      </w:pPr>
      <w:r>
        <w:rPr>
          <w:rFonts w:eastAsia="Times New Roman"/>
          <w:color w:val="000000"/>
          <w:sz w:val="20"/>
          <w:szCs w:val="20"/>
        </w:rPr>
        <w:t>On our website, w</w:t>
      </w:r>
      <w:r>
        <w:rPr>
          <w:rFonts w:eastAsia="Times New Roman"/>
          <w:color w:val="000000"/>
          <w:sz w:val="20"/>
          <w:szCs w:val="20"/>
        </w:rPr>
        <w:t>ww.publicstorage.com, we make available, free of charge, our annual reports on Form 10-K, quarterly reports on Form 10-Q, current reports on Form 8-K, definitive proxy statements, and other reports required to be filed with or furnished to the SEC, as well</w:t>
      </w:r>
      <w:r>
        <w:rPr>
          <w:rFonts w:eastAsia="Times New Roman"/>
          <w:color w:val="000000"/>
          <w:sz w:val="20"/>
          <w:szCs w:val="20"/>
        </w:rPr>
        <w:t xml:space="preserve"> as all supplements and amendments to those filings, as soon as reasonably practicable after the filings, supplements, and amendments are electronically filed with or furnished to the SEC. The information contained on our website is not a part of, or incor</w:t>
      </w:r>
      <w:r>
        <w:rPr>
          <w:rFonts w:eastAsia="Times New Roman"/>
          <w:color w:val="000000"/>
          <w:sz w:val="20"/>
          <w:szCs w:val="20"/>
        </w:rPr>
        <w:t>porated by reference into, this Annual Report on Form 10-K.</w:t>
      </w:r>
    </w:p>
    <w:p w:rsidR="00000000" w:rsidRDefault="00473C5F">
      <w:pPr>
        <w:jc w:val="both"/>
        <w:divId w:val="1551845451"/>
        <w:rPr>
          <w:rFonts w:eastAsia="Times New Roman"/>
        </w:rPr>
      </w:pPr>
      <w:r>
        <w:rPr>
          <w:rFonts w:eastAsia="Times New Roman"/>
          <w:b/>
          <w:bCs/>
          <w:color w:val="000000"/>
          <w:sz w:val="20"/>
          <w:szCs w:val="20"/>
          <w:u w:val="single"/>
        </w:rPr>
        <w:t>Competition</w:t>
      </w:r>
    </w:p>
    <w:p w:rsidR="00000000" w:rsidRDefault="00473C5F">
      <w:pPr>
        <w:ind w:firstLine="720"/>
        <w:jc w:val="both"/>
        <w:divId w:val="220871292"/>
        <w:rPr>
          <w:rFonts w:eastAsia="Times New Roman"/>
        </w:rPr>
      </w:pPr>
      <w:r>
        <w:rPr>
          <w:rFonts w:eastAsia="Times New Roman"/>
          <w:color w:val="000000"/>
          <w:sz w:val="20"/>
          <w:szCs w:val="20"/>
        </w:rPr>
        <w:t>Ownership and operation of self-storage facilities is highly fragmented. As the largest owner of self-storage facilities, we believe that we own approximately 9% of the self-storage sq</w:t>
      </w:r>
      <w:r>
        <w:rPr>
          <w:rFonts w:eastAsia="Times New Roman"/>
          <w:color w:val="000000"/>
          <w:sz w:val="20"/>
          <w:szCs w:val="20"/>
        </w:rPr>
        <w:t>uare footage in the U.S. and that collectively the five largest self-storage owners in the U.S. own approximately 20%, with the remaining 80% owned by regional and local operators. We believe our Public Storage® brand awareness, as well as our digital cust</w:t>
      </w:r>
      <w:r>
        <w:rPr>
          <w:rFonts w:eastAsia="Times New Roman"/>
          <w:color w:val="000000"/>
          <w:sz w:val="20"/>
          <w:szCs w:val="20"/>
        </w:rPr>
        <w:t>omer experience described below, provide us with a competitive advantage in acquiring and retaining customers relative to other self-storage operators.</w:t>
      </w:r>
    </w:p>
    <w:p w:rsidR="00000000" w:rsidRDefault="00473C5F">
      <w:pPr>
        <w:ind w:firstLine="720"/>
        <w:jc w:val="both"/>
        <w:divId w:val="842865693"/>
        <w:rPr>
          <w:rFonts w:eastAsia="Times New Roman"/>
        </w:rPr>
      </w:pPr>
      <w:r>
        <w:rPr>
          <w:rFonts w:eastAsia="Times New Roman"/>
          <w:color w:val="000000"/>
          <w:sz w:val="20"/>
          <w:szCs w:val="20"/>
        </w:rPr>
        <w:t>The high level of ownership fragmentation in the industry is partially attributable to the relative simp</w:t>
      </w:r>
      <w:r>
        <w:rPr>
          <w:rFonts w:eastAsia="Times New Roman"/>
          <w:color w:val="000000"/>
          <w:sz w:val="20"/>
          <w:szCs w:val="20"/>
        </w:rPr>
        <w:t>licity of managing a local self-storage facility, such that small-scale owners can operate self-storage facilities at a basic level of profitability without significant managerial or operational infrastructure. Our facilities compete with nearby self-stora</w:t>
      </w:r>
      <w:r>
        <w:rPr>
          <w:rFonts w:eastAsia="Times New Roman"/>
          <w:color w:val="000000"/>
          <w:sz w:val="20"/>
          <w:szCs w:val="20"/>
        </w:rPr>
        <w:t>ge facilities owned by other operators, who use marketing channels, including Internet advertising, signage, and banners, and offer services similar to ours. As a result, competition is significant and affects the occupancy levels, rental rates, rental inc</w:t>
      </w:r>
      <w:r>
        <w:rPr>
          <w:rFonts w:eastAsia="Times New Roman"/>
          <w:color w:val="000000"/>
          <w:sz w:val="20"/>
          <w:szCs w:val="20"/>
        </w:rPr>
        <w:t>ome, and operating expenses of our facilities. However, we believe that the economies of scale inherent in this business result in our being able to operate self-storage facilities at a materially higher level of cash flow per square foot than other operat</w:t>
      </w:r>
      <w:r>
        <w:rPr>
          <w:rFonts w:eastAsia="Times New Roman"/>
          <w:color w:val="000000"/>
          <w:sz w:val="20"/>
          <w:szCs w:val="20"/>
        </w:rPr>
        <w:t>ors without our scale.</w:t>
      </w:r>
    </w:p>
    <w:p w:rsidR="00000000" w:rsidRDefault="00473C5F">
      <w:pPr>
        <w:jc w:val="both"/>
        <w:divId w:val="39987792"/>
        <w:rPr>
          <w:rFonts w:eastAsia="Times New Roman"/>
        </w:rPr>
      </w:pPr>
    </w:p>
    <w:p w:rsidR="00000000" w:rsidRDefault="00473C5F">
      <w:pPr>
        <w:jc w:val="center"/>
        <w:divId w:val="1244415318"/>
        <w:rPr>
          <w:rFonts w:eastAsia="Times New Roman"/>
        </w:rPr>
      </w:pPr>
      <w:r>
        <w:rPr>
          <w:rFonts w:eastAsia="Times New Roman"/>
          <w:color w:val="000000"/>
          <w:sz w:val="20"/>
          <w:szCs w:val="20"/>
        </w:rPr>
        <w:t>2</w:t>
      </w:r>
    </w:p>
    <w:p w:rsidR="00000000" w:rsidRDefault="00473C5F">
      <w:pPr>
        <w:rPr>
          <w:rFonts w:eastAsia="Times New Roman"/>
        </w:rPr>
      </w:pPr>
      <w:r>
        <w:rPr>
          <w:rFonts w:eastAsia="Times New Roman"/>
        </w:rPr>
        <w:pict>
          <v:rect id="_x0000_i1028" style="width:0;height:1.5pt" o:hralign="center" o:hrstd="t" o:hr="t" fillcolor="#a0a0a0" stroked="f"/>
        </w:pict>
      </w:r>
    </w:p>
    <w:p w:rsidR="00000000" w:rsidRDefault="00473C5F">
      <w:pPr>
        <w:divId w:val="1172910824"/>
        <w:rPr>
          <w:rFonts w:eastAsia="Times New Roman"/>
        </w:rPr>
      </w:pPr>
    </w:p>
    <w:p w:rsidR="00000000" w:rsidRDefault="00473C5F">
      <w:pPr>
        <w:jc w:val="both"/>
        <w:divId w:val="662709289"/>
        <w:rPr>
          <w:rFonts w:eastAsia="Times New Roman"/>
        </w:rPr>
      </w:pPr>
      <w:r>
        <w:rPr>
          <w:rFonts w:eastAsia="Times New Roman"/>
          <w:b/>
          <w:bCs/>
          <w:color w:val="000000"/>
          <w:sz w:val="20"/>
          <w:szCs w:val="20"/>
          <w:u w:val="single"/>
        </w:rPr>
        <w:t>Technology</w:t>
      </w:r>
    </w:p>
    <w:p w:rsidR="00000000" w:rsidRDefault="00473C5F">
      <w:pPr>
        <w:ind w:firstLine="720"/>
        <w:jc w:val="both"/>
        <w:divId w:val="1238131360"/>
        <w:rPr>
          <w:rFonts w:eastAsia="Times New Roman"/>
        </w:rPr>
      </w:pPr>
      <w:r>
        <w:rPr>
          <w:rFonts w:eastAsia="Times New Roman"/>
          <w:color w:val="000000"/>
          <w:sz w:val="20"/>
          <w:szCs w:val="20"/>
        </w:rPr>
        <w:t>We believe technology enables revenue optimization and cost efficiencies. Over the past few years we have invested in additional technologies that we believe have enabled us to operate and compete more effectively by providing customers with an enhanced di</w:t>
      </w:r>
      <w:r>
        <w:rPr>
          <w:rFonts w:eastAsia="Times New Roman"/>
          <w:color w:val="000000"/>
          <w:sz w:val="20"/>
          <w:szCs w:val="20"/>
        </w:rPr>
        <w:t>gital experience.</w:t>
      </w:r>
    </w:p>
    <w:p w:rsidR="00000000" w:rsidRDefault="00473C5F">
      <w:pPr>
        <w:ind w:firstLine="720"/>
        <w:jc w:val="both"/>
        <w:divId w:val="996227640"/>
        <w:rPr>
          <w:rFonts w:eastAsia="Times New Roman"/>
        </w:rPr>
      </w:pPr>
      <w:r>
        <w:rPr>
          <w:rFonts w:eastAsia="Times New Roman"/>
          <w:b/>
          <w:bCs/>
          <w:i/>
          <w:iCs/>
          <w:color w:val="000000"/>
          <w:sz w:val="20"/>
          <w:szCs w:val="20"/>
        </w:rPr>
        <w:t>Convenient shopping experience:</w:t>
      </w:r>
      <w:r>
        <w:rPr>
          <w:rFonts w:eastAsia="Times New Roman"/>
          <w:color w:val="000000"/>
          <w:sz w:val="20"/>
          <w:szCs w:val="20"/>
        </w:rPr>
        <w:t xml:space="preserve"> Customers can conveniently shop for available storage space, reviewing attributes such as facility location, size, amenities (such as climate-control), and pricing through the following marketing channels:</w:t>
      </w:r>
    </w:p>
    <w:p w:rsidR="00000000" w:rsidRDefault="00473C5F">
      <w:pPr>
        <w:ind w:hanging="360"/>
        <w:jc w:val="both"/>
        <w:divId w:val="518353734"/>
        <w:rPr>
          <w:rFonts w:eastAsia="Times New Roman"/>
        </w:rPr>
      </w:pPr>
      <w:r>
        <w:rPr>
          <w:rFonts w:eastAsia="Times New Roman"/>
          <w:b/>
          <w:bCs/>
          <w:i/>
          <w:iCs/>
          <w:color w:val="000000"/>
          <w:sz w:val="20"/>
          <w:szCs w:val="20"/>
        </w:rPr>
        <w:t>•Our Website:</w:t>
      </w:r>
      <w:r>
        <w:rPr>
          <w:rFonts w:eastAsia="Times New Roman"/>
          <w:color w:val="000000"/>
          <w:sz w:val="20"/>
          <w:szCs w:val="20"/>
        </w:rPr>
        <w:t xml:space="preserve"> The online marketing channel is a key source of customers. Approximately 79% of our move-ins in 2022 were sourced through our website and we believe that many of our other customers who reserved directly through our customer care center or ar</w:t>
      </w:r>
      <w:r>
        <w:rPr>
          <w:rFonts w:eastAsia="Times New Roman"/>
          <w:color w:val="000000"/>
          <w:sz w:val="20"/>
          <w:szCs w:val="20"/>
        </w:rPr>
        <w:t>rived at a facility and moved in without a reservation, have reviewed our pricing and availability online through our website. We seek to update the structure, layout, and content of our website regularly in order to enhance our placement in “unpaid” searc</w:t>
      </w:r>
      <w:r>
        <w:rPr>
          <w:rFonts w:eastAsia="Times New Roman"/>
          <w:color w:val="000000"/>
          <w:sz w:val="20"/>
          <w:szCs w:val="20"/>
        </w:rPr>
        <w:t>h in Google and related websites, to improve the efficiency of our bids in “paid” search campaigns, and to maximize users’ likelihood of reserving space on our website.</w:t>
      </w:r>
    </w:p>
    <w:p w:rsidR="00000000" w:rsidRDefault="00473C5F">
      <w:pPr>
        <w:ind w:hanging="360"/>
        <w:jc w:val="both"/>
        <w:divId w:val="1818716316"/>
        <w:rPr>
          <w:rFonts w:eastAsia="Times New Roman"/>
        </w:rPr>
      </w:pPr>
      <w:r>
        <w:rPr>
          <w:rFonts w:eastAsia="Times New Roman"/>
          <w:b/>
          <w:bCs/>
          <w:i/>
          <w:iCs/>
          <w:color w:val="000000"/>
          <w:sz w:val="20"/>
          <w:szCs w:val="20"/>
        </w:rPr>
        <w:t>•Our Customer Care Center:</w:t>
      </w:r>
      <w:r>
        <w:rPr>
          <w:rFonts w:eastAsia="Times New Roman"/>
          <w:color w:val="000000"/>
          <w:sz w:val="20"/>
          <w:szCs w:val="20"/>
        </w:rPr>
        <w:t xml:space="preserve"> Our customer care center is staffed by skilled sales special</w:t>
      </w:r>
      <w:r>
        <w:rPr>
          <w:rFonts w:eastAsia="Times New Roman"/>
          <w:color w:val="000000"/>
          <w:sz w:val="20"/>
          <w:szCs w:val="20"/>
        </w:rPr>
        <w:t>ists and customer service representatives. Customers reach our customer care center by calling our advertised toll-free telephone numbers provided on search engines, from our website, the Public Storage App, or from our in-store kiosks. We believe giving c</w:t>
      </w:r>
      <w:r>
        <w:rPr>
          <w:rFonts w:eastAsia="Times New Roman"/>
          <w:color w:val="000000"/>
          <w:sz w:val="20"/>
          <w:szCs w:val="20"/>
        </w:rPr>
        <w:t xml:space="preserve">ustomers the option to interact with a live agent, despite the higher marginal cost relative to a reservation made on our website, enhances our ability to close sales with potential customers and results in greater satisfaction. We also have live Internet </w:t>
      </w:r>
      <w:r>
        <w:rPr>
          <w:rFonts w:eastAsia="Times New Roman"/>
          <w:color w:val="000000"/>
          <w:sz w:val="20"/>
          <w:szCs w:val="20"/>
        </w:rPr>
        <w:t>chat capability as another channel for our customers to engage our agents, cost effectively improving customer responsiveness.</w:t>
      </w:r>
    </w:p>
    <w:p w:rsidR="00000000" w:rsidRDefault="00473C5F">
      <w:pPr>
        <w:ind w:hanging="360"/>
        <w:jc w:val="both"/>
        <w:divId w:val="1448040728"/>
        <w:rPr>
          <w:rFonts w:eastAsia="Times New Roman"/>
        </w:rPr>
      </w:pPr>
      <w:r>
        <w:rPr>
          <w:rFonts w:eastAsia="Times New Roman"/>
          <w:color w:val="000000"/>
          <w:sz w:val="20"/>
          <w:szCs w:val="20"/>
        </w:rPr>
        <w:t>•</w:t>
      </w:r>
      <w:r>
        <w:rPr>
          <w:rFonts w:eastAsia="Times New Roman"/>
          <w:b/>
          <w:bCs/>
          <w:i/>
          <w:iCs/>
          <w:color w:val="000000"/>
          <w:sz w:val="20"/>
          <w:szCs w:val="20"/>
        </w:rPr>
        <w:t>Our Properties:</w:t>
      </w:r>
      <w:r>
        <w:rPr>
          <w:rFonts w:eastAsia="Times New Roman"/>
          <w:color w:val="000000"/>
          <w:sz w:val="20"/>
          <w:szCs w:val="20"/>
        </w:rPr>
        <w:t xml:space="preserve"> </w:t>
      </w:r>
      <w:r>
        <w:rPr>
          <w:rFonts w:eastAsia="Times New Roman"/>
          <w:color w:val="000000"/>
          <w:sz w:val="20"/>
          <w:szCs w:val="20"/>
        </w:rPr>
        <w:t>Customers can also shop for available space at any one of our facilities. Property managers access the same information that is available on our website and to our customer care center agents and can inform the customer of available space at that site or a</w:t>
      </w:r>
      <w:r>
        <w:rPr>
          <w:rFonts w:eastAsia="Times New Roman"/>
          <w:color w:val="000000"/>
          <w:sz w:val="20"/>
          <w:szCs w:val="20"/>
        </w:rPr>
        <w:t>t our other nearby storage facilities. Property managers are trained to maximize the conversion of such “walk in” shoppers into customers. We are expanding the use of in-store kiosks to give customers the options of a full self-service experience or a two-</w:t>
      </w:r>
      <w:r>
        <w:rPr>
          <w:rFonts w:eastAsia="Times New Roman"/>
          <w:color w:val="000000"/>
          <w:sz w:val="20"/>
          <w:szCs w:val="20"/>
        </w:rPr>
        <w:t>way video assisted service via our existing customer care center.</w:t>
      </w:r>
    </w:p>
    <w:p w:rsidR="00000000" w:rsidRDefault="00473C5F">
      <w:pPr>
        <w:ind w:firstLine="720"/>
        <w:jc w:val="both"/>
        <w:divId w:val="447699381"/>
        <w:rPr>
          <w:rFonts w:eastAsia="Times New Roman"/>
        </w:rPr>
      </w:pPr>
      <w:r>
        <w:rPr>
          <w:rFonts w:eastAsia="Times New Roman"/>
          <w:b/>
          <w:bCs/>
          <w:i/>
          <w:iCs/>
          <w:color w:val="000000"/>
          <w:sz w:val="20"/>
          <w:szCs w:val="20"/>
        </w:rPr>
        <w:t>eRental® move-in process:</w:t>
      </w:r>
      <w:r>
        <w:rPr>
          <w:rFonts w:eastAsia="Times New Roman"/>
          <w:color w:val="000000"/>
          <w:sz w:val="20"/>
          <w:szCs w:val="20"/>
        </w:rPr>
        <w:t xml:space="preserve"> To further enhance the move-in experience, we offer our eRental® process whereby prospective tenants (including those who initially reserved a space) are able to ex</w:t>
      </w:r>
      <w:r>
        <w:rPr>
          <w:rFonts w:eastAsia="Times New Roman"/>
          <w:color w:val="000000"/>
          <w:sz w:val="20"/>
          <w:szCs w:val="20"/>
        </w:rPr>
        <w:t>ecute their rental agreement from their smartphone or computer and then go directly to their space on the move-in date. More than half of customers utilized our eRental® process during 2022.</w:t>
      </w:r>
    </w:p>
    <w:p w:rsidR="00000000" w:rsidRDefault="00473C5F">
      <w:pPr>
        <w:ind w:firstLine="720"/>
        <w:jc w:val="both"/>
        <w:divId w:val="322971280"/>
        <w:rPr>
          <w:rFonts w:eastAsia="Times New Roman"/>
        </w:rPr>
      </w:pPr>
      <w:r>
        <w:rPr>
          <w:rFonts w:eastAsia="Times New Roman"/>
          <w:b/>
          <w:bCs/>
          <w:i/>
          <w:iCs/>
          <w:color w:val="000000"/>
          <w:sz w:val="20"/>
          <w:szCs w:val="20"/>
        </w:rPr>
        <w:t>Public Storage App:</w:t>
      </w:r>
      <w:r>
        <w:rPr>
          <w:rFonts w:eastAsia="Times New Roman"/>
          <w:color w:val="000000"/>
          <w:sz w:val="20"/>
          <w:szCs w:val="20"/>
        </w:rPr>
        <w:t xml:space="preserve"> We maintain an industry leading customer smar</w:t>
      </w:r>
      <w:r>
        <w:rPr>
          <w:rFonts w:eastAsia="Times New Roman"/>
          <w:color w:val="000000"/>
          <w:sz w:val="20"/>
          <w:szCs w:val="20"/>
        </w:rPr>
        <w:t>tphone application. The Public Storage App provides our customers with digital access to our properties, as well as payment and other account management functions.</w:t>
      </w:r>
    </w:p>
    <w:p w:rsidR="00000000" w:rsidRDefault="00473C5F">
      <w:pPr>
        <w:ind w:firstLine="720"/>
        <w:jc w:val="both"/>
        <w:divId w:val="76948177"/>
        <w:rPr>
          <w:rFonts w:eastAsia="Times New Roman"/>
        </w:rPr>
      </w:pPr>
      <w:r>
        <w:rPr>
          <w:rFonts w:eastAsia="Times New Roman"/>
          <w:b/>
          <w:bCs/>
          <w:i/>
          <w:iCs/>
          <w:color w:val="000000"/>
          <w:sz w:val="20"/>
          <w:szCs w:val="20"/>
        </w:rPr>
        <w:t>Centralized information network:</w:t>
      </w:r>
      <w:r>
        <w:rPr>
          <w:rFonts w:eastAsia="Times New Roman"/>
          <w:color w:val="000000"/>
          <w:sz w:val="20"/>
          <w:szCs w:val="20"/>
        </w:rPr>
        <w:t xml:space="preserve"> Our centralized reporting and information network enables u</w:t>
      </w:r>
      <w:r>
        <w:rPr>
          <w:rFonts w:eastAsia="Times New Roman"/>
          <w:color w:val="000000"/>
          <w:sz w:val="20"/>
          <w:szCs w:val="20"/>
        </w:rPr>
        <w:t>s to identify changing market conditions and operating trends and analyze customer data. Our network allows us to quickly change each of our individual property’s pricing and promotions, and drive marketing spending, such as the relative level of bidding f</w:t>
      </w:r>
      <w:r>
        <w:rPr>
          <w:rFonts w:eastAsia="Times New Roman"/>
          <w:color w:val="000000"/>
          <w:sz w:val="20"/>
          <w:szCs w:val="20"/>
        </w:rPr>
        <w:t>or various paid search terms on paid search engines.</w:t>
      </w:r>
    </w:p>
    <w:p w:rsidR="00000000" w:rsidRDefault="00473C5F">
      <w:pPr>
        <w:jc w:val="both"/>
        <w:divId w:val="779253217"/>
        <w:rPr>
          <w:rFonts w:eastAsia="Times New Roman"/>
        </w:rPr>
      </w:pPr>
      <w:r>
        <w:rPr>
          <w:rFonts w:eastAsia="Times New Roman"/>
          <w:b/>
          <w:bCs/>
          <w:color w:val="000000"/>
          <w:sz w:val="20"/>
          <w:szCs w:val="20"/>
          <w:u w:val="single"/>
        </w:rPr>
        <w:t>Growth and Investment Strategies</w:t>
      </w:r>
    </w:p>
    <w:p w:rsidR="00000000" w:rsidRDefault="00473C5F">
      <w:pPr>
        <w:ind w:firstLine="720"/>
        <w:jc w:val="both"/>
        <w:divId w:val="1515072041"/>
        <w:rPr>
          <w:rFonts w:eastAsia="Times New Roman"/>
        </w:rPr>
      </w:pPr>
      <w:r>
        <w:rPr>
          <w:rFonts w:eastAsia="Times New Roman"/>
          <w:color w:val="000000"/>
          <w:sz w:val="20"/>
          <w:szCs w:val="20"/>
        </w:rPr>
        <w:t>Our ongoing growth strategies consist of: (i) improving the operating performance of our existing self-storage facilities, (ii) acquiring and developing facilities, and (</w:t>
      </w:r>
      <w:r>
        <w:rPr>
          <w:rFonts w:eastAsia="Times New Roman"/>
          <w:color w:val="000000"/>
          <w:sz w:val="20"/>
          <w:szCs w:val="20"/>
        </w:rPr>
        <w:t>iii) growing ancillary business activities including tenant reinsurance and third-party management services. While our long-term strategy includes each of these elements, in the short term the level of growth in our asset base in any period is dependent up</w:t>
      </w:r>
      <w:r>
        <w:rPr>
          <w:rFonts w:eastAsia="Times New Roman"/>
          <w:color w:val="000000"/>
          <w:sz w:val="20"/>
          <w:szCs w:val="20"/>
        </w:rPr>
        <w:t>on the cost and availability of capital, as well as the relative attractiveness of available investment alternatives.</w:t>
      </w:r>
    </w:p>
    <w:p w:rsidR="00000000" w:rsidRDefault="00473C5F">
      <w:pPr>
        <w:ind w:firstLine="720"/>
        <w:jc w:val="both"/>
        <w:divId w:val="1786582092"/>
        <w:rPr>
          <w:rFonts w:eastAsia="Times New Roman"/>
        </w:rPr>
      </w:pPr>
      <w:r>
        <w:rPr>
          <w:rFonts w:eastAsia="Times New Roman"/>
          <w:b/>
          <w:bCs/>
          <w:i/>
          <w:iCs/>
          <w:color w:val="000000"/>
          <w:sz w:val="20"/>
          <w:szCs w:val="20"/>
        </w:rPr>
        <w:t>Improve the operating performance of existing facilities:</w:t>
      </w:r>
      <w:r>
        <w:rPr>
          <w:rFonts w:eastAsia="Times New Roman"/>
          <w:color w:val="000000"/>
          <w:sz w:val="20"/>
          <w:szCs w:val="20"/>
        </w:rPr>
        <w:t xml:space="preserve"> We regularly update and enhance our strategies to increase the net cash flow of </w:t>
      </w:r>
      <w:r>
        <w:rPr>
          <w:rFonts w:eastAsia="Times New Roman"/>
          <w:color w:val="000000"/>
          <w:sz w:val="20"/>
          <w:szCs w:val="20"/>
        </w:rPr>
        <w:t xml:space="preserve">our existing self-storage facilities through maximizing revenues and controlling operating costs. We maximize revenues through striking the appropriate balance between occupancy and rates to new and existing </w:t>
      </w:r>
    </w:p>
    <w:p w:rsidR="00000000" w:rsidRDefault="00473C5F">
      <w:pPr>
        <w:jc w:val="center"/>
        <w:divId w:val="730735226"/>
        <w:rPr>
          <w:rFonts w:eastAsia="Times New Roman"/>
        </w:rPr>
      </w:pPr>
      <w:r>
        <w:rPr>
          <w:rFonts w:eastAsia="Times New Roman"/>
          <w:color w:val="000000"/>
          <w:sz w:val="20"/>
          <w:szCs w:val="20"/>
        </w:rPr>
        <w:t>3</w:t>
      </w:r>
    </w:p>
    <w:p w:rsidR="00000000" w:rsidRDefault="00473C5F">
      <w:pPr>
        <w:rPr>
          <w:rFonts w:eastAsia="Times New Roman"/>
        </w:rPr>
      </w:pPr>
      <w:r>
        <w:rPr>
          <w:rFonts w:eastAsia="Times New Roman"/>
        </w:rPr>
        <w:pict>
          <v:rect id="_x0000_i1029" style="width:0;height:1.5pt" o:hralign="center" o:hrstd="t" o:hr="t" fillcolor="#a0a0a0" stroked="f"/>
        </w:pict>
      </w:r>
    </w:p>
    <w:p w:rsidR="00000000" w:rsidRDefault="00473C5F">
      <w:pPr>
        <w:divId w:val="75518770"/>
        <w:rPr>
          <w:rFonts w:eastAsia="Times New Roman"/>
        </w:rPr>
      </w:pPr>
    </w:p>
    <w:p w:rsidR="00000000" w:rsidRDefault="00473C5F">
      <w:pPr>
        <w:jc w:val="both"/>
        <w:divId w:val="413625548"/>
        <w:rPr>
          <w:rFonts w:eastAsia="Times New Roman"/>
        </w:rPr>
      </w:pPr>
      <w:r>
        <w:rPr>
          <w:rFonts w:eastAsia="Times New Roman"/>
          <w:color w:val="000000"/>
          <w:sz w:val="20"/>
          <w:szCs w:val="20"/>
        </w:rPr>
        <w:t>tenant</w:t>
      </w:r>
      <w:r>
        <w:rPr>
          <w:rFonts w:eastAsia="Times New Roman"/>
          <w:color w:val="000000"/>
          <w:sz w:val="20"/>
          <w:szCs w:val="20"/>
        </w:rPr>
        <w:t>s by regularly adjusting (i) our promotional and other discounts, (ii) the rental rates we charge to new and existing customers, and (iii) our marketing spending and intensity. We inform these pricing and marketing decisions by observing their impact on we</w:t>
      </w:r>
      <w:r>
        <w:rPr>
          <w:rFonts w:eastAsia="Times New Roman"/>
          <w:color w:val="000000"/>
          <w:sz w:val="20"/>
          <w:szCs w:val="20"/>
        </w:rPr>
        <w:t>b and customer care center traffic, reservations, move-ins, move-outs, tenant length of stay, and other indicators of response. The size and scope of our operations have enabled us to achieve high operating margins and a low level of administrative costs r</w:t>
      </w:r>
      <w:r>
        <w:rPr>
          <w:rFonts w:eastAsia="Times New Roman"/>
          <w:color w:val="000000"/>
          <w:sz w:val="20"/>
          <w:szCs w:val="20"/>
        </w:rPr>
        <w:t>elative to revenues through the centralization of many functions, such as facility maintenance, employee compensation and benefits programs, revenue management, and the development and documentation of standardized operating procedures.</w:t>
      </w:r>
    </w:p>
    <w:p w:rsidR="00000000" w:rsidRDefault="00473C5F">
      <w:pPr>
        <w:ind w:firstLine="720"/>
        <w:jc w:val="both"/>
        <w:divId w:val="1890917176"/>
        <w:rPr>
          <w:rFonts w:eastAsia="Times New Roman"/>
        </w:rPr>
      </w:pPr>
      <w:r>
        <w:rPr>
          <w:rFonts w:eastAsia="Times New Roman"/>
          <w:b/>
          <w:bCs/>
          <w:i/>
          <w:iCs/>
          <w:color w:val="000000"/>
          <w:sz w:val="20"/>
          <w:szCs w:val="20"/>
        </w:rPr>
        <w:t>Acquire existing pr</w:t>
      </w:r>
      <w:r>
        <w:rPr>
          <w:rFonts w:eastAsia="Times New Roman"/>
          <w:b/>
          <w:bCs/>
          <w:i/>
          <w:iCs/>
          <w:color w:val="000000"/>
          <w:sz w:val="20"/>
          <w:szCs w:val="20"/>
        </w:rPr>
        <w:t>operties:</w:t>
      </w:r>
      <w:r>
        <w:rPr>
          <w:rFonts w:eastAsia="Times New Roman"/>
          <w:color w:val="000000"/>
          <w:sz w:val="20"/>
          <w:szCs w:val="20"/>
        </w:rPr>
        <w:t xml:space="preserve"> We seek to capitalize on the fragmentation of the self-storage industry through acquiring attractively priced, well-located existing self-storage facilities. We believe our presence in and knowledge of substantially all of the major markets in th</w:t>
      </w:r>
      <w:r>
        <w:rPr>
          <w:rFonts w:eastAsia="Times New Roman"/>
          <w:color w:val="000000"/>
          <w:sz w:val="20"/>
          <w:szCs w:val="20"/>
        </w:rPr>
        <w:t>e U.S. enhances our ability to identify attractive acquisition opportunities. Data on the rental rates and occupancy levels of our existing facilities provide us an advantage in evaluating the potential of acquisition opportunities. Our aggressiveness in b</w:t>
      </w:r>
      <w:r>
        <w:rPr>
          <w:rFonts w:eastAsia="Times New Roman"/>
          <w:color w:val="000000"/>
          <w:sz w:val="20"/>
          <w:szCs w:val="20"/>
        </w:rPr>
        <w:t>idding for particular marketed facilities depends upon many factors including the potential for future growth, the quality of construction and location, the cash flow we expect from the facility when operated on our platform, how well the facility fits int</w:t>
      </w:r>
      <w:r>
        <w:rPr>
          <w:rFonts w:eastAsia="Times New Roman"/>
          <w:color w:val="000000"/>
          <w:sz w:val="20"/>
          <w:szCs w:val="20"/>
        </w:rPr>
        <w:t>o our current geographic footprint, and our return on capital expectations.</w:t>
      </w:r>
    </w:p>
    <w:p w:rsidR="00000000" w:rsidRDefault="00473C5F">
      <w:pPr>
        <w:ind w:firstLine="720"/>
        <w:jc w:val="both"/>
        <w:divId w:val="1435394692"/>
        <w:rPr>
          <w:rFonts w:eastAsia="Times New Roman"/>
        </w:rPr>
      </w:pPr>
      <w:r>
        <w:rPr>
          <w:rFonts w:eastAsia="Times New Roman"/>
          <w:b/>
          <w:bCs/>
          <w:i/>
          <w:iCs/>
          <w:color w:val="000000"/>
          <w:sz w:val="20"/>
          <w:szCs w:val="20"/>
        </w:rPr>
        <w:t>Develop new self-storage facilities and expand existing facilities:</w:t>
      </w:r>
      <w:r>
        <w:rPr>
          <w:rFonts w:eastAsia="Times New Roman"/>
          <w:color w:val="000000"/>
          <w:sz w:val="20"/>
          <w:szCs w:val="20"/>
        </w:rPr>
        <w:t xml:space="preserve"> The development of new self-storage locations and the expansion of existing facilities has been an important sou</w:t>
      </w:r>
      <w:r>
        <w:rPr>
          <w:rFonts w:eastAsia="Times New Roman"/>
          <w:color w:val="000000"/>
          <w:sz w:val="20"/>
          <w:szCs w:val="20"/>
        </w:rPr>
        <w:t>rce of our growth. Our operating experience in major markets and experience in stabilizing new properties provides us advantages in developing new facilities. We plan to increase our development activity when we identify attractive risk adjusted return pro</w:t>
      </w:r>
      <w:r>
        <w:rPr>
          <w:rFonts w:eastAsia="Times New Roman"/>
          <w:color w:val="000000"/>
          <w:sz w:val="20"/>
          <w:szCs w:val="20"/>
        </w:rPr>
        <w:t xml:space="preserve">files with yields above those of acquisitions. However, our level of development is dependent upon many factors, including the cost and availability of land, the cost and availability of construction materials and labor, zoning and permitting limitations, </w:t>
      </w:r>
      <w:r>
        <w:rPr>
          <w:rFonts w:eastAsia="Times New Roman"/>
          <w:color w:val="000000"/>
          <w:sz w:val="20"/>
          <w:szCs w:val="20"/>
        </w:rPr>
        <w:t>our cost of capital, the cost of acquiring facilities relative to developing new facilities, and local demand and economic conditions.</w:t>
      </w:r>
    </w:p>
    <w:p w:rsidR="00000000" w:rsidRDefault="00473C5F">
      <w:pPr>
        <w:ind w:firstLine="720"/>
        <w:jc w:val="both"/>
        <w:divId w:val="254899767"/>
        <w:rPr>
          <w:rFonts w:eastAsia="Times New Roman"/>
        </w:rPr>
      </w:pPr>
      <w:r>
        <w:rPr>
          <w:rFonts w:eastAsia="Times New Roman"/>
          <w:b/>
          <w:bCs/>
          <w:i/>
          <w:iCs/>
          <w:color w:val="000000"/>
          <w:sz w:val="20"/>
          <w:szCs w:val="20"/>
        </w:rPr>
        <w:t>Grow ancillary business activities:</w:t>
      </w:r>
      <w:r>
        <w:rPr>
          <w:rFonts w:eastAsia="Times New Roman"/>
          <w:color w:val="000000"/>
          <w:sz w:val="20"/>
          <w:szCs w:val="20"/>
        </w:rPr>
        <w:t xml:space="preserve"> We pursue growth initiatives aimed at increasing our insurance offering coverage for </w:t>
      </w:r>
      <w:r>
        <w:rPr>
          <w:rFonts w:eastAsia="Times New Roman"/>
          <w:color w:val="000000"/>
          <w:sz w:val="20"/>
          <w:szCs w:val="20"/>
        </w:rPr>
        <w:t>tenants who choose to protect their stored items against loss and desire to maximize their storage experience. As we grow our self-storage portfolio we have the opportunity to increase the growth profile of our tenant reinsurance business.</w:t>
      </w:r>
    </w:p>
    <w:p w:rsidR="00000000" w:rsidRDefault="00473C5F">
      <w:pPr>
        <w:ind w:firstLine="720"/>
        <w:jc w:val="both"/>
        <w:divId w:val="1175804288"/>
        <w:rPr>
          <w:rFonts w:eastAsia="Times New Roman"/>
        </w:rPr>
      </w:pPr>
      <w:r>
        <w:rPr>
          <w:rFonts w:eastAsia="Times New Roman"/>
          <w:color w:val="000000"/>
          <w:sz w:val="20"/>
          <w:szCs w:val="20"/>
        </w:rPr>
        <w:t xml:space="preserve">Our third party </w:t>
      </w:r>
      <w:r>
        <w:rPr>
          <w:rFonts w:eastAsia="Times New Roman"/>
          <w:color w:val="000000"/>
          <w:sz w:val="20"/>
          <w:szCs w:val="20"/>
        </w:rPr>
        <w:t>management business enables us to generate revenues through management fees, expand our presence, increase our economies of scale, promote our brand, and enhance our ability to acquire additional facilities over the medium and long-term as a result of stra</w:t>
      </w:r>
      <w:r>
        <w:rPr>
          <w:rFonts w:eastAsia="Times New Roman"/>
          <w:color w:val="000000"/>
          <w:sz w:val="20"/>
          <w:szCs w:val="20"/>
        </w:rPr>
        <w:t>tegic relationships forged with third-party owners.</w:t>
      </w:r>
    </w:p>
    <w:p w:rsidR="00000000" w:rsidRDefault="00473C5F">
      <w:pPr>
        <w:jc w:val="both"/>
        <w:divId w:val="465390397"/>
        <w:rPr>
          <w:rFonts w:eastAsia="Times New Roman"/>
        </w:rPr>
      </w:pPr>
      <w:r>
        <w:rPr>
          <w:rFonts w:eastAsia="Times New Roman"/>
          <w:b/>
          <w:bCs/>
          <w:color w:val="000000"/>
          <w:sz w:val="20"/>
          <w:szCs w:val="20"/>
          <w:u w:val="single"/>
        </w:rPr>
        <w:t>Compliance with Government Regulations</w:t>
      </w:r>
    </w:p>
    <w:p w:rsidR="00000000" w:rsidRDefault="00473C5F">
      <w:pPr>
        <w:ind w:firstLine="720"/>
        <w:jc w:val="both"/>
        <w:divId w:val="163596048"/>
        <w:rPr>
          <w:rFonts w:eastAsia="Times New Roman"/>
        </w:rPr>
      </w:pPr>
      <w:r>
        <w:rPr>
          <w:rFonts w:eastAsia="Times New Roman"/>
          <w:color w:val="000000"/>
          <w:sz w:val="20"/>
          <w:szCs w:val="20"/>
        </w:rPr>
        <w:t>We are subject to various laws, ordinances, and regulations, including various federal, state, and local regulations that apply generally to the ownership of real pr</w:t>
      </w:r>
      <w:r>
        <w:rPr>
          <w:rFonts w:eastAsia="Times New Roman"/>
          <w:color w:val="000000"/>
          <w:sz w:val="20"/>
          <w:szCs w:val="20"/>
        </w:rPr>
        <w:t>operty and the operation of self-storage facilities. These include various laws and regulations concerning environmental matters, labor matters, and employee safety and health matters. Further, our insurance activities are subject to state insurance laws a</w:t>
      </w:r>
      <w:r>
        <w:rPr>
          <w:rFonts w:eastAsia="Times New Roman"/>
          <w:color w:val="000000"/>
          <w:sz w:val="20"/>
          <w:szCs w:val="20"/>
        </w:rPr>
        <w:t>nd regulations as determined by the particular insurance commissioner for each state in accordance with certain federal regulations.</w:t>
      </w:r>
    </w:p>
    <w:p w:rsidR="00000000" w:rsidRDefault="00473C5F">
      <w:pPr>
        <w:ind w:firstLine="720"/>
        <w:jc w:val="both"/>
        <w:divId w:val="1209150610"/>
        <w:rPr>
          <w:rFonts w:eastAsia="Times New Roman"/>
        </w:rPr>
      </w:pPr>
      <w:r>
        <w:rPr>
          <w:rFonts w:eastAsia="Times New Roman"/>
          <w:color w:val="000000"/>
          <w:sz w:val="20"/>
          <w:szCs w:val="20"/>
        </w:rPr>
        <w:t>We are committed to a long-term environmental stewardship program that reduces emissions of hazardous materials into the en</w:t>
      </w:r>
      <w:r>
        <w:rPr>
          <w:rFonts w:eastAsia="Times New Roman"/>
          <w:color w:val="000000"/>
          <w:sz w:val="20"/>
          <w:szCs w:val="20"/>
        </w:rPr>
        <w:t>vironment and the remediation of identified existing environmental concerns, including environmentally-friendly capital initiatives and building and operating properties with high structural resilience and low obsolescence. We accrue environmental assessme</w:t>
      </w:r>
      <w:r>
        <w:rPr>
          <w:rFonts w:eastAsia="Times New Roman"/>
          <w:color w:val="000000"/>
          <w:sz w:val="20"/>
          <w:szCs w:val="20"/>
        </w:rPr>
        <w:t>nts and estimated remediation costs when it is probable that such efforts will be required and the related costs can be reasonably estimated. Our current practice is to conduct environmental investigations in connection with property acquisitions. Although</w:t>
      </w:r>
      <w:r>
        <w:rPr>
          <w:rFonts w:eastAsia="Times New Roman"/>
          <w:color w:val="000000"/>
          <w:sz w:val="20"/>
          <w:szCs w:val="20"/>
        </w:rPr>
        <w:t xml:space="preserve"> there can be no assurance, we are not aware of any environmental contamination of any of our facilities that individually or in the aggregate would be material to our overall business, financial condition, or results of operations.</w:t>
      </w:r>
    </w:p>
    <w:p w:rsidR="00000000" w:rsidRDefault="00473C5F">
      <w:pPr>
        <w:ind w:firstLine="720"/>
        <w:jc w:val="both"/>
        <w:divId w:val="2147115004"/>
        <w:rPr>
          <w:rFonts w:eastAsia="Times New Roman"/>
        </w:rPr>
      </w:pPr>
      <w:r>
        <w:rPr>
          <w:rFonts w:eastAsia="Times New Roman"/>
          <w:color w:val="000000"/>
          <w:sz w:val="20"/>
          <w:szCs w:val="20"/>
        </w:rPr>
        <w:t>Refer to Item 1A, “Risk</w:t>
      </w:r>
      <w:r>
        <w:rPr>
          <w:rFonts w:eastAsia="Times New Roman"/>
          <w:color w:val="000000"/>
          <w:sz w:val="20"/>
          <w:szCs w:val="20"/>
        </w:rPr>
        <w:t xml:space="preserve"> Factors” below for a discussion of certain risks related to government regulations, including risks related to environmental regulations, emergency regulations adopted in response to wildfires, flooding, or public health crises that restrict access to our</w:t>
      </w:r>
      <w:r>
        <w:rPr>
          <w:rFonts w:eastAsia="Times New Roman"/>
          <w:color w:val="000000"/>
          <w:sz w:val="20"/>
          <w:szCs w:val="20"/>
        </w:rPr>
        <w:t xml:space="preserve"> facilities or the rents we can charge our customers, wage regulations, income tax regulations including relating to REIT qualification, and property tax regulations. </w:t>
      </w:r>
    </w:p>
    <w:p w:rsidR="00000000" w:rsidRDefault="00473C5F">
      <w:pPr>
        <w:jc w:val="center"/>
        <w:divId w:val="1485274250"/>
        <w:rPr>
          <w:rFonts w:eastAsia="Times New Roman"/>
        </w:rPr>
      </w:pPr>
      <w:r>
        <w:rPr>
          <w:rFonts w:eastAsia="Times New Roman"/>
          <w:color w:val="000000"/>
          <w:sz w:val="20"/>
          <w:szCs w:val="20"/>
        </w:rPr>
        <w:t>4</w:t>
      </w:r>
    </w:p>
    <w:p w:rsidR="00000000" w:rsidRDefault="00473C5F">
      <w:pPr>
        <w:rPr>
          <w:rFonts w:eastAsia="Times New Roman"/>
        </w:rPr>
      </w:pPr>
      <w:r>
        <w:rPr>
          <w:rFonts w:eastAsia="Times New Roman"/>
        </w:rPr>
        <w:pict>
          <v:rect id="_x0000_i1030" style="width:0;height:1.5pt" o:hralign="center" o:hrstd="t" o:hr="t" fillcolor="#a0a0a0" stroked="f"/>
        </w:pict>
      </w:r>
    </w:p>
    <w:p w:rsidR="00000000" w:rsidRDefault="00473C5F">
      <w:pPr>
        <w:divId w:val="1053580123"/>
        <w:rPr>
          <w:rFonts w:eastAsia="Times New Roman"/>
        </w:rPr>
      </w:pPr>
    </w:p>
    <w:p w:rsidR="00000000" w:rsidRDefault="00473C5F">
      <w:pPr>
        <w:ind w:firstLine="720"/>
        <w:jc w:val="both"/>
        <w:divId w:val="1085423121"/>
        <w:rPr>
          <w:rFonts w:eastAsia="Times New Roman"/>
        </w:rPr>
      </w:pPr>
      <w:r>
        <w:rPr>
          <w:rFonts w:eastAsia="Times New Roman"/>
          <w:color w:val="000000"/>
          <w:sz w:val="20"/>
          <w:szCs w:val="20"/>
        </w:rPr>
        <w:t xml:space="preserve">Aside from the regulations discussed therein, we are not aware of any government regulations that have resulted or that we expect will result in compliance costs that had or will have a material effect on our capital expenditures, earnings, or competitive </w:t>
      </w:r>
      <w:r>
        <w:rPr>
          <w:rFonts w:eastAsia="Times New Roman"/>
          <w:color w:val="000000"/>
          <w:sz w:val="20"/>
          <w:szCs w:val="20"/>
        </w:rPr>
        <w:t xml:space="preserve">position. </w:t>
      </w:r>
    </w:p>
    <w:p w:rsidR="00000000" w:rsidRDefault="00473C5F">
      <w:pPr>
        <w:divId w:val="1007096619"/>
        <w:rPr>
          <w:rFonts w:eastAsia="Times New Roman"/>
        </w:rPr>
      </w:pPr>
      <w:r>
        <w:rPr>
          <w:rFonts w:eastAsia="Times New Roman"/>
          <w:b/>
          <w:bCs/>
          <w:color w:val="000000"/>
          <w:sz w:val="20"/>
          <w:szCs w:val="20"/>
          <w:u w:val="single"/>
        </w:rPr>
        <w:t>Human Capital Resources</w:t>
      </w:r>
    </w:p>
    <w:p w:rsidR="00000000" w:rsidRDefault="00473C5F">
      <w:pPr>
        <w:ind w:firstLine="720"/>
        <w:jc w:val="both"/>
        <w:divId w:val="1873691230"/>
        <w:rPr>
          <w:rFonts w:eastAsia="Times New Roman"/>
        </w:rPr>
      </w:pPr>
      <w:r>
        <w:rPr>
          <w:rFonts w:eastAsia="Times New Roman"/>
          <w:color w:val="000000"/>
          <w:sz w:val="20"/>
          <w:szCs w:val="20"/>
        </w:rPr>
        <w:t>Our employees are the foundation of our business and fundamental to our ability to execute our corporate strategies and build long-term value for our stakeholders. In order to maintain a strong foundation, our key human c</w:t>
      </w:r>
      <w:r>
        <w:rPr>
          <w:rFonts w:eastAsia="Times New Roman"/>
          <w:color w:val="000000"/>
          <w:sz w:val="20"/>
          <w:szCs w:val="20"/>
        </w:rPr>
        <w:t>apital management objectives are to attract, develop, and retain the highest quality talent. We achieve these objectives by committing to our employees to provide a diverse and inclusive workplace, regular and open communication, competitive and supportive</w:t>
      </w:r>
      <w:r>
        <w:rPr>
          <w:rFonts w:eastAsia="Times New Roman"/>
          <w:color w:val="000000"/>
          <w:sz w:val="20"/>
          <w:szCs w:val="20"/>
        </w:rPr>
        <w:t xml:space="preserve"> compensation and benefits programs, and opportunities for career growth and development. Together with our core values of doing the right thing and integrity in all that we do, which serve as the cornerstone of our corporate culture, we believe that this </w:t>
      </w:r>
      <w:r>
        <w:rPr>
          <w:rFonts w:eastAsia="Times New Roman"/>
          <w:color w:val="000000"/>
          <w:sz w:val="20"/>
          <w:szCs w:val="20"/>
        </w:rPr>
        <w:t xml:space="preserve">commitment facilitates employee engagement and their commitment to Public Storage. </w:t>
      </w:r>
    </w:p>
    <w:p w:rsidR="00000000" w:rsidRDefault="00473C5F">
      <w:pPr>
        <w:ind w:firstLine="720"/>
        <w:jc w:val="both"/>
        <w:divId w:val="661004823"/>
        <w:rPr>
          <w:rFonts w:eastAsia="Times New Roman"/>
        </w:rPr>
      </w:pPr>
      <w:r>
        <w:rPr>
          <w:rFonts w:eastAsia="Times New Roman"/>
          <w:color w:val="000000"/>
          <w:sz w:val="20"/>
          <w:szCs w:val="20"/>
        </w:rPr>
        <w:t>We have approximately 5,900 employees, including 5,090 customer facing roles (such as property level and customer care center personnel), 380 field management employees, an</w:t>
      </w:r>
      <w:r>
        <w:rPr>
          <w:rFonts w:eastAsia="Times New Roman"/>
          <w:color w:val="000000"/>
          <w:sz w:val="20"/>
          <w:szCs w:val="20"/>
        </w:rPr>
        <w:t>d 430 employees in our corporate operations.</w:t>
      </w:r>
    </w:p>
    <w:p w:rsidR="00000000" w:rsidRDefault="00473C5F">
      <w:pPr>
        <w:ind w:firstLine="720"/>
        <w:jc w:val="both"/>
        <w:divId w:val="1832720141"/>
        <w:rPr>
          <w:rFonts w:eastAsia="Times New Roman"/>
        </w:rPr>
      </w:pPr>
      <w:r>
        <w:rPr>
          <w:rFonts w:eastAsia="Times New Roman"/>
          <w:color w:val="000000"/>
          <w:sz w:val="20"/>
          <w:szCs w:val="20"/>
        </w:rPr>
        <w:t>The following is an overview of our key programs and initiatives focused on attracting, developing, and retaining the highest quality talent:</w:t>
      </w:r>
    </w:p>
    <w:p w:rsidR="00000000" w:rsidRDefault="00473C5F">
      <w:pPr>
        <w:jc w:val="both"/>
        <w:divId w:val="1516193020"/>
        <w:rPr>
          <w:rFonts w:eastAsia="Times New Roman"/>
        </w:rPr>
      </w:pPr>
      <w:r>
        <w:rPr>
          <w:rFonts w:eastAsia="Times New Roman"/>
          <w:b/>
          <w:bCs/>
          <w:i/>
          <w:iCs/>
          <w:color w:val="000000"/>
          <w:sz w:val="20"/>
          <w:szCs w:val="20"/>
        </w:rPr>
        <w:t>Diversity and Inclusion</w:t>
      </w:r>
    </w:p>
    <w:p w:rsidR="00000000" w:rsidRDefault="00473C5F">
      <w:pPr>
        <w:ind w:firstLine="720"/>
        <w:jc w:val="both"/>
        <w:divId w:val="430512556"/>
        <w:rPr>
          <w:rFonts w:eastAsia="Times New Roman"/>
        </w:rPr>
      </w:pPr>
      <w:r>
        <w:rPr>
          <w:rFonts w:eastAsia="Times New Roman"/>
          <w:color w:val="000000"/>
          <w:sz w:val="20"/>
          <w:szCs w:val="20"/>
        </w:rPr>
        <w:t>We are committed to creating an inclusive and</w:t>
      </w:r>
      <w:r>
        <w:rPr>
          <w:rFonts w:eastAsia="Times New Roman"/>
          <w:color w:val="000000"/>
          <w:sz w:val="20"/>
          <w:szCs w:val="20"/>
        </w:rPr>
        <w:t xml:space="preserve"> diverse workplace where all employees feel valued, included, and excited to be part of a best-in-class team. Our employees come from all different races, backgrounds, and life experiences, and we celebrate inclusion and value the diversity each person bri</w:t>
      </w:r>
      <w:r>
        <w:rPr>
          <w:rFonts w:eastAsia="Times New Roman"/>
          <w:color w:val="000000"/>
          <w:sz w:val="20"/>
          <w:szCs w:val="20"/>
        </w:rPr>
        <w:t>ngs to Public Storage. Our commitment to diversity and inclusion makes us a stronger company and instills a sense of pride across our teams as we serve our customers.</w:t>
      </w:r>
    </w:p>
    <w:p w:rsidR="00000000" w:rsidRDefault="00473C5F">
      <w:pPr>
        <w:ind w:firstLine="720"/>
        <w:jc w:val="both"/>
        <w:divId w:val="1514606922"/>
        <w:rPr>
          <w:rFonts w:eastAsia="Times New Roman"/>
        </w:rPr>
      </w:pPr>
      <w:r>
        <w:rPr>
          <w:rFonts w:eastAsia="Times New Roman"/>
          <w:color w:val="000000"/>
          <w:sz w:val="20"/>
          <w:szCs w:val="20"/>
        </w:rPr>
        <w:t>In 2021, our Chief Executive Officer signed the CEO Action for Diversity &amp; Inclusion pled</w:t>
      </w:r>
      <w:r>
        <w:rPr>
          <w:rFonts w:eastAsia="Times New Roman"/>
          <w:color w:val="000000"/>
          <w:sz w:val="20"/>
          <w:szCs w:val="20"/>
        </w:rPr>
        <w:t xml:space="preserve">ge, reflecting our commitment to foster an environment where everyone feels valued and included. This commitment extends not just throughout Public Storage but across the real estate industry. In this regard, in 2022, we made a founding donor contribution </w:t>
      </w:r>
      <w:r>
        <w:rPr>
          <w:rFonts w:eastAsia="Times New Roman"/>
          <w:color w:val="000000"/>
          <w:sz w:val="20"/>
          <w:szCs w:val="20"/>
        </w:rPr>
        <w:t>to the Nareit Dividends through Diversity, Equity &amp; Inclusion Giving Campaign, which is directed at taking actionable and sustainable measures that support the recruitment, inclusion, development, and advancement of women, black professionals, other people</w:t>
      </w:r>
      <w:r>
        <w:rPr>
          <w:rFonts w:eastAsia="Times New Roman"/>
          <w:color w:val="000000"/>
          <w:sz w:val="20"/>
          <w:szCs w:val="20"/>
        </w:rPr>
        <w:t xml:space="preserve"> of color, ethnically diverse individuals, and members of other under-represented groups in REITs and the publicly traded real estate industry. </w:t>
      </w:r>
    </w:p>
    <w:p w:rsidR="00000000" w:rsidRDefault="00473C5F">
      <w:pPr>
        <w:ind w:firstLine="720"/>
        <w:jc w:val="both"/>
        <w:divId w:val="1594778091"/>
        <w:rPr>
          <w:rFonts w:eastAsia="Times New Roman"/>
        </w:rPr>
      </w:pPr>
      <w:r>
        <w:rPr>
          <w:rFonts w:eastAsia="Times New Roman"/>
          <w:color w:val="000000"/>
          <w:sz w:val="20"/>
          <w:szCs w:val="20"/>
        </w:rPr>
        <w:t>Public Storage hires based on skills, personality, and experience, without regard to age, gender, race, ethnici</w:t>
      </w:r>
      <w:r>
        <w:rPr>
          <w:rFonts w:eastAsia="Times New Roman"/>
          <w:color w:val="000000"/>
          <w:sz w:val="20"/>
          <w:szCs w:val="20"/>
        </w:rPr>
        <w:t>ty, religion, sexual orientation, or other protected characteristic. We maintain policies regarding diversity, equal opportunity, pay-for-performance, discrimination, harassment, and labor (including opposition to child, forced, and compulsory labor). We a</w:t>
      </w:r>
      <w:r>
        <w:rPr>
          <w:rFonts w:eastAsia="Times New Roman"/>
          <w:color w:val="000000"/>
          <w:sz w:val="20"/>
          <w:szCs w:val="20"/>
        </w:rPr>
        <w:t>lso maintain a policy of requiring that diverse candidate slates be considered for all director positions and above.</w:t>
      </w:r>
    </w:p>
    <w:p w:rsidR="00000000" w:rsidRDefault="00473C5F">
      <w:pPr>
        <w:ind w:firstLine="720"/>
        <w:jc w:val="both"/>
        <w:divId w:val="215094748"/>
        <w:rPr>
          <w:rFonts w:eastAsia="Times New Roman"/>
        </w:rPr>
      </w:pPr>
      <w:r>
        <w:rPr>
          <w:rFonts w:eastAsia="Times New Roman"/>
          <w:color w:val="000000"/>
          <w:sz w:val="20"/>
          <w:szCs w:val="20"/>
        </w:rPr>
        <w:t>Adherence to our practice of hiring “the best” has fostered a diverse and inclusive employee base that reflects the diversity of the custom</w:t>
      </w:r>
      <w:r>
        <w:rPr>
          <w:rFonts w:eastAsia="Times New Roman"/>
          <w:color w:val="000000"/>
          <w:sz w:val="20"/>
          <w:szCs w:val="20"/>
        </w:rPr>
        <w:t xml:space="preserve">ers we serve. Our commitment to diversity is evident at all levels of the organization. Additionally, by having a balanced mix of generations in the organization, we gain from the experiences each age group brings – our employees are 9% Boomer, 38% Gen X, </w:t>
      </w:r>
      <w:r>
        <w:rPr>
          <w:rFonts w:eastAsia="Times New Roman"/>
          <w:color w:val="000000"/>
          <w:sz w:val="20"/>
          <w:szCs w:val="20"/>
        </w:rPr>
        <w:t>36% Gen Y and 17% Gen Z.</w:t>
      </w:r>
    </w:p>
    <w:p w:rsidR="00000000" w:rsidRDefault="00473C5F">
      <w:pPr>
        <w:spacing w:before="240"/>
        <w:ind w:firstLine="720"/>
        <w:jc w:val="center"/>
        <w:divId w:val="802890110"/>
        <w:rPr>
          <w:rFonts w:eastAsia="Times New Roman"/>
        </w:rPr>
      </w:pPr>
      <w:r>
        <w:rPr>
          <w:rFonts w:eastAsia="Times New Roman"/>
          <w:noProof/>
        </w:rPr>
        <w:drawing>
          <wp:inline distT="0" distB="0" distL="0" distR="0">
            <wp:extent cx="3048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73C5F">
      <w:pPr>
        <w:ind w:firstLine="720"/>
        <w:jc w:val="both"/>
        <w:divId w:val="1746218788"/>
        <w:rPr>
          <w:rFonts w:eastAsia="Times New Roman"/>
        </w:rPr>
      </w:pPr>
      <w:r>
        <w:rPr>
          <w:rFonts w:eastAsia="Times New Roman"/>
          <w:color w:val="000000"/>
          <w:sz w:val="20"/>
          <w:szCs w:val="20"/>
        </w:rPr>
        <w:t>We publicly disclose our annual Consolidated EEO-1 report, which reflects the race, ethnicity, and gender composition of our workforce, on the Investor Relations section of our website.</w:t>
      </w:r>
    </w:p>
    <w:p w:rsidR="00000000" w:rsidRDefault="00473C5F">
      <w:pPr>
        <w:jc w:val="both"/>
        <w:divId w:val="548223553"/>
        <w:rPr>
          <w:rFonts w:eastAsia="Times New Roman"/>
        </w:rPr>
      </w:pPr>
    </w:p>
    <w:p w:rsidR="00000000" w:rsidRDefault="00473C5F">
      <w:pPr>
        <w:jc w:val="center"/>
        <w:divId w:val="1651322220"/>
        <w:rPr>
          <w:rFonts w:eastAsia="Times New Roman"/>
        </w:rPr>
      </w:pPr>
      <w:r>
        <w:rPr>
          <w:rFonts w:eastAsia="Times New Roman"/>
          <w:color w:val="000000"/>
          <w:sz w:val="20"/>
          <w:szCs w:val="20"/>
        </w:rPr>
        <w:t>5</w:t>
      </w:r>
    </w:p>
    <w:p w:rsidR="00000000" w:rsidRDefault="00473C5F">
      <w:pPr>
        <w:rPr>
          <w:rFonts w:eastAsia="Times New Roman"/>
        </w:rPr>
      </w:pPr>
      <w:r>
        <w:rPr>
          <w:rFonts w:eastAsia="Times New Roman"/>
        </w:rPr>
        <w:pict>
          <v:rect id="_x0000_i1032" style="width:0;height:1.5pt" o:hralign="center" o:hrstd="t" o:hr="t" fillcolor="#a0a0a0" stroked="f"/>
        </w:pict>
      </w:r>
    </w:p>
    <w:p w:rsidR="00000000" w:rsidRDefault="00473C5F">
      <w:pPr>
        <w:divId w:val="1774746275"/>
        <w:rPr>
          <w:rFonts w:eastAsia="Times New Roman"/>
        </w:rPr>
      </w:pPr>
    </w:p>
    <w:p w:rsidR="00000000" w:rsidRDefault="00473C5F">
      <w:pPr>
        <w:jc w:val="both"/>
        <w:divId w:val="1440490293"/>
        <w:rPr>
          <w:rFonts w:eastAsia="Times New Roman"/>
        </w:rPr>
      </w:pPr>
      <w:r>
        <w:rPr>
          <w:rFonts w:eastAsia="Times New Roman"/>
          <w:b/>
          <w:bCs/>
          <w:i/>
          <w:iCs/>
          <w:color w:val="000000"/>
          <w:sz w:val="20"/>
          <w:szCs w:val="20"/>
        </w:rPr>
        <w:t>Communication and Engagement</w:t>
      </w:r>
    </w:p>
    <w:p w:rsidR="00000000" w:rsidRDefault="00473C5F">
      <w:pPr>
        <w:ind w:firstLine="720"/>
        <w:jc w:val="both"/>
        <w:divId w:val="1251046198"/>
        <w:rPr>
          <w:rFonts w:eastAsia="Times New Roman"/>
        </w:rPr>
      </w:pPr>
      <w:r>
        <w:rPr>
          <w:rFonts w:eastAsia="Times New Roman"/>
          <w:color w:val="000000"/>
          <w:sz w:val="20"/>
          <w:szCs w:val="20"/>
        </w:rPr>
        <w:t>Given the geographically dispersed nature of our business, regular and clear communication is critical to ensuring that employees feel informed, included, and engaged. We communicate through variou</w:t>
      </w:r>
      <w:r>
        <w:rPr>
          <w:rFonts w:eastAsia="Times New Roman"/>
          <w:color w:val="000000"/>
          <w:sz w:val="20"/>
          <w:szCs w:val="20"/>
        </w:rPr>
        <w:t>s channels, including email communications, a monthly newsletter and town halls, where we provide employees company strategy and performance updates, employee recognitions and other information and the opportunity to ask questions of our leaders.</w:t>
      </w:r>
    </w:p>
    <w:p w:rsidR="00000000" w:rsidRDefault="00473C5F">
      <w:pPr>
        <w:ind w:firstLine="720"/>
        <w:jc w:val="both"/>
        <w:divId w:val="2000226237"/>
        <w:rPr>
          <w:rFonts w:eastAsia="Times New Roman"/>
        </w:rPr>
      </w:pPr>
      <w:r>
        <w:rPr>
          <w:rFonts w:eastAsia="Times New Roman"/>
          <w:color w:val="000000"/>
          <w:sz w:val="20"/>
          <w:szCs w:val="20"/>
        </w:rPr>
        <w:t xml:space="preserve">In order </w:t>
      </w:r>
      <w:r>
        <w:rPr>
          <w:rFonts w:eastAsia="Times New Roman"/>
          <w:color w:val="000000"/>
          <w:sz w:val="20"/>
          <w:szCs w:val="20"/>
        </w:rPr>
        <w:t>to better understand the effectiveness of our engagement strategies, we conduct various surveys that measure employee commitment, motivation, and engagement, and solicit employee feedback that helps us improve. In 2022, 85% of our employees participated in</w:t>
      </w:r>
      <w:r>
        <w:rPr>
          <w:rFonts w:eastAsia="Times New Roman"/>
          <w:color w:val="000000"/>
          <w:sz w:val="20"/>
          <w:szCs w:val="20"/>
        </w:rPr>
        <w:t xml:space="preserve"> our employee engagement survey, an increase from 80% in 2021, and we achieved employee engagement of 76%. We are committed to continuous listening and improvement for our employees, and our feedback tools have guided enhancements for our employees, includ</w:t>
      </w:r>
      <w:r>
        <w:rPr>
          <w:rFonts w:eastAsia="Times New Roman"/>
          <w:color w:val="000000"/>
          <w:sz w:val="20"/>
          <w:szCs w:val="20"/>
        </w:rPr>
        <w:t>ing the development of additional career progression opportunities and enhancements to our employee compensation and benefits programs.</w:t>
      </w:r>
    </w:p>
    <w:p w:rsidR="00000000" w:rsidRDefault="00473C5F">
      <w:pPr>
        <w:ind w:firstLine="720"/>
        <w:jc w:val="both"/>
        <w:divId w:val="1836719956"/>
        <w:rPr>
          <w:rFonts w:eastAsia="Times New Roman"/>
        </w:rPr>
      </w:pPr>
      <w:r>
        <w:rPr>
          <w:rFonts w:eastAsia="Times New Roman"/>
          <w:color w:val="000000"/>
          <w:sz w:val="20"/>
          <w:szCs w:val="20"/>
        </w:rPr>
        <w:t>We believe that the success of our engagement strategies can also be seen through third party surveys and recognition. A</w:t>
      </w:r>
      <w:r>
        <w:rPr>
          <w:rFonts w:eastAsia="Times New Roman"/>
          <w:color w:val="000000"/>
          <w:sz w:val="20"/>
          <w:szCs w:val="20"/>
        </w:rPr>
        <w:t xml:space="preserve">mong other recognitions, we are proud to be named in 2022 a Great Place to Work® and included on the 2022 Forbes and Statista “America’s Best Large Employers” award list. We have also been recognized by Comparably, Inc. as a “Choice Employer” with an “A+” </w:t>
      </w:r>
      <w:r>
        <w:rPr>
          <w:rFonts w:eastAsia="Times New Roman"/>
          <w:color w:val="000000"/>
          <w:sz w:val="20"/>
          <w:szCs w:val="20"/>
        </w:rPr>
        <w:t>Culture Score based on employee responses across 18 culture metrics, among other recognitions.</w:t>
      </w:r>
    </w:p>
    <w:p w:rsidR="00000000" w:rsidRDefault="00473C5F">
      <w:pPr>
        <w:divId w:val="1957325503"/>
        <w:rPr>
          <w:rFonts w:eastAsia="Times New Roman"/>
        </w:rPr>
      </w:pPr>
      <w:r>
        <w:rPr>
          <w:rFonts w:eastAsia="Times New Roman"/>
          <w:b/>
          <w:bCs/>
          <w:i/>
          <w:iCs/>
          <w:color w:val="000000"/>
          <w:sz w:val="20"/>
          <w:szCs w:val="20"/>
        </w:rPr>
        <w:t>Compensation, Health, Wellness, and Safety</w:t>
      </w:r>
    </w:p>
    <w:p w:rsidR="00000000" w:rsidRDefault="00473C5F">
      <w:pPr>
        <w:ind w:firstLine="720"/>
        <w:jc w:val="both"/>
        <w:divId w:val="1474834229"/>
        <w:rPr>
          <w:rFonts w:eastAsia="Times New Roman"/>
        </w:rPr>
      </w:pPr>
      <w:r>
        <w:rPr>
          <w:rFonts w:eastAsia="Times New Roman"/>
          <w:color w:val="000000"/>
          <w:sz w:val="20"/>
          <w:szCs w:val="20"/>
        </w:rPr>
        <w:t>Public Storage maintains compensation and benefits programs designed to incentivize, reward, and support our employees</w:t>
      </w:r>
      <w:r>
        <w:rPr>
          <w:rFonts w:eastAsia="Times New Roman"/>
          <w:color w:val="000000"/>
          <w:sz w:val="20"/>
          <w:szCs w:val="20"/>
        </w:rPr>
        <w:t>. We believe in aligning employee compensation with our short- and long-term performance goals and providing the compensation and incentives needed to attract, motivate, and retain employees who are crucial to our success. We tailor our compensation progra</w:t>
      </w:r>
      <w:r>
        <w:rPr>
          <w:rFonts w:eastAsia="Times New Roman"/>
          <w:color w:val="000000"/>
          <w:sz w:val="20"/>
          <w:szCs w:val="20"/>
        </w:rPr>
        <w:t>ms to each employee group to ensure competitiveness in the market and to drive employee engagement.</w:t>
      </w:r>
    </w:p>
    <w:p w:rsidR="00000000" w:rsidRDefault="00473C5F">
      <w:pPr>
        <w:ind w:firstLine="720"/>
        <w:jc w:val="both"/>
        <w:divId w:val="547649797"/>
        <w:rPr>
          <w:rFonts w:eastAsia="Times New Roman"/>
        </w:rPr>
      </w:pPr>
      <w:r>
        <w:rPr>
          <w:rFonts w:eastAsia="Times New Roman"/>
          <w:color w:val="000000"/>
          <w:sz w:val="20"/>
          <w:szCs w:val="20"/>
        </w:rPr>
        <w:t>We are committed to the total well-being of all our employees and provide resources to help support them in times of need along with access to targeted solu</w:t>
      </w:r>
      <w:r>
        <w:rPr>
          <w:rFonts w:eastAsia="Times New Roman"/>
          <w:color w:val="000000"/>
          <w:sz w:val="20"/>
          <w:szCs w:val="20"/>
        </w:rPr>
        <w:t>tions to help them achieve their personal and financial goals. We provide affordable health plans and programs to virtually all our employees. Anyone working 20 hours or more is eligible to participate in our health benefit offerings, which include medical</w:t>
      </w:r>
      <w:r>
        <w:rPr>
          <w:rFonts w:eastAsia="Times New Roman"/>
          <w:color w:val="000000"/>
          <w:sz w:val="20"/>
          <w:szCs w:val="20"/>
        </w:rPr>
        <w:t>, dental, vision, flexible and health savings accounts, discount programs, and income protection plans. We also offer a 401(k) plan with generous matching employer contributions to help our employees prepare for retirement. In addition to these programs, w</w:t>
      </w:r>
      <w:r>
        <w:rPr>
          <w:rFonts w:eastAsia="Times New Roman"/>
          <w:color w:val="000000"/>
          <w:sz w:val="20"/>
          <w:szCs w:val="20"/>
        </w:rPr>
        <w:t>e maintain various employee support programs, including access to counseling, life planning tools, and discount programs for fitness, legal services, and home, auto, and pet insurance. Finally, we offer a range of educational tools and resources, including</w:t>
      </w:r>
      <w:r>
        <w:rPr>
          <w:rFonts w:eastAsia="Times New Roman"/>
          <w:color w:val="000000"/>
          <w:sz w:val="20"/>
          <w:szCs w:val="20"/>
        </w:rPr>
        <w:t xml:space="preserve"> a dedicated health and wellness website, to help empower our employees to maintain a healthy and balanced lifestyle.</w:t>
      </w:r>
    </w:p>
    <w:p w:rsidR="00000000" w:rsidRDefault="00473C5F">
      <w:pPr>
        <w:ind w:firstLine="720"/>
        <w:jc w:val="both"/>
        <w:divId w:val="1446269448"/>
        <w:rPr>
          <w:rFonts w:eastAsia="Times New Roman"/>
        </w:rPr>
      </w:pPr>
      <w:r>
        <w:rPr>
          <w:rFonts w:eastAsia="Times New Roman"/>
          <w:color w:val="000000"/>
          <w:sz w:val="20"/>
          <w:szCs w:val="20"/>
        </w:rPr>
        <w:t xml:space="preserve">We are committed to providing safe self-storage facilities for our customers and employees. We conduct monthly safety trainings at all of </w:t>
      </w:r>
      <w:r>
        <w:rPr>
          <w:rFonts w:eastAsia="Times New Roman"/>
          <w:color w:val="000000"/>
          <w:sz w:val="20"/>
          <w:szCs w:val="20"/>
        </w:rPr>
        <w:t>our properties and an annual safety training at our headquarters. We did not have any fatal injuries in 2022 and we publicly disclose our employee health and safety data in our annual Sustainability Report.</w:t>
      </w:r>
    </w:p>
    <w:p w:rsidR="00000000" w:rsidRDefault="00473C5F">
      <w:pPr>
        <w:jc w:val="both"/>
        <w:divId w:val="707682166"/>
        <w:rPr>
          <w:rFonts w:eastAsia="Times New Roman"/>
        </w:rPr>
      </w:pPr>
      <w:r>
        <w:rPr>
          <w:rFonts w:eastAsia="Times New Roman"/>
          <w:b/>
          <w:bCs/>
          <w:i/>
          <w:iCs/>
          <w:color w:val="000000"/>
          <w:sz w:val="20"/>
          <w:szCs w:val="20"/>
        </w:rPr>
        <w:t>Training, Development, Growth, and Recognition</w:t>
      </w:r>
    </w:p>
    <w:p w:rsidR="00000000" w:rsidRDefault="00473C5F">
      <w:pPr>
        <w:ind w:firstLine="720"/>
        <w:jc w:val="both"/>
        <w:divId w:val="1376351141"/>
        <w:rPr>
          <w:rFonts w:eastAsia="Times New Roman"/>
        </w:rPr>
      </w:pPr>
      <w:r>
        <w:rPr>
          <w:rFonts w:eastAsia="Times New Roman"/>
          <w:color w:val="000000"/>
          <w:sz w:val="20"/>
          <w:szCs w:val="20"/>
        </w:rPr>
        <w:t>We</w:t>
      </w:r>
      <w:r>
        <w:rPr>
          <w:rFonts w:eastAsia="Times New Roman"/>
          <w:color w:val="000000"/>
          <w:sz w:val="20"/>
          <w:szCs w:val="20"/>
        </w:rPr>
        <w:t xml:space="preserve"> provide robust training and development programs across all levels of Public Storage that are intended to provide our employees with the skills, tools, and knowledge they need to not only grow as individuals but also contribute to the value of the organiz</w:t>
      </w:r>
      <w:r>
        <w:rPr>
          <w:rFonts w:eastAsia="Times New Roman"/>
          <w:color w:val="000000"/>
          <w:sz w:val="20"/>
          <w:szCs w:val="20"/>
        </w:rPr>
        <w:t>ation through strong engagement.</w:t>
      </w:r>
    </w:p>
    <w:p w:rsidR="00000000" w:rsidRDefault="00473C5F">
      <w:pPr>
        <w:ind w:firstLine="720"/>
        <w:jc w:val="both"/>
        <w:divId w:val="813833820"/>
        <w:rPr>
          <w:rFonts w:eastAsia="Times New Roman"/>
        </w:rPr>
      </w:pPr>
      <w:r>
        <w:rPr>
          <w:rFonts w:eastAsia="Times New Roman"/>
          <w:color w:val="000000"/>
          <w:sz w:val="20"/>
          <w:szCs w:val="20"/>
        </w:rPr>
        <w:t>Most new hires join us as property managers without any experience in the self-storag</w:t>
      </w:r>
      <w:r>
        <w:rPr>
          <w:rFonts w:eastAsia="Times New Roman"/>
          <w:color w:val="000000"/>
          <w:sz w:val="20"/>
          <w:szCs w:val="20"/>
        </w:rPr>
        <w:t>e industry. We provide a hands-on new hire training program that provides close coaching and development. All new hires in leadership roles complete property-level training that gives them a hands-on view of our day-to-day operations at our properties to p</w:t>
      </w:r>
      <w:r>
        <w:rPr>
          <w:rFonts w:eastAsia="Times New Roman"/>
          <w:color w:val="000000"/>
          <w:sz w:val="20"/>
          <w:szCs w:val="20"/>
        </w:rPr>
        <w:t>rovide our leaders with an understanding of the fundamentals of our business and operations. We also provide numerous career development opportunities for existing employees across Public Storage, including management training programs. Many of our trainin</w:t>
      </w:r>
      <w:r>
        <w:rPr>
          <w:rFonts w:eastAsia="Times New Roman"/>
          <w:color w:val="000000"/>
          <w:sz w:val="20"/>
          <w:szCs w:val="20"/>
        </w:rPr>
        <w:t>g and career development programs leverage our online learning platform of training courses and reference materials. Public Storage employees completed over 430,000 formal training hours in 2022. In addition to formal training programs, we also offer a var</w:t>
      </w:r>
      <w:r>
        <w:rPr>
          <w:rFonts w:eastAsia="Times New Roman"/>
          <w:color w:val="000000"/>
          <w:sz w:val="20"/>
          <w:szCs w:val="20"/>
        </w:rPr>
        <w:t>iety of one-on-one coaching, job shadowing, and mentoring programs.</w:t>
      </w:r>
    </w:p>
    <w:p w:rsidR="00000000" w:rsidRDefault="00473C5F">
      <w:pPr>
        <w:jc w:val="both"/>
        <w:divId w:val="1074089364"/>
        <w:rPr>
          <w:rFonts w:eastAsia="Times New Roman"/>
        </w:rPr>
      </w:pPr>
    </w:p>
    <w:p w:rsidR="00000000" w:rsidRDefault="00473C5F">
      <w:pPr>
        <w:jc w:val="center"/>
        <w:divId w:val="923879331"/>
        <w:rPr>
          <w:rFonts w:eastAsia="Times New Roman"/>
        </w:rPr>
      </w:pPr>
      <w:r>
        <w:rPr>
          <w:rFonts w:eastAsia="Times New Roman"/>
          <w:color w:val="000000"/>
          <w:sz w:val="20"/>
          <w:szCs w:val="20"/>
        </w:rPr>
        <w:t>6</w:t>
      </w:r>
    </w:p>
    <w:p w:rsidR="00000000" w:rsidRDefault="00473C5F">
      <w:pPr>
        <w:rPr>
          <w:rFonts w:eastAsia="Times New Roman"/>
        </w:rPr>
      </w:pPr>
      <w:r>
        <w:rPr>
          <w:rFonts w:eastAsia="Times New Roman"/>
        </w:rPr>
        <w:pict>
          <v:rect id="_x0000_i1033" style="width:0;height:1.5pt" o:hralign="center" o:hrstd="t" o:hr="t" fillcolor="#a0a0a0" stroked="f"/>
        </w:pict>
      </w:r>
    </w:p>
    <w:p w:rsidR="00000000" w:rsidRDefault="00473C5F">
      <w:pPr>
        <w:divId w:val="1904245713"/>
        <w:rPr>
          <w:rFonts w:eastAsia="Times New Roman"/>
        </w:rPr>
      </w:pPr>
    </w:p>
    <w:p w:rsidR="00000000" w:rsidRDefault="00473C5F">
      <w:pPr>
        <w:jc w:val="both"/>
        <w:divId w:val="1411737065"/>
        <w:rPr>
          <w:rFonts w:eastAsia="Times New Roman"/>
        </w:rPr>
      </w:pPr>
      <w:r>
        <w:rPr>
          <w:rFonts w:eastAsia="Times New Roman"/>
          <w:b/>
          <w:bCs/>
          <w:i/>
          <w:iCs/>
          <w:color w:val="000000"/>
          <w:sz w:val="20"/>
          <w:szCs w:val="20"/>
        </w:rPr>
        <w:t>Performance Management and Succession Planning</w:t>
      </w:r>
    </w:p>
    <w:p w:rsidR="00000000" w:rsidRDefault="00473C5F">
      <w:pPr>
        <w:ind w:firstLine="720"/>
        <w:jc w:val="both"/>
        <w:divId w:val="1228153148"/>
        <w:rPr>
          <w:rFonts w:eastAsia="Times New Roman"/>
        </w:rPr>
      </w:pPr>
      <w:r>
        <w:rPr>
          <w:rFonts w:eastAsia="Times New Roman"/>
          <w:color w:val="000000"/>
          <w:sz w:val="20"/>
          <w:szCs w:val="20"/>
        </w:rPr>
        <w:t>Our performance management processes are designed to be collaborative, where employees and manageme</w:t>
      </w:r>
      <w:r>
        <w:rPr>
          <w:rFonts w:eastAsia="Times New Roman"/>
          <w:color w:val="000000"/>
          <w:sz w:val="20"/>
          <w:szCs w:val="20"/>
        </w:rPr>
        <w:t>nt work together to plan, monitor, and review the employee’s objectives and career aspirations and set short- and long-term goals to achieve outcomes. This process is continual, with regular opportunities for management and employees to give and receive fe</w:t>
      </w:r>
      <w:r>
        <w:rPr>
          <w:rFonts w:eastAsia="Times New Roman"/>
          <w:color w:val="000000"/>
          <w:sz w:val="20"/>
          <w:szCs w:val="20"/>
        </w:rPr>
        <w:t>edback.</w:t>
      </w:r>
    </w:p>
    <w:p w:rsidR="00000000" w:rsidRDefault="00473C5F">
      <w:pPr>
        <w:ind w:firstLine="720"/>
        <w:jc w:val="both"/>
        <w:divId w:val="224535960"/>
        <w:rPr>
          <w:rFonts w:eastAsia="Times New Roman"/>
        </w:rPr>
      </w:pPr>
      <w:r>
        <w:rPr>
          <w:rFonts w:eastAsia="Times New Roman"/>
          <w:color w:val="000000"/>
          <w:sz w:val="20"/>
          <w:szCs w:val="20"/>
        </w:rPr>
        <w:t>Succession planning is a top priority for management and our Board of Trustees (our “Board”) to ensure business continuity. Leaders at all levels review development opportunities, provide feedback, and facilitate career progression conversations on</w:t>
      </w:r>
      <w:r>
        <w:rPr>
          <w:rFonts w:eastAsia="Times New Roman"/>
          <w:color w:val="000000"/>
          <w:sz w:val="20"/>
          <w:szCs w:val="20"/>
        </w:rPr>
        <w:t xml:space="preserve"> an ongoing basis to ensure that employees can reach their full potential. Additionally, in 2022, we began development of a new leadership accelerator program for women and diverse employees, which includes individual mentorship and hands-on experiences di</w:t>
      </w:r>
      <w:r>
        <w:rPr>
          <w:rFonts w:eastAsia="Times New Roman"/>
          <w:color w:val="000000"/>
          <w:sz w:val="20"/>
          <w:szCs w:val="20"/>
        </w:rPr>
        <w:t>rected at further enhancing our bench of women and minority leaders and management succession planning.</w:t>
      </w:r>
    </w:p>
    <w:p w:rsidR="00000000" w:rsidRDefault="00473C5F">
      <w:pPr>
        <w:ind w:firstLine="720"/>
        <w:jc w:val="both"/>
        <w:divId w:val="1038354398"/>
        <w:rPr>
          <w:rFonts w:eastAsia="Times New Roman"/>
        </w:rPr>
      </w:pPr>
      <w:r>
        <w:rPr>
          <w:rFonts w:eastAsia="Times New Roman"/>
          <w:color w:val="000000"/>
          <w:sz w:val="20"/>
          <w:szCs w:val="20"/>
        </w:rPr>
        <w:t>No less than annually, the executive teams meet to review succession bench strength, calibrate talent, and provide recommendations to prepare succession</w:t>
      </w:r>
      <w:r>
        <w:rPr>
          <w:rFonts w:eastAsia="Times New Roman"/>
          <w:color w:val="000000"/>
          <w:sz w:val="20"/>
          <w:szCs w:val="20"/>
        </w:rPr>
        <w:t xml:space="preserve"> candidates for future leadership roles within the organization. This broad and collaborative approach to talent management works to ensure opportunities are made available to employees to grow outside of their current function and responsibilities.</w:t>
      </w:r>
    </w:p>
    <w:p w:rsidR="00000000" w:rsidRDefault="00473C5F">
      <w:pPr>
        <w:jc w:val="both"/>
        <w:divId w:val="1620213174"/>
        <w:rPr>
          <w:rFonts w:eastAsia="Times New Roman"/>
        </w:rPr>
      </w:pPr>
      <w:r>
        <w:rPr>
          <w:rFonts w:eastAsia="Times New Roman"/>
          <w:b/>
          <w:bCs/>
          <w:color w:val="000000"/>
          <w:sz w:val="20"/>
          <w:szCs w:val="20"/>
          <w:u w:val="single"/>
        </w:rPr>
        <w:t>Climat</w:t>
      </w:r>
      <w:r>
        <w:rPr>
          <w:rFonts w:eastAsia="Times New Roman"/>
          <w:b/>
          <w:bCs/>
          <w:color w:val="000000"/>
          <w:sz w:val="20"/>
          <w:szCs w:val="20"/>
          <w:u w:val="single"/>
        </w:rPr>
        <w:t>e Change and Environmental Stewardship</w:t>
      </w:r>
    </w:p>
    <w:p w:rsidR="00000000" w:rsidRDefault="00473C5F">
      <w:pPr>
        <w:ind w:firstLine="720"/>
        <w:jc w:val="both"/>
        <w:divId w:val="1392968020"/>
        <w:rPr>
          <w:rFonts w:eastAsia="Times New Roman"/>
        </w:rPr>
      </w:pPr>
      <w:r>
        <w:rPr>
          <w:rFonts w:eastAsia="Times New Roman"/>
          <w:color w:val="000000"/>
          <w:sz w:val="20"/>
          <w:szCs w:val="20"/>
        </w:rPr>
        <w:t>We are committed to managing climate-related risks and opportunities. This commitment is a key component of our recognition that we must operate in a responsible and sustainable manner that aligns with our long-term c</w:t>
      </w:r>
      <w:r>
        <w:rPr>
          <w:rFonts w:eastAsia="Times New Roman"/>
          <w:color w:val="000000"/>
          <w:sz w:val="20"/>
          <w:szCs w:val="20"/>
        </w:rPr>
        <w:t>orporate strategy and promotes our best interests along with those of our stakeholders, including our customers, investors, employees, and the communities in which we do business.</w:t>
      </w:r>
    </w:p>
    <w:p w:rsidR="00000000" w:rsidRDefault="00473C5F">
      <w:pPr>
        <w:ind w:firstLine="720"/>
        <w:jc w:val="both"/>
        <w:divId w:val="1843470289"/>
        <w:rPr>
          <w:rFonts w:eastAsia="Times New Roman"/>
        </w:rPr>
      </w:pPr>
      <w:r>
        <w:rPr>
          <w:rFonts w:eastAsia="Times New Roman"/>
          <w:color w:val="000000"/>
          <w:sz w:val="20"/>
          <w:szCs w:val="20"/>
        </w:rPr>
        <w:t>Our management Environmental, Social, and Governance Steering Committee (our</w:t>
      </w:r>
      <w:r>
        <w:rPr>
          <w:rFonts w:eastAsia="Times New Roman"/>
          <w:color w:val="000000"/>
          <w:sz w:val="20"/>
          <w:szCs w:val="20"/>
        </w:rPr>
        <w:t xml:space="preserve"> “Sustainability Committee”) guides our commitment to sustainability and has primary responsibility for climate-related activities. The Sustainability Committee reports to our Board and its Committees, which oversee all of our sustainability initiatives.</w:t>
      </w:r>
    </w:p>
    <w:p w:rsidR="00000000" w:rsidRDefault="00473C5F">
      <w:pPr>
        <w:ind w:firstLine="720"/>
        <w:jc w:val="both"/>
        <w:divId w:val="499783493"/>
        <w:rPr>
          <w:rFonts w:eastAsia="Times New Roman"/>
        </w:rPr>
      </w:pPr>
      <w:r>
        <w:rPr>
          <w:rFonts w:eastAsia="Times New Roman"/>
          <w:color w:val="000000"/>
          <w:sz w:val="20"/>
          <w:szCs w:val="20"/>
        </w:rPr>
        <w:t>W</w:t>
      </w:r>
      <w:r>
        <w:rPr>
          <w:rFonts w:eastAsia="Times New Roman"/>
          <w:color w:val="000000"/>
          <w:sz w:val="20"/>
          <w:szCs w:val="20"/>
        </w:rPr>
        <w:t>e consider potential environmental impacts—both positive and negative—in our decision making across the business. The following features of our properties reflect our commitment to responsible environmental stewardship:</w:t>
      </w:r>
    </w:p>
    <w:p w:rsidR="00000000" w:rsidRDefault="00473C5F">
      <w:pPr>
        <w:ind w:firstLine="720"/>
        <w:jc w:val="both"/>
        <w:divId w:val="833572216"/>
        <w:rPr>
          <w:rFonts w:eastAsia="Times New Roman"/>
        </w:rPr>
      </w:pPr>
      <w:r>
        <w:rPr>
          <w:rFonts w:eastAsia="Times New Roman"/>
          <w:color w:val="000000"/>
          <w:sz w:val="20"/>
          <w:szCs w:val="20"/>
        </w:rPr>
        <w:t xml:space="preserve">- </w:t>
      </w:r>
      <w:r>
        <w:rPr>
          <w:rFonts w:eastAsia="Times New Roman"/>
          <w:i/>
          <w:iCs/>
          <w:color w:val="000000"/>
          <w:sz w:val="20"/>
          <w:szCs w:val="20"/>
        </w:rPr>
        <w:t>Low environmental impact.</w:t>
      </w:r>
      <w:r>
        <w:rPr>
          <w:rFonts w:eastAsia="Times New Roman"/>
          <w:color w:val="000000"/>
          <w:sz w:val="20"/>
          <w:szCs w:val="20"/>
        </w:rPr>
        <w:t xml:space="preserve"> </w:t>
      </w:r>
      <w:r>
        <w:rPr>
          <w:rFonts w:eastAsia="Times New Roman"/>
          <w:color w:val="000000"/>
          <w:sz w:val="20"/>
          <w:szCs w:val="20"/>
        </w:rPr>
        <w:t>Our property portfolio has an inherently light footprint. On average, one to two Public Storage employees operate each property at any given time, and our customers are only occasionally on-site because they do not work or reside there. As a result, our pr</w:t>
      </w:r>
      <w:r>
        <w:rPr>
          <w:rFonts w:eastAsia="Times New Roman"/>
          <w:color w:val="000000"/>
          <w:sz w:val="20"/>
          <w:szCs w:val="20"/>
        </w:rPr>
        <w:t>operties consume less energy, emit less carbon, use less water, and produce less waste relative to other real estate types.</w:t>
      </w:r>
    </w:p>
    <w:p w:rsidR="00000000" w:rsidRDefault="00473C5F">
      <w:pPr>
        <w:ind w:firstLine="720"/>
        <w:jc w:val="both"/>
        <w:divId w:val="619845559"/>
        <w:rPr>
          <w:rFonts w:eastAsia="Times New Roman"/>
        </w:rPr>
      </w:pPr>
      <w:r>
        <w:rPr>
          <w:rFonts w:eastAsia="Times New Roman"/>
          <w:color w:val="000000"/>
          <w:sz w:val="20"/>
          <w:szCs w:val="20"/>
        </w:rPr>
        <w:t xml:space="preserve">- </w:t>
      </w:r>
      <w:r>
        <w:rPr>
          <w:rFonts w:eastAsia="Times New Roman"/>
          <w:i/>
          <w:iCs/>
          <w:color w:val="000000"/>
          <w:sz w:val="20"/>
          <w:szCs w:val="20"/>
        </w:rPr>
        <w:t>Proactive Initiatives.</w:t>
      </w:r>
      <w:r>
        <w:rPr>
          <w:rFonts w:eastAsia="Times New Roman"/>
          <w:color w:val="000000"/>
          <w:sz w:val="20"/>
          <w:szCs w:val="20"/>
        </w:rPr>
        <w:t xml:space="preserve"> Despite our light environmental footprint, we proactively strive to reduce our impact further through initi</w:t>
      </w:r>
      <w:r>
        <w:rPr>
          <w:rFonts w:eastAsia="Times New Roman"/>
          <w:color w:val="000000"/>
          <w:sz w:val="20"/>
          <w:szCs w:val="20"/>
        </w:rPr>
        <w:t>atives such as “on demand” LED lighting, solar power generation, and low-water-use landscaping. These are environmentally friendly initiatives that also generate economic returns on invested capital. Additionally, we have recently partnered with The BRE Gr</w:t>
      </w:r>
      <w:r>
        <w:rPr>
          <w:rFonts w:eastAsia="Times New Roman"/>
          <w:color w:val="000000"/>
          <w:sz w:val="20"/>
          <w:szCs w:val="20"/>
        </w:rPr>
        <w:t>oup to develop a green building certification program for self-storage facilities in the U.S. through its BREEAM® validation and certification system.</w:t>
      </w:r>
    </w:p>
    <w:p w:rsidR="00000000" w:rsidRDefault="00473C5F">
      <w:pPr>
        <w:ind w:firstLine="720"/>
        <w:jc w:val="both"/>
        <w:divId w:val="1721897477"/>
        <w:rPr>
          <w:rFonts w:eastAsia="Times New Roman"/>
        </w:rPr>
      </w:pPr>
      <w:r>
        <w:rPr>
          <w:rFonts w:eastAsia="Times New Roman"/>
          <w:color w:val="000000"/>
          <w:sz w:val="20"/>
          <w:szCs w:val="20"/>
        </w:rPr>
        <w:t xml:space="preserve">- </w:t>
      </w:r>
      <w:r>
        <w:rPr>
          <w:rFonts w:eastAsia="Times New Roman"/>
          <w:i/>
          <w:iCs/>
          <w:color w:val="000000"/>
          <w:sz w:val="20"/>
          <w:szCs w:val="20"/>
        </w:rPr>
        <w:t>Low obsolescence</w:t>
      </w:r>
      <w:r>
        <w:rPr>
          <w:rFonts w:eastAsia="Times New Roman"/>
          <w:color w:val="000000"/>
          <w:sz w:val="20"/>
          <w:szCs w:val="20"/>
        </w:rPr>
        <w:t>. Our properties have retained functional and physical usefulness over many decades. In</w:t>
      </w:r>
      <w:r>
        <w:rPr>
          <w:rFonts w:eastAsia="Times New Roman"/>
          <w:color w:val="000000"/>
          <w:sz w:val="20"/>
          <w:szCs w:val="20"/>
        </w:rPr>
        <w:t xml:space="preserve"> fact, many customers favor our single-story, drive-up properties built in the 1970s and 1980s due to their central locations and accessibility. This contrasts with other real estate types that require frequent reinvestment (i.e., capital expenditures) to </w:t>
      </w:r>
      <w:r>
        <w:rPr>
          <w:rFonts w:eastAsia="Times New Roman"/>
          <w:color w:val="000000"/>
          <w:sz w:val="20"/>
          <w:szCs w:val="20"/>
        </w:rPr>
        <w:t>stay current with consumer preference, remain competitive with newer competition, offset heavier wear-and-tear by users, and maintain structural operating efficiency.</w:t>
      </w:r>
    </w:p>
    <w:p w:rsidR="00000000" w:rsidRDefault="00473C5F">
      <w:pPr>
        <w:ind w:firstLine="720"/>
        <w:jc w:val="both"/>
        <w:divId w:val="1391611250"/>
        <w:rPr>
          <w:rFonts w:eastAsia="Times New Roman"/>
        </w:rPr>
      </w:pPr>
      <w:r>
        <w:rPr>
          <w:rFonts w:eastAsia="Times New Roman"/>
          <w:color w:val="000000"/>
          <w:sz w:val="20"/>
          <w:szCs w:val="20"/>
        </w:rPr>
        <w:t xml:space="preserve">- </w:t>
      </w:r>
      <w:r>
        <w:rPr>
          <w:rFonts w:eastAsia="Times New Roman"/>
          <w:i/>
          <w:iCs/>
          <w:color w:val="000000"/>
          <w:sz w:val="20"/>
          <w:szCs w:val="20"/>
        </w:rPr>
        <w:t>High structural resilience.</w:t>
      </w:r>
      <w:r>
        <w:rPr>
          <w:rFonts w:eastAsia="Times New Roman"/>
          <w:color w:val="000000"/>
          <w:sz w:val="20"/>
          <w:szCs w:val="20"/>
        </w:rPr>
        <w:t xml:space="preserve"> We build and operate our properties to withstand the test o</w:t>
      </w:r>
      <w:r>
        <w:rPr>
          <w:rFonts w:eastAsia="Times New Roman"/>
          <w:color w:val="000000"/>
          <w:sz w:val="20"/>
          <w:szCs w:val="20"/>
        </w:rPr>
        <w:t>f time, including general aging and acute and chronic risks from rising water levels, changing temperatures, and natural disasters.</w:t>
      </w:r>
    </w:p>
    <w:p w:rsidR="00000000" w:rsidRDefault="00473C5F">
      <w:pPr>
        <w:ind w:firstLine="720"/>
        <w:jc w:val="both"/>
        <w:divId w:val="913202842"/>
        <w:rPr>
          <w:rFonts w:eastAsia="Times New Roman"/>
        </w:rPr>
      </w:pPr>
      <w:r>
        <w:rPr>
          <w:rFonts w:eastAsia="Times New Roman"/>
          <w:color w:val="000000"/>
          <w:sz w:val="20"/>
          <w:szCs w:val="20"/>
        </w:rPr>
        <w:t>We measure and monitor our environmental impact and leverage sustainability measures to reduce this impact while achieving c</w:t>
      </w:r>
      <w:r>
        <w:rPr>
          <w:rFonts w:eastAsia="Times New Roman"/>
          <w:color w:val="000000"/>
          <w:sz w:val="20"/>
          <w:szCs w:val="20"/>
        </w:rPr>
        <w:t>ost efficiencies in our operations by implementing a range of energy, water, and waste management initiatives. Many of these initiatives are integrated into our ongoing Property of Tomorrow capital investment program.</w:t>
      </w:r>
    </w:p>
    <w:p w:rsidR="00000000" w:rsidRDefault="00473C5F">
      <w:pPr>
        <w:ind w:firstLine="720"/>
        <w:jc w:val="both"/>
        <w:divId w:val="1691908049"/>
        <w:rPr>
          <w:rFonts w:eastAsia="Times New Roman"/>
        </w:rPr>
      </w:pPr>
      <w:r>
        <w:rPr>
          <w:rFonts w:eastAsia="Times New Roman"/>
          <w:color w:val="000000"/>
          <w:sz w:val="20"/>
          <w:szCs w:val="20"/>
        </w:rPr>
        <w:t xml:space="preserve">In regard to climate, we assess risks </w:t>
      </w:r>
      <w:r>
        <w:rPr>
          <w:rFonts w:eastAsia="Times New Roman"/>
          <w:color w:val="000000"/>
          <w:sz w:val="20"/>
          <w:szCs w:val="20"/>
        </w:rPr>
        <w:t xml:space="preserve">and opportunities in conjunction with ongoing operating and risk management processes across the company. We give primary consideration to physical, regulatory, legal, market, and </w:t>
      </w:r>
    </w:p>
    <w:p w:rsidR="00000000" w:rsidRDefault="00473C5F">
      <w:pPr>
        <w:jc w:val="center"/>
        <w:divId w:val="893926340"/>
        <w:rPr>
          <w:rFonts w:eastAsia="Times New Roman"/>
        </w:rPr>
      </w:pPr>
      <w:r>
        <w:rPr>
          <w:rFonts w:eastAsia="Times New Roman"/>
          <w:color w:val="000000"/>
          <w:sz w:val="20"/>
          <w:szCs w:val="20"/>
        </w:rPr>
        <w:t>7</w:t>
      </w:r>
    </w:p>
    <w:p w:rsidR="00000000" w:rsidRDefault="00473C5F">
      <w:pPr>
        <w:rPr>
          <w:rFonts w:eastAsia="Times New Roman"/>
        </w:rPr>
      </w:pPr>
      <w:r>
        <w:rPr>
          <w:rFonts w:eastAsia="Times New Roman"/>
        </w:rPr>
        <w:pict>
          <v:rect id="_x0000_i1034" style="width:0;height:1.5pt" o:hralign="center" o:hrstd="t" o:hr="t" fillcolor="#a0a0a0" stroked="f"/>
        </w:pict>
      </w:r>
    </w:p>
    <w:p w:rsidR="00000000" w:rsidRDefault="00473C5F">
      <w:pPr>
        <w:divId w:val="805125543"/>
        <w:rPr>
          <w:rFonts w:eastAsia="Times New Roman"/>
        </w:rPr>
      </w:pPr>
    </w:p>
    <w:p w:rsidR="00000000" w:rsidRDefault="00473C5F">
      <w:pPr>
        <w:jc w:val="both"/>
        <w:divId w:val="1091975167"/>
        <w:rPr>
          <w:rFonts w:eastAsia="Times New Roman"/>
        </w:rPr>
      </w:pPr>
      <w:r>
        <w:rPr>
          <w:rFonts w:eastAsia="Times New Roman"/>
          <w:color w:val="000000"/>
          <w:sz w:val="20"/>
          <w:szCs w:val="20"/>
        </w:rPr>
        <w:t>reputational risks. Examples of th</w:t>
      </w:r>
      <w:r>
        <w:rPr>
          <w:rFonts w:eastAsia="Times New Roman"/>
          <w:color w:val="000000"/>
          <w:sz w:val="20"/>
          <w:szCs w:val="20"/>
        </w:rPr>
        <w:t>ese risks include heat/water stress, natural disasters, pandemics, temperature change, and regulatory compliance. We are addressing potential heat stress risks (e.g., higher energy costs, more frequent power outages, and impacts on our customers and workfo</w:t>
      </w:r>
      <w:r>
        <w:rPr>
          <w:rFonts w:eastAsia="Times New Roman"/>
          <w:color w:val="000000"/>
          <w:sz w:val="20"/>
          <w:szCs w:val="20"/>
        </w:rPr>
        <w:t>rce) through initiatives such as converting to LED lighting, solar power generation installation, and analyzing battery storage and microgrids. We are addressing potential water stress risks (e.g., increased costs and decreased availability) through initia</w:t>
      </w:r>
      <w:r>
        <w:rPr>
          <w:rFonts w:eastAsia="Times New Roman"/>
          <w:color w:val="000000"/>
          <w:sz w:val="20"/>
          <w:szCs w:val="20"/>
        </w:rPr>
        <w:t>tives such as efficient plumbing systems, low-water use irrigation systems, drought tolerant and native landscaping, water run-off controls, and storm water retention. We address the remaining risks primarily through natural disaster resilient development,</w:t>
      </w:r>
      <w:r>
        <w:rPr>
          <w:rFonts w:eastAsia="Times New Roman"/>
          <w:color w:val="000000"/>
          <w:sz w:val="20"/>
          <w:szCs w:val="20"/>
        </w:rPr>
        <w:t xml:space="preserve"> redevelopment, and capital expenditures.</w:t>
      </w:r>
    </w:p>
    <w:p w:rsidR="00000000" w:rsidRDefault="00473C5F">
      <w:pPr>
        <w:ind w:firstLine="720"/>
        <w:jc w:val="both"/>
        <w:divId w:val="1524635509"/>
        <w:rPr>
          <w:rFonts w:eastAsia="Times New Roman"/>
        </w:rPr>
      </w:pPr>
      <w:r>
        <w:rPr>
          <w:rFonts w:eastAsia="Times New Roman"/>
          <w:color w:val="000000"/>
          <w:sz w:val="20"/>
          <w:szCs w:val="20"/>
        </w:rPr>
        <w:t xml:space="preserve">We will continue to utilize our unique competitive advantages in furthering our environmental stewardship efforts and addressing the effects of climate change. Our commitment includes: </w:t>
      </w:r>
    </w:p>
    <w:p w:rsidR="00000000" w:rsidRDefault="00473C5F">
      <w:pPr>
        <w:ind w:hanging="360"/>
        <w:jc w:val="both"/>
        <w:divId w:val="44573819"/>
        <w:rPr>
          <w:rFonts w:eastAsia="Times New Roman"/>
        </w:rPr>
      </w:pPr>
      <w:r>
        <w:rPr>
          <w:rFonts w:eastAsia="Times New Roman"/>
          <w:color w:val="000000"/>
          <w:sz w:val="20"/>
          <w:szCs w:val="20"/>
        </w:rPr>
        <w:t>•expanding our greenhouse ga</w:t>
      </w:r>
      <w:r>
        <w:rPr>
          <w:rFonts w:eastAsia="Times New Roman"/>
          <w:color w:val="000000"/>
          <w:sz w:val="20"/>
          <w:szCs w:val="20"/>
        </w:rPr>
        <w:t>s emissions inventory to include Scopes 1, 2, and 3 for the entire portfolio;</w:t>
      </w:r>
    </w:p>
    <w:p w:rsidR="00000000" w:rsidRDefault="00473C5F">
      <w:pPr>
        <w:ind w:hanging="360"/>
        <w:jc w:val="both"/>
        <w:divId w:val="109665284"/>
        <w:rPr>
          <w:rFonts w:eastAsia="Times New Roman"/>
        </w:rPr>
      </w:pPr>
      <w:r>
        <w:rPr>
          <w:rFonts w:eastAsia="Times New Roman"/>
          <w:color w:val="000000"/>
          <w:sz w:val="20"/>
          <w:szCs w:val="20"/>
        </w:rPr>
        <w:t>•analyzing opportunities to work with our vendors and suppliers on emissions;</w:t>
      </w:r>
    </w:p>
    <w:p w:rsidR="00000000" w:rsidRDefault="00473C5F">
      <w:pPr>
        <w:ind w:hanging="360"/>
        <w:jc w:val="both"/>
        <w:divId w:val="712771734"/>
        <w:rPr>
          <w:rFonts w:eastAsia="Times New Roman"/>
        </w:rPr>
      </w:pPr>
      <w:r>
        <w:rPr>
          <w:rFonts w:eastAsia="Times New Roman"/>
          <w:color w:val="000000"/>
          <w:sz w:val="20"/>
          <w:szCs w:val="20"/>
        </w:rPr>
        <w:t>•</w:t>
      </w:r>
      <w:r>
        <w:rPr>
          <w:rFonts w:eastAsia="Times New Roman"/>
          <w:color w:val="000000"/>
          <w:sz w:val="20"/>
          <w:szCs w:val="20"/>
        </w:rPr>
        <w:t>enhancing our internal processes and controls in anticipation of forthcoming SEC climate disclosure rules;</w:t>
      </w:r>
    </w:p>
    <w:p w:rsidR="00000000" w:rsidRDefault="00473C5F">
      <w:pPr>
        <w:ind w:hanging="360"/>
        <w:jc w:val="both"/>
        <w:divId w:val="2063164857"/>
        <w:rPr>
          <w:rFonts w:eastAsia="Times New Roman"/>
        </w:rPr>
      </w:pPr>
      <w:r>
        <w:rPr>
          <w:rFonts w:eastAsia="Times New Roman"/>
          <w:color w:val="000000"/>
          <w:sz w:val="20"/>
          <w:szCs w:val="20"/>
        </w:rPr>
        <w:t>•evaluating the feasibility of instituting well-founded medium and/or long-term greenhouse gas emissions reduction targets or other science-based, cl</w:t>
      </w:r>
      <w:r>
        <w:rPr>
          <w:rFonts w:eastAsia="Times New Roman"/>
          <w:color w:val="000000"/>
          <w:sz w:val="20"/>
          <w:szCs w:val="20"/>
        </w:rPr>
        <w:t>imate-focused targets in a manner aligned with the ambitious carbon reduction goals of the Paris Climate Agreement;</w:t>
      </w:r>
    </w:p>
    <w:p w:rsidR="00000000" w:rsidRDefault="00473C5F">
      <w:pPr>
        <w:ind w:hanging="360"/>
        <w:jc w:val="both"/>
        <w:divId w:val="415438097"/>
        <w:rPr>
          <w:rFonts w:eastAsia="Times New Roman"/>
        </w:rPr>
      </w:pPr>
      <w:r>
        <w:rPr>
          <w:rFonts w:eastAsia="Times New Roman"/>
          <w:color w:val="000000"/>
          <w:sz w:val="20"/>
          <w:szCs w:val="20"/>
        </w:rPr>
        <w:t>•continuing to enhance our environmental management system to further infuse sustainability across our organization, enhance our program, an</w:t>
      </w:r>
      <w:r>
        <w:rPr>
          <w:rFonts w:eastAsia="Times New Roman"/>
          <w:color w:val="000000"/>
          <w:sz w:val="20"/>
          <w:szCs w:val="20"/>
        </w:rPr>
        <w:t>d bolster the results of our sustainability efforts;</w:t>
      </w:r>
    </w:p>
    <w:p w:rsidR="00000000" w:rsidRDefault="00473C5F">
      <w:pPr>
        <w:ind w:hanging="360"/>
        <w:jc w:val="both"/>
        <w:divId w:val="1086533415"/>
        <w:rPr>
          <w:rFonts w:eastAsia="Times New Roman"/>
        </w:rPr>
      </w:pPr>
      <w:r>
        <w:rPr>
          <w:rFonts w:eastAsia="Times New Roman"/>
          <w:color w:val="000000"/>
          <w:sz w:val="20"/>
          <w:szCs w:val="20"/>
        </w:rPr>
        <w:t>•continuing to provide regular updates to our stakeholders on our ongoing efforts through our annual Sustainability Report; and</w:t>
      </w:r>
    </w:p>
    <w:p w:rsidR="00000000" w:rsidRDefault="00473C5F">
      <w:pPr>
        <w:ind w:hanging="360"/>
        <w:jc w:val="both"/>
        <w:divId w:val="112946049"/>
        <w:rPr>
          <w:rFonts w:eastAsia="Times New Roman"/>
        </w:rPr>
      </w:pPr>
      <w:r>
        <w:rPr>
          <w:rFonts w:eastAsia="Times New Roman"/>
          <w:color w:val="000000"/>
          <w:sz w:val="20"/>
          <w:szCs w:val="20"/>
        </w:rPr>
        <w:t>•continuing publicly to disclose detailed information on our greenhouse gas</w:t>
      </w:r>
      <w:r>
        <w:rPr>
          <w:rFonts w:eastAsia="Times New Roman"/>
          <w:color w:val="000000"/>
          <w:sz w:val="20"/>
          <w:szCs w:val="20"/>
        </w:rPr>
        <w:t xml:space="preserve"> emissions (consistent with TCFD standards), including through the Carbon Disclosure Project, as well as information on energy and water usage, green energy generation, and similar metrics.</w:t>
      </w:r>
    </w:p>
    <w:p w:rsidR="00000000" w:rsidRDefault="00473C5F">
      <w:pPr>
        <w:ind w:firstLine="720"/>
        <w:jc w:val="both"/>
        <w:divId w:val="1468281378"/>
        <w:rPr>
          <w:rFonts w:eastAsia="Times New Roman"/>
        </w:rPr>
      </w:pPr>
      <w:r>
        <w:rPr>
          <w:rFonts w:eastAsia="Times New Roman"/>
          <w:color w:val="000000"/>
          <w:sz w:val="20"/>
          <w:szCs w:val="20"/>
        </w:rPr>
        <w:t xml:space="preserve">Our annual Sustainability Report, which details our commitment to </w:t>
      </w:r>
      <w:r>
        <w:rPr>
          <w:rFonts w:eastAsia="Times New Roman"/>
          <w:color w:val="000000"/>
          <w:sz w:val="20"/>
          <w:szCs w:val="20"/>
        </w:rPr>
        <w:t xml:space="preserve">environmental stewardship along with our results, performance and progress, is accessible on our website at www.publicstorage.com. </w:t>
      </w:r>
    </w:p>
    <w:p w:rsidR="00000000" w:rsidRDefault="00473C5F">
      <w:pPr>
        <w:jc w:val="both"/>
        <w:divId w:val="1809014271"/>
        <w:rPr>
          <w:rFonts w:eastAsia="Times New Roman"/>
        </w:rPr>
      </w:pPr>
      <w:r>
        <w:rPr>
          <w:rFonts w:eastAsia="Times New Roman"/>
          <w:b/>
          <w:bCs/>
          <w:color w:val="000000"/>
          <w:sz w:val="20"/>
          <w:szCs w:val="20"/>
          <w:u w:val="single"/>
        </w:rPr>
        <w:t>Cybersecurity</w:t>
      </w:r>
    </w:p>
    <w:p w:rsidR="00000000" w:rsidRDefault="00473C5F">
      <w:pPr>
        <w:ind w:firstLine="720"/>
        <w:jc w:val="both"/>
        <w:divId w:val="444859046"/>
        <w:rPr>
          <w:rFonts w:eastAsia="Times New Roman"/>
        </w:rPr>
      </w:pPr>
      <w:r>
        <w:rPr>
          <w:rFonts w:eastAsia="Times New Roman"/>
          <w:color w:val="000000"/>
          <w:sz w:val="20"/>
          <w:szCs w:val="20"/>
        </w:rPr>
        <w:t>Public Storage devotes significant resources to protecting and continuing to improve the security of our compu</w:t>
      </w:r>
      <w:r>
        <w:rPr>
          <w:rFonts w:eastAsia="Times New Roman"/>
          <w:color w:val="000000"/>
          <w:sz w:val="20"/>
          <w:szCs w:val="20"/>
        </w:rPr>
        <w:t>ter systems, software, networks, and other technology assets. Our security efforts are designed to preserve the confidentiality, integrity, and continued availability of all information owned by, or in the care of, the Company and protect against, among ot</w:t>
      </w:r>
      <w:r>
        <w:rPr>
          <w:rFonts w:eastAsia="Times New Roman"/>
          <w:color w:val="000000"/>
          <w:sz w:val="20"/>
          <w:szCs w:val="20"/>
        </w:rPr>
        <w:t>her things, cybersecurity attacks by unauthorized parties attempting to obtain access to confidential information, destroy data, disrupt or degrade service, sabotage systems, or cause other damage.</w:t>
      </w:r>
    </w:p>
    <w:p w:rsidR="00000000" w:rsidRDefault="00473C5F">
      <w:pPr>
        <w:jc w:val="both"/>
        <w:divId w:val="897126482"/>
        <w:rPr>
          <w:rFonts w:eastAsia="Times New Roman"/>
        </w:rPr>
      </w:pPr>
      <w:r>
        <w:rPr>
          <w:rFonts w:eastAsia="Times New Roman"/>
          <w:b/>
          <w:bCs/>
          <w:i/>
          <w:iCs/>
          <w:color w:val="000000"/>
          <w:sz w:val="20"/>
          <w:szCs w:val="20"/>
        </w:rPr>
        <w:t>Board Oversight</w:t>
      </w:r>
    </w:p>
    <w:p w:rsidR="00000000" w:rsidRDefault="00473C5F">
      <w:pPr>
        <w:ind w:firstLine="720"/>
        <w:jc w:val="both"/>
        <w:divId w:val="409735490"/>
        <w:rPr>
          <w:rFonts w:eastAsia="Times New Roman"/>
        </w:rPr>
      </w:pPr>
      <w:r>
        <w:rPr>
          <w:rFonts w:eastAsia="Times New Roman"/>
          <w:color w:val="000000"/>
          <w:sz w:val="20"/>
          <w:szCs w:val="20"/>
        </w:rPr>
        <w:t>Our Board considers cybersecurity risk one</w:t>
      </w:r>
      <w:r>
        <w:rPr>
          <w:rFonts w:eastAsia="Times New Roman"/>
          <w:color w:val="000000"/>
          <w:sz w:val="20"/>
          <w:szCs w:val="20"/>
        </w:rPr>
        <w:t xml:space="preserve"> of the most significant risks to our business. The Board has delegated to the Audit Committee oversight of cybersecurity and other information technology risks affecting the Company. The Audit Committee periodically evaluates our cybersecurity strategy to</w:t>
      </w:r>
      <w:r>
        <w:rPr>
          <w:rFonts w:eastAsia="Times New Roman"/>
          <w:color w:val="000000"/>
          <w:sz w:val="20"/>
          <w:szCs w:val="20"/>
        </w:rPr>
        <w:t xml:space="preserve"> ensure its effectiveness. Management provides quarterly reports to the Audit Committee regarding cybersecurity and other information technology risks, and the Audit Committee in turn provides reports to the full Board.</w:t>
      </w:r>
    </w:p>
    <w:p w:rsidR="00000000" w:rsidRDefault="00473C5F">
      <w:pPr>
        <w:ind w:firstLine="720"/>
        <w:jc w:val="both"/>
        <w:divId w:val="211045535"/>
        <w:rPr>
          <w:rFonts w:eastAsia="Times New Roman"/>
        </w:rPr>
      </w:pPr>
      <w:r>
        <w:rPr>
          <w:rFonts w:eastAsia="Times New Roman"/>
          <w:color w:val="000000"/>
          <w:sz w:val="20"/>
          <w:szCs w:val="20"/>
        </w:rPr>
        <w:t>As part of our Board refreshment eff</w:t>
      </w:r>
      <w:r>
        <w:rPr>
          <w:rFonts w:eastAsia="Times New Roman"/>
          <w:color w:val="000000"/>
          <w:sz w:val="20"/>
          <w:szCs w:val="20"/>
        </w:rPr>
        <w:t>orts in recent years, we have focused on adding trustees with information technology skills. Currently, ten members of our Board, including all four members of our Audit Committee, have cybersecurity experience from their principal occupation or other prof</w:t>
      </w:r>
      <w:r>
        <w:rPr>
          <w:rFonts w:eastAsia="Times New Roman"/>
          <w:color w:val="000000"/>
          <w:sz w:val="20"/>
          <w:szCs w:val="20"/>
        </w:rPr>
        <w:t>essional experience. In addition, several members of our Audit Committee have attended third-party director education courses on cybersecurity since 2021, including cyber risk governance, and privacy issues and trends.</w:t>
      </w:r>
    </w:p>
    <w:p w:rsidR="00000000" w:rsidRDefault="00473C5F">
      <w:pPr>
        <w:jc w:val="both"/>
        <w:divId w:val="300622331"/>
        <w:rPr>
          <w:rFonts w:eastAsia="Times New Roman"/>
        </w:rPr>
      </w:pPr>
    </w:p>
    <w:p w:rsidR="00000000" w:rsidRDefault="00473C5F">
      <w:pPr>
        <w:jc w:val="center"/>
        <w:divId w:val="634140704"/>
        <w:rPr>
          <w:rFonts w:eastAsia="Times New Roman"/>
        </w:rPr>
      </w:pPr>
      <w:r>
        <w:rPr>
          <w:rFonts w:eastAsia="Times New Roman"/>
          <w:color w:val="000000"/>
          <w:sz w:val="20"/>
          <w:szCs w:val="20"/>
        </w:rPr>
        <w:t>8</w:t>
      </w:r>
    </w:p>
    <w:p w:rsidR="00000000" w:rsidRDefault="00473C5F">
      <w:pPr>
        <w:rPr>
          <w:rFonts w:eastAsia="Times New Roman"/>
        </w:rPr>
      </w:pPr>
      <w:r>
        <w:rPr>
          <w:rFonts w:eastAsia="Times New Roman"/>
        </w:rPr>
        <w:pict>
          <v:rect id="_x0000_i1035" style="width:0;height:1.5pt" o:hralign="center" o:hrstd="t" o:hr="t" fillcolor="#a0a0a0" stroked="f"/>
        </w:pict>
      </w:r>
    </w:p>
    <w:p w:rsidR="00000000" w:rsidRDefault="00473C5F">
      <w:pPr>
        <w:divId w:val="1016037094"/>
        <w:rPr>
          <w:rFonts w:eastAsia="Times New Roman"/>
        </w:rPr>
      </w:pPr>
    </w:p>
    <w:p w:rsidR="00000000" w:rsidRDefault="00473C5F">
      <w:pPr>
        <w:jc w:val="both"/>
        <w:divId w:val="154030846"/>
        <w:rPr>
          <w:rFonts w:eastAsia="Times New Roman"/>
        </w:rPr>
      </w:pPr>
      <w:r>
        <w:rPr>
          <w:rFonts w:eastAsia="Times New Roman"/>
          <w:b/>
          <w:bCs/>
          <w:i/>
          <w:iCs/>
          <w:color w:val="000000"/>
          <w:sz w:val="20"/>
          <w:szCs w:val="20"/>
        </w:rPr>
        <w:t>Cybersecurity Risk Identification and Management</w:t>
      </w:r>
    </w:p>
    <w:p w:rsidR="00000000" w:rsidRDefault="00473C5F">
      <w:pPr>
        <w:ind w:firstLine="720"/>
        <w:jc w:val="both"/>
        <w:divId w:val="545033"/>
        <w:rPr>
          <w:rFonts w:eastAsia="Times New Roman"/>
        </w:rPr>
      </w:pPr>
      <w:r>
        <w:rPr>
          <w:rFonts w:eastAsia="Times New Roman"/>
          <w:color w:val="000000"/>
          <w:sz w:val="20"/>
          <w:szCs w:val="20"/>
        </w:rPr>
        <w:t>A dedicated team of technology professionals works throughout the year to monitor all matters of risk relating to cybersecurity. Our Chief Technology Officer and our Vice President, Management Informat</w:t>
      </w:r>
      <w:r>
        <w:rPr>
          <w:rFonts w:eastAsia="Times New Roman"/>
          <w:color w:val="000000"/>
          <w:sz w:val="20"/>
          <w:szCs w:val="20"/>
        </w:rPr>
        <w:t xml:space="preserve">ion Systems, oversee our information security program and report to our executive management team through our Chief Administrative Officer. Their teams are responsible for leading enterprise-wide cyber resilience strategy, policy, standards, architecture, </w:t>
      </w:r>
      <w:r>
        <w:rPr>
          <w:rFonts w:eastAsia="Times New Roman"/>
          <w:color w:val="000000"/>
          <w:sz w:val="20"/>
          <w:szCs w:val="20"/>
        </w:rPr>
        <w:t>and processes.</w:t>
      </w:r>
    </w:p>
    <w:p w:rsidR="00000000" w:rsidRDefault="00473C5F">
      <w:pPr>
        <w:ind w:firstLine="720"/>
        <w:jc w:val="both"/>
        <w:divId w:val="1565947295"/>
        <w:rPr>
          <w:rFonts w:eastAsia="Times New Roman"/>
        </w:rPr>
      </w:pPr>
      <w:r>
        <w:rPr>
          <w:rFonts w:eastAsia="Times New Roman"/>
          <w:color w:val="000000"/>
          <w:sz w:val="20"/>
          <w:szCs w:val="20"/>
        </w:rPr>
        <w:t>We identify and address information security risks by employing a defense-in-depth methodology, consisting of both proactive and reactive elements, that provides multiple, redundant defensive measures and prescribes actions to take in case a</w:t>
      </w:r>
      <w:r>
        <w:rPr>
          <w:rFonts w:eastAsia="Times New Roman"/>
          <w:color w:val="000000"/>
          <w:sz w:val="20"/>
          <w:szCs w:val="20"/>
        </w:rPr>
        <w:t xml:space="preserve"> security control fails or a vulnerability is exploited. We leverage internal resources, along with strategic external partnerships, to mitigate cybersecurity threats to the Company. We have partnerships for Security Operations Center (SOC) services, penet</w:t>
      </w:r>
      <w:r>
        <w:rPr>
          <w:rFonts w:eastAsia="Times New Roman"/>
          <w:color w:val="000000"/>
          <w:sz w:val="20"/>
          <w:szCs w:val="20"/>
        </w:rPr>
        <w:t>ration testing (PENTEST), incident response (IR), and various third-party assessments. We deploy both commercially available solutions and proprietary systems to manage threats to our information technology environment actively.</w:t>
      </w:r>
    </w:p>
    <w:p w:rsidR="00000000" w:rsidRDefault="00473C5F">
      <w:pPr>
        <w:ind w:firstLine="720"/>
        <w:jc w:val="both"/>
        <w:divId w:val="2018728417"/>
        <w:rPr>
          <w:rFonts w:eastAsia="Times New Roman"/>
        </w:rPr>
      </w:pPr>
      <w:r>
        <w:rPr>
          <w:rFonts w:eastAsia="Times New Roman"/>
          <w:color w:val="000000"/>
          <w:sz w:val="20"/>
          <w:szCs w:val="20"/>
        </w:rPr>
        <w:t>Our cybersecurity oversight</w:t>
      </w:r>
      <w:r>
        <w:rPr>
          <w:rFonts w:eastAsia="Times New Roman"/>
          <w:color w:val="000000"/>
          <w:sz w:val="20"/>
          <w:szCs w:val="20"/>
        </w:rPr>
        <w:t xml:space="preserve"> infrastructure is part of our internal control environment and our controls include information security standards. In addition, we are certified against top information security standards, specifically the Payment Card Industry Data Security Standard (PC</w:t>
      </w:r>
      <w:r>
        <w:rPr>
          <w:rFonts w:eastAsia="Times New Roman"/>
          <w:color w:val="000000"/>
          <w:sz w:val="20"/>
          <w:szCs w:val="20"/>
        </w:rPr>
        <w:t>I DSS), to ensure we comply with this rigorous standard specifically for the safe handling and protection of credit card data. Annually, we are assessed, either internally or by an independent third-party, against the National Institute of Standards and Te</w:t>
      </w:r>
      <w:r>
        <w:rPr>
          <w:rFonts w:eastAsia="Times New Roman"/>
          <w:color w:val="000000"/>
          <w:sz w:val="20"/>
          <w:szCs w:val="20"/>
        </w:rPr>
        <w:t>chnology (NIST) Cyber Security Framework. We also have policies and procedures to oversee and identify the cybersecurity risks associated with our use of third-party service providers, including the regular review of SOC reports, relevant cyber attestation</w:t>
      </w:r>
      <w:r>
        <w:rPr>
          <w:rFonts w:eastAsia="Times New Roman"/>
          <w:color w:val="000000"/>
          <w:sz w:val="20"/>
          <w:szCs w:val="20"/>
        </w:rPr>
        <w:t xml:space="preserve">s, and other independent cyber ratings. These processes include technical controls and processes, as well as contractual mechanisms to mitigate risk. Additionally, throughout the year, we utilize reports prepared by our external partners, which provide an </w:t>
      </w:r>
      <w:r>
        <w:rPr>
          <w:rFonts w:eastAsia="Times New Roman"/>
          <w:color w:val="000000"/>
          <w:sz w:val="20"/>
          <w:szCs w:val="20"/>
        </w:rPr>
        <w:t>independent ranking of our cybersecurity maturity and coverage, to assess our cyber proficiency on an standalone basis and comparatively against peers and other companies. Our cyber proficiency consistently ranks as “advanced.” We also regularly engage app</w:t>
      </w:r>
      <w:r>
        <w:rPr>
          <w:rFonts w:eastAsia="Times New Roman"/>
          <w:color w:val="000000"/>
          <w:sz w:val="20"/>
          <w:szCs w:val="20"/>
        </w:rPr>
        <w:t>ropriate external resources regarding emerging threats to navigate the diverse cybersecurity landscape.</w:t>
      </w:r>
    </w:p>
    <w:p w:rsidR="00000000" w:rsidRDefault="00473C5F">
      <w:pPr>
        <w:ind w:firstLine="720"/>
        <w:jc w:val="both"/>
        <w:divId w:val="882911806"/>
        <w:rPr>
          <w:rFonts w:eastAsia="Times New Roman"/>
        </w:rPr>
      </w:pPr>
      <w:r>
        <w:rPr>
          <w:rFonts w:eastAsia="Times New Roman"/>
          <w:color w:val="000000"/>
          <w:sz w:val="20"/>
          <w:szCs w:val="20"/>
        </w:rPr>
        <w:t>In addition to ensuring adequate safeguards are in place to minimize the chance of a successful cyberattack, the Company has established well-defined re</w:t>
      </w:r>
      <w:r>
        <w:rPr>
          <w:rFonts w:eastAsia="Times New Roman"/>
          <w:color w:val="000000"/>
          <w:sz w:val="20"/>
          <w:szCs w:val="20"/>
        </w:rPr>
        <w:t xml:space="preserve">sponse procedures to address any cyber event that may occur despite these robust safeguards. These response procedures are designed to identify, analyze, contain, and remediate such cyber incidents to ensure a timely, consistent, and compliant response to </w:t>
      </w:r>
      <w:r>
        <w:rPr>
          <w:rFonts w:eastAsia="Times New Roman"/>
          <w:color w:val="000000"/>
          <w:sz w:val="20"/>
          <w:szCs w:val="20"/>
        </w:rPr>
        <w:t>actual or attempted data incidents impacting the Company. Recently, the Company completed two separate Disaster Response and Business Continuity Plan exercises to validate our current readiness, and the Company devotes appropriate resources and enlists par</w:t>
      </w:r>
      <w:r>
        <w:rPr>
          <w:rFonts w:eastAsia="Times New Roman"/>
          <w:color w:val="000000"/>
          <w:sz w:val="20"/>
          <w:szCs w:val="20"/>
        </w:rPr>
        <w:t>tners to adapt to the evolving threat landscape. Each year, the Company tests these response procedures, including through disaster response and business continuity plan exercises, in our continuous effort to adapt to the evolving threat landscape. These e</w:t>
      </w:r>
      <w:r>
        <w:rPr>
          <w:rFonts w:eastAsia="Times New Roman"/>
          <w:color w:val="000000"/>
          <w:sz w:val="20"/>
          <w:szCs w:val="20"/>
        </w:rPr>
        <w:t>xercises are intended to challenge and validate our information security response and resources through simulated cybersecurity incidents, including engagement of outside cybersecurity legal counsel, other third party partners, executive management, and ou</w:t>
      </w:r>
      <w:r>
        <w:rPr>
          <w:rFonts w:eastAsia="Times New Roman"/>
          <w:color w:val="000000"/>
          <w:sz w:val="20"/>
          <w:szCs w:val="20"/>
        </w:rPr>
        <w:t xml:space="preserve">r Board. </w:t>
      </w:r>
    </w:p>
    <w:p w:rsidR="00000000" w:rsidRDefault="00473C5F">
      <w:pPr>
        <w:ind w:firstLine="720"/>
        <w:jc w:val="both"/>
        <w:divId w:val="847138286"/>
        <w:rPr>
          <w:rFonts w:eastAsia="Times New Roman"/>
        </w:rPr>
      </w:pPr>
      <w:r>
        <w:rPr>
          <w:rFonts w:eastAsia="Times New Roman"/>
          <w:color w:val="000000"/>
          <w:sz w:val="20"/>
          <w:szCs w:val="20"/>
        </w:rPr>
        <w:t>The Company takes data protection seriously and ensures every employee understands their role in keeping Public Storage safe from cyber-attacks. We employ a robust information security and training program for our employees, including mandatory c</w:t>
      </w:r>
      <w:r>
        <w:rPr>
          <w:rFonts w:eastAsia="Times New Roman"/>
          <w:color w:val="000000"/>
          <w:sz w:val="20"/>
          <w:szCs w:val="20"/>
        </w:rPr>
        <w:t>omputer-based training, regular internal communications, and ongoing end-user testing to measure the effectiveness of our information security program. As part of this commitment, we require our employees to complete a Cybersecurity Awareness eCourse and a</w:t>
      </w:r>
      <w:r>
        <w:rPr>
          <w:rFonts w:eastAsia="Times New Roman"/>
          <w:color w:val="000000"/>
          <w:sz w:val="20"/>
          <w:szCs w:val="20"/>
        </w:rPr>
        <w:t>cknowledge our Information Security policy each year. In addition, we have an established schedule and process for regular phishing awareness campaigns that are designed to emulate real-world contemporary threats and provide immediate feedback (and, if nec</w:t>
      </w:r>
      <w:r>
        <w:rPr>
          <w:rFonts w:eastAsia="Times New Roman"/>
          <w:color w:val="000000"/>
          <w:sz w:val="20"/>
          <w:szCs w:val="20"/>
        </w:rPr>
        <w:t>essary, additional training or remedial action) to employees.</w:t>
      </w:r>
    </w:p>
    <w:p w:rsidR="00000000" w:rsidRDefault="00473C5F">
      <w:pPr>
        <w:ind w:firstLine="720"/>
        <w:jc w:val="both"/>
        <w:divId w:val="1014378114"/>
        <w:rPr>
          <w:rFonts w:eastAsia="Times New Roman"/>
        </w:rPr>
      </w:pPr>
      <w:r>
        <w:rPr>
          <w:rFonts w:eastAsia="Times New Roman"/>
          <w:color w:val="000000"/>
          <w:sz w:val="20"/>
          <w:szCs w:val="20"/>
        </w:rPr>
        <w:t>We have experienced no material information security breaches in the last three years. As such, we have not spent any material amount of capital on addressing information security breaches in th</w:t>
      </w:r>
      <w:r>
        <w:rPr>
          <w:rFonts w:eastAsia="Times New Roman"/>
          <w:color w:val="000000"/>
          <w:sz w:val="20"/>
          <w:szCs w:val="20"/>
        </w:rPr>
        <w:t>e last three years, nor have we incurred any material expenses from penalties and settlements related to a material breach during this same time.</w:t>
      </w:r>
    </w:p>
    <w:p w:rsidR="00000000" w:rsidRDefault="00473C5F">
      <w:pPr>
        <w:ind w:firstLine="720"/>
        <w:jc w:val="both"/>
        <w:divId w:val="1057121641"/>
        <w:rPr>
          <w:rFonts w:eastAsia="Times New Roman"/>
        </w:rPr>
      </w:pPr>
      <w:r>
        <w:rPr>
          <w:rFonts w:eastAsia="Times New Roman"/>
          <w:color w:val="000000"/>
          <w:sz w:val="20"/>
          <w:szCs w:val="20"/>
        </w:rPr>
        <w:t>We believe we are adequately insured against losses related to a potential information security breach, and we</w:t>
      </w:r>
      <w:r>
        <w:rPr>
          <w:rFonts w:eastAsia="Times New Roman"/>
          <w:color w:val="000000"/>
          <w:sz w:val="20"/>
          <w:szCs w:val="20"/>
        </w:rPr>
        <w:t xml:space="preserve"> maintain cybersecurity insurance coverage that we believe is appropriate for the size and complexity of our business.</w:t>
      </w:r>
    </w:p>
    <w:p w:rsidR="00000000" w:rsidRDefault="00473C5F">
      <w:pPr>
        <w:jc w:val="both"/>
        <w:divId w:val="376049460"/>
        <w:rPr>
          <w:rFonts w:eastAsia="Times New Roman"/>
        </w:rPr>
      </w:pPr>
    </w:p>
    <w:p w:rsidR="00000000" w:rsidRDefault="00473C5F">
      <w:pPr>
        <w:jc w:val="center"/>
        <w:divId w:val="1238637129"/>
        <w:rPr>
          <w:rFonts w:eastAsia="Times New Roman"/>
        </w:rPr>
      </w:pPr>
      <w:r>
        <w:rPr>
          <w:rFonts w:eastAsia="Times New Roman"/>
          <w:color w:val="000000"/>
          <w:sz w:val="20"/>
          <w:szCs w:val="20"/>
        </w:rPr>
        <w:t>9</w:t>
      </w:r>
    </w:p>
    <w:p w:rsidR="00000000" w:rsidRDefault="00473C5F">
      <w:pPr>
        <w:rPr>
          <w:rFonts w:eastAsia="Times New Roman"/>
        </w:rPr>
      </w:pPr>
      <w:r>
        <w:rPr>
          <w:rFonts w:eastAsia="Times New Roman"/>
        </w:rPr>
        <w:pict>
          <v:rect id="_x0000_i1036" style="width:0;height:1.5pt" o:hralign="center" o:hrstd="t" o:hr="t" fillcolor="#a0a0a0" stroked="f"/>
        </w:pict>
      </w:r>
    </w:p>
    <w:p w:rsidR="00000000" w:rsidRDefault="00473C5F">
      <w:pPr>
        <w:divId w:val="1633167506"/>
        <w:rPr>
          <w:rFonts w:eastAsia="Times New Roman"/>
        </w:rPr>
      </w:pPr>
    </w:p>
    <w:p w:rsidR="00000000" w:rsidRDefault="00473C5F">
      <w:pPr>
        <w:jc w:val="both"/>
        <w:divId w:val="400905608"/>
        <w:rPr>
          <w:rFonts w:eastAsia="Times New Roman"/>
        </w:rPr>
      </w:pPr>
      <w:r>
        <w:rPr>
          <w:rFonts w:eastAsia="Times New Roman"/>
          <w:b/>
          <w:bCs/>
          <w:color w:val="000000"/>
          <w:sz w:val="20"/>
          <w:szCs w:val="20"/>
          <w:u w:val="single"/>
        </w:rPr>
        <w:t>Seasonality</w:t>
      </w:r>
    </w:p>
    <w:p w:rsidR="00000000" w:rsidRDefault="00473C5F">
      <w:pPr>
        <w:ind w:firstLine="720"/>
        <w:jc w:val="both"/>
        <w:divId w:val="1932857208"/>
        <w:rPr>
          <w:rFonts w:eastAsia="Times New Roman"/>
        </w:rPr>
      </w:pPr>
      <w:r>
        <w:rPr>
          <w:rFonts w:eastAsia="Times New Roman"/>
          <w:color w:val="000000"/>
          <w:sz w:val="20"/>
          <w:szCs w:val="20"/>
        </w:rPr>
        <w:t>We experience minor seasonal fluctuations in the demand for self-storage space, with demand and rental rates generally higher in the summer months than in the winter months. We believe that these fluctuations result in part from increased moving activity d</w:t>
      </w:r>
      <w:r>
        <w:rPr>
          <w:rFonts w:eastAsia="Times New Roman"/>
          <w:color w:val="000000"/>
          <w:sz w:val="20"/>
          <w:szCs w:val="20"/>
        </w:rPr>
        <w:t>uring the summer months.</w:t>
      </w:r>
    </w:p>
    <w:p w:rsidR="00000000" w:rsidRDefault="00473C5F">
      <w:pPr>
        <w:ind w:hanging="1440"/>
        <w:divId w:val="1867866193"/>
        <w:rPr>
          <w:rFonts w:eastAsia="Times New Roman"/>
        </w:rPr>
      </w:pPr>
      <w:r>
        <w:rPr>
          <w:rFonts w:eastAsia="Times New Roman"/>
          <w:b/>
          <w:bCs/>
          <w:color w:val="000000"/>
          <w:sz w:val="20"/>
          <w:szCs w:val="20"/>
        </w:rPr>
        <w:t>ITEM 1A.    </w:t>
      </w:r>
      <w:r>
        <w:rPr>
          <w:rFonts w:eastAsia="Times New Roman"/>
          <w:b/>
          <w:bCs/>
          <w:color w:val="000000"/>
          <w:sz w:val="20"/>
          <w:szCs w:val="20"/>
          <w:u w:val="single"/>
        </w:rPr>
        <w:t>Risk Factors</w:t>
      </w:r>
    </w:p>
    <w:p w:rsidR="00000000" w:rsidRDefault="00473C5F">
      <w:pPr>
        <w:ind w:firstLine="720"/>
        <w:jc w:val="both"/>
        <w:divId w:val="521240245"/>
        <w:rPr>
          <w:rFonts w:eastAsia="Times New Roman"/>
        </w:rPr>
      </w:pPr>
      <w:r>
        <w:rPr>
          <w:rFonts w:eastAsia="Times New Roman"/>
          <w:color w:val="000000"/>
          <w:sz w:val="20"/>
          <w:szCs w:val="20"/>
        </w:rPr>
        <w:t>In addition to the other information in our Annual Report on Form 10-K, you should consider the risks described below that we believe may be material to investors in evaluating the Company. This section con</w:t>
      </w:r>
      <w:r>
        <w:rPr>
          <w:rFonts w:eastAsia="Times New Roman"/>
          <w:color w:val="000000"/>
          <w:sz w:val="20"/>
          <w:szCs w:val="20"/>
        </w:rPr>
        <w:t>tains forward-looking statements, and in considering these statements, you should refer to the qualifications and limitations on our forward-looking statements that are described in Item 1, “Business.”</w:t>
      </w:r>
    </w:p>
    <w:p w:rsidR="00000000" w:rsidRDefault="00473C5F">
      <w:pPr>
        <w:ind w:firstLine="720"/>
        <w:jc w:val="center"/>
        <w:divId w:val="56055724"/>
        <w:rPr>
          <w:rFonts w:eastAsia="Times New Roman"/>
        </w:rPr>
      </w:pPr>
      <w:r>
        <w:rPr>
          <w:rFonts w:eastAsia="Times New Roman"/>
          <w:b/>
          <w:bCs/>
          <w:color w:val="000000"/>
          <w:sz w:val="20"/>
          <w:szCs w:val="20"/>
        </w:rPr>
        <w:t>Risks Related to Our Properties and Our Business</w:t>
      </w:r>
    </w:p>
    <w:p w:rsidR="00000000" w:rsidRDefault="00473C5F">
      <w:pPr>
        <w:jc w:val="both"/>
        <w:divId w:val="2045398241"/>
        <w:rPr>
          <w:rFonts w:eastAsia="Times New Roman"/>
        </w:rPr>
      </w:pPr>
      <w:r>
        <w:rPr>
          <w:rFonts w:eastAsia="Times New Roman"/>
          <w:b/>
          <w:bCs/>
          <w:color w:val="000000"/>
          <w:sz w:val="20"/>
          <w:szCs w:val="20"/>
        </w:rPr>
        <w:t>Natur</w:t>
      </w:r>
      <w:r>
        <w:rPr>
          <w:rFonts w:eastAsia="Times New Roman"/>
          <w:b/>
          <w:bCs/>
          <w:color w:val="000000"/>
          <w:sz w:val="20"/>
          <w:szCs w:val="20"/>
        </w:rPr>
        <w:t xml:space="preserve">al disasters, terrorist attacks, civil unrest, or other events that could damage or otherwise disrupt our ability to operate our facilities could adversely impact our business and financial results. </w:t>
      </w:r>
    </w:p>
    <w:p w:rsidR="00000000" w:rsidRDefault="00473C5F">
      <w:pPr>
        <w:ind w:firstLine="720"/>
        <w:jc w:val="both"/>
        <w:divId w:val="1639410265"/>
        <w:rPr>
          <w:rFonts w:eastAsia="Times New Roman"/>
        </w:rPr>
      </w:pPr>
      <w:r>
        <w:rPr>
          <w:rFonts w:eastAsia="Times New Roman"/>
          <w:color w:val="000000"/>
          <w:sz w:val="20"/>
          <w:szCs w:val="20"/>
        </w:rPr>
        <w:t>Natural disasters, such as earthquakes, fires, hurricane</w:t>
      </w:r>
      <w:r>
        <w:rPr>
          <w:rFonts w:eastAsia="Times New Roman"/>
          <w:color w:val="000000"/>
          <w:sz w:val="20"/>
          <w:szCs w:val="20"/>
        </w:rPr>
        <w:t xml:space="preserve">s, and floods, terrorist attacks, civil unrest, and other events that damage our facilities or our customers' property, or that make our facilities temporarily unavailable, have in the past and may in the future adversely impact our business and financial </w:t>
      </w:r>
      <w:r>
        <w:rPr>
          <w:rFonts w:eastAsia="Times New Roman"/>
          <w:color w:val="000000"/>
          <w:sz w:val="20"/>
          <w:szCs w:val="20"/>
        </w:rPr>
        <w:t>results. Damage and business interruption losses could exceed the aggregate limits of our insurance coverage. In addition, because we self-insure a portion of our risks, losses below a certain level may not be covered by insurance. See Note 14 to our Decem</w:t>
      </w:r>
      <w:r>
        <w:rPr>
          <w:rFonts w:eastAsia="Times New Roman"/>
          <w:color w:val="000000"/>
          <w:sz w:val="20"/>
          <w:szCs w:val="20"/>
        </w:rPr>
        <w:t>ber 31, 2022 consolidated financial statements for a description of the risks of losses that are not covered by third-party insurance contracts. In addition, customer perceptions about the risk of property loss from these events could negatively impact sel</w:t>
      </w:r>
      <w:r>
        <w:rPr>
          <w:rFonts w:eastAsia="Times New Roman"/>
          <w:color w:val="000000"/>
          <w:sz w:val="20"/>
          <w:szCs w:val="20"/>
        </w:rPr>
        <w:t>f-storage demand.</w:t>
      </w:r>
    </w:p>
    <w:p w:rsidR="00000000" w:rsidRDefault="00473C5F">
      <w:pPr>
        <w:jc w:val="both"/>
        <w:divId w:val="2140225250"/>
        <w:rPr>
          <w:rFonts w:eastAsia="Times New Roman"/>
        </w:rPr>
      </w:pPr>
      <w:r>
        <w:rPr>
          <w:rFonts w:eastAsia="Times New Roman"/>
          <w:b/>
          <w:bCs/>
          <w:color w:val="000000"/>
          <w:sz w:val="20"/>
          <w:szCs w:val="20"/>
        </w:rPr>
        <w:t>We are subject to risks from the consequences of climate change, including severe weather events, as well as the transition to a low-carbon economy and other steps taken to prevent or mitigate climate change.</w:t>
      </w:r>
    </w:p>
    <w:p w:rsidR="00000000" w:rsidRDefault="00473C5F">
      <w:pPr>
        <w:ind w:firstLine="720"/>
        <w:jc w:val="both"/>
        <w:divId w:val="196243174"/>
        <w:rPr>
          <w:rFonts w:eastAsia="Times New Roman"/>
        </w:rPr>
      </w:pPr>
      <w:r>
        <w:rPr>
          <w:rFonts w:eastAsia="Times New Roman"/>
          <w:color w:val="000000"/>
          <w:sz w:val="20"/>
          <w:szCs w:val="20"/>
        </w:rPr>
        <w:t>Our self-storage facilities a</w:t>
      </w:r>
      <w:r>
        <w:rPr>
          <w:rFonts w:eastAsia="Times New Roman"/>
          <w:color w:val="000000"/>
          <w:sz w:val="20"/>
          <w:szCs w:val="20"/>
        </w:rPr>
        <w:t>re located in areas that may be subject to the direct impacts of climate change, such as increased destructive weather events like floods, fires, and drought, which could result in significant damage to our facilities, increased capital expenditures, incre</w:t>
      </w:r>
      <w:r>
        <w:rPr>
          <w:rFonts w:eastAsia="Times New Roman"/>
          <w:color w:val="000000"/>
          <w:sz w:val="20"/>
          <w:szCs w:val="20"/>
        </w:rPr>
        <w:t xml:space="preserve">ased expenses, reduced revenues, or reduced demand for our facilities. Indirect impacts of climate change could also adversely impact our business, including through increased costs, such as insurance costs or regulatory compliance costs. In addition, the </w:t>
      </w:r>
      <w:r>
        <w:rPr>
          <w:rFonts w:eastAsia="Times New Roman"/>
          <w:color w:val="000000"/>
          <w:sz w:val="20"/>
          <w:szCs w:val="20"/>
        </w:rPr>
        <w:t>ongoing transition to a low-carbon economy presents certain risks for us and our customers, including stranded assets, increased costs, lower profitability, lower property values, lower household wealth, and macroeconomic risks related to high energy costs</w:t>
      </w:r>
      <w:r>
        <w:rPr>
          <w:rFonts w:eastAsia="Times New Roman"/>
          <w:color w:val="000000"/>
          <w:sz w:val="20"/>
          <w:szCs w:val="20"/>
        </w:rPr>
        <w:t xml:space="preserve"> and energy shortages, among other things. Consistent with our commitment to sustainability in our business operations, we have undertaken a number of initiatives to reduce emissions and energy consumption, water usage, and waste, including through our Pro</w:t>
      </w:r>
      <w:r>
        <w:rPr>
          <w:rFonts w:eastAsia="Times New Roman"/>
          <w:color w:val="000000"/>
          <w:sz w:val="20"/>
          <w:szCs w:val="20"/>
        </w:rPr>
        <w:t>perty of Tomorrow program, pursuant to which we are upgrading all of our older properties by the end of 2025, which has already resulted in investment of approximately $370 million in improvements through December 31, 2022. In addition, we have made invest</w:t>
      </w:r>
      <w:r>
        <w:rPr>
          <w:rFonts w:eastAsia="Times New Roman"/>
          <w:color w:val="000000"/>
          <w:sz w:val="20"/>
          <w:szCs w:val="20"/>
        </w:rPr>
        <w:t>ments in LED lighting and the installation of solar panels of approximately $100 million since 2021 through December 31, 2022. Governmental, political, and societal pressures, including expectations of institutional and activist investors and other interes</w:t>
      </w:r>
      <w:r>
        <w:rPr>
          <w:rFonts w:eastAsia="Times New Roman"/>
          <w:color w:val="000000"/>
          <w:sz w:val="20"/>
          <w:szCs w:val="20"/>
        </w:rPr>
        <w:t>t groups, could require us to accelerate our initiatives and, with it, the costs of their implementation. These same potential governmental, political, and social pressure could in the future result in (i) costly changes to newly developed facilities or re</w:t>
      </w:r>
      <w:r>
        <w:rPr>
          <w:rFonts w:eastAsia="Times New Roman"/>
          <w:color w:val="000000"/>
          <w:sz w:val="20"/>
          <w:szCs w:val="20"/>
        </w:rPr>
        <w:t>trofits of our existing facilities to reduce carbon emissions through multiple avenues, including changes to insulation, space configuration, lighting, heating, and air conditioning, (ii) increased energy costs as a result of transitioning to less carbon-i</w:t>
      </w:r>
      <w:r>
        <w:rPr>
          <w:rFonts w:eastAsia="Times New Roman"/>
          <w:color w:val="000000"/>
          <w:sz w:val="20"/>
          <w:szCs w:val="20"/>
        </w:rPr>
        <w:t>ntensive, but more expensive, sources of energy to operate our facilities, and (iii) consumers reducing their individual carbon footprints by owning fewer durable material consumer goods, collectibles, and other such items requiring storage, resulting in a</w:t>
      </w:r>
      <w:r>
        <w:rPr>
          <w:rFonts w:eastAsia="Times New Roman"/>
          <w:color w:val="000000"/>
          <w:sz w:val="20"/>
          <w:szCs w:val="20"/>
        </w:rPr>
        <w:t xml:space="preserve"> reduced demand for our self-storage space. In addition, our reputation and investor relationships could be damaged as a result of our involvement with activities perceived to be causing or exacerbating climate change, as well as any decisions we make to c</w:t>
      </w:r>
      <w:r>
        <w:rPr>
          <w:rFonts w:eastAsia="Times New Roman"/>
          <w:color w:val="000000"/>
          <w:sz w:val="20"/>
          <w:szCs w:val="20"/>
        </w:rPr>
        <w:t>ontinue to conduct or change our activities in response to considerations relating to climate change.</w:t>
      </w:r>
    </w:p>
    <w:p w:rsidR="00000000" w:rsidRDefault="00473C5F">
      <w:pPr>
        <w:jc w:val="both"/>
        <w:divId w:val="552351904"/>
        <w:rPr>
          <w:rFonts w:eastAsia="Times New Roman"/>
        </w:rPr>
      </w:pPr>
      <w:r>
        <w:rPr>
          <w:rFonts w:eastAsia="Times New Roman"/>
          <w:b/>
          <w:bCs/>
          <w:color w:val="000000"/>
          <w:sz w:val="20"/>
          <w:szCs w:val="20"/>
        </w:rPr>
        <w:t>Operating costs, including property taxes, could increase.</w:t>
      </w:r>
    </w:p>
    <w:p w:rsidR="00000000" w:rsidRDefault="00473C5F">
      <w:pPr>
        <w:ind w:firstLine="720"/>
        <w:jc w:val="both"/>
        <w:divId w:val="1580553904"/>
        <w:rPr>
          <w:rFonts w:eastAsia="Times New Roman"/>
        </w:rPr>
      </w:pPr>
      <w:r>
        <w:rPr>
          <w:rFonts w:eastAsia="Times New Roman"/>
          <w:color w:val="000000"/>
          <w:sz w:val="20"/>
          <w:szCs w:val="20"/>
        </w:rPr>
        <w:t>We could be subject to increases in property or other taxes, repair and maintenance costs, payr</w:t>
      </w:r>
      <w:r>
        <w:rPr>
          <w:rFonts w:eastAsia="Times New Roman"/>
          <w:color w:val="000000"/>
          <w:sz w:val="20"/>
          <w:szCs w:val="20"/>
        </w:rPr>
        <w:t xml:space="preserve">oll, utility costs, insurance premiums, workers compensation, and other operating expenses due to various factors such as inflation, labor shortages, commodity and energy price increases, weather, increases to minimum wage rates, supply chain disruptions, </w:t>
      </w:r>
      <w:r>
        <w:rPr>
          <w:rFonts w:eastAsia="Times New Roman"/>
          <w:color w:val="000000"/>
          <w:sz w:val="20"/>
          <w:szCs w:val="20"/>
        </w:rPr>
        <w:t xml:space="preserve">and </w:t>
      </w:r>
    </w:p>
    <w:p w:rsidR="00000000" w:rsidRDefault="00473C5F">
      <w:pPr>
        <w:jc w:val="center"/>
        <w:divId w:val="869223104"/>
        <w:rPr>
          <w:rFonts w:eastAsia="Times New Roman"/>
        </w:rPr>
      </w:pPr>
      <w:r>
        <w:rPr>
          <w:rFonts w:eastAsia="Times New Roman"/>
          <w:color w:val="000000"/>
          <w:sz w:val="20"/>
          <w:szCs w:val="20"/>
        </w:rPr>
        <w:t>10</w:t>
      </w:r>
    </w:p>
    <w:p w:rsidR="00000000" w:rsidRDefault="00473C5F">
      <w:pPr>
        <w:rPr>
          <w:rFonts w:eastAsia="Times New Roman"/>
        </w:rPr>
      </w:pPr>
      <w:r>
        <w:rPr>
          <w:rFonts w:eastAsia="Times New Roman"/>
        </w:rPr>
        <w:pict>
          <v:rect id="_x0000_i1037" style="width:0;height:1.5pt" o:hralign="center" o:hrstd="t" o:hr="t" fillcolor="#a0a0a0" stroked="f"/>
        </w:pict>
      </w:r>
    </w:p>
    <w:p w:rsidR="00000000" w:rsidRDefault="00473C5F">
      <w:pPr>
        <w:divId w:val="2039355849"/>
        <w:rPr>
          <w:rFonts w:eastAsia="Times New Roman"/>
        </w:rPr>
      </w:pPr>
    </w:p>
    <w:p w:rsidR="00000000" w:rsidRDefault="00473C5F">
      <w:pPr>
        <w:jc w:val="both"/>
        <w:divId w:val="698045081"/>
        <w:rPr>
          <w:rFonts w:eastAsia="Times New Roman"/>
        </w:rPr>
      </w:pPr>
      <w:r>
        <w:rPr>
          <w:rFonts w:eastAsia="Times New Roman"/>
          <w:color w:val="000000"/>
          <w:sz w:val="20"/>
          <w:szCs w:val="20"/>
        </w:rPr>
        <w:t>changes to governmental safety and real estate use limitations and other governmental actions. Our property tax expense, which totaled approximately $386.7 million during the year ended December 31, 2022, gener</w:t>
      </w:r>
      <w:r>
        <w:rPr>
          <w:rFonts w:eastAsia="Times New Roman"/>
          <w:color w:val="000000"/>
          <w:sz w:val="20"/>
          <w:szCs w:val="20"/>
        </w:rPr>
        <w:t xml:space="preserve">ally depends upon the assessed value of our real estate facilities as determined by assessors and government agencies and, accordingly, could be subject to substantial increases if such agencies change their valuation approaches or opinions or if new laws </w:t>
      </w:r>
      <w:r>
        <w:rPr>
          <w:rFonts w:eastAsia="Times New Roman"/>
          <w:color w:val="000000"/>
          <w:sz w:val="20"/>
          <w:szCs w:val="20"/>
        </w:rPr>
        <w:t>are enacted, especially if new approaches are adopted or laws are enacted that result in increased property tax assessments in states or geographies where we have a high concentration of facilities. See also “We have exposure to increased property tax in C</w:t>
      </w:r>
      <w:r>
        <w:rPr>
          <w:rFonts w:eastAsia="Times New Roman"/>
          <w:color w:val="000000"/>
          <w:sz w:val="20"/>
          <w:szCs w:val="20"/>
        </w:rPr>
        <w:t>alifornia” below.</w:t>
      </w:r>
    </w:p>
    <w:p w:rsidR="00000000" w:rsidRDefault="00473C5F">
      <w:pPr>
        <w:jc w:val="both"/>
        <w:divId w:val="1674990553"/>
        <w:rPr>
          <w:rFonts w:eastAsia="Times New Roman"/>
        </w:rPr>
      </w:pPr>
      <w:r>
        <w:rPr>
          <w:rFonts w:eastAsia="Times New Roman"/>
          <w:b/>
          <w:bCs/>
          <w:color w:val="000000"/>
          <w:sz w:val="20"/>
          <w:szCs w:val="20"/>
        </w:rPr>
        <w:t>The acquisition of existing properties or self-storage operating companies is subject to risks that may adversely affect our growth and financial results.</w:t>
      </w:r>
    </w:p>
    <w:p w:rsidR="00000000" w:rsidRDefault="00473C5F">
      <w:pPr>
        <w:ind w:firstLine="720"/>
        <w:jc w:val="both"/>
        <w:divId w:val="1216508386"/>
        <w:rPr>
          <w:rFonts w:eastAsia="Times New Roman"/>
        </w:rPr>
      </w:pPr>
      <w:r>
        <w:rPr>
          <w:rFonts w:eastAsia="Times New Roman"/>
          <w:color w:val="000000"/>
          <w:sz w:val="20"/>
          <w:szCs w:val="20"/>
        </w:rPr>
        <w:t>We have acquired self-storage facilities and self-storage operating companies in th</w:t>
      </w:r>
      <w:r>
        <w:rPr>
          <w:rFonts w:eastAsia="Times New Roman"/>
          <w:color w:val="000000"/>
          <w:sz w:val="20"/>
          <w:szCs w:val="20"/>
        </w:rPr>
        <w:t>e past, and we expect to continue to do so in the future. We face significant competition for suitable acquisition properties and companies from other real estate investors, including operating companies and private equity funds. As a result, we may be una</w:t>
      </w:r>
      <w:r>
        <w:rPr>
          <w:rFonts w:eastAsia="Times New Roman"/>
          <w:color w:val="000000"/>
          <w:sz w:val="20"/>
          <w:szCs w:val="20"/>
        </w:rPr>
        <w:t>ble to acquire the companies or additional properties we desire or the purchase price for desirable companies or properties may be significantly increased. Failures or unexpected circumstances in integrating facilities or companies that we acquire, or circ</w:t>
      </w:r>
      <w:r>
        <w:rPr>
          <w:rFonts w:eastAsia="Times New Roman"/>
          <w:color w:val="000000"/>
          <w:sz w:val="20"/>
          <w:szCs w:val="20"/>
        </w:rPr>
        <w:t>umstances we did not detect or anticipate during due diligence, such as environmental matters, needed repairs or deferred maintenance, customer collection issues, assumed liabilities, turnover of critical personnel involved in acquired operating companies,</w:t>
      </w:r>
      <w:r>
        <w:rPr>
          <w:rFonts w:eastAsia="Times New Roman"/>
          <w:color w:val="000000"/>
          <w:sz w:val="20"/>
          <w:szCs w:val="20"/>
        </w:rPr>
        <w:t xml:space="preserve"> or the effects of increased property tax following reassessment of a newly-acquired property, as well as the general risks of real estate investment and mergers and acquisitions, could jeopardize realization of the anticipated earnings from an acquisition</w:t>
      </w:r>
      <w:r>
        <w:rPr>
          <w:rFonts w:eastAsia="Times New Roman"/>
          <w:color w:val="000000"/>
          <w:sz w:val="20"/>
          <w:szCs w:val="20"/>
        </w:rPr>
        <w:t>.</w:t>
      </w:r>
    </w:p>
    <w:p w:rsidR="00000000" w:rsidRDefault="00473C5F">
      <w:pPr>
        <w:ind w:firstLine="720"/>
        <w:jc w:val="both"/>
        <w:divId w:val="40175459"/>
        <w:rPr>
          <w:rFonts w:eastAsia="Times New Roman"/>
        </w:rPr>
      </w:pPr>
      <w:r>
        <w:rPr>
          <w:rFonts w:eastAsia="Times New Roman"/>
          <w:color w:val="000000"/>
          <w:sz w:val="20"/>
          <w:szCs w:val="20"/>
        </w:rPr>
        <w:t>On February 5, 2023, we disclosed that we have made a proposal to acquire all of the outstanding shares and units of Life Storage for consideration consisting of our common shares. Our public offer followed prior rebuffs by Life Storage of our attempts t</w:t>
      </w:r>
      <w:r>
        <w:rPr>
          <w:rFonts w:eastAsia="Times New Roman"/>
          <w:color w:val="000000"/>
          <w:sz w:val="20"/>
          <w:szCs w:val="20"/>
        </w:rPr>
        <w:t xml:space="preserve">o negotiate privately, and on February 16, 2023, Life Storage announced it had rejected the offer. While we currently intend to engage in discussions with Life Storage, there can be no assurance that Life Storage will engage with us regarding our proposal </w:t>
      </w:r>
      <w:r>
        <w:rPr>
          <w:rFonts w:eastAsia="Times New Roman"/>
          <w:color w:val="000000"/>
          <w:sz w:val="20"/>
          <w:szCs w:val="20"/>
        </w:rPr>
        <w:t>or that we and Life Storage will agree to an acquisition transaction. Additionally, Life Storage can avail itself of various takeover defenses, including the ability unilaterally to classify its board of trustees under the Maryland Unsolicited Takeover Act</w:t>
      </w:r>
      <w:r>
        <w:rPr>
          <w:rFonts w:eastAsia="Times New Roman"/>
          <w:color w:val="000000"/>
          <w:sz w:val="20"/>
          <w:szCs w:val="20"/>
        </w:rPr>
        <w:t xml:space="preserve"> (MUTA). Even if we reach an agreement with Life Storage, there can be no assurance that the conditions to closing such transaction would be satisfied in a timely manner or at all. Further, if a transaction is consummated, there can be no assurance that we</w:t>
      </w:r>
      <w:r>
        <w:rPr>
          <w:rFonts w:eastAsia="Times New Roman"/>
          <w:color w:val="000000"/>
          <w:sz w:val="20"/>
          <w:szCs w:val="20"/>
        </w:rPr>
        <w:t xml:space="preserve"> will realize the benefits we hope to achieve through the transaction, and the complexities of combining the two companies may result in unknown liabilities and unforeseen increased expenses. If a transaction is not consummated, we nevertheless may incur s</w:t>
      </w:r>
      <w:r>
        <w:rPr>
          <w:rFonts w:eastAsia="Times New Roman"/>
          <w:color w:val="000000"/>
          <w:sz w:val="20"/>
          <w:szCs w:val="20"/>
        </w:rPr>
        <w:t>ignificant costs associated with our pursuit of the transaction.</w:t>
      </w:r>
    </w:p>
    <w:p w:rsidR="00000000" w:rsidRDefault="00473C5F">
      <w:pPr>
        <w:jc w:val="both"/>
        <w:divId w:val="1882085230"/>
        <w:rPr>
          <w:rFonts w:eastAsia="Times New Roman"/>
        </w:rPr>
      </w:pPr>
      <w:r>
        <w:rPr>
          <w:rFonts w:eastAsia="Times New Roman"/>
          <w:b/>
          <w:bCs/>
          <w:color w:val="000000"/>
          <w:sz w:val="20"/>
          <w:szCs w:val="20"/>
        </w:rPr>
        <w:t>Our development program subjects us to risks. </w:t>
      </w:r>
    </w:p>
    <w:p w:rsidR="00000000" w:rsidRDefault="00473C5F">
      <w:pPr>
        <w:ind w:firstLine="720"/>
        <w:jc w:val="both"/>
        <w:divId w:val="716009307"/>
        <w:rPr>
          <w:rFonts w:eastAsia="Times New Roman"/>
        </w:rPr>
      </w:pPr>
      <w:r>
        <w:rPr>
          <w:rFonts w:eastAsia="Times New Roman"/>
          <w:color w:val="000000"/>
          <w:sz w:val="20"/>
          <w:szCs w:val="20"/>
        </w:rPr>
        <w:t>At December 31, 2022, we had a pipeline of development projects totaling $979.6 million (subject to contingencies), and we expect to continue to</w:t>
      </w:r>
      <w:r>
        <w:rPr>
          <w:rFonts w:eastAsia="Times New Roman"/>
          <w:color w:val="000000"/>
          <w:sz w:val="20"/>
          <w:szCs w:val="20"/>
        </w:rPr>
        <w:t xml:space="preserve"> seek additional development projects. There are significant risks involved in developing self-storage facilities, such as delays or cost increases due to changes in or failure to meet government or regulatory requirements, failure of revenue to meet our u</w:t>
      </w:r>
      <w:r>
        <w:rPr>
          <w:rFonts w:eastAsia="Times New Roman"/>
          <w:color w:val="000000"/>
          <w:sz w:val="20"/>
          <w:szCs w:val="20"/>
        </w:rPr>
        <w:t>nderwriting estimates, delays caused by weather issues, unforeseen site conditions, or personnel problems. Self-storage space is generally not pre-leased, and rent-up of newly developed space can be delayed or ongoing cash flow yields can be reduced due to</w:t>
      </w:r>
      <w:r>
        <w:rPr>
          <w:rFonts w:eastAsia="Times New Roman"/>
          <w:color w:val="000000"/>
          <w:sz w:val="20"/>
          <w:szCs w:val="20"/>
        </w:rPr>
        <w:t xml:space="preserve"> competition, reductions in storage demand, or other factors.</w:t>
      </w:r>
    </w:p>
    <w:p w:rsidR="00000000" w:rsidRDefault="00473C5F">
      <w:pPr>
        <w:jc w:val="both"/>
        <w:divId w:val="671106342"/>
        <w:rPr>
          <w:rFonts w:eastAsia="Times New Roman"/>
        </w:rPr>
      </w:pPr>
      <w:r>
        <w:rPr>
          <w:rFonts w:eastAsia="Times New Roman"/>
          <w:b/>
          <w:bCs/>
          <w:color w:val="000000"/>
          <w:sz w:val="20"/>
          <w:szCs w:val="20"/>
        </w:rPr>
        <w:t>There is significant competition among self-storage operators and from other storage alternatives. </w:t>
      </w:r>
    </w:p>
    <w:p w:rsidR="00000000" w:rsidRDefault="00473C5F">
      <w:pPr>
        <w:ind w:firstLine="720"/>
        <w:jc w:val="both"/>
        <w:divId w:val="1411466326"/>
        <w:rPr>
          <w:rFonts w:eastAsia="Times New Roman"/>
        </w:rPr>
      </w:pPr>
      <w:r>
        <w:rPr>
          <w:rFonts w:eastAsia="Times New Roman"/>
          <w:color w:val="000000"/>
          <w:sz w:val="20"/>
          <w:szCs w:val="20"/>
        </w:rPr>
        <w:t>Our self-storage facilities generate most of our revenue and earnings. Significant competition</w:t>
      </w:r>
      <w:r>
        <w:rPr>
          <w:rFonts w:eastAsia="Times New Roman"/>
          <w:color w:val="000000"/>
          <w:sz w:val="20"/>
          <w:szCs w:val="20"/>
        </w:rPr>
        <w:t xml:space="preserve"> from self-storage operators, property developers, and other storage alternatives may adversely impact our ability to attract and retain customers and may negatively impact our ability to generate revenue. Competition in the local market areas in which man</w:t>
      </w:r>
      <w:r>
        <w:rPr>
          <w:rFonts w:eastAsia="Times New Roman"/>
          <w:color w:val="000000"/>
          <w:sz w:val="20"/>
          <w:szCs w:val="20"/>
        </w:rPr>
        <w:t>y of our properties are located is significant and affects our occupancy levels, rental rates, and operating expenses. There is also an increasing influx of capital from outside financing sources driving more money, development, and supply into the industr</w:t>
      </w:r>
      <w:r>
        <w:rPr>
          <w:rFonts w:eastAsia="Times New Roman"/>
          <w:color w:val="000000"/>
          <w:sz w:val="20"/>
          <w:szCs w:val="20"/>
        </w:rPr>
        <w:t>y. Development of self-storage facilities may increase, which may intensify competition as newly developed facilities are opened. Development of self-storage facilities by other operators could increase, due to increases in availability of funds for invest</w:t>
      </w:r>
      <w:r>
        <w:rPr>
          <w:rFonts w:eastAsia="Times New Roman"/>
          <w:color w:val="000000"/>
          <w:sz w:val="20"/>
          <w:szCs w:val="20"/>
        </w:rPr>
        <w:t>ment or other reasons, and further intensify competition.</w:t>
      </w:r>
    </w:p>
    <w:p w:rsidR="00000000" w:rsidRDefault="00473C5F">
      <w:pPr>
        <w:jc w:val="both"/>
        <w:divId w:val="945619523"/>
        <w:rPr>
          <w:rFonts w:eastAsia="Times New Roman"/>
        </w:rPr>
      </w:pPr>
    </w:p>
    <w:p w:rsidR="00000000" w:rsidRDefault="00473C5F">
      <w:pPr>
        <w:jc w:val="center"/>
        <w:divId w:val="1521356289"/>
        <w:rPr>
          <w:rFonts w:eastAsia="Times New Roman"/>
        </w:rPr>
      </w:pPr>
      <w:r>
        <w:rPr>
          <w:rFonts w:eastAsia="Times New Roman"/>
          <w:color w:val="000000"/>
          <w:sz w:val="20"/>
          <w:szCs w:val="20"/>
        </w:rPr>
        <w:t>11</w:t>
      </w:r>
    </w:p>
    <w:p w:rsidR="00000000" w:rsidRDefault="00473C5F">
      <w:pPr>
        <w:rPr>
          <w:rFonts w:eastAsia="Times New Roman"/>
        </w:rPr>
      </w:pPr>
      <w:r>
        <w:rPr>
          <w:rFonts w:eastAsia="Times New Roman"/>
        </w:rPr>
        <w:pict>
          <v:rect id="_x0000_i1038" style="width:0;height:1.5pt" o:hralign="center" o:hrstd="t" o:hr="t" fillcolor="#a0a0a0" stroked="f"/>
        </w:pict>
      </w:r>
    </w:p>
    <w:p w:rsidR="00000000" w:rsidRDefault="00473C5F">
      <w:pPr>
        <w:divId w:val="141503159"/>
        <w:rPr>
          <w:rFonts w:eastAsia="Times New Roman"/>
        </w:rPr>
      </w:pPr>
    </w:p>
    <w:p w:rsidR="00000000" w:rsidRDefault="00473C5F">
      <w:pPr>
        <w:jc w:val="both"/>
        <w:divId w:val="426582263"/>
        <w:rPr>
          <w:rFonts w:eastAsia="Times New Roman"/>
        </w:rPr>
      </w:pPr>
      <w:r>
        <w:rPr>
          <w:rFonts w:eastAsia="Times New Roman"/>
          <w:b/>
          <w:bCs/>
          <w:color w:val="000000"/>
          <w:sz w:val="20"/>
          <w:szCs w:val="20"/>
        </w:rPr>
        <w:t>Demand for self-storage facilities may be affected by customer perceptions and factors outside of our control.</w:t>
      </w:r>
    </w:p>
    <w:p w:rsidR="00000000" w:rsidRDefault="00473C5F">
      <w:pPr>
        <w:ind w:firstLine="720"/>
        <w:jc w:val="both"/>
        <w:divId w:val="867376978"/>
        <w:rPr>
          <w:rFonts w:eastAsia="Times New Roman"/>
        </w:rPr>
      </w:pPr>
      <w:r>
        <w:rPr>
          <w:rFonts w:eastAsia="Times New Roman"/>
          <w:color w:val="000000"/>
          <w:sz w:val="20"/>
          <w:szCs w:val="20"/>
        </w:rPr>
        <w:t xml:space="preserve">Significantly lower logistics costs could introduce new competitors, such as valet-style storage services, </w:t>
      </w:r>
      <w:r>
        <w:rPr>
          <w:rFonts w:eastAsia="Times New Roman"/>
          <w:color w:val="000000"/>
          <w:sz w:val="20"/>
          <w:szCs w:val="20"/>
        </w:rPr>
        <w:t>which may reduce the demand for traditional self-storage. Customer preferences and/or needs for self-storage could change, decline, or shift to other product types, thereby impacting our business model and ability to grow and/or generate revenues. Shifts i</w:t>
      </w:r>
      <w:r>
        <w:rPr>
          <w:rFonts w:eastAsia="Times New Roman"/>
          <w:color w:val="000000"/>
          <w:sz w:val="20"/>
          <w:szCs w:val="20"/>
        </w:rPr>
        <w:t xml:space="preserve">n population and demographics could cause the geographical distribution of our portfolio to be suboptimal and affect our ability to maintain occupancy and attract new customers. Security incidents could result in the perception that our properties are not </w:t>
      </w:r>
      <w:r>
        <w:rPr>
          <w:rFonts w:eastAsia="Times New Roman"/>
          <w:color w:val="000000"/>
          <w:sz w:val="20"/>
          <w:szCs w:val="20"/>
        </w:rPr>
        <w:t>safe. If our customers do not feel our properties are safe, they may select competitors for their self-storage needs, or if there is an industry perception of inadequate security generally, customer use of self-storage could be negatively impacted.</w:t>
      </w:r>
    </w:p>
    <w:p w:rsidR="00000000" w:rsidRDefault="00473C5F">
      <w:pPr>
        <w:jc w:val="both"/>
        <w:divId w:val="257252176"/>
        <w:rPr>
          <w:rFonts w:eastAsia="Times New Roman"/>
        </w:rPr>
      </w:pPr>
      <w:r>
        <w:rPr>
          <w:rFonts w:eastAsia="Times New Roman"/>
          <w:b/>
          <w:bCs/>
          <w:color w:val="000000"/>
          <w:sz w:val="20"/>
          <w:szCs w:val="20"/>
        </w:rPr>
        <w:t>Our new</w:t>
      </w:r>
      <w:r>
        <w:rPr>
          <w:rFonts w:eastAsia="Times New Roman"/>
          <w:b/>
          <w:bCs/>
          <w:color w:val="000000"/>
          <w:sz w:val="20"/>
          <w:szCs w:val="20"/>
        </w:rPr>
        <w:t>ly developed and expanded facilities, and facilities that we manage for third party owners, may negatively impact the revenues of our existing facilities.</w:t>
      </w:r>
    </w:p>
    <w:p w:rsidR="00000000" w:rsidRDefault="00473C5F">
      <w:pPr>
        <w:ind w:firstLine="720"/>
        <w:jc w:val="both"/>
        <w:divId w:val="991063330"/>
        <w:rPr>
          <w:rFonts w:eastAsia="Times New Roman"/>
        </w:rPr>
      </w:pPr>
      <w:r>
        <w:rPr>
          <w:rFonts w:eastAsia="Times New Roman"/>
          <w:color w:val="000000"/>
          <w:sz w:val="20"/>
          <w:szCs w:val="20"/>
        </w:rPr>
        <w:t>We continue to develop new self-storage facilities and expand our existing self-storage facilities. I</w:t>
      </w:r>
      <w:r>
        <w:rPr>
          <w:rFonts w:eastAsia="Times New Roman"/>
          <w:color w:val="000000"/>
          <w:sz w:val="20"/>
          <w:szCs w:val="20"/>
        </w:rPr>
        <w:t>n addition, we are seeking to increase the number of self-storage facilities that we manage for third party owners in exchange for a fee, many of which are in the process of stabilization and are near our existing stabilized self-storage facilities. In ord</w:t>
      </w:r>
      <w:r>
        <w:rPr>
          <w:rFonts w:eastAsia="Times New Roman"/>
          <w:color w:val="000000"/>
          <w:sz w:val="20"/>
          <w:szCs w:val="20"/>
        </w:rPr>
        <w:t>er to hasten the fill-up of these new facilities, we aggressively price such space during the fill-up period. While we believe that this aggressive pricing allows us to increase our market share relative to our competitors and increase the cash flows of th</w:t>
      </w:r>
      <w:r>
        <w:rPr>
          <w:rFonts w:eastAsia="Times New Roman"/>
          <w:color w:val="000000"/>
          <w:sz w:val="20"/>
          <w:szCs w:val="20"/>
        </w:rPr>
        <w:t>ese properties, such pricing and the added capacity may also negatively impact our existing stabilized self-storage facilities that are near these unstabilized facilities.</w:t>
      </w:r>
    </w:p>
    <w:p w:rsidR="00000000" w:rsidRDefault="00473C5F">
      <w:pPr>
        <w:divId w:val="1808666079"/>
        <w:rPr>
          <w:rFonts w:eastAsia="Times New Roman"/>
        </w:rPr>
      </w:pPr>
      <w:r>
        <w:rPr>
          <w:rFonts w:eastAsia="Times New Roman"/>
          <w:b/>
          <w:bCs/>
          <w:color w:val="000000"/>
          <w:sz w:val="20"/>
          <w:szCs w:val="20"/>
        </w:rPr>
        <w:t>Many of our existing self-storage facilities may be at a competitive disadvantage to</w:t>
      </w:r>
      <w:r>
        <w:rPr>
          <w:rFonts w:eastAsia="Times New Roman"/>
          <w:b/>
          <w:bCs/>
          <w:color w:val="000000"/>
          <w:sz w:val="20"/>
          <w:szCs w:val="20"/>
        </w:rPr>
        <w:t xml:space="preserve"> newly developed facilities.</w:t>
      </w:r>
    </w:p>
    <w:p w:rsidR="00000000" w:rsidRDefault="00473C5F">
      <w:pPr>
        <w:ind w:firstLine="720"/>
        <w:jc w:val="both"/>
        <w:divId w:val="545139147"/>
        <w:rPr>
          <w:rFonts w:eastAsia="Times New Roman"/>
        </w:rPr>
      </w:pPr>
      <w:r>
        <w:rPr>
          <w:rFonts w:eastAsia="Times New Roman"/>
          <w:color w:val="000000"/>
          <w:sz w:val="20"/>
          <w:szCs w:val="20"/>
        </w:rPr>
        <w:t>There is a significant level of development of new self-storage facilities, by us and other operators. These newly developed facilities are generally of high quality, with a more fresh and vibrant appearance, more amenities (su</w:t>
      </w:r>
      <w:r>
        <w:rPr>
          <w:rFonts w:eastAsia="Times New Roman"/>
          <w:color w:val="000000"/>
          <w:sz w:val="20"/>
          <w:szCs w:val="20"/>
        </w:rPr>
        <w:t xml:space="preserve">ch as climate control), more attractive office configurations, newer elements, and a more attractive retail presence as compared to many of our existing stabilized self-storage facilities, some of which were built as much as 50 years ago. Such qualitative </w:t>
      </w:r>
      <w:r>
        <w:rPr>
          <w:rFonts w:eastAsia="Times New Roman"/>
          <w:color w:val="000000"/>
          <w:sz w:val="20"/>
          <w:szCs w:val="20"/>
        </w:rPr>
        <w:t>differentials may negatively impact our ability to compete with these facilities for new tenants and our existing tenants may move to newly developed facilities.</w:t>
      </w:r>
    </w:p>
    <w:p w:rsidR="00000000" w:rsidRDefault="00473C5F">
      <w:pPr>
        <w:jc w:val="both"/>
        <w:divId w:val="1756168878"/>
        <w:rPr>
          <w:rFonts w:eastAsia="Times New Roman"/>
        </w:rPr>
      </w:pPr>
      <w:r>
        <w:rPr>
          <w:rFonts w:eastAsia="Times New Roman"/>
          <w:b/>
          <w:bCs/>
          <w:color w:val="000000"/>
          <w:sz w:val="20"/>
          <w:szCs w:val="20"/>
        </w:rPr>
        <w:t>We may incur significant liabilities from environmental contamination or moisture infiltration</w:t>
      </w:r>
      <w:r>
        <w:rPr>
          <w:rFonts w:eastAsia="Times New Roman"/>
          <w:b/>
          <w:bCs/>
          <w:color w:val="000000"/>
          <w:sz w:val="20"/>
          <w:szCs w:val="20"/>
        </w:rPr>
        <w:t xml:space="preserve">. </w:t>
      </w:r>
    </w:p>
    <w:p w:rsidR="00000000" w:rsidRDefault="00473C5F">
      <w:pPr>
        <w:ind w:firstLine="720"/>
        <w:jc w:val="both"/>
        <w:divId w:val="1362052713"/>
        <w:rPr>
          <w:rFonts w:eastAsia="Times New Roman"/>
        </w:rPr>
      </w:pPr>
      <w:r>
        <w:rPr>
          <w:rFonts w:eastAsia="Times New Roman"/>
          <w:color w:val="000000"/>
          <w:sz w:val="20"/>
          <w:szCs w:val="20"/>
        </w:rPr>
        <w:t>Existing or future laws impose or may impose liability on us to clean up environmental contamination on or around properties that we currently or previously owned or operated, even if we were not responsible for or aware of the environmental contaminati</w:t>
      </w:r>
      <w:r>
        <w:rPr>
          <w:rFonts w:eastAsia="Times New Roman"/>
          <w:color w:val="000000"/>
          <w:sz w:val="20"/>
          <w:szCs w:val="20"/>
        </w:rPr>
        <w:t>on or even if such environmental contamination occurred prior to our involvement with the property. We have conducted preliminary environmental assessments on most of our properties, which have not identified any material liabilities. These assessments, co</w:t>
      </w:r>
      <w:r>
        <w:rPr>
          <w:rFonts w:eastAsia="Times New Roman"/>
          <w:color w:val="000000"/>
          <w:sz w:val="20"/>
          <w:szCs w:val="20"/>
        </w:rPr>
        <w:t>mmonly referred to as “Phase 1 Environmental Assessments,” include an investigation (excluding soil or groundwater sampling or analysis) and a review of publicly available information regarding the site and other nearby properties.</w:t>
      </w:r>
    </w:p>
    <w:p w:rsidR="00000000" w:rsidRDefault="00473C5F">
      <w:pPr>
        <w:ind w:firstLine="720"/>
        <w:jc w:val="both"/>
        <w:divId w:val="1312636563"/>
        <w:rPr>
          <w:rFonts w:eastAsia="Times New Roman"/>
        </w:rPr>
      </w:pPr>
      <w:r>
        <w:rPr>
          <w:rFonts w:eastAsia="Times New Roman"/>
          <w:color w:val="000000"/>
          <w:sz w:val="20"/>
          <w:szCs w:val="20"/>
        </w:rPr>
        <w:t>We are also subject to p</w:t>
      </w:r>
      <w:r>
        <w:rPr>
          <w:rFonts w:eastAsia="Times New Roman"/>
          <w:color w:val="000000"/>
          <w:sz w:val="20"/>
          <w:szCs w:val="20"/>
        </w:rPr>
        <w:t>otential liability relating to moisture infiltration, which can result in mold or other damage to our or our customers’ property, as well as potential health concerns. When we receive a complaint or otherwise become aware that an air quality concern exists</w:t>
      </w:r>
      <w:r>
        <w:rPr>
          <w:rFonts w:eastAsia="Times New Roman"/>
          <w:color w:val="000000"/>
          <w:sz w:val="20"/>
          <w:szCs w:val="20"/>
        </w:rPr>
        <w:t>, we implement corrective measures and seek to work proactively with our customers to resolve issues, subject to our contractual limitations on liability for such claims.</w:t>
      </w:r>
    </w:p>
    <w:p w:rsidR="00000000" w:rsidRDefault="00473C5F">
      <w:pPr>
        <w:ind w:firstLine="720"/>
        <w:jc w:val="both"/>
        <w:divId w:val="805898507"/>
        <w:rPr>
          <w:rFonts w:eastAsia="Times New Roman"/>
        </w:rPr>
      </w:pPr>
      <w:r>
        <w:rPr>
          <w:rFonts w:eastAsia="Times New Roman"/>
          <w:color w:val="000000"/>
          <w:sz w:val="20"/>
          <w:szCs w:val="20"/>
        </w:rPr>
        <w:t xml:space="preserve">We are not aware of any environmental contamination or moisture infiltration related </w:t>
      </w:r>
      <w:r>
        <w:rPr>
          <w:rFonts w:eastAsia="Times New Roman"/>
          <w:color w:val="000000"/>
          <w:sz w:val="20"/>
          <w:szCs w:val="20"/>
        </w:rPr>
        <w:t>liabilities at any of our properties that could be material to our overall business, financial condition, or results of operation. However, we may not have detected all material liabilities, we could acquire properties with material undetected liabilities,</w:t>
      </w:r>
      <w:r>
        <w:rPr>
          <w:rFonts w:eastAsia="Times New Roman"/>
          <w:color w:val="000000"/>
          <w:sz w:val="20"/>
          <w:szCs w:val="20"/>
        </w:rPr>
        <w:t xml:space="preserve"> or new conditions could arise or develop at our properties, any of which could result in a cash settlement or adversely affect our ability to sell, lease, operate, or encumber affected facilities.</w:t>
      </w:r>
    </w:p>
    <w:p w:rsidR="00000000" w:rsidRDefault="00473C5F">
      <w:pPr>
        <w:jc w:val="both"/>
        <w:divId w:val="2042196707"/>
        <w:rPr>
          <w:rFonts w:eastAsia="Times New Roman"/>
        </w:rPr>
      </w:pPr>
      <w:r>
        <w:rPr>
          <w:rFonts w:eastAsia="Times New Roman"/>
          <w:b/>
          <w:bCs/>
          <w:color w:val="000000"/>
          <w:sz w:val="20"/>
          <w:szCs w:val="20"/>
        </w:rPr>
        <w:t>Economic conditions can adversely affect our business, fin</w:t>
      </w:r>
      <w:r>
        <w:rPr>
          <w:rFonts w:eastAsia="Times New Roman"/>
          <w:b/>
          <w:bCs/>
          <w:color w:val="000000"/>
          <w:sz w:val="20"/>
          <w:szCs w:val="20"/>
        </w:rPr>
        <w:t>ancial condition, growth, and access to capital.</w:t>
      </w:r>
    </w:p>
    <w:p w:rsidR="00000000" w:rsidRDefault="00473C5F">
      <w:pPr>
        <w:ind w:firstLine="720"/>
        <w:jc w:val="both"/>
        <w:divId w:val="726030969"/>
        <w:rPr>
          <w:rFonts w:eastAsia="Times New Roman"/>
        </w:rPr>
      </w:pPr>
      <w:r>
        <w:rPr>
          <w:rFonts w:eastAsia="Times New Roman"/>
          <w:color w:val="000000"/>
          <w:sz w:val="20"/>
          <w:szCs w:val="20"/>
        </w:rPr>
        <w:t>Economic downturns or adverse economic or industry conditions, including those related to high levels of inflation, could adversely impact our financial results, growth, and access to capital. Our revenues a</w:t>
      </w:r>
      <w:r>
        <w:rPr>
          <w:rFonts w:eastAsia="Times New Roman"/>
          <w:color w:val="000000"/>
          <w:sz w:val="20"/>
          <w:szCs w:val="20"/>
        </w:rPr>
        <w:t xml:space="preserve">nd operating cash flow can be negatively impacted by reductions in employment and population levels, household and disposable income, and </w:t>
      </w:r>
    </w:p>
    <w:p w:rsidR="00000000" w:rsidRDefault="00473C5F">
      <w:pPr>
        <w:jc w:val="center"/>
        <w:divId w:val="2015066090"/>
        <w:rPr>
          <w:rFonts w:eastAsia="Times New Roman"/>
        </w:rPr>
      </w:pPr>
      <w:r>
        <w:rPr>
          <w:rFonts w:eastAsia="Times New Roman"/>
          <w:color w:val="000000"/>
          <w:sz w:val="20"/>
          <w:szCs w:val="20"/>
        </w:rPr>
        <w:t>12</w:t>
      </w:r>
    </w:p>
    <w:p w:rsidR="00000000" w:rsidRDefault="00473C5F">
      <w:pPr>
        <w:rPr>
          <w:rFonts w:eastAsia="Times New Roman"/>
        </w:rPr>
      </w:pPr>
      <w:r>
        <w:rPr>
          <w:rFonts w:eastAsia="Times New Roman"/>
        </w:rPr>
        <w:pict>
          <v:rect id="_x0000_i1039" style="width:0;height:1.5pt" o:hralign="center" o:hrstd="t" o:hr="t" fillcolor="#a0a0a0" stroked="f"/>
        </w:pict>
      </w:r>
    </w:p>
    <w:p w:rsidR="00000000" w:rsidRDefault="00473C5F">
      <w:pPr>
        <w:divId w:val="1633360736"/>
        <w:rPr>
          <w:rFonts w:eastAsia="Times New Roman"/>
        </w:rPr>
      </w:pPr>
    </w:p>
    <w:p w:rsidR="00000000" w:rsidRDefault="00473C5F">
      <w:pPr>
        <w:jc w:val="both"/>
        <w:divId w:val="946161094"/>
        <w:rPr>
          <w:rFonts w:eastAsia="Times New Roman"/>
        </w:rPr>
      </w:pPr>
      <w:r>
        <w:rPr>
          <w:rFonts w:eastAsia="Times New Roman"/>
          <w:color w:val="000000"/>
          <w:sz w:val="20"/>
          <w:szCs w:val="20"/>
        </w:rPr>
        <w:t>other general economic factors that lead to a reduction in demand for self-storage space in each of the markets in which we operate.</w:t>
      </w:r>
    </w:p>
    <w:p w:rsidR="00000000" w:rsidRDefault="00473C5F">
      <w:pPr>
        <w:ind w:firstLine="720"/>
        <w:jc w:val="both"/>
        <w:divId w:val="1552232857"/>
        <w:rPr>
          <w:rFonts w:eastAsia="Times New Roman"/>
        </w:rPr>
      </w:pPr>
      <w:r>
        <w:rPr>
          <w:rFonts w:eastAsia="Times New Roman"/>
          <w:color w:val="000000"/>
          <w:sz w:val="20"/>
          <w:szCs w:val="20"/>
        </w:rPr>
        <w:t>Our ability to raise capital on attractive terms to fund our activities may be advers</w:t>
      </w:r>
      <w:r>
        <w:rPr>
          <w:rFonts w:eastAsia="Times New Roman"/>
          <w:color w:val="000000"/>
          <w:sz w:val="20"/>
          <w:szCs w:val="20"/>
        </w:rPr>
        <w:t xml:space="preserve">ely affected by challenging market conditions, including high interest rates resulting from government efforts to manage inflation. In periods when the capital and credit markets experience significant volatility, the amounts, sources, and cost of capital </w:t>
      </w:r>
      <w:r>
        <w:rPr>
          <w:rFonts w:eastAsia="Times New Roman"/>
          <w:color w:val="000000"/>
          <w:sz w:val="20"/>
          <w:szCs w:val="20"/>
        </w:rPr>
        <w:t>available to us may be adversely affected. If we were unable to raise capital at reasonable rates, prospective earnings growth through expanding our asset base could be limited.</w:t>
      </w:r>
    </w:p>
    <w:p w:rsidR="00000000" w:rsidRDefault="00473C5F">
      <w:pPr>
        <w:jc w:val="both"/>
        <w:divId w:val="1386104642"/>
        <w:rPr>
          <w:rFonts w:eastAsia="Times New Roman"/>
        </w:rPr>
      </w:pPr>
      <w:r>
        <w:rPr>
          <w:rFonts w:eastAsia="Times New Roman"/>
          <w:b/>
          <w:bCs/>
          <w:color w:val="000000"/>
          <w:sz w:val="20"/>
          <w:szCs w:val="20"/>
        </w:rPr>
        <w:t>We have exposure to European operations through our ownership in Shurgard.</w:t>
      </w:r>
    </w:p>
    <w:p w:rsidR="00000000" w:rsidRDefault="00473C5F">
      <w:pPr>
        <w:ind w:firstLine="720"/>
        <w:jc w:val="both"/>
        <w:divId w:val="1293635472"/>
        <w:rPr>
          <w:rFonts w:eastAsia="Times New Roman"/>
        </w:rPr>
      </w:pPr>
      <w:r>
        <w:rPr>
          <w:rFonts w:eastAsia="Times New Roman"/>
          <w:color w:val="000000"/>
          <w:sz w:val="20"/>
          <w:szCs w:val="20"/>
        </w:rPr>
        <w:t xml:space="preserve">We </w:t>
      </w:r>
      <w:r>
        <w:rPr>
          <w:rFonts w:eastAsia="Times New Roman"/>
          <w:color w:val="000000"/>
          <w:sz w:val="20"/>
          <w:szCs w:val="20"/>
        </w:rPr>
        <w:t xml:space="preserve">own approximately 35% of the common shares of Shurgard, and this investment has a $275.8 million book value and a $1.4 billion market value (based upon the closing trading price of Shurgard’s common stock) at December 31, 2022. We recognized $26.4 million </w:t>
      </w:r>
      <w:r>
        <w:rPr>
          <w:rFonts w:eastAsia="Times New Roman"/>
          <w:color w:val="000000"/>
          <w:sz w:val="20"/>
          <w:szCs w:val="20"/>
        </w:rPr>
        <w:t>in equity in earnings and received $37.8 million in dividends in 2022 with respect to Shurgard.</w:t>
      </w:r>
    </w:p>
    <w:p w:rsidR="00000000" w:rsidRDefault="00473C5F">
      <w:pPr>
        <w:ind w:firstLine="720"/>
        <w:jc w:val="both"/>
        <w:divId w:val="1976713161"/>
        <w:rPr>
          <w:rFonts w:eastAsia="Times New Roman"/>
        </w:rPr>
      </w:pPr>
      <w:r>
        <w:rPr>
          <w:rFonts w:eastAsia="Times New Roman"/>
          <w:color w:val="000000"/>
          <w:sz w:val="20"/>
          <w:szCs w:val="20"/>
        </w:rPr>
        <w:t>Shurgard, as an owner, operator, and developer of self-storage facilities, is subject to many of the same risks we are with respect to self-storage. However, th</w:t>
      </w:r>
      <w:r>
        <w:rPr>
          <w:rFonts w:eastAsia="Times New Roman"/>
          <w:color w:val="000000"/>
          <w:sz w:val="20"/>
          <w:szCs w:val="20"/>
        </w:rPr>
        <w:t>rough our investment in Shurgard, we are exposed to additional risks unique to the various European markets in which Shurgard operates, which may adversely impact our business and financial results, and many of which are referred to in Shurgard’s public fi</w:t>
      </w:r>
      <w:r>
        <w:rPr>
          <w:rFonts w:eastAsia="Times New Roman"/>
          <w:color w:val="000000"/>
          <w:sz w:val="20"/>
          <w:szCs w:val="20"/>
        </w:rPr>
        <w:t>lings. These risks include the following:</w:t>
      </w:r>
    </w:p>
    <w:p w:rsidR="00000000" w:rsidRDefault="00473C5F">
      <w:pPr>
        <w:ind w:hanging="360"/>
        <w:jc w:val="both"/>
        <w:divId w:val="713308092"/>
        <w:rPr>
          <w:rFonts w:eastAsia="Times New Roman"/>
        </w:rPr>
      </w:pPr>
      <w:r>
        <w:rPr>
          <w:rFonts w:eastAsia="Times New Roman"/>
          <w:i/>
          <w:iCs/>
          <w:color w:val="000000"/>
          <w:sz w:val="20"/>
          <w:szCs w:val="20"/>
        </w:rPr>
        <w:t>•Currency risks:</w:t>
      </w:r>
      <w:r>
        <w:rPr>
          <w:rFonts w:eastAsia="Times New Roman"/>
          <w:color w:val="000000"/>
          <w:sz w:val="20"/>
          <w:szCs w:val="20"/>
        </w:rPr>
        <w:t xml:space="preserve"> Currency fluctuations can impact the fair value of our investment in Shurgard, our equity earnings, our ongoing dividends, and any other related repatriations of cash.</w:t>
      </w:r>
    </w:p>
    <w:p w:rsidR="00000000" w:rsidRDefault="00473C5F">
      <w:pPr>
        <w:ind w:hanging="360"/>
        <w:jc w:val="both"/>
        <w:divId w:val="1366828685"/>
        <w:rPr>
          <w:rFonts w:eastAsia="Times New Roman"/>
        </w:rPr>
      </w:pPr>
      <w:r>
        <w:rPr>
          <w:rFonts w:eastAsia="Times New Roman"/>
          <w:i/>
          <w:iCs/>
          <w:color w:val="000000"/>
          <w:sz w:val="20"/>
          <w:szCs w:val="20"/>
        </w:rPr>
        <w:t>•Legislative, tax, and regula</w:t>
      </w:r>
      <w:r>
        <w:rPr>
          <w:rFonts w:eastAsia="Times New Roman"/>
          <w:i/>
          <w:iCs/>
          <w:color w:val="000000"/>
          <w:sz w:val="20"/>
          <w:szCs w:val="20"/>
        </w:rPr>
        <w:t>tory risks:</w:t>
      </w:r>
      <w:r>
        <w:rPr>
          <w:rFonts w:eastAsia="Times New Roman"/>
          <w:color w:val="000000"/>
          <w:sz w:val="20"/>
          <w:szCs w:val="20"/>
        </w:rPr>
        <w:t xml:space="preserve"> Shurgard is subject to a variety of local, national, and pan-European laws and regulations related to permitting and land use, the environment, labor, and other areas, as well as income, property, sales, and value added and employment tax. Thes</w:t>
      </w:r>
      <w:r>
        <w:rPr>
          <w:rFonts w:eastAsia="Times New Roman"/>
          <w:color w:val="000000"/>
          <w:sz w:val="20"/>
          <w:szCs w:val="20"/>
        </w:rPr>
        <w:t>e laws and regulations can be difficult to apply or interpret, can vary in each country or locality, and are subject to unexpected changes in their form and application due to regional, national, or local political uncertainty and other factors. Such chang</w:t>
      </w:r>
      <w:r>
        <w:rPr>
          <w:rFonts w:eastAsia="Times New Roman"/>
          <w:color w:val="000000"/>
          <w:sz w:val="20"/>
          <w:szCs w:val="20"/>
        </w:rPr>
        <w:t>es, or Shurgard’s failure to comply with these laws, could subject it to penalties or other sanctions, adverse changes in business processes, and, potentially, adverse income tax, property tax, or other tax burdens.</w:t>
      </w:r>
    </w:p>
    <w:p w:rsidR="00000000" w:rsidRDefault="00473C5F">
      <w:pPr>
        <w:ind w:hanging="360"/>
        <w:jc w:val="both"/>
        <w:divId w:val="149493290"/>
        <w:rPr>
          <w:rFonts w:eastAsia="Times New Roman"/>
        </w:rPr>
      </w:pPr>
      <w:r>
        <w:rPr>
          <w:rFonts w:eastAsia="Times New Roman"/>
          <w:i/>
          <w:iCs/>
          <w:color w:val="000000"/>
          <w:sz w:val="20"/>
          <w:szCs w:val="20"/>
        </w:rPr>
        <w:t>•Impediments to capital repatriation cou</w:t>
      </w:r>
      <w:r>
        <w:rPr>
          <w:rFonts w:eastAsia="Times New Roman"/>
          <w:i/>
          <w:iCs/>
          <w:color w:val="000000"/>
          <w:sz w:val="20"/>
          <w:szCs w:val="20"/>
        </w:rPr>
        <w:t>ld negatively impact the realization of our investment in Shurgard:</w:t>
      </w:r>
      <w:r>
        <w:rPr>
          <w:rFonts w:eastAsia="Times New Roman"/>
          <w:color w:val="000000"/>
          <w:sz w:val="20"/>
          <w:szCs w:val="20"/>
        </w:rPr>
        <w:t xml:space="preserve"> Laws in Europe and the U.S. may create, impede, or increase our cost to repatriate distributions received from Shurgard or proceeds from the sale of Shurgard shares.</w:t>
      </w:r>
    </w:p>
    <w:p w:rsidR="00000000" w:rsidRDefault="00473C5F">
      <w:pPr>
        <w:ind w:hanging="360"/>
        <w:jc w:val="both"/>
        <w:divId w:val="1788699416"/>
        <w:rPr>
          <w:rFonts w:eastAsia="Times New Roman"/>
        </w:rPr>
      </w:pPr>
      <w:r>
        <w:rPr>
          <w:rFonts w:eastAsia="Times New Roman"/>
          <w:i/>
          <w:iCs/>
          <w:color w:val="000000"/>
          <w:sz w:val="20"/>
          <w:szCs w:val="20"/>
        </w:rPr>
        <w:t>•Risks of collective b</w:t>
      </w:r>
      <w:r>
        <w:rPr>
          <w:rFonts w:eastAsia="Times New Roman"/>
          <w:i/>
          <w:iCs/>
          <w:color w:val="000000"/>
          <w:sz w:val="20"/>
          <w:szCs w:val="20"/>
        </w:rPr>
        <w:t>argaining:</w:t>
      </w:r>
      <w:r>
        <w:rPr>
          <w:rFonts w:eastAsia="Times New Roman"/>
          <w:color w:val="000000"/>
          <w:sz w:val="20"/>
          <w:szCs w:val="20"/>
        </w:rPr>
        <w:t xml:space="preserve"> Collective bargaining, which is prevalent in certain areas in Europe, could negatively impact Shurgard’s labor costs or operations. Many of Shurgard’s employees participate in various national unions.</w:t>
      </w:r>
    </w:p>
    <w:p w:rsidR="00000000" w:rsidRDefault="00473C5F">
      <w:pPr>
        <w:ind w:hanging="360"/>
        <w:jc w:val="both"/>
        <w:divId w:val="1214080689"/>
        <w:rPr>
          <w:rFonts w:eastAsia="Times New Roman"/>
        </w:rPr>
      </w:pPr>
      <w:r>
        <w:rPr>
          <w:rFonts w:eastAsia="Times New Roman"/>
          <w:i/>
          <w:iCs/>
          <w:color w:val="000000"/>
          <w:sz w:val="20"/>
          <w:szCs w:val="20"/>
        </w:rPr>
        <w:t>•</w:t>
      </w:r>
      <w:r>
        <w:rPr>
          <w:rFonts w:eastAsia="Times New Roman"/>
          <w:i/>
          <w:iCs/>
          <w:color w:val="000000"/>
          <w:sz w:val="20"/>
          <w:szCs w:val="20"/>
        </w:rPr>
        <w:t>Potential operating and individual country risks:</w:t>
      </w:r>
      <w:r>
        <w:rPr>
          <w:rFonts w:eastAsia="Times New Roman"/>
          <w:color w:val="000000"/>
          <w:sz w:val="20"/>
          <w:szCs w:val="20"/>
        </w:rPr>
        <w:t xml:space="preserve"> Economic slowdowns or extraordinary political or social change in the countries in which it operates have posed, and could continue to pose, challenges or result in future reductions of Shurgard’s operating</w:t>
      </w:r>
      <w:r>
        <w:rPr>
          <w:rFonts w:eastAsia="Times New Roman"/>
          <w:color w:val="000000"/>
          <w:sz w:val="20"/>
          <w:szCs w:val="20"/>
        </w:rPr>
        <w:t xml:space="preserve"> cash flows.</w:t>
      </w:r>
    </w:p>
    <w:p w:rsidR="00000000" w:rsidRDefault="00473C5F">
      <w:pPr>
        <w:ind w:hanging="360"/>
        <w:jc w:val="both"/>
        <w:divId w:val="1205827896"/>
        <w:rPr>
          <w:rFonts w:eastAsia="Times New Roman"/>
        </w:rPr>
      </w:pPr>
      <w:r>
        <w:rPr>
          <w:rFonts w:eastAsia="Times New Roman"/>
          <w:i/>
          <w:iCs/>
          <w:color w:val="000000"/>
          <w:sz w:val="20"/>
          <w:szCs w:val="20"/>
        </w:rPr>
        <w:t>•Liquidity of our ownership stake:</w:t>
      </w:r>
      <w:r>
        <w:rPr>
          <w:rFonts w:eastAsia="Times New Roman"/>
          <w:color w:val="000000"/>
          <w:sz w:val="20"/>
          <w:szCs w:val="20"/>
        </w:rPr>
        <w:t xml:space="preserve"> We have no plans to liquidate our interest in Shurgard. However, while Shurgard is a publicly held entity, if we chose to, our ability to liquidate our shares in Shurgard in an efficient manner could be limit</w:t>
      </w:r>
      <w:r>
        <w:rPr>
          <w:rFonts w:eastAsia="Times New Roman"/>
          <w:color w:val="000000"/>
          <w:sz w:val="20"/>
          <w:szCs w:val="20"/>
        </w:rPr>
        <w:t xml:space="preserve">ed by the level of Shurgard’s public “float” relative to any ownership stake we sought to sell. Our existing relationship with our legacy joint venture partner may place further contractual limitations on our ability to sell all of the shares we own if we </w:t>
      </w:r>
      <w:r>
        <w:rPr>
          <w:rFonts w:eastAsia="Times New Roman"/>
          <w:color w:val="000000"/>
          <w:sz w:val="20"/>
          <w:szCs w:val="20"/>
        </w:rPr>
        <w:t>desired to do so.</w:t>
      </w:r>
    </w:p>
    <w:p w:rsidR="00000000" w:rsidRDefault="00473C5F">
      <w:pPr>
        <w:ind w:hanging="360"/>
        <w:jc w:val="both"/>
        <w:divId w:val="1942178857"/>
        <w:rPr>
          <w:rFonts w:eastAsia="Times New Roman"/>
        </w:rPr>
      </w:pPr>
      <w:r>
        <w:rPr>
          <w:rFonts w:eastAsia="Times New Roman"/>
          <w:i/>
          <w:iCs/>
          <w:color w:val="000000"/>
          <w:sz w:val="20"/>
          <w:szCs w:val="20"/>
        </w:rPr>
        <w:t>•Impediments of Shurgard’s public ownership structure:</w:t>
      </w:r>
      <w:r>
        <w:rPr>
          <w:rFonts w:eastAsia="Times New Roman"/>
          <w:color w:val="000000"/>
          <w:sz w:val="20"/>
          <w:szCs w:val="20"/>
        </w:rPr>
        <w:t xml:space="preserve"> Shurgard’s strategic decisions, involving activities such as borrowing money, capital contributions, raising capital from third parties, and selling or acquiring significant assets, a</w:t>
      </w:r>
      <w:r>
        <w:rPr>
          <w:rFonts w:eastAsia="Times New Roman"/>
          <w:color w:val="000000"/>
          <w:sz w:val="20"/>
          <w:szCs w:val="20"/>
        </w:rPr>
        <w:t>re determined by its board of directors. As a result, Shurgard may be precluded from taking advantage of opportunities that we would find attractive but that we may not be able to pursue separately, or it could take actions that we do not agree with.</w:t>
      </w:r>
    </w:p>
    <w:p w:rsidR="00000000" w:rsidRDefault="00473C5F">
      <w:pPr>
        <w:jc w:val="both"/>
        <w:divId w:val="1547523638"/>
        <w:rPr>
          <w:rFonts w:eastAsia="Times New Roman"/>
        </w:rPr>
      </w:pPr>
    </w:p>
    <w:p w:rsidR="00000000" w:rsidRDefault="00473C5F">
      <w:pPr>
        <w:jc w:val="center"/>
        <w:divId w:val="2037341202"/>
        <w:rPr>
          <w:rFonts w:eastAsia="Times New Roman"/>
        </w:rPr>
      </w:pPr>
      <w:r>
        <w:rPr>
          <w:rFonts w:eastAsia="Times New Roman"/>
          <w:color w:val="000000"/>
          <w:sz w:val="20"/>
          <w:szCs w:val="20"/>
        </w:rPr>
        <w:t>13</w:t>
      </w:r>
    </w:p>
    <w:p w:rsidR="00000000" w:rsidRDefault="00473C5F">
      <w:pPr>
        <w:rPr>
          <w:rFonts w:eastAsia="Times New Roman"/>
        </w:rPr>
      </w:pPr>
      <w:r>
        <w:rPr>
          <w:rFonts w:eastAsia="Times New Roman"/>
        </w:rPr>
        <w:pict>
          <v:rect id="_x0000_i1040" style="width:0;height:1.5pt" o:hralign="center" o:hrstd="t" o:hr="t" fillcolor="#a0a0a0" stroked="f"/>
        </w:pict>
      </w:r>
    </w:p>
    <w:p w:rsidR="00000000" w:rsidRDefault="00473C5F">
      <w:pPr>
        <w:divId w:val="575483308"/>
        <w:rPr>
          <w:rFonts w:eastAsia="Times New Roman"/>
        </w:rPr>
      </w:pPr>
    </w:p>
    <w:p w:rsidR="00000000" w:rsidRDefault="00473C5F">
      <w:pPr>
        <w:jc w:val="both"/>
        <w:divId w:val="811868050"/>
        <w:rPr>
          <w:rFonts w:eastAsia="Times New Roman"/>
        </w:rPr>
      </w:pPr>
      <w:r>
        <w:rPr>
          <w:rFonts w:eastAsia="Times New Roman"/>
          <w:b/>
          <w:bCs/>
          <w:color w:val="000000"/>
          <w:sz w:val="20"/>
          <w:szCs w:val="20"/>
        </w:rPr>
        <w:t>Public health and other crises, such as the COVID-19 Pandemic, have adversely impacted, and may in the future adversely impact, our business.</w:t>
      </w:r>
    </w:p>
    <w:p w:rsidR="00000000" w:rsidRDefault="00473C5F">
      <w:pPr>
        <w:ind w:firstLine="720"/>
        <w:jc w:val="both"/>
        <w:divId w:val="1177966699"/>
        <w:rPr>
          <w:rFonts w:eastAsia="Times New Roman"/>
        </w:rPr>
      </w:pPr>
      <w:r>
        <w:rPr>
          <w:rFonts w:eastAsia="Times New Roman"/>
          <w:color w:val="000000"/>
          <w:sz w:val="20"/>
          <w:szCs w:val="20"/>
        </w:rPr>
        <w:t>Our business is subject to risks from public health and other crises like th</w:t>
      </w:r>
      <w:r>
        <w:rPr>
          <w:rFonts w:eastAsia="Times New Roman"/>
          <w:color w:val="000000"/>
          <w:sz w:val="20"/>
          <w:szCs w:val="20"/>
        </w:rPr>
        <w:t>e COVID-19 Pandemic, including, among others:</w:t>
      </w:r>
    </w:p>
    <w:p w:rsidR="00000000" w:rsidRDefault="00473C5F">
      <w:pPr>
        <w:ind w:hanging="360"/>
        <w:jc w:val="both"/>
        <w:divId w:val="783816740"/>
        <w:rPr>
          <w:rFonts w:eastAsia="Times New Roman"/>
        </w:rPr>
      </w:pPr>
      <w:r>
        <w:rPr>
          <w:rFonts w:eastAsia="Times New Roman"/>
          <w:color w:val="000000"/>
          <w:sz w:val="20"/>
          <w:szCs w:val="20"/>
        </w:rPr>
        <w:t>•risk of illness or death of our employees or customers;</w:t>
      </w:r>
    </w:p>
    <w:p w:rsidR="00000000" w:rsidRDefault="00473C5F">
      <w:pPr>
        <w:ind w:hanging="360"/>
        <w:jc w:val="both"/>
        <w:divId w:val="554128177"/>
        <w:rPr>
          <w:rFonts w:eastAsia="Times New Roman"/>
        </w:rPr>
      </w:pPr>
      <w:r>
        <w:rPr>
          <w:rFonts w:eastAsia="Times New Roman"/>
          <w:color w:val="000000"/>
          <w:sz w:val="20"/>
          <w:szCs w:val="20"/>
        </w:rPr>
        <w:t>•negative impacts on economic conditions in our markets, which may reduce the demand for self-storage;</w:t>
      </w:r>
    </w:p>
    <w:p w:rsidR="00000000" w:rsidRDefault="00473C5F">
      <w:pPr>
        <w:ind w:hanging="360"/>
        <w:jc w:val="both"/>
        <w:divId w:val="708919330"/>
        <w:rPr>
          <w:rFonts w:eastAsia="Times New Roman"/>
        </w:rPr>
      </w:pPr>
      <w:r>
        <w:rPr>
          <w:rFonts w:eastAsia="Times New Roman"/>
          <w:color w:val="000000"/>
          <w:sz w:val="20"/>
          <w:szCs w:val="20"/>
        </w:rPr>
        <w:t>•risk that there could be an out-migration of popu</w:t>
      </w:r>
      <w:r>
        <w:rPr>
          <w:rFonts w:eastAsia="Times New Roman"/>
          <w:color w:val="000000"/>
          <w:sz w:val="20"/>
          <w:szCs w:val="20"/>
        </w:rPr>
        <w:t>lation from certain high-cost major markets;</w:t>
      </w:r>
    </w:p>
    <w:p w:rsidR="00000000" w:rsidRDefault="00473C5F">
      <w:pPr>
        <w:ind w:hanging="360"/>
        <w:jc w:val="both"/>
        <w:divId w:val="1677263252"/>
        <w:rPr>
          <w:rFonts w:eastAsia="Times New Roman"/>
        </w:rPr>
      </w:pPr>
      <w:r>
        <w:rPr>
          <w:rFonts w:eastAsia="Times New Roman"/>
          <w:color w:val="000000"/>
          <w:sz w:val="20"/>
          <w:szCs w:val="20"/>
        </w:rPr>
        <w:t>•government restrictions that (i) limit or prevent use of our facilities, (ii) limit our ability to increase rent or otherwise limit the rent we can charge, (iii) limit our ability to collect rent or evict delin</w:t>
      </w:r>
      <w:r>
        <w:rPr>
          <w:rFonts w:eastAsia="Times New Roman"/>
          <w:color w:val="000000"/>
          <w:sz w:val="20"/>
          <w:szCs w:val="20"/>
        </w:rPr>
        <w:t>quent tenants, or (iv) limit our ability to complete development and redevelopment projects;</w:t>
      </w:r>
    </w:p>
    <w:p w:rsidR="00000000" w:rsidRDefault="00473C5F">
      <w:pPr>
        <w:ind w:hanging="360"/>
        <w:jc w:val="both"/>
        <w:divId w:val="487401388"/>
        <w:rPr>
          <w:rFonts w:eastAsia="Times New Roman"/>
        </w:rPr>
      </w:pPr>
      <w:r>
        <w:rPr>
          <w:rFonts w:eastAsia="Times New Roman"/>
          <w:color w:val="000000"/>
          <w:sz w:val="20"/>
          <w:szCs w:val="20"/>
        </w:rPr>
        <w:t xml:space="preserve">•risk that we could experience a change in the move-out patterns of our long-term customers due to economic uncertainty and increases in unemployment, which could </w:t>
      </w:r>
      <w:r>
        <w:rPr>
          <w:rFonts w:eastAsia="Times New Roman"/>
          <w:color w:val="000000"/>
          <w:sz w:val="20"/>
          <w:szCs w:val="20"/>
        </w:rPr>
        <w:t>lead to lower occupancies and rent “roll down” as long-term customers are replaced with new customers at lower rates; and</w:t>
      </w:r>
    </w:p>
    <w:p w:rsidR="00000000" w:rsidRDefault="00473C5F">
      <w:pPr>
        <w:ind w:hanging="360"/>
        <w:jc w:val="both"/>
        <w:divId w:val="2107457967"/>
        <w:rPr>
          <w:rFonts w:eastAsia="Times New Roman"/>
        </w:rPr>
      </w:pPr>
      <w:r>
        <w:rPr>
          <w:rFonts w:eastAsia="Times New Roman"/>
          <w:color w:val="000000"/>
          <w:sz w:val="20"/>
          <w:szCs w:val="20"/>
        </w:rPr>
        <w:t>•risk of negative impacts on the cost and availability of debt and equity capital, which could have a material impact upon our capital</w:t>
      </w:r>
      <w:r>
        <w:rPr>
          <w:rFonts w:eastAsia="Times New Roman"/>
          <w:color w:val="000000"/>
          <w:sz w:val="20"/>
          <w:szCs w:val="20"/>
        </w:rPr>
        <w:t xml:space="preserve"> and growth plans.</w:t>
      </w:r>
    </w:p>
    <w:p w:rsidR="00000000" w:rsidRDefault="00473C5F">
      <w:pPr>
        <w:jc w:val="both"/>
        <w:divId w:val="2000232828"/>
        <w:rPr>
          <w:rFonts w:eastAsia="Times New Roman"/>
        </w:rPr>
      </w:pPr>
      <w:r>
        <w:rPr>
          <w:rFonts w:eastAsia="Times New Roman"/>
          <w:b/>
          <w:bCs/>
          <w:color w:val="000000"/>
          <w:sz w:val="20"/>
          <w:szCs w:val="20"/>
        </w:rPr>
        <w:t>We have been and may in the future be adversely impacted by emergency regulations adopted in response to significant events, such as natural disasters or public health crises, that could adversely impact our operations.</w:t>
      </w:r>
    </w:p>
    <w:p w:rsidR="00000000" w:rsidRDefault="00473C5F">
      <w:pPr>
        <w:ind w:firstLine="720"/>
        <w:jc w:val="both"/>
        <w:divId w:val="498884889"/>
        <w:rPr>
          <w:rFonts w:eastAsia="Times New Roman"/>
        </w:rPr>
      </w:pPr>
      <w:r>
        <w:rPr>
          <w:rFonts w:eastAsia="Times New Roman"/>
          <w:color w:val="000000"/>
          <w:sz w:val="20"/>
          <w:szCs w:val="20"/>
        </w:rPr>
        <w:t>In response to si</w:t>
      </w:r>
      <w:r>
        <w:rPr>
          <w:rFonts w:eastAsia="Times New Roman"/>
          <w:color w:val="000000"/>
          <w:sz w:val="20"/>
          <w:szCs w:val="20"/>
        </w:rPr>
        <w:t>gnificant events, local, state, and federal governments have and may in the future adopt regulations that could impact our operations. For example, in response to wildfires in 2018 and 2019 and floods in 2023, the State of California and some localities in</w:t>
      </w:r>
      <w:r>
        <w:rPr>
          <w:rFonts w:eastAsia="Times New Roman"/>
          <w:color w:val="000000"/>
          <w:sz w:val="20"/>
          <w:szCs w:val="20"/>
        </w:rPr>
        <w:t xml:space="preserve"> California adopted temporary regulations that imposed certain limits on the rents we could charge at certain of our facilities and the extent to which we could increase rents to existing tenants. Similarly, in response to the COVID-19 Pandemic, certain lo</w:t>
      </w:r>
      <w:r>
        <w:rPr>
          <w:rFonts w:eastAsia="Times New Roman"/>
          <w:color w:val="000000"/>
          <w:sz w:val="20"/>
          <w:szCs w:val="20"/>
        </w:rPr>
        <w:t>calities adopted restrictions on the use of certain of our facilities, limited our ability to increase rents, limited our ability to collect rent or evict delinquent tenants, and limited our ability to complete development and redevelopment projects. Simil</w:t>
      </w:r>
      <w:r>
        <w:rPr>
          <w:rFonts w:eastAsia="Times New Roman"/>
          <w:color w:val="000000"/>
          <w:sz w:val="20"/>
          <w:szCs w:val="20"/>
        </w:rPr>
        <w:t>ar restrictions could be imposed in the future in response to significant events and these restrictions could adversely impact our operations.</w:t>
      </w:r>
    </w:p>
    <w:p w:rsidR="00000000" w:rsidRDefault="00473C5F">
      <w:pPr>
        <w:jc w:val="both"/>
        <w:divId w:val="516043583"/>
        <w:rPr>
          <w:rFonts w:eastAsia="Times New Roman"/>
        </w:rPr>
      </w:pPr>
      <w:r>
        <w:rPr>
          <w:rFonts w:eastAsia="Times New Roman"/>
          <w:b/>
          <w:bCs/>
          <w:color w:val="000000"/>
          <w:sz w:val="20"/>
          <w:szCs w:val="20"/>
        </w:rPr>
        <w:t>Our marketing and pricing strategies may fail to be effective or may be constrained by factors outside of our con</w:t>
      </w:r>
      <w:r>
        <w:rPr>
          <w:rFonts w:eastAsia="Times New Roman"/>
          <w:b/>
          <w:bCs/>
          <w:color w:val="000000"/>
          <w:sz w:val="20"/>
          <w:szCs w:val="20"/>
        </w:rPr>
        <w:t>trol.</w:t>
      </w:r>
    </w:p>
    <w:p w:rsidR="00000000" w:rsidRDefault="00473C5F">
      <w:pPr>
        <w:ind w:firstLine="720"/>
        <w:jc w:val="both"/>
        <w:divId w:val="184516040"/>
        <w:rPr>
          <w:rFonts w:eastAsia="Times New Roman"/>
        </w:rPr>
      </w:pPr>
      <w:r>
        <w:rPr>
          <w:rFonts w:eastAsia="Times New Roman"/>
          <w:color w:val="000000"/>
          <w:sz w:val="20"/>
          <w:szCs w:val="20"/>
        </w:rPr>
        <w:t>Marketing initiatives, including our increasing dependence on Google to source customers, may fail to be effective and could negatively impact financial performance. Approximately 65% of our new storage customers in 2022 were sourced directly or indi</w:t>
      </w:r>
      <w:r>
        <w:rPr>
          <w:rFonts w:eastAsia="Times New Roman"/>
          <w:color w:val="000000"/>
          <w:sz w:val="20"/>
          <w:szCs w:val="20"/>
        </w:rPr>
        <w:t>rectly through “unpaid” search and “paid” search campaigns on Google. We believe that the vast majority of customers searching for self-storage use Google at some stage in their shopping experience. Google is providing tools to allow smaller and less sophi</w:t>
      </w:r>
      <w:r>
        <w:rPr>
          <w:rFonts w:eastAsia="Times New Roman"/>
          <w:color w:val="000000"/>
          <w:sz w:val="20"/>
          <w:szCs w:val="20"/>
        </w:rPr>
        <w:t>sticated operators to bid for search terms, increasing competition for self-storage search terms. The predominance of Google in the shopping experience, as well as Google’s enabling of additional competitors to bid for placements in self-storage search ter</w:t>
      </w:r>
      <w:r>
        <w:rPr>
          <w:rFonts w:eastAsia="Times New Roman"/>
          <w:color w:val="000000"/>
          <w:sz w:val="20"/>
          <w:szCs w:val="20"/>
        </w:rPr>
        <w:t>ms, may reduce the number of new customers that we can procure, and/or increase our costs to obtain new customers.</w:t>
      </w:r>
    </w:p>
    <w:p w:rsidR="00000000" w:rsidRDefault="00473C5F">
      <w:pPr>
        <w:ind w:firstLine="720"/>
        <w:jc w:val="both"/>
        <w:divId w:val="335500348"/>
        <w:rPr>
          <w:rFonts w:eastAsia="Times New Roman"/>
        </w:rPr>
      </w:pPr>
      <w:r>
        <w:rPr>
          <w:rFonts w:eastAsia="Times New Roman"/>
          <w:color w:val="000000"/>
          <w:sz w:val="20"/>
          <w:szCs w:val="20"/>
        </w:rPr>
        <w:t>In addition, the inability to utilize our pricing methodology due to regulatory or market constraints could also significantly impact our fin</w:t>
      </w:r>
      <w:r>
        <w:rPr>
          <w:rFonts w:eastAsia="Times New Roman"/>
          <w:color w:val="000000"/>
          <w:sz w:val="20"/>
          <w:szCs w:val="20"/>
        </w:rPr>
        <w:t>ancial results.</w:t>
      </w:r>
    </w:p>
    <w:p w:rsidR="00000000" w:rsidRDefault="00473C5F">
      <w:pPr>
        <w:jc w:val="both"/>
        <w:divId w:val="638195681"/>
        <w:rPr>
          <w:rFonts w:eastAsia="Times New Roman"/>
        </w:rPr>
      </w:pPr>
      <w:r>
        <w:rPr>
          <w:rFonts w:eastAsia="Times New Roman"/>
          <w:b/>
          <w:bCs/>
          <w:color w:val="000000"/>
          <w:sz w:val="20"/>
          <w:szCs w:val="20"/>
        </w:rPr>
        <w:t>We are exposed to ongoing litigation and other legal and regulatory actions, which may divert management’s time and attention, require us to pay damages and expenses or restrict the operation of our business.</w:t>
      </w:r>
    </w:p>
    <w:p w:rsidR="00000000" w:rsidRDefault="00473C5F">
      <w:pPr>
        <w:ind w:firstLine="720"/>
        <w:jc w:val="both"/>
        <w:divId w:val="509217404"/>
        <w:rPr>
          <w:rFonts w:eastAsia="Times New Roman"/>
        </w:rPr>
      </w:pPr>
      <w:r>
        <w:rPr>
          <w:rFonts w:eastAsia="Times New Roman"/>
          <w:color w:val="000000"/>
          <w:sz w:val="20"/>
          <w:szCs w:val="20"/>
        </w:rPr>
        <w:t>We have approximately 5,900 emp</w:t>
      </w:r>
      <w:r>
        <w:rPr>
          <w:rFonts w:eastAsia="Times New Roman"/>
          <w:color w:val="000000"/>
          <w:sz w:val="20"/>
          <w:szCs w:val="20"/>
        </w:rPr>
        <w:t>loyees and 1.8 million customers, and we conduct business at facilities in 40 states. As a result, we are subject to the risk of legal claims and proceedings (including class actions) and regulatory enforcement actions across many jurisdictions in the ordi</w:t>
      </w:r>
      <w:r>
        <w:rPr>
          <w:rFonts w:eastAsia="Times New Roman"/>
          <w:color w:val="000000"/>
          <w:sz w:val="20"/>
          <w:szCs w:val="20"/>
        </w:rPr>
        <w:t xml:space="preserve">nary course of our business and otherwise, and we could incur significant liabilities and substantial legal fees as a result of these actions. Resolution of these claims and actions may divert time and attention by our management and could involve payment </w:t>
      </w:r>
      <w:r>
        <w:rPr>
          <w:rFonts w:eastAsia="Times New Roman"/>
          <w:color w:val="000000"/>
          <w:sz w:val="20"/>
          <w:szCs w:val="20"/>
        </w:rPr>
        <w:t xml:space="preserve">of damages or expenses by us, all of which may </w:t>
      </w:r>
    </w:p>
    <w:p w:rsidR="00000000" w:rsidRDefault="00473C5F">
      <w:pPr>
        <w:jc w:val="center"/>
        <w:divId w:val="925766119"/>
        <w:rPr>
          <w:rFonts w:eastAsia="Times New Roman"/>
        </w:rPr>
      </w:pPr>
      <w:r>
        <w:rPr>
          <w:rFonts w:eastAsia="Times New Roman"/>
          <w:color w:val="000000"/>
          <w:sz w:val="20"/>
          <w:szCs w:val="20"/>
        </w:rPr>
        <w:t>14</w:t>
      </w:r>
    </w:p>
    <w:p w:rsidR="00000000" w:rsidRDefault="00473C5F">
      <w:pPr>
        <w:rPr>
          <w:rFonts w:eastAsia="Times New Roman"/>
        </w:rPr>
      </w:pPr>
      <w:r>
        <w:rPr>
          <w:rFonts w:eastAsia="Times New Roman"/>
        </w:rPr>
        <w:pict>
          <v:rect id="_x0000_i1041" style="width:0;height:1.5pt" o:hralign="center" o:hrstd="t" o:hr="t" fillcolor="#a0a0a0" stroked="f"/>
        </w:pict>
      </w:r>
    </w:p>
    <w:p w:rsidR="00000000" w:rsidRDefault="00473C5F">
      <w:pPr>
        <w:divId w:val="661811695"/>
        <w:rPr>
          <w:rFonts w:eastAsia="Times New Roman"/>
        </w:rPr>
      </w:pPr>
    </w:p>
    <w:p w:rsidR="00000000" w:rsidRDefault="00473C5F">
      <w:pPr>
        <w:jc w:val="both"/>
        <w:divId w:val="1399481163"/>
        <w:rPr>
          <w:rFonts w:eastAsia="Times New Roman"/>
        </w:rPr>
      </w:pPr>
      <w:r>
        <w:rPr>
          <w:rFonts w:eastAsia="Times New Roman"/>
          <w:color w:val="000000"/>
          <w:sz w:val="20"/>
          <w:szCs w:val="20"/>
        </w:rPr>
        <w:t>be significant, and could damage our reputation and our brand. In addition, any such resolution could involve our agreement to terms that restrict the operation of ou</w:t>
      </w:r>
      <w:r>
        <w:rPr>
          <w:rFonts w:eastAsia="Times New Roman"/>
          <w:color w:val="000000"/>
          <w:sz w:val="20"/>
          <w:szCs w:val="20"/>
        </w:rPr>
        <w:t>r business. The results of legal proceedings cannot be predicted with certainty. We cannot guarantee that losses incurred in connection with any current or future legal or regulatory proceedings or actions will not exceed any provisions we may have set asi</w:t>
      </w:r>
      <w:r>
        <w:rPr>
          <w:rFonts w:eastAsia="Times New Roman"/>
          <w:color w:val="000000"/>
          <w:sz w:val="20"/>
          <w:szCs w:val="20"/>
        </w:rPr>
        <w:t>de in respect of such proceedings or actions or any available insurance coverage. Any such legal claims, proceedings, and regulatory enforcement actions could negatively impact our operating results, cash flow available for distribution or reinvestment, an</w:t>
      </w:r>
      <w:r>
        <w:rPr>
          <w:rFonts w:eastAsia="Times New Roman"/>
          <w:color w:val="000000"/>
          <w:sz w:val="20"/>
          <w:szCs w:val="20"/>
        </w:rPr>
        <w:t>d/or the price of our common shares.</w:t>
      </w:r>
    </w:p>
    <w:p w:rsidR="00000000" w:rsidRDefault="00473C5F">
      <w:pPr>
        <w:ind w:firstLine="720"/>
        <w:jc w:val="both"/>
        <w:divId w:val="1558471285"/>
        <w:rPr>
          <w:rFonts w:eastAsia="Times New Roman"/>
        </w:rPr>
      </w:pPr>
      <w:r>
        <w:rPr>
          <w:rFonts w:eastAsia="Times New Roman"/>
          <w:color w:val="000000"/>
          <w:sz w:val="20"/>
          <w:szCs w:val="20"/>
        </w:rPr>
        <w:t>In addition, through exercising their authority to regulate our activities, governmental agencies can otherwise negatively impact our business by increasing costs or decreasing revenues.</w:t>
      </w:r>
    </w:p>
    <w:p w:rsidR="00000000" w:rsidRDefault="00473C5F">
      <w:pPr>
        <w:jc w:val="both"/>
        <w:divId w:val="1250579327"/>
        <w:rPr>
          <w:rFonts w:eastAsia="Times New Roman"/>
        </w:rPr>
      </w:pPr>
      <w:r>
        <w:rPr>
          <w:rFonts w:eastAsia="Times New Roman"/>
          <w:b/>
          <w:bCs/>
          <w:color w:val="000000"/>
          <w:sz w:val="20"/>
          <w:szCs w:val="20"/>
        </w:rPr>
        <w:t>Our failure to modernize and adopt advancements in information techno</w:t>
      </w:r>
      <w:r>
        <w:rPr>
          <w:rFonts w:eastAsia="Times New Roman"/>
          <w:b/>
          <w:bCs/>
          <w:color w:val="000000"/>
          <w:sz w:val="20"/>
          <w:szCs w:val="20"/>
        </w:rPr>
        <w:t>logy may hinder or prevent us from achieving strategic objectives.</w:t>
      </w:r>
    </w:p>
    <w:p w:rsidR="00000000" w:rsidRDefault="00473C5F">
      <w:pPr>
        <w:ind w:firstLine="720"/>
        <w:jc w:val="both"/>
        <w:divId w:val="1061712308"/>
        <w:rPr>
          <w:rFonts w:eastAsia="Times New Roman"/>
        </w:rPr>
      </w:pPr>
      <w:r>
        <w:rPr>
          <w:rFonts w:eastAsia="Times New Roman"/>
          <w:color w:val="000000"/>
          <w:sz w:val="20"/>
          <w:szCs w:val="20"/>
        </w:rPr>
        <w:t>Our inability to adapt and deliver new capabilities in time with strategic requirements may cause the organization to miss market competitive timing, first mover position, or to suffer mate</w:t>
      </w:r>
      <w:r>
        <w:rPr>
          <w:rFonts w:eastAsia="Times New Roman"/>
          <w:color w:val="000000"/>
          <w:sz w:val="20"/>
          <w:szCs w:val="20"/>
        </w:rPr>
        <w:t>rial loss due to failed technology choices or implementation.</w:t>
      </w:r>
    </w:p>
    <w:p w:rsidR="00000000" w:rsidRDefault="00473C5F">
      <w:pPr>
        <w:jc w:val="both"/>
        <w:divId w:val="947010424"/>
        <w:rPr>
          <w:rFonts w:eastAsia="Times New Roman"/>
        </w:rPr>
      </w:pPr>
      <w:r>
        <w:rPr>
          <w:rFonts w:eastAsia="Times New Roman"/>
          <w:b/>
          <w:bCs/>
          <w:color w:val="000000"/>
          <w:sz w:val="20"/>
          <w:szCs w:val="20"/>
        </w:rPr>
        <w:t>The failure or disruption of our computer and communications systems, on which we are heavily dependent,</w:t>
      </w:r>
      <w:r>
        <w:rPr>
          <w:rFonts w:eastAsia="Times New Roman"/>
          <w:color w:val="000000"/>
          <w:sz w:val="20"/>
          <w:szCs w:val="20"/>
        </w:rPr>
        <w:t xml:space="preserve"> </w:t>
      </w:r>
      <w:r>
        <w:rPr>
          <w:rFonts w:eastAsia="Times New Roman"/>
          <w:b/>
          <w:bCs/>
          <w:color w:val="000000"/>
          <w:sz w:val="20"/>
          <w:szCs w:val="20"/>
        </w:rPr>
        <w:t>could significantly harm our business.</w:t>
      </w:r>
    </w:p>
    <w:p w:rsidR="00000000" w:rsidRDefault="00473C5F">
      <w:pPr>
        <w:ind w:firstLine="720"/>
        <w:jc w:val="both"/>
        <w:divId w:val="1957252643"/>
        <w:rPr>
          <w:rFonts w:eastAsia="Times New Roman"/>
        </w:rPr>
      </w:pPr>
      <w:r>
        <w:rPr>
          <w:rFonts w:eastAsia="Times New Roman"/>
          <w:color w:val="000000"/>
          <w:sz w:val="20"/>
          <w:szCs w:val="20"/>
        </w:rPr>
        <w:t>We are heavily dependent upon automated informatio</w:t>
      </w:r>
      <w:r>
        <w:rPr>
          <w:rFonts w:eastAsia="Times New Roman"/>
          <w:color w:val="000000"/>
          <w:sz w:val="20"/>
          <w:szCs w:val="20"/>
        </w:rPr>
        <w:t>n technology and Internet commerce, with more than half of our new customers coming from the telephone or over the Internet. We centrally manage significant components of our operations with our computer systems, including our financial information, and we</w:t>
      </w:r>
      <w:r>
        <w:rPr>
          <w:rFonts w:eastAsia="Times New Roman"/>
          <w:color w:val="000000"/>
          <w:sz w:val="20"/>
          <w:szCs w:val="20"/>
        </w:rPr>
        <w:t xml:space="preserve"> also rely extensively on third-party vendors to retain data, process transactions, and provide other systems services. These systems are subject to damage or interruption from power outages, computer and telecommunications failures, hackers, including thr</w:t>
      </w:r>
      <w:r>
        <w:rPr>
          <w:rFonts w:eastAsia="Times New Roman"/>
          <w:color w:val="000000"/>
          <w:sz w:val="20"/>
          <w:szCs w:val="20"/>
        </w:rPr>
        <w:t>ough a ransomware attack, computer worms, viruses, and other destructive or disruptive security breaches, and catastrophic events. Such incidents could also result in significant costs to repair or replace such networks or information systems, as well as a</w:t>
      </w:r>
      <w:r>
        <w:rPr>
          <w:rFonts w:eastAsia="Times New Roman"/>
          <w:color w:val="000000"/>
          <w:sz w:val="20"/>
          <w:szCs w:val="20"/>
        </w:rPr>
        <w:t>ctual monetary losses in case of a breach that resulted in fraudulent payments or other cash transactions. As a result, our operations could be severely impacted by a natural disaster, terrorist attack, attack by hackers, acts of vandalism, data theft, mis</w:t>
      </w:r>
      <w:r>
        <w:rPr>
          <w:rFonts w:eastAsia="Times New Roman"/>
          <w:color w:val="000000"/>
          <w:sz w:val="20"/>
          <w:szCs w:val="20"/>
        </w:rPr>
        <w:t>placed or lost data, programming or human error, or other circumstance that results in a significant outage of our systems or those of our third party providers, despite our use of back up and redundancy measures.</w:t>
      </w:r>
    </w:p>
    <w:p w:rsidR="00000000" w:rsidRDefault="00473C5F">
      <w:pPr>
        <w:jc w:val="both"/>
        <w:divId w:val="595402731"/>
        <w:rPr>
          <w:rFonts w:eastAsia="Times New Roman"/>
        </w:rPr>
      </w:pPr>
      <w:r>
        <w:rPr>
          <w:rFonts w:eastAsia="Times New Roman"/>
          <w:b/>
          <w:bCs/>
          <w:color w:val="000000"/>
          <w:sz w:val="20"/>
          <w:szCs w:val="20"/>
        </w:rPr>
        <w:t>If our confidential information is comprom</w:t>
      </w:r>
      <w:r>
        <w:rPr>
          <w:rFonts w:eastAsia="Times New Roman"/>
          <w:b/>
          <w:bCs/>
          <w:color w:val="000000"/>
          <w:sz w:val="20"/>
          <w:szCs w:val="20"/>
        </w:rPr>
        <w:t>ised or corrupted, including as a result of a cybersecurity breach, our reputation and business relationships could be damaged, which could adversely affect our financial condition and operating results.</w:t>
      </w:r>
    </w:p>
    <w:p w:rsidR="00000000" w:rsidRDefault="00473C5F">
      <w:pPr>
        <w:ind w:firstLine="720"/>
        <w:jc w:val="both"/>
        <w:divId w:val="2079327881"/>
        <w:rPr>
          <w:rFonts w:eastAsia="Times New Roman"/>
        </w:rPr>
      </w:pPr>
      <w:r>
        <w:rPr>
          <w:rFonts w:eastAsia="Times New Roman"/>
          <w:color w:val="000000"/>
          <w:sz w:val="20"/>
          <w:szCs w:val="20"/>
        </w:rPr>
        <w:t>In the ordinary course of our business we acquire an</w:t>
      </w:r>
      <w:r>
        <w:rPr>
          <w:rFonts w:eastAsia="Times New Roman"/>
          <w:color w:val="000000"/>
          <w:sz w:val="20"/>
          <w:szCs w:val="20"/>
        </w:rPr>
        <w:t>d store sensitive data, including personally identifiable information of our prospective and current customers and our employees. The secure processing and maintenance of this information is critical to our operations and business strategy. Although we bel</w:t>
      </w:r>
      <w:r>
        <w:rPr>
          <w:rFonts w:eastAsia="Times New Roman"/>
          <w:color w:val="000000"/>
          <w:sz w:val="20"/>
          <w:szCs w:val="20"/>
        </w:rPr>
        <w:t>ieve we have taken commercially reasonable steps to protect the security of our confidential information, information security risks have generally increased in recent years due to the rise in new technologies and the increased sophistication and activitie</w:t>
      </w:r>
      <w:r>
        <w:rPr>
          <w:rFonts w:eastAsia="Times New Roman"/>
          <w:color w:val="000000"/>
          <w:sz w:val="20"/>
          <w:szCs w:val="20"/>
        </w:rPr>
        <w:t>s of perpetrators of cyberattacks. Despite our security measures, we have experienced security breaches due to cyberattacks and additional breaches could occur in the future. In these cases, our information technology and infrastructure could be vulnerable</w:t>
      </w:r>
      <w:r>
        <w:rPr>
          <w:rFonts w:eastAsia="Times New Roman"/>
          <w:color w:val="000000"/>
          <w:sz w:val="20"/>
          <w:szCs w:val="20"/>
        </w:rPr>
        <w:t xml:space="preserve"> and our or our customers’ or employees’ confidential information could be compromised or misappropriated. Any such breach could result in serious and harmful consequences for us or our tenants.</w:t>
      </w:r>
    </w:p>
    <w:p w:rsidR="00000000" w:rsidRDefault="00473C5F">
      <w:pPr>
        <w:ind w:firstLine="720"/>
        <w:jc w:val="both"/>
        <w:divId w:val="962494111"/>
        <w:rPr>
          <w:rFonts w:eastAsia="Times New Roman"/>
        </w:rPr>
      </w:pPr>
      <w:r>
        <w:rPr>
          <w:rFonts w:eastAsia="Times New Roman"/>
          <w:color w:val="000000"/>
          <w:sz w:val="20"/>
          <w:szCs w:val="20"/>
        </w:rPr>
        <w:t>Our confidential information may also be compromised due to p</w:t>
      </w:r>
      <w:r>
        <w:rPr>
          <w:rFonts w:eastAsia="Times New Roman"/>
          <w:color w:val="000000"/>
          <w:sz w:val="20"/>
          <w:szCs w:val="20"/>
        </w:rPr>
        <w:t>rogramming or human error or malfeasance. We must continually evaluate and adapt our systems and processes to address the evolving threat landscape, and therefore there is no guarantee that they will be adequate to safeguard against all data security breac</w:t>
      </w:r>
      <w:r>
        <w:rPr>
          <w:rFonts w:eastAsia="Times New Roman"/>
          <w:color w:val="000000"/>
          <w:sz w:val="20"/>
          <w:szCs w:val="20"/>
        </w:rPr>
        <w:t>hes or misuses of data. In addition, as the regulatory environment related to information security, data collection and use, and privacy becomes increasingly rigorous, with new and changing requirements applicable to our business from multiple regulatory a</w:t>
      </w:r>
      <w:r>
        <w:rPr>
          <w:rFonts w:eastAsia="Times New Roman"/>
          <w:color w:val="000000"/>
          <w:sz w:val="20"/>
          <w:szCs w:val="20"/>
        </w:rPr>
        <w:t>gencies at the local, state, federal, or international level, compliance with those requirement could also result in additional costs, or we could fail to comply with those requirements due to various reasons such as not being aware of them.</w:t>
      </w:r>
    </w:p>
    <w:p w:rsidR="00000000" w:rsidRDefault="00473C5F">
      <w:pPr>
        <w:ind w:firstLine="720"/>
        <w:jc w:val="both"/>
        <w:divId w:val="1136988225"/>
        <w:rPr>
          <w:rFonts w:eastAsia="Times New Roman"/>
        </w:rPr>
      </w:pPr>
      <w:r>
        <w:rPr>
          <w:rFonts w:eastAsia="Times New Roman"/>
          <w:color w:val="000000"/>
          <w:sz w:val="20"/>
          <w:szCs w:val="20"/>
        </w:rPr>
        <w:t>Any such acces</w:t>
      </w:r>
      <w:r>
        <w:rPr>
          <w:rFonts w:eastAsia="Times New Roman"/>
          <w:color w:val="000000"/>
          <w:sz w:val="20"/>
          <w:szCs w:val="20"/>
        </w:rPr>
        <w:t xml:space="preserve">s, disclosure, or other loss of information could result in legal claims or proceedings, liability under laws that protect the privacy of personal information, regulatory penalties, disruption to our operations and the services we provide to customers, or </w:t>
      </w:r>
      <w:r>
        <w:rPr>
          <w:rFonts w:eastAsia="Times New Roman"/>
          <w:color w:val="000000"/>
          <w:sz w:val="20"/>
          <w:szCs w:val="20"/>
        </w:rPr>
        <w:t xml:space="preserve">damage our reputation, any of which could adversely affect our results of operations, reputation, and competitive position. In addition, our customers could lose confidence in our ability to protect their </w:t>
      </w:r>
    </w:p>
    <w:p w:rsidR="00000000" w:rsidRDefault="00473C5F">
      <w:pPr>
        <w:jc w:val="center"/>
        <w:divId w:val="308100024"/>
        <w:rPr>
          <w:rFonts w:eastAsia="Times New Roman"/>
        </w:rPr>
      </w:pPr>
      <w:r>
        <w:rPr>
          <w:rFonts w:eastAsia="Times New Roman"/>
          <w:color w:val="000000"/>
          <w:sz w:val="20"/>
          <w:szCs w:val="20"/>
        </w:rPr>
        <w:t>15</w:t>
      </w:r>
    </w:p>
    <w:p w:rsidR="00000000" w:rsidRDefault="00473C5F">
      <w:pPr>
        <w:rPr>
          <w:rFonts w:eastAsia="Times New Roman"/>
        </w:rPr>
      </w:pPr>
      <w:r>
        <w:rPr>
          <w:rFonts w:eastAsia="Times New Roman"/>
        </w:rPr>
        <w:pict>
          <v:rect id="_x0000_i1042" style="width:0;height:1.5pt" o:hralign="center" o:hrstd="t" o:hr="t" fillcolor="#a0a0a0" stroked="f"/>
        </w:pict>
      </w:r>
    </w:p>
    <w:p w:rsidR="00000000" w:rsidRDefault="00473C5F">
      <w:pPr>
        <w:divId w:val="1086734298"/>
        <w:rPr>
          <w:rFonts w:eastAsia="Times New Roman"/>
        </w:rPr>
      </w:pPr>
    </w:p>
    <w:p w:rsidR="00000000" w:rsidRDefault="00473C5F">
      <w:pPr>
        <w:jc w:val="both"/>
        <w:divId w:val="364451629"/>
        <w:rPr>
          <w:rFonts w:eastAsia="Times New Roman"/>
        </w:rPr>
      </w:pPr>
      <w:r>
        <w:rPr>
          <w:rFonts w:eastAsia="Times New Roman"/>
          <w:color w:val="000000"/>
          <w:sz w:val="20"/>
          <w:szCs w:val="20"/>
        </w:rPr>
        <w:t>personal</w:t>
      </w:r>
      <w:r>
        <w:rPr>
          <w:rFonts w:eastAsia="Times New Roman"/>
          <w:color w:val="000000"/>
          <w:sz w:val="20"/>
          <w:szCs w:val="20"/>
        </w:rPr>
        <w:t xml:space="preserve"> information, which could cause them to discontinue leasing our self-storage facilities. Such events could lead to lost future revenues and adversely affect our results of operations, or result in remedial and other costs, fines, or lawsuits, which could b</w:t>
      </w:r>
      <w:r>
        <w:rPr>
          <w:rFonts w:eastAsia="Times New Roman"/>
          <w:color w:val="000000"/>
          <w:sz w:val="20"/>
          <w:szCs w:val="20"/>
        </w:rPr>
        <w:t>e in excess of any available insurance that we have procured.</w:t>
      </w:r>
    </w:p>
    <w:p w:rsidR="00000000" w:rsidRDefault="00473C5F">
      <w:pPr>
        <w:jc w:val="both"/>
        <w:divId w:val="571234621"/>
        <w:rPr>
          <w:rFonts w:eastAsia="Times New Roman"/>
        </w:rPr>
      </w:pPr>
      <w:r>
        <w:rPr>
          <w:rFonts w:eastAsia="Times New Roman"/>
          <w:b/>
          <w:bCs/>
          <w:color w:val="000000"/>
          <w:sz w:val="20"/>
          <w:szCs w:val="20"/>
        </w:rPr>
        <w:t>Ineffective succession planning for our CEO and executive management, as well as for our other key employees, may impact the execution of our strategic plan.</w:t>
      </w:r>
    </w:p>
    <w:p w:rsidR="00000000" w:rsidRDefault="00473C5F">
      <w:pPr>
        <w:ind w:firstLine="720"/>
        <w:jc w:val="both"/>
        <w:divId w:val="269438982"/>
        <w:rPr>
          <w:rFonts w:eastAsia="Times New Roman"/>
        </w:rPr>
      </w:pPr>
      <w:r>
        <w:rPr>
          <w:rFonts w:eastAsia="Times New Roman"/>
          <w:color w:val="000000"/>
          <w:sz w:val="20"/>
          <w:szCs w:val="20"/>
        </w:rPr>
        <w:t>We may not effectively or appropriat</w:t>
      </w:r>
      <w:r>
        <w:rPr>
          <w:rFonts w:eastAsia="Times New Roman"/>
          <w:color w:val="000000"/>
          <w:sz w:val="20"/>
          <w:szCs w:val="20"/>
        </w:rPr>
        <w:t>ely identify ready-now succession candidates for our CEO and executive management team, which may negatively impact our ability to meet key strategic goals. Failure to implement succession plans for other key employees may leave us vulnerable to retirement</w:t>
      </w:r>
      <w:r>
        <w:rPr>
          <w:rFonts w:eastAsia="Times New Roman"/>
          <w:color w:val="000000"/>
          <w:sz w:val="20"/>
          <w:szCs w:val="20"/>
        </w:rPr>
        <w:t>s and turnover.</w:t>
      </w:r>
    </w:p>
    <w:p w:rsidR="00000000" w:rsidRDefault="00473C5F">
      <w:pPr>
        <w:jc w:val="both"/>
        <w:divId w:val="310132653"/>
        <w:rPr>
          <w:rFonts w:eastAsia="Times New Roman"/>
        </w:rPr>
      </w:pPr>
      <w:r>
        <w:rPr>
          <w:rFonts w:eastAsia="Times New Roman"/>
          <w:b/>
          <w:bCs/>
          <w:color w:val="000000"/>
          <w:sz w:val="20"/>
          <w:szCs w:val="20"/>
        </w:rPr>
        <w:t>We may fail to protect our intellectual property adequately.</w:t>
      </w:r>
    </w:p>
    <w:p w:rsidR="00000000" w:rsidRDefault="00473C5F">
      <w:pPr>
        <w:ind w:firstLine="720"/>
        <w:jc w:val="both"/>
        <w:divId w:val="2078088500"/>
        <w:rPr>
          <w:rFonts w:eastAsia="Times New Roman"/>
        </w:rPr>
      </w:pPr>
      <w:r>
        <w:rPr>
          <w:rFonts w:eastAsia="Times New Roman"/>
          <w:color w:val="000000"/>
          <w:sz w:val="20"/>
          <w:szCs w:val="20"/>
        </w:rPr>
        <w:t>We maintain a portfolio of trademarks and trade dress that we believe are fundamental to the success of the Public Storage® brand. While we actively seek to enforce and expand our</w:t>
      </w:r>
      <w:r>
        <w:rPr>
          <w:rFonts w:eastAsia="Times New Roman"/>
          <w:color w:val="000000"/>
          <w:sz w:val="20"/>
          <w:szCs w:val="20"/>
        </w:rPr>
        <w:t xml:space="preserve"> rights, our trademark and trade dress could be deemed generic and indistinct and lose protection. We also own and seek to protect other intellectual property, such as propriety systems, processes, data, and other trade secrets that we have collected and d</w:t>
      </w:r>
      <w:r>
        <w:rPr>
          <w:rFonts w:eastAsia="Times New Roman"/>
          <w:color w:val="000000"/>
          <w:sz w:val="20"/>
          <w:szCs w:val="20"/>
        </w:rPr>
        <w:t>eveloped in the course of operating our business and that we believe provides us with various competitive advantages. Our protections could be inadequate or we could lose rights to our other intellectual property and trade secrets. Competitor use of our tr</w:t>
      </w:r>
      <w:r>
        <w:rPr>
          <w:rFonts w:eastAsia="Times New Roman"/>
          <w:color w:val="000000"/>
          <w:sz w:val="20"/>
          <w:szCs w:val="20"/>
        </w:rPr>
        <w:t>ademarks and trade names could lead to likelihood of confusion, tarnishment of our brand, and loss of legal protection for our marks.</w:t>
      </w:r>
    </w:p>
    <w:p w:rsidR="00000000" w:rsidRDefault="00473C5F">
      <w:pPr>
        <w:ind w:firstLine="720"/>
        <w:jc w:val="center"/>
        <w:divId w:val="1933052785"/>
        <w:rPr>
          <w:rFonts w:eastAsia="Times New Roman"/>
        </w:rPr>
      </w:pPr>
      <w:r>
        <w:rPr>
          <w:rFonts w:eastAsia="Times New Roman"/>
          <w:b/>
          <w:bCs/>
          <w:color w:val="000000"/>
          <w:sz w:val="20"/>
          <w:szCs w:val="20"/>
        </w:rPr>
        <w:t>Risks Related to Our Ownership, Organization and Structure</w:t>
      </w:r>
    </w:p>
    <w:p w:rsidR="00000000" w:rsidRDefault="00473C5F">
      <w:pPr>
        <w:jc w:val="both"/>
        <w:divId w:val="179398835"/>
        <w:rPr>
          <w:rFonts w:eastAsia="Times New Roman"/>
        </w:rPr>
      </w:pPr>
      <w:r>
        <w:rPr>
          <w:rFonts w:eastAsia="Times New Roman"/>
          <w:b/>
          <w:bCs/>
          <w:color w:val="000000"/>
          <w:sz w:val="20"/>
          <w:szCs w:val="20"/>
        </w:rPr>
        <w:t>Takeover attempts or changes in control could be thwarted, even</w:t>
      </w:r>
      <w:r>
        <w:rPr>
          <w:rFonts w:eastAsia="Times New Roman"/>
          <w:b/>
          <w:bCs/>
          <w:color w:val="000000"/>
          <w:sz w:val="20"/>
          <w:szCs w:val="20"/>
        </w:rPr>
        <w:t xml:space="preserve"> if beneficial to shareholders.</w:t>
      </w:r>
    </w:p>
    <w:p w:rsidR="00000000" w:rsidRDefault="00473C5F">
      <w:pPr>
        <w:ind w:firstLine="720"/>
        <w:jc w:val="both"/>
        <w:divId w:val="1198395560"/>
        <w:rPr>
          <w:rFonts w:eastAsia="Times New Roman"/>
        </w:rPr>
      </w:pPr>
      <w:r>
        <w:rPr>
          <w:rFonts w:eastAsia="Times New Roman"/>
          <w:color w:val="000000"/>
          <w:sz w:val="20"/>
          <w:szCs w:val="20"/>
        </w:rPr>
        <w:t>In certain circumstances, shareholders might desire a change in control or acquisition of us in order to realize a premium over the then-prevailing market price of our shares or for other reasons. However, the following coul</w:t>
      </w:r>
      <w:r>
        <w:rPr>
          <w:rFonts w:eastAsia="Times New Roman"/>
          <w:color w:val="000000"/>
          <w:sz w:val="20"/>
          <w:szCs w:val="20"/>
        </w:rPr>
        <w:t>d prevent, deter, or delay such a transaction:</w:t>
      </w:r>
    </w:p>
    <w:p w:rsidR="00000000" w:rsidRDefault="00473C5F">
      <w:pPr>
        <w:ind w:hanging="360"/>
        <w:jc w:val="both"/>
        <w:divId w:val="13465347"/>
        <w:rPr>
          <w:rFonts w:eastAsia="Times New Roman"/>
        </w:rPr>
      </w:pPr>
      <w:r>
        <w:rPr>
          <w:rFonts w:eastAsia="Times New Roman"/>
          <w:color w:val="000000"/>
          <w:sz w:val="20"/>
          <w:szCs w:val="20"/>
        </w:rPr>
        <w:t xml:space="preserve">•Provisions of Maryland law may impose limitations that may make it more difficult for a third party to negotiate or effect a business combination transaction or control share acquisition with Public Storage. </w:t>
      </w:r>
      <w:r>
        <w:rPr>
          <w:rFonts w:eastAsia="Times New Roman"/>
          <w:color w:val="000000"/>
          <w:sz w:val="20"/>
          <w:szCs w:val="20"/>
        </w:rPr>
        <w:t>Currently, our Board has opted not to subject the Company to these provisions of Maryland law, but it could choose to do so in the future without shareholder approval.</w:t>
      </w:r>
    </w:p>
    <w:p w:rsidR="00000000" w:rsidRDefault="00473C5F">
      <w:pPr>
        <w:ind w:hanging="360"/>
        <w:jc w:val="both"/>
        <w:divId w:val="1515535278"/>
        <w:rPr>
          <w:rFonts w:eastAsia="Times New Roman"/>
        </w:rPr>
      </w:pPr>
      <w:r>
        <w:rPr>
          <w:rFonts w:eastAsia="Times New Roman"/>
          <w:color w:val="000000"/>
          <w:sz w:val="20"/>
          <w:szCs w:val="20"/>
        </w:rPr>
        <w:t>•To protect against the loss of our REIT status due to concentration of ownership levels</w:t>
      </w:r>
      <w:r>
        <w:rPr>
          <w:rFonts w:eastAsia="Times New Roman"/>
          <w:color w:val="000000"/>
          <w:sz w:val="20"/>
          <w:szCs w:val="20"/>
        </w:rPr>
        <w:t xml:space="preserve">, our declaration of trust generally limits the ability of a person, other than the Hughes family or “designated investment entities” (each as defined in our declaration of trust), to own, actually or constructively, more than 3% of our outstanding common </w:t>
      </w:r>
      <w:r>
        <w:rPr>
          <w:rFonts w:eastAsia="Times New Roman"/>
          <w:color w:val="000000"/>
          <w:sz w:val="20"/>
          <w:szCs w:val="20"/>
        </w:rPr>
        <w:t>shares or 9.9% of the outstanding shares of any class or series of preferred or equity shares. Our Board may grant, and has previously granted, a specific exemption. These limits could discourage, delay, or prevent a transaction involving a change in contr</w:t>
      </w:r>
      <w:r>
        <w:rPr>
          <w:rFonts w:eastAsia="Times New Roman"/>
          <w:color w:val="000000"/>
          <w:sz w:val="20"/>
          <w:szCs w:val="20"/>
        </w:rPr>
        <w:t>ol of the Company not approved by our Board.</w:t>
      </w:r>
    </w:p>
    <w:p w:rsidR="00000000" w:rsidRDefault="00473C5F">
      <w:pPr>
        <w:ind w:hanging="360"/>
        <w:jc w:val="both"/>
        <w:divId w:val="210729870"/>
        <w:rPr>
          <w:rFonts w:eastAsia="Times New Roman"/>
        </w:rPr>
      </w:pPr>
      <w:r>
        <w:rPr>
          <w:rFonts w:eastAsia="Times New Roman"/>
          <w:color w:val="000000"/>
          <w:sz w:val="20"/>
          <w:szCs w:val="20"/>
        </w:rPr>
        <w:t xml:space="preserve">•Similarly, current provisions of our declaration of trust and powers of our Board could have the same effect, including (1) limitations on removal of trustees, (2) restrictions on the acquisition of our shares </w:t>
      </w:r>
      <w:r>
        <w:rPr>
          <w:rFonts w:eastAsia="Times New Roman"/>
          <w:color w:val="000000"/>
          <w:sz w:val="20"/>
          <w:szCs w:val="20"/>
        </w:rPr>
        <w:t xml:space="preserve">of beneficial interest, (3) the power to issue additional common shares, preferred shares, or equity shares on terms approved by our Board without obtaining shareholder approval, (4) the advance notice provisions of our bylaws, and (5) our Board’s ability </w:t>
      </w:r>
      <w:r>
        <w:rPr>
          <w:rFonts w:eastAsia="Times New Roman"/>
          <w:color w:val="000000"/>
          <w:sz w:val="20"/>
          <w:szCs w:val="20"/>
        </w:rPr>
        <w:t>under Maryland law, without obtaining shareholder approval, to implement takeover defenses that we may not yet have and to take, or refrain from taking, other actions that could have the effect of delaying, deterring, or preventing a transaction or a chang</w:t>
      </w:r>
      <w:r>
        <w:rPr>
          <w:rFonts w:eastAsia="Times New Roman"/>
          <w:color w:val="000000"/>
          <w:sz w:val="20"/>
          <w:szCs w:val="20"/>
        </w:rPr>
        <w:t>e in control.</w:t>
      </w:r>
    </w:p>
    <w:p w:rsidR="00000000" w:rsidRDefault="00473C5F">
      <w:pPr>
        <w:jc w:val="both"/>
        <w:divId w:val="346758910"/>
        <w:rPr>
          <w:rFonts w:eastAsia="Times New Roman"/>
        </w:rPr>
      </w:pPr>
      <w:r>
        <w:rPr>
          <w:rFonts w:eastAsia="Times New Roman"/>
          <w:b/>
          <w:bCs/>
          <w:color w:val="000000"/>
          <w:sz w:val="20"/>
          <w:szCs w:val="20"/>
        </w:rPr>
        <w:t>Holders of our preferred shares have dividend, liquidation, and other rights that are senior to the rights of the holders of our common shares.</w:t>
      </w:r>
    </w:p>
    <w:p w:rsidR="00000000" w:rsidRDefault="00473C5F">
      <w:pPr>
        <w:ind w:firstLine="720"/>
        <w:jc w:val="both"/>
        <w:divId w:val="87234630"/>
        <w:rPr>
          <w:rFonts w:eastAsia="Times New Roman"/>
        </w:rPr>
      </w:pPr>
      <w:r>
        <w:rPr>
          <w:rFonts w:eastAsia="Times New Roman"/>
          <w:color w:val="000000"/>
          <w:sz w:val="20"/>
          <w:szCs w:val="20"/>
        </w:rPr>
        <w:t>Holders of our preferred shares are entitled to cumulative dividends before any dividends may be d</w:t>
      </w:r>
      <w:r>
        <w:rPr>
          <w:rFonts w:eastAsia="Times New Roman"/>
          <w:color w:val="000000"/>
          <w:sz w:val="20"/>
          <w:szCs w:val="20"/>
        </w:rPr>
        <w:t>eclared or set aside on our common shares. Upon liquidation, holders of our preferred shares will receive a liquidation preference of $25,000 per share (or $25.00 per depositary share) plus any accrued and unpaid distributions before any payment is made to</w:t>
      </w:r>
      <w:r>
        <w:rPr>
          <w:rFonts w:eastAsia="Times New Roman"/>
          <w:color w:val="000000"/>
          <w:sz w:val="20"/>
          <w:szCs w:val="20"/>
        </w:rPr>
        <w:t xml:space="preserve"> the common shareholders. These preferences may limit the amount received by our common shareholders either from ongoing distributions or upon liquidation. In addition, our preferred shareholders have the right to elect two additional </w:t>
      </w:r>
    </w:p>
    <w:p w:rsidR="00000000" w:rsidRDefault="00473C5F">
      <w:pPr>
        <w:jc w:val="center"/>
        <w:divId w:val="951940228"/>
        <w:rPr>
          <w:rFonts w:eastAsia="Times New Roman"/>
        </w:rPr>
      </w:pPr>
      <w:r>
        <w:rPr>
          <w:rFonts w:eastAsia="Times New Roman"/>
          <w:color w:val="000000"/>
          <w:sz w:val="20"/>
          <w:szCs w:val="20"/>
        </w:rPr>
        <w:t>16</w:t>
      </w:r>
    </w:p>
    <w:p w:rsidR="00000000" w:rsidRDefault="00473C5F">
      <w:pPr>
        <w:rPr>
          <w:rFonts w:eastAsia="Times New Roman"/>
        </w:rPr>
      </w:pPr>
      <w:r>
        <w:rPr>
          <w:rFonts w:eastAsia="Times New Roman"/>
        </w:rPr>
        <w:pict>
          <v:rect id="_x0000_i1043" style="width:0;height:1.5pt" o:hralign="center" o:hrstd="t" o:hr="t" fillcolor="#a0a0a0" stroked="f"/>
        </w:pict>
      </w:r>
    </w:p>
    <w:p w:rsidR="00000000" w:rsidRDefault="00473C5F">
      <w:pPr>
        <w:divId w:val="1009334093"/>
        <w:rPr>
          <w:rFonts w:eastAsia="Times New Roman"/>
        </w:rPr>
      </w:pPr>
    </w:p>
    <w:p w:rsidR="00000000" w:rsidRDefault="00473C5F">
      <w:pPr>
        <w:jc w:val="both"/>
        <w:divId w:val="320424789"/>
        <w:rPr>
          <w:rFonts w:eastAsia="Times New Roman"/>
        </w:rPr>
      </w:pPr>
      <w:r>
        <w:rPr>
          <w:rFonts w:eastAsia="Times New Roman"/>
          <w:color w:val="000000"/>
          <w:sz w:val="20"/>
          <w:szCs w:val="20"/>
        </w:rPr>
        <w:t>directors to our Board whenever dividends are in arrears in an aggregate amount equivalent to six or more quarterly dividends, whether or not consecutive.</w:t>
      </w:r>
    </w:p>
    <w:p w:rsidR="00000000" w:rsidRDefault="00473C5F">
      <w:pPr>
        <w:jc w:val="both"/>
        <w:divId w:val="151264411"/>
        <w:rPr>
          <w:rFonts w:eastAsia="Times New Roman"/>
        </w:rPr>
      </w:pPr>
      <w:r>
        <w:rPr>
          <w:rFonts w:eastAsia="Times New Roman"/>
          <w:b/>
          <w:bCs/>
          <w:color w:val="000000"/>
          <w:sz w:val="20"/>
          <w:szCs w:val="20"/>
        </w:rPr>
        <w:t>Preferred Shareholders are subject to certain risks.</w:t>
      </w:r>
    </w:p>
    <w:p w:rsidR="00000000" w:rsidRDefault="00473C5F">
      <w:pPr>
        <w:ind w:firstLine="720"/>
        <w:jc w:val="both"/>
        <w:divId w:val="2108452944"/>
        <w:rPr>
          <w:rFonts w:eastAsia="Times New Roman"/>
        </w:rPr>
      </w:pPr>
      <w:r>
        <w:rPr>
          <w:rFonts w:eastAsia="Times New Roman"/>
          <w:color w:val="000000"/>
          <w:sz w:val="20"/>
          <w:szCs w:val="20"/>
        </w:rPr>
        <w:t>Holders of</w:t>
      </w:r>
      <w:r>
        <w:rPr>
          <w:rFonts w:eastAsia="Times New Roman"/>
          <w:color w:val="000000"/>
          <w:sz w:val="20"/>
          <w:szCs w:val="20"/>
        </w:rPr>
        <w:t xml:space="preserve"> our preferred shares have preference rights over our common shareholders with respect to liquidation and distributions, which give them some assurance of continued payment of their stated dividend rate, and receipt of their principal upon liquidation of t</w:t>
      </w:r>
      <w:r>
        <w:rPr>
          <w:rFonts w:eastAsia="Times New Roman"/>
          <w:color w:val="000000"/>
          <w:sz w:val="20"/>
          <w:szCs w:val="20"/>
        </w:rPr>
        <w:t>he Company or redemption of their securities. However, holders of our Preferred Shares should consider the following risks:</w:t>
      </w:r>
    </w:p>
    <w:p w:rsidR="00000000" w:rsidRDefault="00473C5F">
      <w:pPr>
        <w:ind w:hanging="360"/>
        <w:jc w:val="both"/>
        <w:divId w:val="1131174350"/>
        <w:rPr>
          <w:rFonts w:eastAsia="Times New Roman"/>
        </w:rPr>
      </w:pPr>
      <w:r>
        <w:rPr>
          <w:rFonts w:eastAsia="Times New Roman"/>
          <w:color w:val="000000"/>
          <w:sz w:val="20"/>
          <w:szCs w:val="20"/>
        </w:rPr>
        <w:t>•The Company has in the past, and could in the future, issue or assume additional debt. Preferred shareholders would be subordinated</w:t>
      </w:r>
      <w:r>
        <w:rPr>
          <w:rFonts w:eastAsia="Times New Roman"/>
          <w:color w:val="000000"/>
          <w:sz w:val="20"/>
          <w:szCs w:val="20"/>
        </w:rPr>
        <w:t xml:space="preserve"> to the interest and principal payments of such debt, which would increase the risk that there would not be sufficient funds to pay distributions or liquidation amounts to the preferred shareholders.</w:t>
      </w:r>
    </w:p>
    <w:p w:rsidR="00000000" w:rsidRDefault="00473C5F">
      <w:pPr>
        <w:ind w:hanging="360"/>
        <w:jc w:val="both"/>
        <w:divId w:val="1478305267"/>
        <w:rPr>
          <w:rFonts w:eastAsia="Times New Roman"/>
        </w:rPr>
      </w:pPr>
      <w:r>
        <w:rPr>
          <w:rFonts w:eastAsia="Times New Roman"/>
          <w:color w:val="000000"/>
          <w:sz w:val="20"/>
          <w:szCs w:val="20"/>
        </w:rPr>
        <w:t>•The Company has in the past, and could in the future, i</w:t>
      </w:r>
      <w:r>
        <w:rPr>
          <w:rFonts w:eastAsia="Times New Roman"/>
          <w:color w:val="000000"/>
          <w:sz w:val="20"/>
          <w:szCs w:val="20"/>
        </w:rPr>
        <w:t>ssue additional preferred shares that, while pari passu to the existing preferred shares, increases the risk that there would not be sufficient funds to pay distributions to the preferred shareholders.</w:t>
      </w:r>
    </w:p>
    <w:p w:rsidR="00000000" w:rsidRDefault="00473C5F">
      <w:pPr>
        <w:jc w:val="both"/>
        <w:rPr>
          <w:rFonts w:eastAsia="Times New Roman"/>
        </w:rPr>
      </w:pPr>
    </w:p>
    <w:p w:rsidR="00000000" w:rsidRDefault="00473C5F">
      <w:pPr>
        <w:ind w:hanging="360"/>
        <w:jc w:val="both"/>
        <w:rPr>
          <w:rFonts w:eastAsia="Times New Roman"/>
        </w:rPr>
      </w:pPr>
      <w:r>
        <w:rPr>
          <w:rFonts w:eastAsia="Times New Roman"/>
          <w:color w:val="000000"/>
          <w:sz w:val="20"/>
          <w:szCs w:val="20"/>
        </w:rPr>
        <w:t>•While the Company has no plans to do so, if the Com</w:t>
      </w:r>
      <w:r>
        <w:rPr>
          <w:rFonts w:eastAsia="Times New Roman"/>
          <w:color w:val="000000"/>
          <w:sz w:val="20"/>
          <w:szCs w:val="20"/>
        </w:rPr>
        <w:t>pany were to lose its REIT status or no longer elect REIT status, it would no longer be required to distribute its taxable income to maintain REIT status. If, in such a circumstance, the Company ceased paying dividends, unpaid distributions to the preferre</w:t>
      </w:r>
      <w:r>
        <w:rPr>
          <w:rFonts w:eastAsia="Times New Roman"/>
          <w:color w:val="000000"/>
          <w:sz w:val="20"/>
          <w:szCs w:val="20"/>
        </w:rPr>
        <w:t>d shareholders would continue to accumulate. The preferred shareholders would have the ability to elect two additional members to serve on our Board until the arrearage was cured. The preferred shareholders would not receive any compensation (such as inter</w:t>
      </w:r>
      <w:r>
        <w:rPr>
          <w:rFonts w:eastAsia="Times New Roman"/>
          <w:color w:val="000000"/>
          <w:sz w:val="20"/>
          <w:szCs w:val="20"/>
        </w:rPr>
        <w:t>est) for the delay in the receipt of distributions, and it is possible that the arrearage could accumulate indefinitely.</w:t>
      </w:r>
    </w:p>
    <w:p w:rsidR="00000000" w:rsidRDefault="00473C5F">
      <w:pPr>
        <w:ind w:hanging="360"/>
        <w:jc w:val="both"/>
        <w:divId w:val="1702710150"/>
        <w:rPr>
          <w:rFonts w:eastAsia="Times New Roman"/>
        </w:rPr>
      </w:pPr>
      <w:r>
        <w:rPr>
          <w:rFonts w:eastAsia="Times New Roman"/>
          <w:color w:val="000000"/>
          <w:sz w:val="20"/>
          <w:szCs w:val="20"/>
        </w:rPr>
        <w:t>•Holders of our Preferred Shares have limited rights in the event the Company ceases to pay dividends to shareholders, and have no righ</w:t>
      </w:r>
      <w:r>
        <w:rPr>
          <w:rFonts w:eastAsia="Times New Roman"/>
          <w:color w:val="000000"/>
          <w:sz w:val="20"/>
          <w:szCs w:val="20"/>
        </w:rPr>
        <w:t>ts with respect to a Company decision to discontinue listing the Preferred Shares on a national securities exchange or file reports with the SEC, including following a change of control transaction.</w:t>
      </w:r>
    </w:p>
    <w:p w:rsidR="00000000" w:rsidRDefault="00473C5F">
      <w:pPr>
        <w:jc w:val="center"/>
        <w:divId w:val="2141799825"/>
        <w:rPr>
          <w:rFonts w:eastAsia="Times New Roman"/>
        </w:rPr>
      </w:pPr>
      <w:r>
        <w:rPr>
          <w:rFonts w:eastAsia="Times New Roman"/>
          <w:b/>
          <w:bCs/>
          <w:color w:val="000000"/>
          <w:sz w:val="20"/>
          <w:szCs w:val="20"/>
        </w:rPr>
        <w:t>Risks Related to Government Regulations and Taxation</w:t>
      </w:r>
    </w:p>
    <w:p w:rsidR="00000000" w:rsidRDefault="00473C5F">
      <w:pPr>
        <w:jc w:val="both"/>
        <w:divId w:val="1516962916"/>
        <w:rPr>
          <w:rFonts w:eastAsia="Times New Roman"/>
        </w:rPr>
      </w:pPr>
      <w:r>
        <w:rPr>
          <w:rFonts w:eastAsia="Times New Roman"/>
          <w:b/>
          <w:bCs/>
          <w:color w:val="000000"/>
          <w:sz w:val="20"/>
          <w:szCs w:val="20"/>
        </w:rPr>
        <w:t>We w</w:t>
      </w:r>
      <w:r>
        <w:rPr>
          <w:rFonts w:eastAsia="Times New Roman"/>
          <w:b/>
          <w:bCs/>
          <w:color w:val="000000"/>
          <w:sz w:val="20"/>
          <w:szCs w:val="20"/>
        </w:rPr>
        <w:t>ould incur adverse tax consequences if we failed to qualify as a REIT, and we would have to pay substantial U.S. federal corporate income taxes.</w:t>
      </w:r>
    </w:p>
    <w:p w:rsidR="00000000" w:rsidRDefault="00473C5F">
      <w:pPr>
        <w:ind w:firstLine="720"/>
        <w:jc w:val="both"/>
        <w:divId w:val="2102414121"/>
        <w:rPr>
          <w:rFonts w:eastAsia="Times New Roman"/>
        </w:rPr>
      </w:pPr>
      <w:r>
        <w:rPr>
          <w:rFonts w:eastAsia="Times New Roman"/>
          <w:color w:val="000000"/>
          <w:sz w:val="20"/>
          <w:szCs w:val="20"/>
        </w:rPr>
        <w:t>REITs are subject to a range of complex organizational and operational requirements. A qualifying REIT does not</w:t>
      </w:r>
      <w:r>
        <w:rPr>
          <w:rFonts w:eastAsia="Times New Roman"/>
          <w:color w:val="000000"/>
          <w:sz w:val="20"/>
          <w:szCs w:val="20"/>
        </w:rPr>
        <w:t xml:space="preserve"> generally incur U.S. federal corporate income tax on its “REIT taxable income” (generally, taxable income subject to specified adjustments, including a deduction for dividends paid and excluding net capital gain) that it distributes to its shareholders. O</w:t>
      </w:r>
      <w:r>
        <w:rPr>
          <w:rFonts w:eastAsia="Times New Roman"/>
          <w:color w:val="000000"/>
          <w:sz w:val="20"/>
          <w:szCs w:val="20"/>
        </w:rPr>
        <w:t>ur REIT status is also dependent upon the REIT qualification of PSB through the end of its taxable year ended December 31, 2022, as a result of our substantial ownership interest in it prior to the closing of the PSB merger with and unaffiliated third part</w:t>
      </w:r>
      <w:r>
        <w:rPr>
          <w:rFonts w:eastAsia="Times New Roman"/>
          <w:color w:val="000000"/>
          <w:sz w:val="20"/>
          <w:szCs w:val="20"/>
        </w:rPr>
        <w:t>y. We believe we have qualified as a REIT and we intend to continue to maintain our REIT status.</w:t>
      </w:r>
    </w:p>
    <w:p w:rsidR="00000000" w:rsidRDefault="00473C5F">
      <w:pPr>
        <w:ind w:firstLine="720"/>
        <w:jc w:val="both"/>
        <w:divId w:val="2027099800"/>
        <w:rPr>
          <w:rFonts w:eastAsia="Times New Roman"/>
        </w:rPr>
      </w:pPr>
      <w:r>
        <w:rPr>
          <w:rFonts w:eastAsia="Times New Roman"/>
          <w:color w:val="000000"/>
          <w:sz w:val="20"/>
          <w:szCs w:val="20"/>
        </w:rPr>
        <w:t>However, there can be no assurance that we qualify or will continue to qualify as a REIT, because of the highly technical nature of the REIT rules, the ongoing</w:t>
      </w:r>
      <w:r>
        <w:rPr>
          <w:rFonts w:eastAsia="Times New Roman"/>
          <w:color w:val="000000"/>
          <w:sz w:val="20"/>
          <w:szCs w:val="20"/>
        </w:rPr>
        <w:t xml:space="preserve"> importance of factual determinations, the possibility of unidentified issues in prior periods, or changes in our circumstances, as well as share ownership limits in our declaration of trust that do not necessarily ensure that our shareholder base is suffi</w:t>
      </w:r>
      <w:r>
        <w:rPr>
          <w:rFonts w:eastAsia="Times New Roman"/>
          <w:color w:val="000000"/>
          <w:sz w:val="20"/>
          <w:szCs w:val="20"/>
        </w:rPr>
        <w:t>ciently diverse for us to qualify as a REIT. For any year we fail to qualify as a REIT, unless certain relief provisions apply (the granting of such relief could nonetheless result in significant excise or penalty taxes), we would not be allowed a deductio</w:t>
      </w:r>
      <w:r>
        <w:rPr>
          <w:rFonts w:eastAsia="Times New Roman"/>
          <w:color w:val="000000"/>
          <w:sz w:val="20"/>
          <w:szCs w:val="20"/>
        </w:rPr>
        <w:t xml:space="preserve">n for dividends paid, we would be subject to U.S. federal corporate income tax on our taxable income, and generally we would not be allowed to elect REIT status until the fifth year after such a disqualification. In addition, for tax years beginning after </w:t>
      </w:r>
      <w:r>
        <w:rPr>
          <w:rFonts w:eastAsia="Times New Roman"/>
          <w:color w:val="000000"/>
          <w:sz w:val="20"/>
          <w:szCs w:val="20"/>
        </w:rPr>
        <w:t>December 31, 2022, we would possibly also be subject to certain taxes enacted by the Inflation Reduction Act of 2022 that are applicable to non-REIT corporations, including the corporate alternative minimum tax and nondeductible one percent excise tax on c</w:t>
      </w:r>
      <w:r>
        <w:rPr>
          <w:rFonts w:eastAsia="Times New Roman"/>
          <w:color w:val="000000"/>
          <w:sz w:val="20"/>
          <w:szCs w:val="20"/>
        </w:rPr>
        <w:t>ertain stock repurchases. Any taxes, interest, and penalties incurred would reduce our cash available for distributions to shareholders and could negatively affect our stock price. However, for years in which we failed to qualify as a REIT, we would not be</w:t>
      </w:r>
      <w:r>
        <w:rPr>
          <w:rFonts w:eastAsia="Times New Roman"/>
          <w:color w:val="000000"/>
          <w:sz w:val="20"/>
          <w:szCs w:val="20"/>
        </w:rPr>
        <w:t xml:space="preserve"> subject to REIT rules that require us to distribute substantially all of our taxable income to our shareholders.</w:t>
      </w:r>
    </w:p>
    <w:p w:rsidR="00000000" w:rsidRDefault="00473C5F">
      <w:pPr>
        <w:jc w:val="center"/>
        <w:divId w:val="1710375672"/>
        <w:rPr>
          <w:rFonts w:eastAsia="Times New Roman"/>
        </w:rPr>
      </w:pPr>
      <w:r>
        <w:rPr>
          <w:rFonts w:eastAsia="Times New Roman"/>
          <w:color w:val="000000"/>
          <w:sz w:val="20"/>
          <w:szCs w:val="20"/>
        </w:rPr>
        <w:t>17</w:t>
      </w:r>
    </w:p>
    <w:p w:rsidR="00000000" w:rsidRDefault="00473C5F">
      <w:pPr>
        <w:rPr>
          <w:rFonts w:eastAsia="Times New Roman"/>
        </w:rPr>
      </w:pPr>
      <w:r>
        <w:rPr>
          <w:rFonts w:eastAsia="Times New Roman"/>
        </w:rPr>
        <w:pict>
          <v:rect id="_x0000_i1044" style="width:0;height:1.5pt" o:hralign="center" o:hrstd="t" o:hr="t" fillcolor="#a0a0a0" stroked="f"/>
        </w:pict>
      </w:r>
    </w:p>
    <w:p w:rsidR="00000000" w:rsidRDefault="00473C5F">
      <w:pPr>
        <w:divId w:val="1858155943"/>
        <w:rPr>
          <w:rFonts w:eastAsia="Times New Roman"/>
        </w:rPr>
      </w:pPr>
    </w:p>
    <w:p w:rsidR="00000000" w:rsidRDefault="00473C5F">
      <w:pPr>
        <w:jc w:val="both"/>
        <w:divId w:val="1867063121"/>
        <w:rPr>
          <w:rFonts w:eastAsia="Times New Roman"/>
        </w:rPr>
      </w:pPr>
      <w:r>
        <w:rPr>
          <w:rFonts w:eastAsia="Times New Roman"/>
          <w:b/>
          <w:bCs/>
          <w:color w:val="000000"/>
          <w:sz w:val="20"/>
          <w:szCs w:val="20"/>
        </w:rPr>
        <w:t>Dividends payable by REITs do not qualify for the preferential tax rates available for some dividend</w:t>
      </w:r>
      <w:r>
        <w:rPr>
          <w:rFonts w:eastAsia="Times New Roman"/>
          <w:b/>
          <w:bCs/>
          <w:color w:val="000000"/>
          <w:sz w:val="20"/>
          <w:szCs w:val="20"/>
        </w:rPr>
        <w:t>s.</w:t>
      </w:r>
    </w:p>
    <w:p w:rsidR="00000000" w:rsidRDefault="00473C5F">
      <w:pPr>
        <w:ind w:firstLine="720"/>
        <w:jc w:val="both"/>
        <w:divId w:val="1866021243"/>
        <w:rPr>
          <w:rFonts w:eastAsia="Times New Roman"/>
        </w:rPr>
      </w:pPr>
      <w:r>
        <w:rPr>
          <w:rFonts w:eastAsia="Times New Roman"/>
          <w:color w:val="000000"/>
          <w:sz w:val="20"/>
          <w:szCs w:val="20"/>
        </w:rPr>
        <w:t>Dividends payable by REITs may be taxed at higher rates than dividends of non-REIT corporations. The maximum U.S. federal income tax rate for qualified dividends paid by domestic non-REIT corporations to U.S. stockholders that are individuals, trusts, or e</w:t>
      </w:r>
      <w:r>
        <w:rPr>
          <w:rFonts w:eastAsia="Times New Roman"/>
          <w:color w:val="000000"/>
          <w:sz w:val="20"/>
          <w:szCs w:val="20"/>
        </w:rPr>
        <w:t>states is generally 20%. Dividends paid by REITs to such stockholders are generally not eligible for that rate, but under current tax law, such stockholders may deduct up to 20% of ordinary dividends (i.e., dividends not designated as capital gain dividend</w:t>
      </w:r>
      <w:r>
        <w:rPr>
          <w:rFonts w:eastAsia="Times New Roman"/>
          <w:color w:val="000000"/>
          <w:sz w:val="20"/>
          <w:szCs w:val="20"/>
        </w:rPr>
        <w:t>s or qualified dividend income) received from a REIT for taxable years beginning before January 1, 2026. Although this deduction reduces the effective tax rate applicable to certain dividends paid by REITs, such tax rate may still be higher than the tax ra</w:t>
      </w:r>
      <w:r>
        <w:rPr>
          <w:rFonts w:eastAsia="Times New Roman"/>
          <w:color w:val="000000"/>
          <w:sz w:val="20"/>
          <w:szCs w:val="20"/>
        </w:rPr>
        <w:t>te applicable to regular corporate qualified dividends. This may cause investors to view REIT investments as less attractive than investments in non-REIT corporations, which in turn may adversely affect the value of the stock of REITs, including our stock.</w:t>
      </w:r>
    </w:p>
    <w:p w:rsidR="00000000" w:rsidRDefault="00473C5F">
      <w:pPr>
        <w:jc w:val="both"/>
        <w:divId w:val="909002809"/>
        <w:rPr>
          <w:rFonts w:eastAsia="Times New Roman"/>
        </w:rPr>
      </w:pPr>
      <w:r>
        <w:rPr>
          <w:rFonts w:eastAsia="Times New Roman"/>
          <w:b/>
          <w:bCs/>
          <w:color w:val="000000"/>
          <w:sz w:val="20"/>
          <w:szCs w:val="20"/>
        </w:rPr>
        <w:t>Changes in tax laws could negatively impact us.</w:t>
      </w:r>
    </w:p>
    <w:p w:rsidR="00000000" w:rsidRDefault="00473C5F">
      <w:pPr>
        <w:ind w:firstLine="720"/>
        <w:jc w:val="both"/>
        <w:divId w:val="1067847772"/>
        <w:rPr>
          <w:rFonts w:eastAsia="Times New Roman"/>
        </w:rPr>
      </w:pPr>
      <w:r>
        <w:rPr>
          <w:rFonts w:eastAsia="Times New Roman"/>
          <w:color w:val="000000"/>
          <w:sz w:val="20"/>
          <w:szCs w:val="20"/>
        </w:rPr>
        <w:t>The United States Treasury Department and Congress frequently review federal income tax legislation, regulations and other guidance. We cannot predict whether, when, or to what extent new federal tax laws, r</w:t>
      </w:r>
      <w:r>
        <w:rPr>
          <w:rFonts w:eastAsia="Times New Roman"/>
          <w:color w:val="000000"/>
          <w:sz w:val="20"/>
          <w:szCs w:val="20"/>
        </w:rPr>
        <w:t>egulations, interpretations or rulings will be adopted, but these changes might include, in particular, increases in the U.S. federal income tax rates that apply to us or our shareholders in certain circumstances, possibly with retroactive effect.</w:t>
      </w:r>
    </w:p>
    <w:p w:rsidR="00000000" w:rsidRDefault="00473C5F">
      <w:pPr>
        <w:jc w:val="both"/>
        <w:divId w:val="499541200"/>
        <w:rPr>
          <w:rFonts w:eastAsia="Times New Roman"/>
        </w:rPr>
      </w:pPr>
      <w:r>
        <w:rPr>
          <w:rFonts w:eastAsia="Times New Roman"/>
          <w:b/>
          <w:bCs/>
          <w:color w:val="000000"/>
          <w:sz w:val="20"/>
          <w:szCs w:val="20"/>
        </w:rPr>
        <w:t>We may p</w:t>
      </w:r>
      <w:r>
        <w:rPr>
          <w:rFonts w:eastAsia="Times New Roman"/>
          <w:b/>
          <w:bCs/>
          <w:color w:val="000000"/>
          <w:sz w:val="20"/>
          <w:szCs w:val="20"/>
        </w:rPr>
        <w:t>ay some taxes, reducing cash available for shareholders.</w:t>
      </w:r>
    </w:p>
    <w:p w:rsidR="00000000" w:rsidRDefault="00473C5F">
      <w:pPr>
        <w:ind w:firstLine="720"/>
        <w:jc w:val="both"/>
        <w:divId w:val="404231850"/>
        <w:rPr>
          <w:rFonts w:eastAsia="Times New Roman"/>
        </w:rPr>
      </w:pPr>
      <w:r>
        <w:rPr>
          <w:rFonts w:eastAsia="Times New Roman"/>
          <w:color w:val="000000"/>
          <w:sz w:val="20"/>
          <w:szCs w:val="20"/>
        </w:rPr>
        <w:t>Even if we qualify as a REIT for U.S. federal corporate income tax purposes, we may be subject to some federal, foreign, state, and local taxes on our income and property. Certain consolidated corpor</w:t>
      </w:r>
      <w:r>
        <w:rPr>
          <w:rFonts w:eastAsia="Times New Roman"/>
          <w:color w:val="000000"/>
          <w:sz w:val="20"/>
          <w:szCs w:val="20"/>
        </w:rPr>
        <w:t>ate subsidiaries of the Company have elected to be treated as taxable REIT subsidiaries (“TRSs”) for U.S. federal corporate income tax purposes, and are taxable as regular corporations and subject to certain limitations on intercompany transactions. If tax</w:t>
      </w:r>
      <w:r>
        <w:rPr>
          <w:rFonts w:eastAsia="Times New Roman"/>
          <w:color w:val="000000"/>
          <w:sz w:val="20"/>
          <w:szCs w:val="20"/>
        </w:rPr>
        <w:t xml:space="preserve"> authorities determine that amounts paid by our TRSs to us are not reasonable compared to similar arrangements among unrelated parties, we could be subject to a 100% penalty tax on the excess payments, and ongoing intercompany arrangements could have to ch</w:t>
      </w:r>
      <w:r>
        <w:rPr>
          <w:rFonts w:eastAsia="Times New Roman"/>
          <w:color w:val="000000"/>
          <w:sz w:val="20"/>
          <w:szCs w:val="20"/>
        </w:rPr>
        <w:t>ange, resulting in higher ongoing tax payments. To the extent the Company is required to pay federal, foreign, state, or local taxes, or federal penalty taxes due to existing laws or changes thereto, we will have less cash available for distribution to sha</w:t>
      </w:r>
      <w:r>
        <w:rPr>
          <w:rFonts w:eastAsia="Times New Roman"/>
          <w:color w:val="000000"/>
          <w:sz w:val="20"/>
          <w:szCs w:val="20"/>
        </w:rPr>
        <w:t>reholders.</w:t>
      </w:r>
    </w:p>
    <w:p w:rsidR="00000000" w:rsidRDefault="00473C5F">
      <w:pPr>
        <w:ind w:firstLine="720"/>
        <w:jc w:val="both"/>
        <w:divId w:val="1948155826"/>
        <w:rPr>
          <w:rFonts w:eastAsia="Times New Roman"/>
        </w:rPr>
      </w:pPr>
      <w:r>
        <w:rPr>
          <w:rFonts w:eastAsia="Times New Roman"/>
          <w:color w:val="000000"/>
          <w:sz w:val="20"/>
          <w:szCs w:val="20"/>
        </w:rPr>
        <w:t>In addition, certain local and state governments have imposed taxes on self-storage rent. While in most cases those taxes are paid by our customers, they increase the cost of self-storage rental to our customers and can negatively impact our rev</w:t>
      </w:r>
      <w:r>
        <w:rPr>
          <w:rFonts w:eastAsia="Times New Roman"/>
          <w:color w:val="000000"/>
          <w:sz w:val="20"/>
          <w:szCs w:val="20"/>
        </w:rPr>
        <w:t>enues. Other local and state governments may impose self-storage rent taxes in the future.</w:t>
      </w:r>
    </w:p>
    <w:p w:rsidR="00000000" w:rsidRDefault="00473C5F">
      <w:pPr>
        <w:jc w:val="both"/>
        <w:divId w:val="157771688"/>
        <w:rPr>
          <w:rFonts w:eastAsia="Times New Roman"/>
        </w:rPr>
      </w:pPr>
      <w:r>
        <w:rPr>
          <w:rFonts w:eastAsia="Times New Roman"/>
          <w:b/>
          <w:bCs/>
          <w:color w:val="000000"/>
          <w:sz w:val="20"/>
          <w:szCs w:val="20"/>
        </w:rPr>
        <w:t>We have exposure to increased property tax in California.</w:t>
      </w:r>
    </w:p>
    <w:p w:rsidR="00000000" w:rsidRDefault="00473C5F">
      <w:pPr>
        <w:ind w:firstLine="720"/>
        <w:jc w:val="both"/>
        <w:divId w:val="1246767187"/>
        <w:rPr>
          <w:rFonts w:eastAsia="Times New Roman"/>
        </w:rPr>
      </w:pPr>
      <w:r>
        <w:rPr>
          <w:rFonts w:eastAsia="Times New Roman"/>
          <w:color w:val="000000"/>
          <w:sz w:val="20"/>
          <w:szCs w:val="20"/>
        </w:rPr>
        <w:t>Approximately $767.2 million of our 2022 net operating income is from our properties in California, and we incurred approximately $47.2 million in related property tax expense. Due to the impact of Proposition 13, which generally limits increases in assess</w:t>
      </w:r>
      <w:r>
        <w:rPr>
          <w:rFonts w:eastAsia="Times New Roman"/>
          <w:color w:val="000000"/>
          <w:sz w:val="20"/>
          <w:szCs w:val="20"/>
        </w:rPr>
        <w:t>ed values to 2% per year, the assessed value and resulting property tax we pay is less than it would be if the properties were assessed at current values. From time to time, proposals have been made to reduce the beneficial impact of Proposition 13, most r</w:t>
      </w:r>
      <w:r>
        <w:rPr>
          <w:rFonts w:eastAsia="Times New Roman"/>
          <w:color w:val="000000"/>
          <w:sz w:val="20"/>
          <w:szCs w:val="20"/>
        </w:rPr>
        <w:t>ecently in the November 2020 ballot. While this ballot initiative failed, there can be no assurance that future initiatives or other legislative actions will not eliminate or reduce the benefit of Proposition 13 with respect to our properties. If the benef</w:t>
      </w:r>
      <w:r>
        <w:rPr>
          <w:rFonts w:eastAsia="Times New Roman"/>
          <w:color w:val="000000"/>
          <w:sz w:val="20"/>
          <w:szCs w:val="20"/>
        </w:rPr>
        <w:t>icial effect of Proposition 13 were ended for our properties, our property tax expense could increase substantially, adversely affecting our cash flow from operations and net income.</w:t>
      </w:r>
    </w:p>
    <w:p w:rsidR="00000000" w:rsidRDefault="00473C5F">
      <w:pPr>
        <w:jc w:val="both"/>
        <w:divId w:val="106390183"/>
        <w:rPr>
          <w:rFonts w:eastAsia="Times New Roman"/>
        </w:rPr>
      </w:pPr>
      <w:r>
        <w:rPr>
          <w:rFonts w:eastAsia="Times New Roman"/>
          <w:b/>
          <w:bCs/>
          <w:color w:val="000000"/>
          <w:sz w:val="20"/>
          <w:szCs w:val="20"/>
        </w:rPr>
        <w:t>We are subject to new and changing legislation and regulations, including</w:t>
      </w:r>
      <w:r>
        <w:rPr>
          <w:rFonts w:eastAsia="Times New Roman"/>
          <w:b/>
          <w:bCs/>
          <w:color w:val="000000"/>
          <w:sz w:val="20"/>
          <w:szCs w:val="20"/>
        </w:rPr>
        <w:t xml:space="preserve"> the California Privacy Rights Act (CPRA).</w:t>
      </w:r>
    </w:p>
    <w:p w:rsidR="00000000" w:rsidRDefault="00473C5F">
      <w:pPr>
        <w:ind w:firstLine="720"/>
        <w:jc w:val="both"/>
        <w:divId w:val="983048905"/>
        <w:rPr>
          <w:rFonts w:eastAsia="Times New Roman"/>
        </w:rPr>
      </w:pPr>
      <w:r>
        <w:rPr>
          <w:rFonts w:eastAsia="Times New Roman"/>
          <w:color w:val="000000"/>
          <w:sz w:val="20"/>
          <w:szCs w:val="20"/>
        </w:rPr>
        <w:t>We are subject to new and changing legislation and regulations, including the Americans with Disabilities Act of 1990 and legislation regarding property taxes, income taxes, REIT status, labor and employment, priv</w:t>
      </w:r>
      <w:r>
        <w:rPr>
          <w:rFonts w:eastAsia="Times New Roman"/>
          <w:color w:val="000000"/>
          <w:sz w:val="20"/>
          <w:szCs w:val="20"/>
        </w:rPr>
        <w:t>acy, and lien sales at the city, county, state, and federal level, which could materially impact our business and operations. Failure to comply with applicable laws, regulations, and policies may subject us to increased litigation and regulatory actions an</w:t>
      </w:r>
      <w:r>
        <w:rPr>
          <w:rFonts w:eastAsia="Times New Roman"/>
          <w:color w:val="000000"/>
          <w:sz w:val="20"/>
          <w:szCs w:val="20"/>
        </w:rPr>
        <w:t>d negatively affect our business and operations or reputation.</w:t>
      </w:r>
    </w:p>
    <w:p w:rsidR="00000000" w:rsidRDefault="00473C5F">
      <w:pPr>
        <w:ind w:firstLine="720"/>
        <w:jc w:val="both"/>
        <w:divId w:val="164126557"/>
        <w:rPr>
          <w:rFonts w:eastAsia="Times New Roman"/>
        </w:rPr>
      </w:pPr>
      <w:r>
        <w:rPr>
          <w:rFonts w:eastAsia="Times New Roman"/>
          <w:color w:val="000000"/>
          <w:sz w:val="20"/>
          <w:szCs w:val="20"/>
        </w:rPr>
        <w:t xml:space="preserve">On November 3, 2020, Californians passed a ballot measure that creates the California Privacy Rights Act (“CPRA”). The CPRA amends and expands the California Consumer Privacy Act (CCPA), which </w:t>
      </w:r>
      <w:r>
        <w:rPr>
          <w:rFonts w:eastAsia="Times New Roman"/>
          <w:color w:val="000000"/>
          <w:sz w:val="20"/>
          <w:szCs w:val="20"/>
        </w:rPr>
        <w:t xml:space="preserve">went into effect on January 1, 2020. The CPRA, which went into effect on January 1, 2023, provides new rights and amends existing rights </w:t>
      </w:r>
    </w:p>
    <w:p w:rsidR="00000000" w:rsidRDefault="00473C5F">
      <w:pPr>
        <w:jc w:val="center"/>
        <w:divId w:val="528181367"/>
        <w:rPr>
          <w:rFonts w:eastAsia="Times New Roman"/>
        </w:rPr>
      </w:pPr>
      <w:r>
        <w:rPr>
          <w:rFonts w:eastAsia="Times New Roman"/>
          <w:color w:val="000000"/>
          <w:sz w:val="20"/>
          <w:szCs w:val="20"/>
        </w:rPr>
        <w:t>18</w:t>
      </w:r>
    </w:p>
    <w:p w:rsidR="00000000" w:rsidRDefault="00473C5F">
      <w:pPr>
        <w:rPr>
          <w:rFonts w:eastAsia="Times New Roman"/>
        </w:rPr>
      </w:pPr>
      <w:r>
        <w:rPr>
          <w:rFonts w:eastAsia="Times New Roman"/>
        </w:rPr>
        <w:pict>
          <v:rect id="_x0000_i1045" style="width:0;height:1.5pt" o:hralign="center" o:hrstd="t" o:hr="t" fillcolor="#a0a0a0" stroked="f"/>
        </w:pict>
      </w:r>
    </w:p>
    <w:p w:rsidR="00000000" w:rsidRDefault="00473C5F">
      <w:pPr>
        <w:divId w:val="350646479"/>
        <w:rPr>
          <w:rFonts w:eastAsia="Times New Roman"/>
        </w:rPr>
      </w:pPr>
    </w:p>
    <w:p w:rsidR="00000000" w:rsidRDefault="00473C5F">
      <w:pPr>
        <w:jc w:val="both"/>
        <w:divId w:val="1710107537"/>
        <w:rPr>
          <w:rFonts w:eastAsia="Times New Roman"/>
        </w:rPr>
      </w:pPr>
      <w:r>
        <w:rPr>
          <w:rFonts w:eastAsia="Times New Roman"/>
          <w:color w:val="000000"/>
          <w:sz w:val="20"/>
          <w:szCs w:val="20"/>
        </w:rPr>
        <w:t xml:space="preserve">found in the CCPA. It also creates a new privacy enforcement authority, the </w:t>
      </w:r>
      <w:r>
        <w:rPr>
          <w:rFonts w:eastAsia="Times New Roman"/>
          <w:color w:val="000000"/>
          <w:sz w:val="20"/>
          <w:szCs w:val="20"/>
        </w:rPr>
        <w:t>California Privacy Protection Agency (“CalPPA”). The CPRA grants the Attorney General and the CalPPA the authority to issue regulations on a wide range of topics. It therefore remains unclear what, if any, modifications will be made to the CPRA or how it w</w:t>
      </w:r>
      <w:r>
        <w:rPr>
          <w:rFonts w:eastAsia="Times New Roman"/>
          <w:color w:val="000000"/>
          <w:sz w:val="20"/>
          <w:szCs w:val="20"/>
        </w:rPr>
        <w:t>ill be interpreted. While we believe we have developed processes to comply with current privacy requirements, a regulatory agency may not agree with certain of our implementation decisions, which could subject us to litigation, regulatory actions, or chang</w:t>
      </w:r>
      <w:r>
        <w:rPr>
          <w:rFonts w:eastAsia="Times New Roman"/>
          <w:color w:val="000000"/>
          <w:sz w:val="20"/>
          <w:szCs w:val="20"/>
        </w:rPr>
        <w:t xml:space="preserve">es to our business practices that could increase costs or reduce revenues. Other states have also enacted or are considering enacting privacy laws similar to those passed in California. Similar laws may be implemented in other jurisdictions in which we do </w:t>
      </w:r>
      <w:r>
        <w:rPr>
          <w:rFonts w:eastAsia="Times New Roman"/>
          <w:color w:val="000000"/>
          <w:sz w:val="20"/>
          <w:szCs w:val="20"/>
        </w:rPr>
        <w:t>business and in ways that may be more restrictive than those in California, increasing the cost of compliance, as well as the risk of noncompliance, on our business.</w:t>
      </w:r>
    </w:p>
    <w:p w:rsidR="00000000" w:rsidRDefault="00473C5F">
      <w:pPr>
        <w:jc w:val="both"/>
        <w:divId w:val="2083260733"/>
        <w:rPr>
          <w:rFonts w:eastAsia="Times New Roman"/>
        </w:rPr>
      </w:pPr>
      <w:r>
        <w:rPr>
          <w:rFonts w:eastAsia="Times New Roman"/>
          <w:b/>
          <w:bCs/>
          <w:color w:val="000000"/>
          <w:sz w:val="20"/>
          <w:szCs w:val="20"/>
        </w:rPr>
        <w:t xml:space="preserve">Our tenant reinsurance business is subject to governmental regulation, which could reduce </w:t>
      </w:r>
      <w:r>
        <w:rPr>
          <w:rFonts w:eastAsia="Times New Roman"/>
          <w:b/>
          <w:bCs/>
          <w:color w:val="000000"/>
          <w:sz w:val="20"/>
          <w:szCs w:val="20"/>
        </w:rPr>
        <w:t>our profitability or limit our growth.</w:t>
      </w:r>
    </w:p>
    <w:p w:rsidR="00000000" w:rsidRDefault="00473C5F">
      <w:pPr>
        <w:ind w:firstLine="720"/>
        <w:jc w:val="both"/>
        <w:divId w:val="2074741596"/>
        <w:rPr>
          <w:rFonts w:eastAsia="Times New Roman"/>
        </w:rPr>
      </w:pPr>
      <w:r>
        <w:rPr>
          <w:rFonts w:eastAsia="Times New Roman"/>
          <w:color w:val="000000"/>
          <w:sz w:val="20"/>
          <w:szCs w:val="20"/>
        </w:rPr>
        <w:t>We hold Limited Lines Self-Service Storage Insurance Agent licenses from a number of individual state departments of insurance and are subject to state governmental regulation and supervision.  Our continued ability t</w:t>
      </w:r>
      <w:r>
        <w:rPr>
          <w:rFonts w:eastAsia="Times New Roman"/>
          <w:color w:val="000000"/>
          <w:sz w:val="20"/>
          <w:szCs w:val="20"/>
        </w:rPr>
        <w:t>o maintain these Limited Lines Self-Service Storage Insurance Agent licenses in the jurisdictions in which we are licensed depends on our compliance with related rules and regulations.  The regulatory authorities in each jurisdiction generally have broad d</w:t>
      </w:r>
      <w:r>
        <w:rPr>
          <w:rFonts w:eastAsia="Times New Roman"/>
          <w:color w:val="000000"/>
          <w:sz w:val="20"/>
          <w:szCs w:val="20"/>
        </w:rPr>
        <w:t xml:space="preserve">iscretion to grant, renew, and revoke licenses and approvals, to promulgate, interpret, and implement regulations, and to evaluate compliance with regulations through periodic examinations, audits, and investigations of the affairs of insurance agents. As </w:t>
      </w:r>
      <w:r>
        <w:rPr>
          <w:rFonts w:eastAsia="Times New Roman"/>
          <w:color w:val="000000"/>
          <w:sz w:val="20"/>
          <w:szCs w:val="20"/>
        </w:rPr>
        <w:t>a result of regulatory or private action in any jurisdiction, we may be temporarily or permanently suspended from continuing some or all of our reinsurance activities</w:t>
      </w:r>
      <w:r>
        <w:rPr>
          <w:rFonts w:eastAsia="Times New Roman"/>
          <w:color w:val="1F497D"/>
          <w:sz w:val="20"/>
          <w:szCs w:val="20"/>
        </w:rPr>
        <w:t>,</w:t>
      </w:r>
      <w:r>
        <w:rPr>
          <w:rFonts w:eastAsia="Times New Roman"/>
          <w:color w:val="000000"/>
          <w:sz w:val="20"/>
          <w:szCs w:val="20"/>
        </w:rPr>
        <w:t xml:space="preserve"> or otherwise fined, penalized, or subject to an adverse judgment, which could reduce our</w:t>
      </w:r>
      <w:r>
        <w:rPr>
          <w:rFonts w:eastAsia="Times New Roman"/>
          <w:color w:val="000000"/>
          <w:sz w:val="20"/>
          <w:szCs w:val="20"/>
        </w:rPr>
        <w:t xml:space="preserve"> net income.</w:t>
      </w:r>
    </w:p>
    <w:p w:rsidR="00000000" w:rsidRDefault="00473C5F">
      <w:pPr>
        <w:jc w:val="both"/>
        <w:divId w:val="1586111756"/>
        <w:rPr>
          <w:rFonts w:eastAsia="Times New Roman"/>
        </w:rPr>
      </w:pPr>
      <w:r>
        <w:rPr>
          <w:rFonts w:eastAsia="Times New Roman"/>
          <w:b/>
          <w:bCs/>
          <w:color w:val="000000"/>
          <w:sz w:val="20"/>
          <w:szCs w:val="20"/>
        </w:rPr>
        <w:t>ITEM 1B.</w:t>
      </w:r>
      <w:r>
        <w:rPr>
          <w:rFonts w:eastAsia="Times New Roman"/>
          <w:color w:val="000000"/>
          <w:sz w:val="20"/>
          <w:szCs w:val="20"/>
        </w:rPr>
        <w:t>    </w:t>
      </w:r>
      <w:r>
        <w:rPr>
          <w:rFonts w:eastAsia="Times New Roman"/>
          <w:b/>
          <w:bCs/>
          <w:color w:val="000000"/>
          <w:sz w:val="20"/>
          <w:szCs w:val="20"/>
          <w:u w:val="single"/>
        </w:rPr>
        <w:t>Unresolved Staff Comments</w:t>
      </w:r>
    </w:p>
    <w:p w:rsidR="00000000" w:rsidRDefault="00473C5F">
      <w:pPr>
        <w:ind w:firstLine="720"/>
        <w:jc w:val="both"/>
        <w:divId w:val="1239747034"/>
        <w:rPr>
          <w:rFonts w:eastAsia="Times New Roman"/>
        </w:rPr>
      </w:pPr>
      <w:r>
        <w:rPr>
          <w:rFonts w:eastAsia="Times New Roman"/>
          <w:color w:val="000000"/>
          <w:sz w:val="20"/>
          <w:szCs w:val="20"/>
        </w:rPr>
        <w:t>None.</w:t>
      </w:r>
    </w:p>
    <w:p w:rsidR="00000000" w:rsidRDefault="00473C5F">
      <w:pPr>
        <w:jc w:val="center"/>
        <w:divId w:val="2049257862"/>
        <w:rPr>
          <w:rFonts w:eastAsia="Times New Roman"/>
        </w:rPr>
      </w:pPr>
      <w:r>
        <w:rPr>
          <w:rFonts w:eastAsia="Times New Roman"/>
          <w:color w:val="000000"/>
          <w:sz w:val="20"/>
          <w:szCs w:val="20"/>
        </w:rPr>
        <w:t>19</w:t>
      </w:r>
    </w:p>
    <w:p w:rsidR="00000000" w:rsidRDefault="00473C5F">
      <w:pPr>
        <w:rPr>
          <w:rFonts w:eastAsia="Times New Roman"/>
        </w:rPr>
      </w:pPr>
      <w:r>
        <w:rPr>
          <w:rFonts w:eastAsia="Times New Roman"/>
        </w:rPr>
        <w:pict>
          <v:rect id="_x0000_i1046" style="width:0;height:1.5pt" o:hralign="center" o:hrstd="t" o:hr="t" fillcolor="#a0a0a0" stroked="f"/>
        </w:pict>
      </w:r>
    </w:p>
    <w:p w:rsidR="00000000" w:rsidRDefault="00473C5F">
      <w:pPr>
        <w:divId w:val="1978878730"/>
        <w:rPr>
          <w:rFonts w:eastAsia="Times New Roman"/>
        </w:rPr>
      </w:pPr>
    </w:p>
    <w:p w:rsidR="00000000" w:rsidRDefault="00473C5F">
      <w:pPr>
        <w:jc w:val="both"/>
        <w:divId w:val="1092169400"/>
        <w:rPr>
          <w:rFonts w:eastAsia="Times New Roman"/>
        </w:rPr>
      </w:pPr>
      <w:r>
        <w:rPr>
          <w:rFonts w:eastAsia="Times New Roman"/>
          <w:b/>
          <w:bCs/>
          <w:color w:val="000000"/>
          <w:sz w:val="20"/>
          <w:szCs w:val="20"/>
        </w:rPr>
        <w:t>ITEM 2</w:t>
      </w:r>
      <w:r>
        <w:rPr>
          <w:rFonts w:eastAsia="Times New Roman"/>
          <w:color w:val="000000"/>
          <w:sz w:val="20"/>
          <w:szCs w:val="20"/>
        </w:rPr>
        <w:t>.    </w:t>
      </w:r>
      <w:r>
        <w:rPr>
          <w:rFonts w:eastAsia="Times New Roman"/>
          <w:b/>
          <w:bCs/>
          <w:color w:val="000000"/>
          <w:sz w:val="20"/>
          <w:szCs w:val="20"/>
          <w:u w:val="single"/>
        </w:rPr>
        <w:t>Properties</w:t>
      </w:r>
    </w:p>
    <w:p w:rsidR="00000000" w:rsidRDefault="00473C5F">
      <w:pPr>
        <w:ind w:firstLine="720"/>
        <w:jc w:val="both"/>
        <w:divId w:val="1600484996"/>
        <w:rPr>
          <w:rFonts w:eastAsia="Times New Roman"/>
        </w:rPr>
      </w:pPr>
      <w:r>
        <w:rPr>
          <w:rFonts w:eastAsia="Times New Roman"/>
          <w:color w:val="000000"/>
          <w:sz w:val="20"/>
          <w:szCs w:val="20"/>
        </w:rPr>
        <w:t>At December 31, 2022, we had controlling ownership interests in 2,869 self-storage facilities located in 40 states within the U.S.:</w:t>
      </w:r>
    </w:p>
    <w:tbl>
      <w:tblPr>
        <w:tblW w:w="5000" w:type="pct"/>
        <w:tblCellMar>
          <w:top w:w="15" w:type="dxa"/>
          <w:left w:w="15" w:type="dxa"/>
          <w:bottom w:w="15" w:type="dxa"/>
          <w:right w:w="15" w:type="dxa"/>
        </w:tblCellMar>
        <w:tblLook w:val="04A0" w:firstRow="1" w:lastRow="0" w:firstColumn="1" w:lastColumn="0" w:noHBand="0" w:noVBand="1"/>
      </w:tblPr>
      <w:tblGrid>
        <w:gridCol w:w="62"/>
        <w:gridCol w:w="4469"/>
        <w:gridCol w:w="38"/>
        <w:gridCol w:w="62"/>
        <w:gridCol w:w="1662"/>
        <w:gridCol w:w="38"/>
        <w:gridCol w:w="37"/>
        <w:gridCol w:w="37"/>
        <w:gridCol w:w="37"/>
        <w:gridCol w:w="51"/>
        <w:gridCol w:w="1776"/>
        <w:gridCol w:w="37"/>
      </w:tblGrid>
      <w:tr w:rsidR="00000000">
        <w:trPr>
          <w:divId w:val="1015770559"/>
        </w:trPr>
        <w:tc>
          <w:tcPr>
            <w:tcW w:w="50" w:type="pct"/>
            <w:vAlign w:val="center"/>
            <w:hideMark/>
          </w:tcPr>
          <w:p w:rsidR="00000000" w:rsidRDefault="00473C5F">
            <w:pPr>
              <w:ind w:firstLine="720"/>
              <w:jc w:val="both"/>
              <w:rPr>
                <w:rFonts w:eastAsia="Times New Roman"/>
              </w:rPr>
            </w:pPr>
          </w:p>
        </w:tc>
        <w:tc>
          <w:tcPr>
            <w:tcW w:w="270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01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08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015770559"/>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b/>
                <w:bCs/>
                <w:color w:val="000000"/>
                <w:sz w:val="20"/>
                <w:szCs w:val="20"/>
              </w:rPr>
              <w:t>At December 31, 2022</w:t>
            </w:r>
          </w:p>
        </w:tc>
      </w:tr>
      <w:tr w:rsidR="00000000">
        <w:trPr>
          <w:divId w:val="1015770559"/>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Number of Storage Facilities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Net Rentable Square Feet</w:t>
            </w:r>
            <w:r>
              <w:rPr>
                <w:rFonts w:eastAsia="Times New Roman"/>
                <w:color w:val="000000"/>
                <w:sz w:val="20"/>
                <w:szCs w:val="20"/>
              </w:rPr>
              <w:br/>
              <w:t>(in thousands)</w:t>
            </w: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California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15770559"/>
        </w:trPr>
        <w:tc>
          <w:tcPr>
            <w:tcW w:w="0" w:type="auto"/>
            <w:gridSpan w:val="3"/>
            <w:tcMar>
              <w:top w:w="30" w:type="dxa"/>
              <w:left w:w="245"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Southern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19,159 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45"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Northern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11,592 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Texas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35,191 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Florida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23,499 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Illinois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8,645 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Georgia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8,267 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North Carolina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7,848 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Virginia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7,781 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Maryland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7,678 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Washington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7,300 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Colorado</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6,414 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Minnesota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5,206 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New York</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4,809 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South Carolina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4,312 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New Jersey</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4,098 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Ohio</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3,987 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Arizona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3,939 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Michigan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3,740 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Indiana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3,016 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Missouri</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2,845 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Oklahoma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2,692 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Tennessee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2,625 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Oregon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2,566 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Pennsylvania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2,501 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Nevada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2,210 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Massachusetts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1,976 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Kansas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1,462 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Other states (14 states)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8,859 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015770559"/>
        </w:trPr>
        <w:tc>
          <w:tcPr>
            <w:tcW w:w="0" w:type="auto"/>
            <w:gridSpan w:val="3"/>
            <w:tcMar>
              <w:top w:w="30" w:type="dxa"/>
              <w:left w:w="38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Total (a)</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2,869 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204,217 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ind w:hanging="360"/>
        <w:jc w:val="both"/>
        <w:divId w:val="1882548602"/>
        <w:rPr>
          <w:rFonts w:eastAsia="Times New Roman"/>
        </w:rPr>
      </w:pPr>
      <w:r>
        <w:rPr>
          <w:rFonts w:eastAsia="Times New Roman"/>
          <w:color w:val="000000"/>
          <w:sz w:val="18"/>
          <w:szCs w:val="18"/>
        </w:rPr>
        <w:t>(a)</w:t>
      </w:r>
      <w:r>
        <w:rPr>
          <w:rFonts w:eastAsia="Times New Roman"/>
          <w:color w:val="000000"/>
          <w:sz w:val="18"/>
          <w:szCs w:val="18"/>
        </w:rPr>
        <w:t>See Schedule III: Real Estate and Accumulated Depreciation in our consolidated financial statements included in this Annual Report on Form 10-K, for a summary of land, building, accumulated depreciation, square footage, and number of properties by market.</w:t>
      </w:r>
    </w:p>
    <w:p w:rsidR="00000000" w:rsidRDefault="00473C5F">
      <w:pPr>
        <w:ind w:firstLine="720"/>
        <w:jc w:val="both"/>
        <w:divId w:val="381949737"/>
        <w:rPr>
          <w:rFonts w:eastAsia="Times New Roman"/>
        </w:rPr>
      </w:pPr>
      <w:r>
        <w:rPr>
          <w:rFonts w:eastAsia="Times New Roman"/>
          <w:color w:val="000000"/>
          <w:sz w:val="20"/>
          <w:szCs w:val="20"/>
        </w:rPr>
        <w:t>At December 31, 2022, five of our facilities with a net book value of $17 million were encumbered by an aggregate of $10 million in mortgage notes payable.</w:t>
      </w:r>
    </w:p>
    <w:p w:rsidR="00000000" w:rsidRDefault="00473C5F">
      <w:pPr>
        <w:ind w:firstLine="720"/>
        <w:jc w:val="both"/>
        <w:divId w:val="245919731"/>
        <w:rPr>
          <w:rFonts w:eastAsia="Times New Roman"/>
        </w:rPr>
      </w:pPr>
      <w:r>
        <w:rPr>
          <w:rFonts w:eastAsia="Times New Roman"/>
          <w:color w:val="000000"/>
          <w:sz w:val="20"/>
          <w:szCs w:val="20"/>
        </w:rPr>
        <w:t>The configuration of self-storage facilities has evolved over time. The oldest facilities are compri</w:t>
      </w:r>
      <w:r>
        <w:rPr>
          <w:rFonts w:eastAsia="Times New Roman"/>
          <w:color w:val="000000"/>
          <w:sz w:val="20"/>
          <w:szCs w:val="20"/>
        </w:rPr>
        <w:t>sed generally of multiple single-story buildings, and have on average approximately 500 primarily “drive up” spaces per facility, and a small rental office. The most prevalent recently constructed facilities have higher density footprints with large, multi</w:t>
      </w:r>
      <w:r>
        <w:rPr>
          <w:rFonts w:eastAsia="Times New Roman"/>
          <w:color w:val="000000"/>
          <w:sz w:val="20"/>
          <w:szCs w:val="20"/>
        </w:rPr>
        <w:t xml:space="preserve">-story buildings with climate control and 1,000 or more self-storage spaces, a more imposing and visible retail presence, and a </w:t>
      </w:r>
    </w:p>
    <w:p w:rsidR="00000000" w:rsidRDefault="00473C5F">
      <w:pPr>
        <w:jc w:val="center"/>
        <w:divId w:val="1668633963"/>
        <w:rPr>
          <w:rFonts w:eastAsia="Times New Roman"/>
        </w:rPr>
      </w:pPr>
      <w:r>
        <w:rPr>
          <w:rFonts w:eastAsia="Times New Roman"/>
          <w:color w:val="000000"/>
          <w:sz w:val="20"/>
          <w:szCs w:val="20"/>
        </w:rPr>
        <w:t>20</w:t>
      </w:r>
    </w:p>
    <w:p w:rsidR="00000000" w:rsidRDefault="00473C5F">
      <w:pPr>
        <w:rPr>
          <w:rFonts w:eastAsia="Times New Roman"/>
        </w:rPr>
      </w:pPr>
      <w:r>
        <w:rPr>
          <w:rFonts w:eastAsia="Times New Roman"/>
        </w:rPr>
        <w:pict>
          <v:rect id="_x0000_i1047" style="width:0;height:1.5pt" o:hralign="center" o:hrstd="t" o:hr="t" fillcolor="#a0a0a0" stroked="f"/>
        </w:pict>
      </w:r>
    </w:p>
    <w:p w:rsidR="00000000" w:rsidRDefault="00473C5F">
      <w:pPr>
        <w:divId w:val="888499264"/>
        <w:rPr>
          <w:rFonts w:eastAsia="Times New Roman"/>
        </w:rPr>
      </w:pPr>
    </w:p>
    <w:p w:rsidR="00000000" w:rsidRDefault="00473C5F">
      <w:pPr>
        <w:jc w:val="both"/>
        <w:divId w:val="621814215"/>
        <w:rPr>
          <w:rFonts w:eastAsia="Times New Roman"/>
        </w:rPr>
      </w:pPr>
      <w:r>
        <w:rPr>
          <w:rFonts w:eastAsia="Times New Roman"/>
          <w:color w:val="000000"/>
          <w:sz w:val="20"/>
          <w:szCs w:val="20"/>
        </w:rPr>
        <w:t>prominent and large rental office designed to appeal to customers as an attractive and retail-focused “store.” Our self-storage portfolio includes facilities with characteristics of the oldest facilities, characteristics of the most recently constructed fa</w:t>
      </w:r>
      <w:r>
        <w:rPr>
          <w:rFonts w:eastAsia="Times New Roman"/>
          <w:color w:val="000000"/>
          <w:sz w:val="20"/>
          <w:szCs w:val="20"/>
        </w:rPr>
        <w:t>cilities, and those with characteristics of both older and recently constructed facilities. Most spaces have between 25 and 400 square feet and an interior height of approximately eight to 12 feet.</w:t>
      </w:r>
    </w:p>
    <w:p w:rsidR="00000000" w:rsidRDefault="00473C5F">
      <w:pPr>
        <w:jc w:val="both"/>
        <w:divId w:val="1663661407"/>
        <w:rPr>
          <w:rFonts w:eastAsia="Times New Roman"/>
        </w:rPr>
      </w:pPr>
      <w:r>
        <w:rPr>
          <w:rFonts w:eastAsia="Times New Roman"/>
          <w:b/>
          <w:bCs/>
          <w:color w:val="000000"/>
          <w:sz w:val="20"/>
          <w:szCs w:val="20"/>
        </w:rPr>
        <w:t>ITEM 3</w:t>
      </w:r>
      <w:r>
        <w:rPr>
          <w:rFonts w:eastAsia="Times New Roman"/>
          <w:color w:val="000000"/>
          <w:sz w:val="20"/>
          <w:szCs w:val="20"/>
        </w:rPr>
        <w:t>.    </w:t>
      </w:r>
      <w:r>
        <w:rPr>
          <w:rFonts w:eastAsia="Times New Roman"/>
          <w:b/>
          <w:bCs/>
          <w:color w:val="000000"/>
          <w:sz w:val="20"/>
          <w:szCs w:val="20"/>
          <w:u w:val="single"/>
        </w:rPr>
        <w:t>Legal Proceedings</w:t>
      </w:r>
    </w:p>
    <w:p w:rsidR="00000000" w:rsidRDefault="00473C5F">
      <w:pPr>
        <w:ind w:firstLine="720"/>
        <w:divId w:val="1668944781"/>
        <w:rPr>
          <w:rFonts w:eastAsia="Times New Roman"/>
        </w:rPr>
      </w:pPr>
      <w:r>
        <w:rPr>
          <w:rFonts w:eastAsia="Times New Roman"/>
          <w:color w:val="000000"/>
          <w:sz w:val="20"/>
          <w:szCs w:val="20"/>
        </w:rPr>
        <w:t>For a description of the Company’s legal proceedings, see “Note 14. Commitments and Contingencies” to our consolidated financial statements included in this Annual Report on Form 10-K.</w:t>
      </w:r>
    </w:p>
    <w:p w:rsidR="00000000" w:rsidRDefault="00473C5F">
      <w:pPr>
        <w:jc w:val="both"/>
        <w:divId w:val="421224533"/>
        <w:rPr>
          <w:rFonts w:eastAsia="Times New Roman"/>
        </w:rPr>
      </w:pPr>
      <w:r>
        <w:rPr>
          <w:rFonts w:eastAsia="Times New Roman"/>
          <w:b/>
          <w:bCs/>
          <w:color w:val="000000"/>
          <w:sz w:val="20"/>
          <w:szCs w:val="20"/>
        </w:rPr>
        <w:t>ITEM 4</w:t>
      </w:r>
      <w:r>
        <w:rPr>
          <w:rFonts w:eastAsia="Times New Roman"/>
          <w:color w:val="000000"/>
          <w:sz w:val="20"/>
          <w:szCs w:val="20"/>
        </w:rPr>
        <w:t>.    </w:t>
      </w:r>
      <w:r>
        <w:rPr>
          <w:rFonts w:eastAsia="Times New Roman"/>
          <w:b/>
          <w:bCs/>
          <w:color w:val="000000"/>
          <w:sz w:val="20"/>
          <w:szCs w:val="20"/>
          <w:u w:val="single"/>
        </w:rPr>
        <w:t>Mine Safety Disclosures</w:t>
      </w:r>
    </w:p>
    <w:p w:rsidR="00000000" w:rsidRDefault="00473C5F">
      <w:pPr>
        <w:ind w:firstLine="720"/>
        <w:jc w:val="both"/>
        <w:divId w:val="1171722002"/>
        <w:rPr>
          <w:rFonts w:eastAsia="Times New Roman"/>
        </w:rPr>
      </w:pPr>
      <w:r>
        <w:rPr>
          <w:rFonts w:eastAsia="Times New Roman"/>
          <w:color w:val="000000"/>
          <w:sz w:val="20"/>
          <w:szCs w:val="20"/>
        </w:rPr>
        <w:t>Not applicable.</w:t>
      </w:r>
    </w:p>
    <w:p w:rsidR="00000000" w:rsidRDefault="00473C5F">
      <w:pPr>
        <w:jc w:val="center"/>
        <w:divId w:val="947079544"/>
        <w:rPr>
          <w:rFonts w:eastAsia="Times New Roman"/>
        </w:rPr>
      </w:pPr>
      <w:r>
        <w:rPr>
          <w:rFonts w:eastAsia="Times New Roman"/>
          <w:color w:val="000000"/>
          <w:sz w:val="20"/>
          <w:szCs w:val="20"/>
        </w:rPr>
        <w:t>21</w:t>
      </w:r>
    </w:p>
    <w:p w:rsidR="00000000" w:rsidRDefault="00473C5F">
      <w:pPr>
        <w:rPr>
          <w:rFonts w:eastAsia="Times New Roman"/>
        </w:rPr>
      </w:pPr>
      <w:r>
        <w:rPr>
          <w:rFonts w:eastAsia="Times New Roman"/>
        </w:rPr>
        <w:pict>
          <v:rect id="_x0000_i1048" style="width:0;height:1.5pt" o:hralign="center" o:hrstd="t" o:hr="t" fillcolor="#a0a0a0" stroked="f"/>
        </w:pict>
      </w:r>
    </w:p>
    <w:p w:rsidR="00000000" w:rsidRDefault="00473C5F">
      <w:pPr>
        <w:divId w:val="930550165"/>
        <w:rPr>
          <w:rFonts w:eastAsia="Times New Roman"/>
        </w:rPr>
      </w:pPr>
    </w:p>
    <w:p w:rsidR="00000000" w:rsidRDefault="00473C5F">
      <w:pPr>
        <w:jc w:val="center"/>
        <w:divId w:val="749815142"/>
        <w:rPr>
          <w:rFonts w:eastAsia="Times New Roman"/>
        </w:rPr>
      </w:pPr>
      <w:r>
        <w:rPr>
          <w:rFonts w:eastAsia="Times New Roman"/>
          <w:b/>
          <w:bCs/>
          <w:color w:val="000000"/>
          <w:sz w:val="20"/>
          <w:szCs w:val="20"/>
          <w:u w:val="single"/>
        </w:rPr>
        <w:t>PART II</w:t>
      </w:r>
    </w:p>
    <w:p w:rsidR="00000000" w:rsidRDefault="00473C5F">
      <w:pPr>
        <w:divId w:val="2089305800"/>
        <w:rPr>
          <w:rFonts w:eastAsia="Times New Roman"/>
        </w:rPr>
      </w:pPr>
      <w:r>
        <w:rPr>
          <w:rFonts w:eastAsia="Times New Roman"/>
          <w:b/>
          <w:bCs/>
          <w:color w:val="000000"/>
          <w:sz w:val="20"/>
          <w:szCs w:val="20"/>
        </w:rPr>
        <w:t>ITEM 5.</w:t>
      </w:r>
      <w:r>
        <w:rPr>
          <w:rFonts w:eastAsia="Times New Roman"/>
          <w:color w:val="000000"/>
          <w:sz w:val="20"/>
          <w:szCs w:val="20"/>
        </w:rPr>
        <w:t>    </w:t>
      </w:r>
      <w:r>
        <w:rPr>
          <w:rFonts w:eastAsia="Times New Roman"/>
          <w:b/>
          <w:bCs/>
          <w:color w:val="000000"/>
          <w:sz w:val="20"/>
          <w:szCs w:val="20"/>
          <w:u w:val="single"/>
        </w:rPr>
        <w:t>Market for Registrant’s Common Equity, Related Shareholder Matters and Issuer Purchases of Equity Securities</w:t>
      </w:r>
    </w:p>
    <w:p w:rsidR="00000000" w:rsidRDefault="00473C5F">
      <w:pPr>
        <w:ind w:firstLine="720"/>
        <w:jc w:val="both"/>
        <w:divId w:val="1897274997"/>
        <w:rPr>
          <w:rFonts w:eastAsia="Times New Roman"/>
        </w:rPr>
      </w:pPr>
      <w:r>
        <w:rPr>
          <w:rFonts w:eastAsia="Times New Roman"/>
          <w:color w:val="000000"/>
          <w:sz w:val="20"/>
          <w:szCs w:val="20"/>
        </w:rPr>
        <w:t xml:space="preserve">Our common shares of beneficial interest (NYSE: PSA) have been listed on the NYSE since October 19, 1984. </w:t>
      </w:r>
      <w:r>
        <w:rPr>
          <w:rFonts w:eastAsia="Times New Roman"/>
          <w:color w:val="000000"/>
          <w:sz w:val="20"/>
          <w:szCs w:val="20"/>
        </w:rPr>
        <w:t>As of February 16, 2023, there were approximately 10,071 holders of record of our common shares.</w:t>
      </w:r>
    </w:p>
    <w:p w:rsidR="00000000" w:rsidRDefault="00473C5F">
      <w:pPr>
        <w:ind w:firstLine="720"/>
        <w:jc w:val="both"/>
        <w:divId w:val="1866745746"/>
        <w:rPr>
          <w:rFonts w:eastAsia="Times New Roman"/>
        </w:rPr>
      </w:pPr>
      <w:r>
        <w:rPr>
          <w:rFonts w:eastAsia="Times New Roman"/>
          <w:color w:val="000000"/>
          <w:sz w:val="20"/>
          <w:szCs w:val="20"/>
        </w:rPr>
        <w:t>Our Board has authorized management to repurchase up to 35,000,000 of our common shares on the open market or in privately negotiated transactions. From the in</w:t>
      </w:r>
      <w:r>
        <w:rPr>
          <w:rFonts w:eastAsia="Times New Roman"/>
          <w:color w:val="000000"/>
          <w:sz w:val="20"/>
          <w:szCs w:val="20"/>
        </w:rPr>
        <w:t>ception of the repurchase program through February 21, 2023, we have repurchased a total of 23,721,916 common shares (all purchased prior to 2010) at an aggregate cost of approximately $679.1 million. Our common share repurchase program does not have an ex</w:t>
      </w:r>
      <w:r>
        <w:rPr>
          <w:rFonts w:eastAsia="Times New Roman"/>
          <w:color w:val="000000"/>
          <w:sz w:val="20"/>
          <w:szCs w:val="20"/>
        </w:rPr>
        <w:t xml:space="preserve">piration date and there are 11,278,084 common shares that may yet be repurchased under our repurchase program as of December 31, 2022. We have no current plans to repurchase shares; however, future levels of common share repurchases will be dependent upon </w:t>
      </w:r>
      <w:r>
        <w:rPr>
          <w:rFonts w:eastAsia="Times New Roman"/>
          <w:color w:val="000000"/>
          <w:sz w:val="20"/>
          <w:szCs w:val="20"/>
        </w:rPr>
        <w:t>our available capital, investment alternatives, and the trading price of our common shares.</w:t>
      </w:r>
    </w:p>
    <w:p w:rsidR="00000000" w:rsidRDefault="00473C5F">
      <w:pPr>
        <w:ind w:firstLine="720"/>
        <w:jc w:val="both"/>
        <w:divId w:val="1015690090"/>
        <w:rPr>
          <w:rFonts w:eastAsia="Times New Roman"/>
        </w:rPr>
      </w:pPr>
      <w:r>
        <w:rPr>
          <w:rFonts w:eastAsia="Times New Roman"/>
          <w:color w:val="000000"/>
          <w:sz w:val="20"/>
          <w:szCs w:val="20"/>
        </w:rPr>
        <w:t>Refer to Item 12. “Security Ownership of Certain Beneficial Owners and Management and Related Shareholder Matters” for information about our equity compensation pla</w:t>
      </w:r>
      <w:r>
        <w:rPr>
          <w:rFonts w:eastAsia="Times New Roman"/>
          <w:color w:val="000000"/>
          <w:sz w:val="20"/>
          <w:szCs w:val="20"/>
        </w:rPr>
        <w:t>ns.</w:t>
      </w:r>
    </w:p>
    <w:p w:rsidR="00000000" w:rsidRDefault="00473C5F">
      <w:pPr>
        <w:divId w:val="2009021410"/>
        <w:rPr>
          <w:rFonts w:eastAsia="Times New Roman"/>
        </w:rPr>
      </w:pPr>
      <w:r>
        <w:rPr>
          <w:rFonts w:eastAsia="Times New Roman"/>
          <w:b/>
          <w:bCs/>
          <w:color w:val="000000"/>
          <w:sz w:val="20"/>
          <w:szCs w:val="20"/>
        </w:rPr>
        <w:t>ITEM 6.    [Reserved]</w:t>
      </w:r>
    </w:p>
    <w:p w:rsidR="00000000" w:rsidRDefault="00473C5F">
      <w:pPr>
        <w:jc w:val="both"/>
        <w:divId w:val="1720394342"/>
        <w:rPr>
          <w:rFonts w:eastAsia="Times New Roman"/>
        </w:rPr>
      </w:pPr>
      <w:r>
        <w:rPr>
          <w:rFonts w:eastAsia="Times New Roman"/>
          <w:b/>
          <w:bCs/>
          <w:color w:val="000000"/>
          <w:sz w:val="20"/>
          <w:szCs w:val="20"/>
        </w:rPr>
        <w:t>ITEM 7.    </w:t>
      </w:r>
      <w:r>
        <w:rPr>
          <w:rFonts w:eastAsia="Times New Roman"/>
          <w:b/>
          <w:bCs/>
          <w:color w:val="000000"/>
          <w:sz w:val="20"/>
          <w:szCs w:val="20"/>
          <w:u w:val="single"/>
        </w:rPr>
        <w:t>Management’s Discussion and Analysis of Financial Condition and Results of Operations</w:t>
      </w:r>
    </w:p>
    <w:p w:rsidR="00000000" w:rsidRDefault="00473C5F">
      <w:pPr>
        <w:ind w:firstLine="720"/>
        <w:jc w:val="both"/>
        <w:divId w:val="1083722734"/>
        <w:rPr>
          <w:rFonts w:eastAsia="Times New Roman"/>
        </w:rPr>
      </w:pPr>
      <w:r>
        <w:rPr>
          <w:rFonts w:eastAsia="Times New Roman"/>
          <w:color w:val="000000"/>
          <w:sz w:val="20"/>
          <w:szCs w:val="20"/>
        </w:rPr>
        <w:t>Management’s Discussion and Analysis of Financial Condition and Results of Operations (“MD&amp;A”) should be read in conjunction with our</w:t>
      </w:r>
      <w:r>
        <w:rPr>
          <w:rFonts w:eastAsia="Times New Roman"/>
          <w:color w:val="000000"/>
          <w:sz w:val="20"/>
          <w:szCs w:val="20"/>
        </w:rPr>
        <w:t xml:space="preserve"> consolidated financial statements and notes thereto.</w:t>
      </w:r>
    </w:p>
    <w:p w:rsidR="00000000" w:rsidRDefault="00473C5F">
      <w:pPr>
        <w:jc w:val="both"/>
        <w:divId w:val="94711179"/>
        <w:rPr>
          <w:rFonts w:eastAsia="Times New Roman"/>
        </w:rPr>
      </w:pPr>
      <w:r>
        <w:rPr>
          <w:rFonts w:eastAsia="Times New Roman"/>
          <w:b/>
          <w:bCs/>
          <w:color w:val="000000"/>
          <w:sz w:val="20"/>
          <w:szCs w:val="20"/>
        </w:rPr>
        <w:t>Critical Accounting Estimates:</w:t>
      </w:r>
    </w:p>
    <w:p w:rsidR="00000000" w:rsidRDefault="00473C5F">
      <w:pPr>
        <w:ind w:firstLine="720"/>
        <w:jc w:val="both"/>
        <w:divId w:val="1368022001"/>
        <w:rPr>
          <w:rFonts w:eastAsia="Times New Roman"/>
        </w:rPr>
      </w:pPr>
      <w:r>
        <w:rPr>
          <w:rFonts w:eastAsia="Times New Roman"/>
          <w:color w:val="000000"/>
          <w:sz w:val="20"/>
          <w:szCs w:val="20"/>
        </w:rPr>
        <w:t xml:space="preserve">The preparation of consolidated financial statements and related disclosures in conformity with U.S. generally accepted accounting principles (“GAAP”) requires us to make </w:t>
      </w:r>
      <w:r>
        <w:rPr>
          <w:rFonts w:eastAsia="Times New Roman"/>
          <w:color w:val="000000"/>
          <w:sz w:val="20"/>
          <w:szCs w:val="20"/>
        </w:rPr>
        <w:t>judgments, assumptions, and estimates that affect the amounts reported. On an ongoing basis, we evaluate our estimates and assumptions. These estimates and assumptions are based on current facts, historical experience, and various other factors that we bel</w:t>
      </w:r>
      <w:r>
        <w:rPr>
          <w:rFonts w:eastAsia="Times New Roman"/>
          <w:color w:val="000000"/>
          <w:sz w:val="20"/>
          <w:szCs w:val="20"/>
        </w:rPr>
        <w:t xml:space="preserve">ieve are reasonable under the circumstances to determine reported amounts of assets, liabilities, revenues, and expenses that are not readily apparent from other sources. </w:t>
      </w:r>
    </w:p>
    <w:p w:rsidR="00000000" w:rsidRDefault="00473C5F">
      <w:pPr>
        <w:ind w:firstLine="720"/>
        <w:jc w:val="both"/>
        <w:divId w:val="1151602369"/>
        <w:rPr>
          <w:rFonts w:eastAsia="Times New Roman"/>
        </w:rPr>
      </w:pPr>
      <w:r>
        <w:rPr>
          <w:rFonts w:eastAsia="Times New Roman"/>
          <w:color w:val="000000"/>
          <w:sz w:val="20"/>
          <w:szCs w:val="20"/>
        </w:rPr>
        <w:t>We believe the following are our critical accounting estimates, because they are rea</w:t>
      </w:r>
      <w:r>
        <w:rPr>
          <w:rFonts w:eastAsia="Times New Roman"/>
          <w:color w:val="000000"/>
          <w:sz w:val="20"/>
          <w:szCs w:val="20"/>
        </w:rPr>
        <w:t>sonably likely to have a material impact on the portrayal of our financial condition and results, and they require us to make judgments and estimates about matters that involve a significant level of uncertainty.</w:t>
      </w:r>
    </w:p>
    <w:p w:rsidR="00000000" w:rsidRDefault="00473C5F">
      <w:pPr>
        <w:ind w:firstLine="720"/>
        <w:jc w:val="both"/>
        <w:divId w:val="445583012"/>
        <w:rPr>
          <w:rFonts w:eastAsia="Times New Roman"/>
        </w:rPr>
      </w:pPr>
      <w:r>
        <w:rPr>
          <w:rFonts w:eastAsia="Times New Roman"/>
          <w:b/>
          <w:bCs/>
          <w:i/>
          <w:iCs/>
          <w:color w:val="000000"/>
          <w:sz w:val="20"/>
          <w:szCs w:val="20"/>
        </w:rPr>
        <w:t>Impairment of Long-Lived Assets:</w:t>
      </w:r>
      <w:r>
        <w:rPr>
          <w:rFonts w:eastAsia="Times New Roman"/>
          <w:color w:val="000000"/>
          <w:sz w:val="20"/>
          <w:szCs w:val="20"/>
        </w:rPr>
        <w:t xml:space="preserve"> The analys</w:t>
      </w:r>
      <w:r>
        <w:rPr>
          <w:rFonts w:eastAsia="Times New Roman"/>
          <w:color w:val="000000"/>
          <w:sz w:val="20"/>
          <w:szCs w:val="20"/>
        </w:rPr>
        <w:t>is of impairment of our long-lived assets, including our real estate facilities, involves identification of indicators of impairment, including unfavorable operational results and significant cost overruns on construction, projections of future operating c</w:t>
      </w:r>
      <w:r>
        <w:rPr>
          <w:rFonts w:eastAsia="Times New Roman"/>
          <w:color w:val="000000"/>
          <w:sz w:val="20"/>
          <w:szCs w:val="20"/>
        </w:rPr>
        <w:t>ash flows, and estimates of fair values, all of which require significant judgment and subjectivity. In particular, these estimates are sensitive to significant assumptions, such as the projections of future rental rates, stabilized occupancy level, future</w:t>
      </w:r>
      <w:r>
        <w:rPr>
          <w:rFonts w:eastAsia="Times New Roman"/>
          <w:color w:val="000000"/>
          <w:sz w:val="20"/>
          <w:szCs w:val="20"/>
        </w:rPr>
        <w:t xml:space="preserve"> profit margin, discount rates, and capitalization rates, all of which could be affected by our expectations about future market or economic conditions. Others could come to materially different conclusions.</w:t>
      </w:r>
    </w:p>
    <w:p w:rsidR="00000000" w:rsidRDefault="00473C5F">
      <w:pPr>
        <w:ind w:firstLine="720"/>
        <w:jc w:val="both"/>
        <w:divId w:val="969943167"/>
        <w:rPr>
          <w:rFonts w:eastAsia="Times New Roman"/>
        </w:rPr>
      </w:pPr>
      <w:r>
        <w:rPr>
          <w:rFonts w:eastAsia="Times New Roman"/>
          <w:b/>
          <w:bCs/>
          <w:i/>
          <w:iCs/>
          <w:color w:val="000000"/>
          <w:sz w:val="20"/>
          <w:szCs w:val="20"/>
        </w:rPr>
        <w:t>Allocating Purchase Price for Acquired Real Esta</w:t>
      </w:r>
      <w:r>
        <w:rPr>
          <w:rFonts w:eastAsia="Times New Roman"/>
          <w:b/>
          <w:bCs/>
          <w:i/>
          <w:iCs/>
          <w:color w:val="000000"/>
          <w:sz w:val="20"/>
          <w:szCs w:val="20"/>
        </w:rPr>
        <w:t>te Facilities</w:t>
      </w:r>
      <w:r>
        <w:rPr>
          <w:rFonts w:eastAsia="Times New Roman"/>
          <w:color w:val="000000"/>
          <w:sz w:val="20"/>
          <w:szCs w:val="20"/>
        </w:rPr>
        <w:t>: We estimate the fair values of the assets and liabilities of acquired real estate facilities, which consist principally of land and buildings, for purposes of allocating the aggregate purchase price of acquired real estate facilities. We est</w:t>
      </w:r>
      <w:r>
        <w:rPr>
          <w:rFonts w:eastAsia="Times New Roman"/>
          <w:color w:val="000000"/>
          <w:sz w:val="20"/>
          <w:szCs w:val="20"/>
        </w:rPr>
        <w:t>imate the fair value of land based upon price per square foot derived from observable transactions involving comparable land in similar locations as adjusted for location quality, parcel size, and date of sale associated with the acquired facilities. The f</w:t>
      </w:r>
      <w:r>
        <w:rPr>
          <w:rFonts w:eastAsia="Times New Roman"/>
          <w:color w:val="000000"/>
          <w:sz w:val="20"/>
          <w:szCs w:val="20"/>
        </w:rPr>
        <w:t>air value estimate of land is sensitive to the adjustments made to the land market transactions used in the estimate, particularly when there is a lack of recent comparable land market data. For large portfolio acquisitions, we estimate the fair value of b</w:t>
      </w:r>
      <w:r>
        <w:rPr>
          <w:rFonts w:eastAsia="Times New Roman"/>
          <w:color w:val="000000"/>
          <w:sz w:val="20"/>
          <w:szCs w:val="20"/>
        </w:rPr>
        <w:t>uildings primarily using the income approach by estimating the fair value of hypothetical vacant acquired facilities and adjusting for the estimated fair value of land. For individual and small portfolio acquisitions, we estimate the fair value of building</w:t>
      </w:r>
      <w:r>
        <w:rPr>
          <w:rFonts w:eastAsia="Times New Roman"/>
          <w:color w:val="000000"/>
          <w:sz w:val="20"/>
          <w:szCs w:val="20"/>
        </w:rPr>
        <w:t>s primarily based upon the estimated current replacement cost, which we calculate by estimating the replacement cost of new purpose-built self-storage facilities in similar geographic regions and adjusting for age, quality, amenities, and configuration ass</w:t>
      </w:r>
      <w:r>
        <w:rPr>
          <w:rFonts w:eastAsia="Times New Roman"/>
          <w:color w:val="000000"/>
          <w:sz w:val="20"/>
          <w:szCs w:val="20"/>
        </w:rPr>
        <w:t xml:space="preserve">ociated with </w:t>
      </w:r>
    </w:p>
    <w:p w:rsidR="00000000" w:rsidRDefault="00473C5F">
      <w:pPr>
        <w:jc w:val="center"/>
        <w:divId w:val="322055066"/>
        <w:rPr>
          <w:rFonts w:eastAsia="Times New Roman"/>
        </w:rPr>
      </w:pPr>
      <w:r>
        <w:rPr>
          <w:rFonts w:eastAsia="Times New Roman"/>
          <w:color w:val="000000"/>
          <w:sz w:val="20"/>
          <w:szCs w:val="20"/>
        </w:rPr>
        <w:t>22</w:t>
      </w:r>
    </w:p>
    <w:p w:rsidR="00000000" w:rsidRDefault="00473C5F">
      <w:pPr>
        <w:rPr>
          <w:rFonts w:eastAsia="Times New Roman"/>
        </w:rPr>
      </w:pPr>
      <w:r>
        <w:rPr>
          <w:rFonts w:eastAsia="Times New Roman"/>
        </w:rPr>
        <w:pict>
          <v:rect id="_x0000_i1049" style="width:0;height:1.5pt" o:hralign="center" o:hrstd="t" o:hr="t" fillcolor="#a0a0a0" stroked="f"/>
        </w:pict>
      </w:r>
    </w:p>
    <w:p w:rsidR="00000000" w:rsidRDefault="00473C5F">
      <w:pPr>
        <w:divId w:val="754129948"/>
        <w:rPr>
          <w:rFonts w:eastAsia="Times New Roman"/>
        </w:rPr>
      </w:pPr>
    </w:p>
    <w:p w:rsidR="00000000" w:rsidRDefault="00473C5F">
      <w:pPr>
        <w:jc w:val="both"/>
        <w:divId w:val="991055861"/>
        <w:rPr>
          <w:rFonts w:eastAsia="Times New Roman"/>
        </w:rPr>
      </w:pPr>
      <w:r>
        <w:rPr>
          <w:rFonts w:eastAsia="Times New Roman"/>
          <w:color w:val="000000"/>
          <w:sz w:val="20"/>
          <w:szCs w:val="20"/>
        </w:rPr>
        <w:t>the buildings acquired. The fair value estimate of buildings is sensitive to assumptions used in both the income approach, such as lease-up period, future stabilized operating cash flows, capitalizati</w:t>
      </w:r>
      <w:r>
        <w:rPr>
          <w:rFonts w:eastAsia="Times New Roman"/>
          <w:color w:val="000000"/>
          <w:sz w:val="20"/>
          <w:szCs w:val="20"/>
        </w:rPr>
        <w:t>on rate and discount rate, and in the replacement cost approach, such as current cost adjustment, soft cost and developer profit estimates. Others could come to materially different conclusions as to the estimated fair values of land and buildings, which w</w:t>
      </w:r>
      <w:r>
        <w:rPr>
          <w:rFonts w:eastAsia="Times New Roman"/>
          <w:color w:val="000000"/>
          <w:sz w:val="20"/>
          <w:szCs w:val="20"/>
        </w:rPr>
        <w:t xml:space="preserve">ould result in different depreciation and amortization expense, gains and losses on sale of real estate assets, as well as the level of land and buildings on our consolidated balance sheet. </w:t>
      </w:r>
    </w:p>
    <w:p w:rsidR="00000000" w:rsidRDefault="00473C5F">
      <w:pPr>
        <w:jc w:val="both"/>
        <w:divId w:val="32972288"/>
        <w:rPr>
          <w:rFonts w:eastAsia="Times New Roman"/>
        </w:rPr>
      </w:pPr>
      <w:r>
        <w:rPr>
          <w:rFonts w:eastAsia="Times New Roman"/>
          <w:b/>
          <w:bCs/>
          <w:color w:val="000000"/>
          <w:sz w:val="20"/>
          <w:szCs w:val="20"/>
        </w:rPr>
        <w:t xml:space="preserve">Overview </w:t>
      </w:r>
    </w:p>
    <w:p w:rsidR="00000000" w:rsidRDefault="00473C5F">
      <w:pPr>
        <w:ind w:firstLine="720"/>
        <w:jc w:val="both"/>
        <w:rPr>
          <w:rFonts w:eastAsia="Times New Roman"/>
        </w:rPr>
      </w:pPr>
      <w:r>
        <w:rPr>
          <w:rFonts w:eastAsia="Times New Roman"/>
          <w:color w:val="000000"/>
          <w:sz w:val="20"/>
          <w:szCs w:val="20"/>
        </w:rPr>
        <w:t>Our self-storage operations generate most of our net income, and our earnings growth is impacted by the levels of growth within our Same Store Facilities (as defined below) as well as within our Acquired Facilities and Newly Developed and Expanded Faciliti</w:t>
      </w:r>
      <w:r>
        <w:rPr>
          <w:rFonts w:eastAsia="Times New Roman"/>
          <w:color w:val="000000"/>
          <w:sz w:val="20"/>
          <w:szCs w:val="20"/>
        </w:rPr>
        <w:t xml:space="preserve">es (both as defined below). Accordingly, a significant portion of management’s time is devoted to maximizing cash flows from our existing self-storage facility portfolio. </w:t>
      </w:r>
    </w:p>
    <w:p w:rsidR="00000000" w:rsidRDefault="00473C5F">
      <w:pPr>
        <w:ind w:firstLine="720"/>
        <w:jc w:val="both"/>
        <w:rPr>
          <w:rFonts w:eastAsia="Times New Roman"/>
        </w:rPr>
      </w:pPr>
    </w:p>
    <w:p w:rsidR="00000000" w:rsidRDefault="00473C5F">
      <w:pPr>
        <w:ind w:firstLine="720"/>
        <w:jc w:val="both"/>
        <w:rPr>
          <w:rFonts w:eastAsia="Times New Roman"/>
        </w:rPr>
      </w:pPr>
      <w:r>
        <w:rPr>
          <w:rFonts w:eastAsia="Times New Roman"/>
          <w:color w:val="000000"/>
          <w:sz w:val="20"/>
          <w:szCs w:val="20"/>
        </w:rPr>
        <w:t>During 2022, revenues generated by our Same Store Facilities increased by 14.8% ($</w:t>
      </w:r>
      <w:r>
        <w:rPr>
          <w:rFonts w:eastAsia="Times New Roman"/>
          <w:color w:val="000000"/>
          <w:sz w:val="20"/>
          <w:szCs w:val="20"/>
        </w:rPr>
        <w:t>409.9 million), as compared to 2021, while Same Store cost of operations increased by 5.7% ($39.9 million). Demand and operating trends softened in the second half of 2022 and returned to historical seasonal patterns as compared to what we experienced in 2</w:t>
      </w:r>
      <w:r>
        <w:rPr>
          <w:rFonts w:eastAsia="Times New Roman"/>
          <w:color w:val="000000"/>
          <w:sz w:val="20"/>
          <w:szCs w:val="20"/>
        </w:rPr>
        <w:t xml:space="preserve">020 and 2021. We expect the trends to continue in 2023. </w:t>
      </w:r>
    </w:p>
    <w:p w:rsidR="00000000" w:rsidRDefault="00473C5F">
      <w:pPr>
        <w:ind w:firstLine="720"/>
        <w:jc w:val="both"/>
        <w:rPr>
          <w:rFonts w:eastAsia="Times New Roman"/>
        </w:rPr>
      </w:pPr>
    </w:p>
    <w:p w:rsidR="00000000" w:rsidRDefault="00473C5F">
      <w:pPr>
        <w:ind w:firstLine="720"/>
        <w:jc w:val="both"/>
        <w:rPr>
          <w:rFonts w:eastAsia="Times New Roman"/>
        </w:rPr>
      </w:pPr>
      <w:r>
        <w:rPr>
          <w:rFonts w:eastAsia="Times New Roman"/>
          <w:color w:val="000000"/>
          <w:sz w:val="20"/>
          <w:szCs w:val="20"/>
        </w:rPr>
        <w:t>In addition to managing our existing facilities for organic growth, we have grown and plan to continue to grow through the acquisition and development of new facilities and expansion of our existin</w:t>
      </w:r>
      <w:r>
        <w:rPr>
          <w:rFonts w:eastAsia="Times New Roman"/>
          <w:color w:val="000000"/>
          <w:sz w:val="20"/>
          <w:szCs w:val="20"/>
        </w:rPr>
        <w:t>g self-storage facilities. Since the beginning of 2020, we acquired a total of 368 facilities with 31.7 million net rentable square feet for $6.6 billion. In our non-same store portfolio, we also have developed and expanded self-storage facilities of 17.7 </w:t>
      </w:r>
      <w:r>
        <w:rPr>
          <w:rFonts w:eastAsia="Times New Roman"/>
          <w:color w:val="000000"/>
          <w:sz w:val="20"/>
          <w:szCs w:val="20"/>
        </w:rPr>
        <w:t>million net rentable square feet for a total cost of $1.6 billion. During 2022, net operating income generated by our Acquired Facilities and Newly Developed and Expanded Facilities increased 98.2% ($226.3 million), as compared to 2021.</w:t>
      </w:r>
    </w:p>
    <w:p w:rsidR="00000000" w:rsidRDefault="00473C5F">
      <w:pPr>
        <w:ind w:firstLine="720"/>
        <w:jc w:val="both"/>
        <w:rPr>
          <w:rFonts w:eastAsia="Times New Roman"/>
        </w:rPr>
      </w:pPr>
    </w:p>
    <w:p w:rsidR="00000000" w:rsidRDefault="00473C5F">
      <w:pPr>
        <w:ind w:firstLine="720"/>
        <w:jc w:val="both"/>
        <w:rPr>
          <w:rFonts w:eastAsia="Times New Roman"/>
        </w:rPr>
      </w:pPr>
      <w:r>
        <w:rPr>
          <w:rFonts w:eastAsia="Times New Roman"/>
          <w:color w:val="000000"/>
          <w:sz w:val="20"/>
          <w:szCs w:val="20"/>
        </w:rPr>
        <w:t>We have experienc</w:t>
      </w:r>
      <w:r>
        <w:rPr>
          <w:rFonts w:eastAsia="Times New Roman"/>
          <w:color w:val="000000"/>
          <w:sz w:val="20"/>
          <w:szCs w:val="20"/>
        </w:rPr>
        <w:t xml:space="preserve">ed recent inflationary impacts on our cost of operations, including labor, utilities, and repairs and maintenance, and costs of development and expansion activities, and we may continue to experience such impacts in the future. We have implemented various </w:t>
      </w:r>
      <w:r>
        <w:rPr>
          <w:rFonts w:eastAsia="Times New Roman"/>
          <w:color w:val="000000"/>
          <w:sz w:val="20"/>
          <w:szCs w:val="20"/>
        </w:rPr>
        <w:t>initiatives to manage the adverse impacts, such as enhancements in operational processes and investments in technology to reduce payroll hours, achievement of economies of scale from recent acquisitions with supervisory payroll allocated over a broader num</w:t>
      </w:r>
      <w:r>
        <w:rPr>
          <w:rFonts w:eastAsia="Times New Roman"/>
          <w:color w:val="000000"/>
          <w:sz w:val="20"/>
          <w:szCs w:val="20"/>
        </w:rPr>
        <w:t>ber of self-storage facilities, and investments in solar power and LED lights to lower utility usage.</w:t>
      </w:r>
    </w:p>
    <w:p w:rsidR="00000000" w:rsidRDefault="00473C5F">
      <w:pPr>
        <w:ind w:firstLine="720"/>
        <w:jc w:val="both"/>
        <w:rPr>
          <w:rFonts w:eastAsia="Times New Roman"/>
        </w:rPr>
      </w:pPr>
    </w:p>
    <w:p w:rsidR="00000000" w:rsidRDefault="00473C5F">
      <w:pPr>
        <w:ind w:firstLine="720"/>
        <w:jc w:val="both"/>
        <w:rPr>
          <w:rFonts w:eastAsia="Times New Roman"/>
        </w:rPr>
      </w:pPr>
      <w:r>
        <w:rPr>
          <w:rFonts w:eastAsia="Times New Roman"/>
          <w:color w:val="000000"/>
          <w:sz w:val="20"/>
          <w:szCs w:val="20"/>
        </w:rPr>
        <w:t xml:space="preserve">In order to enhance the competitive position of certain of our facilities relative to local competitors (including newly developed facilities), we have </w:t>
      </w:r>
      <w:r>
        <w:rPr>
          <w:rFonts w:eastAsia="Times New Roman"/>
          <w:color w:val="000000"/>
          <w:sz w:val="20"/>
          <w:szCs w:val="20"/>
        </w:rPr>
        <w:t>embarked on our multi-year Property of Tomorrow program to (i) rebrand our properties with more pronounced, attractive, and clearly identifiable color schemes and signage, (ii) enhance the energy efficiency of our properties, and (iii) upgrade the configur</w:t>
      </w:r>
      <w:r>
        <w:rPr>
          <w:rFonts w:eastAsia="Times New Roman"/>
          <w:color w:val="000000"/>
          <w:sz w:val="20"/>
          <w:szCs w:val="20"/>
        </w:rPr>
        <w:t xml:space="preserve">ation and layout of the offices and other customer zones to improve the customer experience. We expect to complete the program by the end of 2025. We spent approximately $189 million on the program in 2022 and expect to spend approximately $160 million in </w:t>
      </w:r>
      <w:r>
        <w:rPr>
          <w:rFonts w:eastAsia="Times New Roman"/>
          <w:color w:val="000000"/>
          <w:sz w:val="20"/>
          <w:szCs w:val="20"/>
        </w:rPr>
        <w:t>2023 on this effort.</w:t>
      </w:r>
    </w:p>
    <w:p w:rsidR="00000000" w:rsidRDefault="00473C5F">
      <w:pPr>
        <w:ind w:firstLine="720"/>
        <w:jc w:val="both"/>
        <w:rPr>
          <w:rFonts w:eastAsia="Times New Roman"/>
        </w:rPr>
      </w:pPr>
    </w:p>
    <w:p w:rsidR="00000000" w:rsidRDefault="00473C5F">
      <w:pPr>
        <w:ind w:firstLine="720"/>
        <w:jc w:val="both"/>
        <w:rPr>
          <w:rFonts w:eastAsia="Times New Roman"/>
        </w:rPr>
      </w:pPr>
      <w:r>
        <w:rPr>
          <w:rFonts w:eastAsia="Times New Roman"/>
          <w:color w:val="000000"/>
          <w:sz w:val="20"/>
          <w:szCs w:val="20"/>
        </w:rPr>
        <w:t>On April 24, 2022, PSB entered into an Agreement and Plan of Merger whereby affiliates of Blackstone Real Estate (“Blackstone”) agreed to acquire all outstanding shares of PSB’s common stock for $187.50 per share in cash. On July 20,</w:t>
      </w:r>
      <w:r>
        <w:rPr>
          <w:rFonts w:eastAsia="Times New Roman"/>
          <w:color w:val="000000"/>
          <w:sz w:val="20"/>
          <w:szCs w:val="20"/>
        </w:rPr>
        <w:t xml:space="preserve"> 2022, PSB announced that it completed the merger transaction with Blackstone. Each share of PSB common stock and each common unit of partnership interest we held in PSB were converted into the right to receive the merger consideration of $187.50 per share</w:t>
      </w:r>
      <w:r>
        <w:rPr>
          <w:rFonts w:eastAsia="Times New Roman"/>
          <w:color w:val="000000"/>
          <w:sz w:val="20"/>
          <w:szCs w:val="20"/>
        </w:rPr>
        <w:t xml:space="preserve"> or unit, including a $5.25 closing cash dividend per share or unit, and a $0.22 prorated quarterly cash dividend per share or unit, for a total of $187.72 per share or unit. At the close of the merger transaction, we received a total of $2.7 billion of ca</w:t>
      </w:r>
      <w:r>
        <w:rPr>
          <w:rFonts w:eastAsia="Times New Roman"/>
          <w:color w:val="000000"/>
          <w:sz w:val="20"/>
          <w:szCs w:val="20"/>
        </w:rPr>
        <w:t>sh proceeds and recognized a gain of $2.1 billion, which was classified within gain on sale of our equity investment in PS Business Parks, Inc. in the Consolidated Statement of Income.</w:t>
      </w:r>
    </w:p>
    <w:p w:rsidR="00000000" w:rsidRDefault="00473C5F">
      <w:pPr>
        <w:ind w:firstLine="720"/>
        <w:jc w:val="both"/>
        <w:rPr>
          <w:rFonts w:eastAsia="Times New Roman"/>
        </w:rPr>
      </w:pPr>
    </w:p>
    <w:p w:rsidR="00000000" w:rsidRDefault="00473C5F">
      <w:pPr>
        <w:ind w:firstLine="720"/>
        <w:jc w:val="both"/>
        <w:divId w:val="72775408"/>
        <w:rPr>
          <w:rFonts w:eastAsia="Times New Roman"/>
        </w:rPr>
      </w:pPr>
      <w:r>
        <w:rPr>
          <w:rFonts w:eastAsia="Times New Roman"/>
          <w:color w:val="000000"/>
          <w:sz w:val="20"/>
          <w:szCs w:val="20"/>
        </w:rPr>
        <w:t>In connection with the sale of our equity investment in PSB, on Augus</w:t>
      </w:r>
      <w:r>
        <w:rPr>
          <w:rFonts w:eastAsia="Times New Roman"/>
          <w:color w:val="000000"/>
          <w:sz w:val="20"/>
          <w:szCs w:val="20"/>
        </w:rPr>
        <w:t>t 4, 2022, we paid a special cash dividend of $13.15 per common share, totaling approximately $2.3 billion, to shareholders of record as of August 1, 2022.</w:t>
      </w:r>
    </w:p>
    <w:p w:rsidR="00000000" w:rsidRDefault="00473C5F">
      <w:pPr>
        <w:ind w:firstLine="720"/>
        <w:jc w:val="both"/>
        <w:divId w:val="13384926"/>
        <w:rPr>
          <w:rFonts w:eastAsia="Times New Roman"/>
        </w:rPr>
      </w:pPr>
      <w:r>
        <w:rPr>
          <w:rFonts w:eastAsia="Times New Roman"/>
          <w:color w:val="000000"/>
          <w:sz w:val="20"/>
          <w:szCs w:val="20"/>
        </w:rPr>
        <w:t>On February 5, 2023, we disclosed that we made a proposal to acquire all of the outstanding shares a</w:t>
      </w:r>
      <w:r>
        <w:rPr>
          <w:rFonts w:eastAsia="Times New Roman"/>
          <w:color w:val="000000"/>
          <w:sz w:val="20"/>
          <w:szCs w:val="20"/>
        </w:rPr>
        <w:t>nd units of Life Storage for consideration consisting of Public Storage common shares at an exchange ratio of 0.4192 Public Storage common shares for each outstanding Life Storage share or unit. Our public offer followed prior rebuffs by Life Storage of ou</w:t>
      </w:r>
      <w:r>
        <w:rPr>
          <w:rFonts w:eastAsia="Times New Roman"/>
          <w:color w:val="000000"/>
          <w:sz w:val="20"/>
          <w:szCs w:val="20"/>
        </w:rPr>
        <w:t xml:space="preserve">r attempts to negotiate privately. For more detail about the proposal, please see our Current Report on Form 8-K filed with the SEC on February 6, 2023. On February 16, 2023, Life Storage announced it had rejected the offer. We currently </w:t>
      </w:r>
    </w:p>
    <w:p w:rsidR="00000000" w:rsidRDefault="00473C5F">
      <w:pPr>
        <w:jc w:val="center"/>
        <w:divId w:val="596065579"/>
        <w:rPr>
          <w:rFonts w:eastAsia="Times New Roman"/>
        </w:rPr>
      </w:pPr>
      <w:r>
        <w:rPr>
          <w:rFonts w:eastAsia="Times New Roman"/>
          <w:color w:val="000000"/>
          <w:sz w:val="20"/>
          <w:szCs w:val="20"/>
        </w:rPr>
        <w:t>23</w:t>
      </w:r>
    </w:p>
    <w:p w:rsidR="00000000" w:rsidRDefault="00473C5F">
      <w:pPr>
        <w:rPr>
          <w:rFonts w:eastAsia="Times New Roman"/>
        </w:rPr>
      </w:pPr>
      <w:r>
        <w:rPr>
          <w:rFonts w:eastAsia="Times New Roman"/>
        </w:rPr>
        <w:pict>
          <v:rect id="_x0000_i1050" style="width:0;height:1.5pt" o:hralign="center" o:hrstd="t" o:hr="t" fillcolor="#a0a0a0" stroked="f"/>
        </w:pict>
      </w:r>
    </w:p>
    <w:p w:rsidR="00000000" w:rsidRDefault="00473C5F">
      <w:pPr>
        <w:divId w:val="543298765"/>
        <w:rPr>
          <w:rFonts w:eastAsia="Times New Roman"/>
        </w:rPr>
      </w:pPr>
    </w:p>
    <w:p w:rsidR="00000000" w:rsidRDefault="00473C5F">
      <w:pPr>
        <w:jc w:val="both"/>
        <w:divId w:val="2076511445"/>
        <w:rPr>
          <w:rFonts w:eastAsia="Times New Roman"/>
        </w:rPr>
      </w:pPr>
      <w:r>
        <w:rPr>
          <w:rFonts w:eastAsia="Times New Roman"/>
          <w:color w:val="000000"/>
          <w:sz w:val="20"/>
          <w:szCs w:val="20"/>
        </w:rPr>
        <w:t>intend to pursue the proposed transaction. In the event we enter into and consummate an acquisition of Life Storage, the acquisition would have a significant impact on our future results of operations.</w:t>
      </w:r>
    </w:p>
    <w:p w:rsidR="00000000" w:rsidRDefault="00473C5F">
      <w:pPr>
        <w:ind w:firstLine="720"/>
        <w:jc w:val="both"/>
        <w:divId w:val="1432161672"/>
        <w:rPr>
          <w:rFonts w:eastAsia="Times New Roman"/>
        </w:rPr>
      </w:pPr>
      <w:r>
        <w:rPr>
          <w:rFonts w:eastAsia="Times New Roman"/>
          <w:color w:val="000000"/>
          <w:sz w:val="20"/>
          <w:szCs w:val="20"/>
        </w:rPr>
        <w:t>On February 4, 2</w:t>
      </w:r>
      <w:r>
        <w:rPr>
          <w:rFonts w:eastAsia="Times New Roman"/>
          <w:color w:val="000000"/>
          <w:sz w:val="20"/>
          <w:szCs w:val="20"/>
        </w:rPr>
        <w:t>023, our Board of Trustees declared a 50% increase in its regular common quarterly dividend from $2.00 to $3.00 per share, payable on March 30, 2023 to shareholders of record as of March 15, 2023. The distribution equates to an annualized increase to the C</w:t>
      </w:r>
      <w:r>
        <w:rPr>
          <w:rFonts w:eastAsia="Times New Roman"/>
          <w:color w:val="000000"/>
          <w:sz w:val="20"/>
          <w:szCs w:val="20"/>
        </w:rPr>
        <w:t>ompany’s regular common dividend from $8.00 to $12.00 per share.</w:t>
      </w:r>
    </w:p>
    <w:p w:rsidR="00000000" w:rsidRDefault="00473C5F">
      <w:pPr>
        <w:divId w:val="768962200"/>
        <w:rPr>
          <w:rFonts w:eastAsia="Times New Roman"/>
        </w:rPr>
      </w:pPr>
      <w:r>
        <w:rPr>
          <w:rFonts w:eastAsia="Times New Roman"/>
          <w:b/>
          <w:bCs/>
          <w:color w:val="000000"/>
          <w:sz w:val="20"/>
          <w:szCs w:val="20"/>
        </w:rPr>
        <w:t xml:space="preserve">Results of Operations </w:t>
      </w:r>
    </w:p>
    <w:p w:rsidR="00000000" w:rsidRDefault="00473C5F">
      <w:pPr>
        <w:jc w:val="both"/>
        <w:rPr>
          <w:rFonts w:eastAsia="Times New Roman"/>
        </w:rPr>
      </w:pPr>
    </w:p>
    <w:p w:rsidR="00000000" w:rsidRDefault="00473C5F">
      <w:pPr>
        <w:jc w:val="both"/>
        <w:rPr>
          <w:rFonts w:eastAsia="Times New Roman"/>
        </w:rPr>
      </w:pPr>
      <w:r>
        <w:rPr>
          <w:rFonts w:eastAsia="Times New Roman"/>
          <w:b/>
          <w:bCs/>
          <w:color w:val="000000"/>
          <w:sz w:val="20"/>
          <w:szCs w:val="20"/>
          <w:u w:val="single"/>
        </w:rPr>
        <w:t>Operating Results for 2022 and 2021</w:t>
      </w:r>
    </w:p>
    <w:p w:rsidR="00000000" w:rsidRDefault="00473C5F">
      <w:pPr>
        <w:jc w:val="both"/>
        <w:rPr>
          <w:rFonts w:eastAsia="Times New Roman"/>
        </w:rPr>
      </w:pPr>
    </w:p>
    <w:p w:rsidR="00000000" w:rsidRDefault="00473C5F">
      <w:pPr>
        <w:ind w:firstLine="720"/>
        <w:jc w:val="both"/>
        <w:divId w:val="1528173729"/>
        <w:rPr>
          <w:rFonts w:eastAsia="Times New Roman"/>
        </w:rPr>
      </w:pPr>
      <w:r>
        <w:rPr>
          <w:rFonts w:eastAsia="Times New Roman"/>
          <w:color w:val="000000"/>
          <w:sz w:val="20"/>
          <w:szCs w:val="20"/>
        </w:rPr>
        <w:t>In 2022, net income allocable to our common shareholders was $4,142.3 million or $23.50 per diluted common share, compared to $1</w:t>
      </w:r>
      <w:r>
        <w:rPr>
          <w:rFonts w:eastAsia="Times New Roman"/>
          <w:color w:val="000000"/>
          <w:sz w:val="20"/>
          <w:szCs w:val="20"/>
        </w:rPr>
        <w:t>,732.4 million or $9.87 per diluted common share in 2021, representing an increase of $2,409.9 million or $13.63 per diluted common share. The increase is due primarily to (i) a $2.1 billion gain on sale of our equity investment in PSB and (ii) a $614.3 mi</w:t>
      </w:r>
      <w:r>
        <w:rPr>
          <w:rFonts w:eastAsia="Times New Roman"/>
          <w:color w:val="000000"/>
          <w:sz w:val="20"/>
          <w:szCs w:val="20"/>
        </w:rPr>
        <w:t>llion increase in self-storage net operating income, partially offset by (iii) a $174.7 million increase in depreciation and amortization expense, (iv) a $125.1 million decrease in equity in earnings of unconsolidated real estate entities due to sale of ou</w:t>
      </w:r>
      <w:r>
        <w:rPr>
          <w:rFonts w:eastAsia="Times New Roman"/>
          <w:color w:val="000000"/>
          <w:sz w:val="20"/>
          <w:szCs w:val="20"/>
        </w:rPr>
        <w:t>r equity investment in PSB, and (v) a $45.5 million increase in interest expense.</w:t>
      </w:r>
    </w:p>
    <w:p w:rsidR="00000000" w:rsidRDefault="00473C5F">
      <w:pPr>
        <w:ind w:firstLine="720"/>
        <w:jc w:val="both"/>
        <w:divId w:val="1846550856"/>
        <w:rPr>
          <w:rFonts w:eastAsia="Times New Roman"/>
        </w:rPr>
      </w:pPr>
      <w:r>
        <w:rPr>
          <w:rFonts w:eastAsia="Times New Roman"/>
          <w:color w:val="000000"/>
          <w:sz w:val="20"/>
          <w:szCs w:val="20"/>
        </w:rPr>
        <w:t>The $614.3 million increase in self-storage net operating income in 2022 as compared to 2021 is a result of a $370.1 million increase attributable to our Same Store Facilitie</w:t>
      </w:r>
      <w:r>
        <w:rPr>
          <w:rFonts w:eastAsia="Times New Roman"/>
          <w:color w:val="000000"/>
          <w:sz w:val="20"/>
          <w:szCs w:val="20"/>
        </w:rPr>
        <w:t>s and a $244.2 million increase attributable to our non-same store facilities. Revenues for the Same Store Facilities increased 14.8% or $409.9 million in 2022 as compared to 2021, due primarily to higher realized annual rent per occupied square foot, part</w:t>
      </w:r>
      <w:r>
        <w:rPr>
          <w:rFonts w:eastAsia="Times New Roman"/>
          <w:color w:val="000000"/>
          <w:sz w:val="20"/>
          <w:szCs w:val="20"/>
        </w:rPr>
        <w:t>ially offset by a decline in occupancy. Cost of operations for the Same Store Facilities increased by 5.7% or $39.9 million in 2022 as compared to 2021, due primarily to increased property tax expense, on-site property manager payroll expense, marketing ex</w:t>
      </w:r>
      <w:r>
        <w:rPr>
          <w:rFonts w:eastAsia="Times New Roman"/>
          <w:color w:val="000000"/>
          <w:sz w:val="20"/>
          <w:szCs w:val="20"/>
        </w:rPr>
        <w:t>pense, other direct property costs, and centralized management costs. The increase in net operating income of $244.2 million for the non-same store facilities is due primarily to the impact of facilities acquired in 2021 and the fill-up of recently develop</w:t>
      </w:r>
      <w:r>
        <w:rPr>
          <w:rFonts w:eastAsia="Times New Roman"/>
          <w:color w:val="000000"/>
          <w:sz w:val="20"/>
          <w:szCs w:val="20"/>
        </w:rPr>
        <w:t>ed and expanded facilities.</w:t>
      </w:r>
    </w:p>
    <w:p w:rsidR="00000000" w:rsidRDefault="00473C5F">
      <w:pPr>
        <w:jc w:val="both"/>
        <w:divId w:val="1443265475"/>
        <w:rPr>
          <w:rFonts w:eastAsia="Times New Roman"/>
        </w:rPr>
      </w:pPr>
      <w:r>
        <w:rPr>
          <w:rFonts w:eastAsia="Times New Roman"/>
          <w:b/>
          <w:bCs/>
          <w:color w:val="000000"/>
          <w:sz w:val="20"/>
          <w:szCs w:val="20"/>
          <w:u w:val="single"/>
        </w:rPr>
        <w:t>Operating Results for 2021 and 2020</w:t>
      </w:r>
    </w:p>
    <w:p w:rsidR="00000000" w:rsidRDefault="00473C5F">
      <w:pPr>
        <w:ind w:firstLine="720"/>
        <w:jc w:val="both"/>
        <w:divId w:val="543324548"/>
        <w:rPr>
          <w:rFonts w:eastAsia="Times New Roman"/>
        </w:rPr>
      </w:pPr>
      <w:r>
        <w:rPr>
          <w:rFonts w:eastAsia="Times New Roman"/>
          <w:color w:val="000000"/>
          <w:sz w:val="20"/>
          <w:szCs w:val="20"/>
        </w:rPr>
        <w:t>In 2021, net income allocable to our common shareholders was $1,732.4 million or $9.87 per diluted common share, compared to $1,098.3 million or $6.29 per diluted common share in 2020, represe</w:t>
      </w:r>
      <w:r>
        <w:rPr>
          <w:rFonts w:eastAsia="Times New Roman"/>
          <w:color w:val="000000"/>
          <w:sz w:val="20"/>
          <w:szCs w:val="20"/>
        </w:rPr>
        <w:t>nting an increase of $634.1 million or $3.58 per diluted common share. The increase is due primarily to (i) a $437.4 million increase in self-storage net operating income, (ii) a $209.7 million increase in foreign currency exchange gains associated with ou</w:t>
      </w:r>
      <w:r>
        <w:rPr>
          <w:rFonts w:eastAsia="Times New Roman"/>
          <w:color w:val="000000"/>
          <w:sz w:val="20"/>
          <w:szCs w:val="20"/>
        </w:rPr>
        <w:t>r Euro denominated notes payable, and (iii) our $149.0 million equity share of gains on sale of real estate recorded by PSB in 2021, partially offset by (iv) a $160.2 million increase in depreciation and amortization expense.</w:t>
      </w:r>
    </w:p>
    <w:p w:rsidR="00000000" w:rsidRDefault="00473C5F">
      <w:pPr>
        <w:ind w:firstLine="720"/>
        <w:jc w:val="both"/>
        <w:divId w:val="2074769267"/>
        <w:rPr>
          <w:rFonts w:eastAsia="Times New Roman"/>
        </w:rPr>
      </w:pPr>
      <w:r>
        <w:rPr>
          <w:rFonts w:eastAsia="Times New Roman"/>
          <w:color w:val="000000"/>
          <w:sz w:val="20"/>
          <w:szCs w:val="20"/>
        </w:rPr>
        <w:t>The $437.4 </w:t>
      </w:r>
      <w:r>
        <w:rPr>
          <w:rFonts w:eastAsia="Times New Roman"/>
          <w:color w:val="000000"/>
          <w:sz w:val="20"/>
          <w:szCs w:val="20"/>
        </w:rPr>
        <w:t>million increase in self-storage net operating income in 2021 as compared to 2020 is a result of a $279.5 million increase in our Same Store Facilities and a $157.9 million increase in our non-Same Store Facilities. Revenues for the Same Store Facilities i</w:t>
      </w:r>
      <w:r>
        <w:rPr>
          <w:rFonts w:eastAsia="Times New Roman"/>
          <w:color w:val="000000"/>
          <w:sz w:val="20"/>
          <w:szCs w:val="20"/>
        </w:rPr>
        <w:t>ncreased 10.6% or $265.8 million in 2021 as compared to 2020, due primarily to higher realized annual rent per available square foot and weighted average square foot occupancy. Cost of operations for the Same Store Facilities decreased by 1.9% or $13.8 mil</w:t>
      </w:r>
      <w:r>
        <w:rPr>
          <w:rFonts w:eastAsia="Times New Roman"/>
          <w:color w:val="000000"/>
          <w:sz w:val="20"/>
          <w:szCs w:val="20"/>
        </w:rPr>
        <w:t>lion in 2021 as compared to 2020, due primarily to (i) a 36.1% ($22.4 million) decrease in marketing expenses and (ii) an 11.2% ($14.4 million) decrease in on-site property manager payroll. The increase in net operating income of $157.9 million for the Non</w:t>
      </w:r>
      <w:r>
        <w:rPr>
          <w:rFonts w:eastAsia="Times New Roman"/>
          <w:color w:val="000000"/>
          <w:sz w:val="20"/>
          <w:szCs w:val="20"/>
        </w:rPr>
        <w:t>-Same Store Facilities is due primarily to the impact of facilities acquired in 2021 and 2020 and the fill-up of recently developed and expanded facilities.</w:t>
      </w:r>
    </w:p>
    <w:p w:rsidR="00000000" w:rsidRDefault="00473C5F">
      <w:pPr>
        <w:jc w:val="center"/>
        <w:divId w:val="333413118"/>
        <w:rPr>
          <w:rFonts w:eastAsia="Times New Roman"/>
        </w:rPr>
      </w:pPr>
      <w:r>
        <w:rPr>
          <w:rFonts w:eastAsia="Times New Roman"/>
          <w:color w:val="000000"/>
          <w:sz w:val="20"/>
          <w:szCs w:val="20"/>
        </w:rPr>
        <w:t>24</w:t>
      </w:r>
    </w:p>
    <w:p w:rsidR="00000000" w:rsidRDefault="00473C5F">
      <w:pPr>
        <w:rPr>
          <w:rFonts w:eastAsia="Times New Roman"/>
        </w:rPr>
      </w:pPr>
      <w:r>
        <w:rPr>
          <w:rFonts w:eastAsia="Times New Roman"/>
        </w:rPr>
        <w:pict>
          <v:rect id="_x0000_i1051" style="width:0;height:1.5pt" o:hralign="center" o:hrstd="t" o:hr="t" fillcolor="#a0a0a0" stroked="f"/>
        </w:pict>
      </w:r>
    </w:p>
    <w:p w:rsidR="00000000" w:rsidRDefault="00473C5F">
      <w:pPr>
        <w:divId w:val="160313567"/>
        <w:rPr>
          <w:rFonts w:eastAsia="Times New Roman"/>
        </w:rPr>
      </w:pPr>
    </w:p>
    <w:p w:rsidR="00000000" w:rsidRDefault="00473C5F">
      <w:pPr>
        <w:jc w:val="both"/>
        <w:rPr>
          <w:rFonts w:eastAsia="Times New Roman"/>
        </w:rPr>
      </w:pPr>
      <w:r>
        <w:rPr>
          <w:rFonts w:eastAsia="Times New Roman"/>
          <w:b/>
          <w:bCs/>
          <w:color w:val="000000"/>
          <w:sz w:val="20"/>
          <w:szCs w:val="20"/>
          <w:u w:val="single"/>
        </w:rPr>
        <w:t>Funds from Operations and Core Funds from Operations</w:t>
      </w:r>
    </w:p>
    <w:p w:rsidR="00000000" w:rsidRDefault="00473C5F">
      <w:pPr>
        <w:jc w:val="both"/>
        <w:rPr>
          <w:rFonts w:eastAsia="Times New Roman"/>
        </w:rPr>
      </w:pPr>
    </w:p>
    <w:p w:rsidR="00000000" w:rsidRDefault="00473C5F">
      <w:pPr>
        <w:ind w:firstLine="720"/>
        <w:jc w:val="both"/>
        <w:divId w:val="705180243"/>
        <w:rPr>
          <w:rFonts w:eastAsia="Times New Roman"/>
        </w:rPr>
      </w:pPr>
      <w:r>
        <w:rPr>
          <w:rFonts w:eastAsia="Times New Roman"/>
          <w:color w:val="000000"/>
          <w:sz w:val="20"/>
          <w:szCs w:val="20"/>
        </w:rPr>
        <w:t>Fun</w:t>
      </w:r>
      <w:r>
        <w:rPr>
          <w:rFonts w:eastAsia="Times New Roman"/>
          <w:color w:val="000000"/>
          <w:sz w:val="20"/>
          <w:szCs w:val="20"/>
        </w:rPr>
        <w:t>ds from Operations (“FFO”) and FFO per share are non-GAAP measures defined by Nareit. We believe that FFO and FFO per share are useful to REIT investors and analysts in measuring our performance because Nareit’s definition of FFO excludes items included in</w:t>
      </w:r>
      <w:r>
        <w:rPr>
          <w:rFonts w:eastAsia="Times New Roman"/>
          <w:color w:val="000000"/>
          <w:sz w:val="20"/>
          <w:szCs w:val="20"/>
        </w:rPr>
        <w:t xml:space="preserve"> net income that do not relate to or are not indicative of our operating and financial performance. FFO represents net income before depreciation and amortization, which is excluded because it is based upon historical costs and assumes that building values</w:t>
      </w:r>
      <w:r>
        <w:rPr>
          <w:rFonts w:eastAsia="Times New Roman"/>
          <w:color w:val="000000"/>
          <w:sz w:val="20"/>
          <w:szCs w:val="20"/>
        </w:rPr>
        <w:t xml:space="preserve"> diminish ratably over time, while we believe that real estate values fluctuate due to market conditions. FFO also excludes gains or losses on sale of real estate assets and real estate impairment charges, which are also based upon historical costs and are</w:t>
      </w:r>
      <w:r>
        <w:rPr>
          <w:rFonts w:eastAsia="Times New Roman"/>
          <w:color w:val="000000"/>
          <w:sz w:val="20"/>
          <w:szCs w:val="20"/>
        </w:rPr>
        <w:t xml:space="preserve"> impacted by historical depreciation. FFO and FFO per share are not a substitute for net income or earnings per share. FFO is not a substitute for net cash flow in evaluating our liquidity or ability to pay dividends, because it excludes investing and fina</w:t>
      </w:r>
      <w:r>
        <w:rPr>
          <w:rFonts w:eastAsia="Times New Roman"/>
          <w:color w:val="000000"/>
          <w:sz w:val="20"/>
          <w:szCs w:val="20"/>
        </w:rPr>
        <w:t xml:space="preserve">ncing activities presented on our consolidated statements of cash flows. In addition, other REITs may compute these measures differently, so comparisons among REITs may not be helpful. </w:t>
      </w:r>
    </w:p>
    <w:p w:rsidR="00000000" w:rsidRDefault="00473C5F">
      <w:pPr>
        <w:ind w:firstLine="720"/>
        <w:jc w:val="both"/>
        <w:divId w:val="1131365859"/>
        <w:rPr>
          <w:rFonts w:eastAsia="Times New Roman"/>
        </w:rPr>
      </w:pPr>
      <w:r>
        <w:rPr>
          <w:rFonts w:eastAsia="Times New Roman"/>
          <w:color w:val="000000"/>
          <w:sz w:val="20"/>
          <w:szCs w:val="20"/>
        </w:rPr>
        <w:t>For the year ended December 31, 2022, FFO was $16.46 per diluted commo</w:t>
      </w:r>
      <w:r>
        <w:rPr>
          <w:rFonts w:eastAsia="Times New Roman"/>
          <w:color w:val="000000"/>
          <w:sz w:val="20"/>
          <w:szCs w:val="20"/>
        </w:rPr>
        <w:t>n share as compared to $13.36 and $9.75 per diluted common share for the years ended December 31, 2021 and 2020, respectively, representing an increase in 2022 of 23.2%, or $3.10 per diluted common share, as compared to 2021.</w:t>
      </w:r>
    </w:p>
    <w:p w:rsidR="00000000" w:rsidRDefault="00473C5F">
      <w:pPr>
        <w:ind w:firstLine="720"/>
        <w:jc w:val="both"/>
        <w:divId w:val="1029070279"/>
        <w:rPr>
          <w:rFonts w:eastAsia="Times New Roman"/>
        </w:rPr>
      </w:pPr>
      <w:r>
        <w:rPr>
          <w:rFonts w:eastAsia="Times New Roman"/>
          <w:color w:val="000000"/>
          <w:sz w:val="20"/>
          <w:szCs w:val="20"/>
        </w:rPr>
        <w:t>We also present “Core FFO” and</w:t>
      </w:r>
      <w:r>
        <w:rPr>
          <w:rFonts w:eastAsia="Times New Roman"/>
          <w:color w:val="000000"/>
          <w:sz w:val="20"/>
          <w:szCs w:val="20"/>
        </w:rPr>
        <w:t xml:space="preserve"> “Core FFO per share” non-GAAP measures that represent FFO and FFO per share excluding the impact of (i) foreign currency exchange gains and losses, (ii) charges related to the redemption of preferred securities, and (iii) certain other non-cash and/or non</w:t>
      </w:r>
      <w:r>
        <w:rPr>
          <w:rFonts w:eastAsia="Times New Roman"/>
          <w:color w:val="000000"/>
          <w:sz w:val="20"/>
          <w:szCs w:val="20"/>
        </w:rPr>
        <w:t>recurring income or expense items primarily representing, with respect to the periods presented below, the impact of loss contingency accruals and casualties, unrealized gain on private equity investments and our equity share of merger transaction costs, s</w:t>
      </w:r>
      <w:r>
        <w:rPr>
          <w:rFonts w:eastAsia="Times New Roman"/>
          <w:color w:val="000000"/>
          <w:sz w:val="20"/>
          <w:szCs w:val="20"/>
        </w:rPr>
        <w:t>everance of a senior executive, lease termination income, and casualties from our equity investees</w:t>
      </w:r>
      <w:r>
        <w:rPr>
          <w:rFonts w:eastAsia="Times New Roman"/>
          <w:color w:val="000000"/>
          <w:sz w:val="18"/>
          <w:szCs w:val="18"/>
        </w:rPr>
        <w:t xml:space="preserve">. </w:t>
      </w:r>
      <w:r>
        <w:rPr>
          <w:rFonts w:eastAsia="Times New Roman"/>
          <w:color w:val="000000"/>
          <w:sz w:val="20"/>
          <w:szCs w:val="20"/>
        </w:rPr>
        <w:t>We review Core FFO and Core FFO per share to evaluate our ongoing operating performance and we believe they are used by investors and REIT analysts in a sim</w:t>
      </w:r>
      <w:r>
        <w:rPr>
          <w:rFonts w:eastAsia="Times New Roman"/>
          <w:color w:val="000000"/>
          <w:sz w:val="20"/>
          <w:szCs w:val="20"/>
        </w:rPr>
        <w:t>ilar manner. However, Core FFO and Core FFO per share are not substitutes for net income and net income per share. Because other REITs may not compute Core FFO or Core FFO per share in the same manner as we do, may not use the same terminology or may not p</w:t>
      </w:r>
      <w:r>
        <w:rPr>
          <w:rFonts w:eastAsia="Times New Roman"/>
          <w:color w:val="000000"/>
          <w:sz w:val="20"/>
          <w:szCs w:val="20"/>
        </w:rPr>
        <w:t>resent such measures, Core FFO and Core FFO per share may not be comparable among REITs.</w:t>
      </w:r>
    </w:p>
    <w:p w:rsidR="00000000" w:rsidRDefault="00473C5F">
      <w:pPr>
        <w:jc w:val="center"/>
        <w:divId w:val="876310381"/>
        <w:rPr>
          <w:rFonts w:eastAsia="Times New Roman"/>
        </w:rPr>
      </w:pPr>
      <w:r>
        <w:rPr>
          <w:rFonts w:eastAsia="Times New Roman"/>
          <w:color w:val="000000"/>
          <w:sz w:val="20"/>
          <w:szCs w:val="20"/>
        </w:rPr>
        <w:t>25</w:t>
      </w:r>
    </w:p>
    <w:p w:rsidR="00000000" w:rsidRDefault="00473C5F">
      <w:pPr>
        <w:rPr>
          <w:rFonts w:eastAsia="Times New Roman"/>
        </w:rPr>
      </w:pPr>
      <w:r>
        <w:rPr>
          <w:rFonts w:eastAsia="Times New Roman"/>
        </w:rPr>
        <w:pict>
          <v:rect id="_x0000_i1052" style="width:0;height:1.5pt" o:hralign="center" o:hrstd="t" o:hr="t" fillcolor="#a0a0a0" stroked="f"/>
        </w:pict>
      </w:r>
    </w:p>
    <w:p w:rsidR="00000000" w:rsidRDefault="00473C5F">
      <w:pPr>
        <w:divId w:val="210192808"/>
        <w:rPr>
          <w:rFonts w:eastAsia="Times New Roman"/>
        </w:rPr>
      </w:pPr>
    </w:p>
    <w:p w:rsidR="00000000" w:rsidRDefault="00473C5F">
      <w:pPr>
        <w:ind w:firstLine="720"/>
        <w:jc w:val="both"/>
        <w:divId w:val="1612542851"/>
        <w:rPr>
          <w:rFonts w:eastAsia="Times New Roman"/>
        </w:rPr>
      </w:pPr>
      <w:r>
        <w:rPr>
          <w:rFonts w:eastAsia="Times New Roman"/>
          <w:color w:val="000000"/>
          <w:sz w:val="20"/>
          <w:szCs w:val="20"/>
        </w:rPr>
        <w:t>The following table reconciles net income to FFO and Core FFO and reconciles diluted earnings per share to FFO per share and C</w:t>
      </w:r>
      <w:r>
        <w:rPr>
          <w:rFonts w:eastAsia="Times New Roman"/>
          <w:color w:val="000000"/>
          <w:sz w:val="20"/>
          <w:szCs w:val="20"/>
        </w:rPr>
        <w:t>ore FFO per share:</w:t>
      </w:r>
      <w:r>
        <w:rPr>
          <w:rFonts w:eastAsia="Times New Roman"/>
          <w:color w:val="000000"/>
          <w:sz w:val="2"/>
          <w:szCs w:val="2"/>
        </w:rPr>
        <w:t xml:space="preserve"> </w:t>
      </w:r>
    </w:p>
    <w:tbl>
      <w:tblPr>
        <w:tblW w:w="4977" w:type="pct"/>
        <w:jc w:val="center"/>
        <w:tblCellMar>
          <w:top w:w="15" w:type="dxa"/>
          <w:left w:w="15" w:type="dxa"/>
          <w:bottom w:w="15" w:type="dxa"/>
          <w:right w:w="15" w:type="dxa"/>
        </w:tblCellMar>
        <w:tblLook w:val="04A0" w:firstRow="1" w:lastRow="0" w:firstColumn="1" w:lastColumn="0" w:noHBand="0" w:noVBand="1"/>
      </w:tblPr>
      <w:tblGrid>
        <w:gridCol w:w="39"/>
        <w:gridCol w:w="1798"/>
        <w:gridCol w:w="38"/>
        <w:gridCol w:w="36"/>
        <w:gridCol w:w="36"/>
        <w:gridCol w:w="36"/>
        <w:gridCol w:w="36"/>
        <w:gridCol w:w="36"/>
        <w:gridCol w:w="46"/>
        <w:gridCol w:w="110"/>
        <w:gridCol w:w="765"/>
        <w:gridCol w:w="36"/>
        <w:gridCol w:w="36"/>
        <w:gridCol w:w="36"/>
        <w:gridCol w:w="36"/>
        <w:gridCol w:w="110"/>
        <w:gridCol w:w="765"/>
        <w:gridCol w:w="36"/>
        <w:gridCol w:w="36"/>
        <w:gridCol w:w="36"/>
        <w:gridCol w:w="36"/>
        <w:gridCol w:w="92"/>
        <w:gridCol w:w="729"/>
        <w:gridCol w:w="170"/>
        <w:gridCol w:w="36"/>
        <w:gridCol w:w="36"/>
        <w:gridCol w:w="36"/>
        <w:gridCol w:w="110"/>
        <w:gridCol w:w="765"/>
        <w:gridCol w:w="36"/>
        <w:gridCol w:w="36"/>
        <w:gridCol w:w="36"/>
        <w:gridCol w:w="36"/>
        <w:gridCol w:w="110"/>
        <w:gridCol w:w="765"/>
        <w:gridCol w:w="36"/>
        <w:gridCol w:w="36"/>
        <w:gridCol w:w="36"/>
        <w:gridCol w:w="36"/>
        <w:gridCol w:w="86"/>
        <w:gridCol w:w="736"/>
        <w:gridCol w:w="170"/>
      </w:tblGrid>
      <w:tr w:rsidR="00000000">
        <w:trPr>
          <w:jc w:val="center"/>
        </w:trPr>
        <w:tc>
          <w:tcPr>
            <w:tcW w:w="50" w:type="pct"/>
            <w:vAlign w:val="center"/>
            <w:hideMark/>
          </w:tcPr>
          <w:p w:rsidR="00000000" w:rsidRDefault="00473C5F">
            <w:pPr>
              <w:ind w:firstLine="720"/>
              <w:jc w:val="both"/>
              <w:rPr>
                <w:rFonts w:eastAsia="Times New Roman"/>
              </w:rPr>
            </w:pPr>
          </w:p>
        </w:tc>
        <w:tc>
          <w:tcPr>
            <w:tcW w:w="187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7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2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0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3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3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3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Year Ended December 31,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Year Ended December 31,</w:t>
            </w: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Percentage Change</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Percentage 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(Amounts in thousands, except per share data)</w:t>
            </w: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b/>
                <w:bCs/>
                <w:color w:val="000000"/>
                <w:sz w:val="18"/>
                <w:szCs w:val="18"/>
                <w:u w:val="single"/>
              </w:rPr>
              <w:t>Reconciliation of Net Income to FFO and Core FFO:</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Net income allocable to common shareholders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4,142,288 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1,732,444 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1,732,444 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1,098,335 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57.7 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Eliminate items excluded from FFO:</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Depreciation and amortization</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881,569 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709,349 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709,349 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549,975 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Depreciation from unconsolidated real estate investments</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54,822 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73,729 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73,729 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70,681 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Depreciation allocated to noncontrolling interests and restricted share unitholders</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(6,622)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(4,415)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(4,415)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(3,850)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Gains on sale of real estate investments, including our equity share from investments</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(54,403)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(165,272)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(165,272)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(12,791)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Gain on sale of equity investment in PS Business Parks, Inc.</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(2,116,839)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FFO allocable to common shares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2,900,815 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2,345,835 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2,345,835 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1,702,350 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37.8 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Eliminate the impact of items excluded from Core FFO, including our equity share from investments:</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Foreign currency exchange (gain) loss</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(98,314)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(111,787)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(111,787)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97,953 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Preferred share redemption charge</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31,604 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31,604 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48,265 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Property losses and tenant claims due to casualties (a)</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4,909 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4,909 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Other items</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4,412 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Core FFO allocable to common shares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2,806,980 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2,270,018 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2,270,018 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1,852,980 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trHeight w:val="10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b/>
                <w:bCs/>
                <w:color w:val="000000"/>
                <w:sz w:val="18"/>
                <w:szCs w:val="18"/>
                <w:u w:val="single"/>
              </w:rPr>
              <w:t>Reconciliation of Diluted Earnings per Share to FFO per Share and Core FFO per Share: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Diluted earnings per share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Eliminate amounts per share excluded from FFO:</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Depreciation and amortization</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Gains on sale of real estate investments, including our equity share from investments</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(0.31)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(0.95)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(0.95)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(0.07)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Gain on sale of equity investment in PS Business Parks, Inc.</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FFO per share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16.46 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13.36 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13.36 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9.75 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37.0 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Eliminate the per share impact of items excluded from Core FFO, including our equity share from investments:</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Foreign currency exchange (gain) loss</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(0.57)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(0.64)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(0.64)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Preferred share redemption charge</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Property losses and tenant claims due to casualties (a)</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Other items</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Core FFO per share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15.92 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12.93 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12.93 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10.61 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18"/>
                <w:szCs w:val="18"/>
              </w:rPr>
              <w:t>Diluted weighted average common shares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176,280 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175,568 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175,568 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174,642 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bl>
    <w:p w:rsidR="00000000" w:rsidRDefault="00473C5F">
      <w:pPr>
        <w:ind w:hanging="360"/>
        <w:jc w:val="both"/>
        <w:divId w:val="1540121072"/>
        <w:rPr>
          <w:rFonts w:eastAsia="Times New Roman"/>
        </w:rPr>
      </w:pPr>
      <w:r>
        <w:rPr>
          <w:rFonts w:eastAsia="Times New Roman"/>
          <w:color w:val="000000"/>
          <w:sz w:val="18"/>
          <w:szCs w:val="18"/>
        </w:rPr>
        <w:t>(a)Property losses and tenant claims due to casualties were related to Hurricane Ian in 2022, and Hurricane Ida in 2021, and were included in general and administrative expenses and ancillary cost of operations on the Consolidated Statemen</w:t>
      </w:r>
      <w:r>
        <w:rPr>
          <w:rFonts w:eastAsia="Times New Roman"/>
          <w:color w:val="000000"/>
          <w:sz w:val="18"/>
          <w:szCs w:val="18"/>
        </w:rPr>
        <w:t>ts of Income.</w:t>
      </w:r>
    </w:p>
    <w:p w:rsidR="00000000" w:rsidRDefault="00473C5F">
      <w:pPr>
        <w:jc w:val="center"/>
        <w:divId w:val="1322663293"/>
        <w:rPr>
          <w:rFonts w:eastAsia="Times New Roman"/>
        </w:rPr>
      </w:pPr>
      <w:r>
        <w:rPr>
          <w:rFonts w:eastAsia="Times New Roman"/>
          <w:color w:val="000000"/>
          <w:sz w:val="20"/>
          <w:szCs w:val="20"/>
        </w:rPr>
        <w:t>26</w:t>
      </w:r>
    </w:p>
    <w:p w:rsidR="00000000" w:rsidRDefault="00473C5F">
      <w:pPr>
        <w:rPr>
          <w:rFonts w:eastAsia="Times New Roman"/>
        </w:rPr>
      </w:pPr>
      <w:r>
        <w:rPr>
          <w:rFonts w:eastAsia="Times New Roman"/>
        </w:rPr>
        <w:pict>
          <v:rect id="_x0000_i1053" style="width:0;height:1.5pt" o:hralign="center" o:hrstd="t" o:hr="t" fillcolor="#a0a0a0" stroked="f"/>
        </w:pict>
      </w:r>
    </w:p>
    <w:p w:rsidR="00000000" w:rsidRDefault="00473C5F">
      <w:pPr>
        <w:divId w:val="357121558"/>
        <w:rPr>
          <w:rFonts w:eastAsia="Times New Roman"/>
        </w:rPr>
      </w:pPr>
    </w:p>
    <w:p w:rsidR="00000000" w:rsidRDefault="00473C5F">
      <w:pPr>
        <w:divId w:val="1947812202"/>
        <w:rPr>
          <w:rFonts w:eastAsia="Times New Roman"/>
        </w:rPr>
      </w:pPr>
      <w:r>
        <w:rPr>
          <w:rFonts w:eastAsia="Times New Roman"/>
          <w:b/>
          <w:bCs/>
          <w:color w:val="000000"/>
          <w:sz w:val="20"/>
          <w:szCs w:val="20"/>
        </w:rPr>
        <w:t>Analysis of Net Income - Self-Storage Operations</w:t>
      </w:r>
    </w:p>
    <w:p w:rsidR="00000000" w:rsidRDefault="00473C5F">
      <w:pPr>
        <w:ind w:firstLine="720"/>
        <w:jc w:val="both"/>
        <w:divId w:val="285279844"/>
        <w:rPr>
          <w:rFonts w:eastAsia="Times New Roman"/>
        </w:rPr>
      </w:pPr>
      <w:r>
        <w:rPr>
          <w:rFonts w:eastAsia="Times New Roman"/>
          <w:color w:val="000000"/>
          <w:sz w:val="20"/>
          <w:szCs w:val="20"/>
        </w:rPr>
        <w:t>Our self-storage operations are analyzed in four groups: (i) the 2,276 facilities that we have owned and operated on a stabilized basis since January 1</w:t>
      </w:r>
      <w:r>
        <w:rPr>
          <w:rFonts w:eastAsia="Times New Roman"/>
          <w:color w:val="000000"/>
          <w:sz w:val="20"/>
          <w:szCs w:val="20"/>
        </w:rPr>
        <w:t>, 2020 (the “Same Store Facilities”), (ii) 368 facilities we acquired since January 1, 2020 (the “Acquired Facilities”), (iii) 153 facilities that have been newly developed or expanded, or that had commenced expansion by December 31, 2022 (the “Newly Devel</w:t>
      </w:r>
      <w:r>
        <w:rPr>
          <w:rFonts w:eastAsia="Times New Roman"/>
          <w:color w:val="000000"/>
          <w:sz w:val="20"/>
          <w:szCs w:val="20"/>
        </w:rPr>
        <w:t>oped and Expanded Facilities”), and (iv) 72 other facilities, which are otherwise not stabilized with respect to occupancies or rental rates since January 1, 2020 (the “Other Non-same Store Facilities”). See Note 13 to our December 31, 2022 consolidated fi</w:t>
      </w:r>
      <w:r>
        <w:rPr>
          <w:rFonts w:eastAsia="Times New Roman"/>
          <w:color w:val="000000"/>
          <w:sz w:val="20"/>
          <w:szCs w:val="20"/>
        </w:rPr>
        <w:t>nancial statements “Segment Information,” for a reconciliation of the amounts in the tables below to our total net income.</w:t>
      </w:r>
    </w:p>
    <w:p w:rsidR="00000000" w:rsidRDefault="00473C5F">
      <w:pPr>
        <w:jc w:val="center"/>
        <w:divId w:val="725497010"/>
        <w:rPr>
          <w:rFonts w:eastAsia="Times New Roman"/>
        </w:rPr>
      </w:pPr>
      <w:r>
        <w:rPr>
          <w:rFonts w:eastAsia="Times New Roman"/>
          <w:color w:val="000000"/>
          <w:sz w:val="20"/>
          <w:szCs w:val="20"/>
        </w:rPr>
        <w:t>27</w:t>
      </w:r>
    </w:p>
    <w:p w:rsidR="00000000" w:rsidRDefault="00473C5F">
      <w:pPr>
        <w:rPr>
          <w:rFonts w:eastAsia="Times New Roman"/>
        </w:rPr>
      </w:pPr>
      <w:r>
        <w:rPr>
          <w:rFonts w:eastAsia="Times New Roman"/>
        </w:rPr>
        <w:pict>
          <v:rect id="_x0000_i1054" style="width:0;height:1.5pt" o:hralign="center" o:hrstd="t" o:hr="t" fillcolor="#a0a0a0" stroked="f"/>
        </w:pict>
      </w:r>
    </w:p>
    <w:p w:rsidR="00000000" w:rsidRDefault="00473C5F">
      <w:pPr>
        <w:divId w:val="83448891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1842"/>
        <w:gridCol w:w="38"/>
        <w:gridCol w:w="36"/>
        <w:gridCol w:w="36"/>
        <w:gridCol w:w="36"/>
        <w:gridCol w:w="36"/>
        <w:gridCol w:w="36"/>
        <w:gridCol w:w="36"/>
        <w:gridCol w:w="110"/>
        <w:gridCol w:w="765"/>
        <w:gridCol w:w="36"/>
        <w:gridCol w:w="36"/>
        <w:gridCol w:w="36"/>
        <w:gridCol w:w="36"/>
        <w:gridCol w:w="110"/>
        <w:gridCol w:w="765"/>
        <w:gridCol w:w="36"/>
        <w:gridCol w:w="36"/>
        <w:gridCol w:w="36"/>
        <w:gridCol w:w="36"/>
        <w:gridCol w:w="83"/>
        <w:gridCol w:w="739"/>
        <w:gridCol w:w="170"/>
        <w:gridCol w:w="36"/>
        <w:gridCol w:w="36"/>
        <w:gridCol w:w="36"/>
        <w:gridCol w:w="110"/>
        <w:gridCol w:w="765"/>
        <w:gridCol w:w="36"/>
        <w:gridCol w:w="36"/>
        <w:gridCol w:w="36"/>
        <w:gridCol w:w="36"/>
        <w:gridCol w:w="110"/>
        <w:gridCol w:w="765"/>
        <w:gridCol w:w="36"/>
        <w:gridCol w:w="36"/>
        <w:gridCol w:w="36"/>
        <w:gridCol w:w="36"/>
        <w:gridCol w:w="83"/>
        <w:gridCol w:w="739"/>
        <w:gridCol w:w="170"/>
      </w:tblGrid>
      <w:tr w:rsidR="00000000">
        <w:trPr>
          <w:jc w:val="center"/>
        </w:trPr>
        <w:tc>
          <w:tcPr>
            <w:tcW w:w="50" w:type="pct"/>
            <w:vAlign w:val="center"/>
            <w:hideMark/>
          </w:tcPr>
          <w:p w:rsidR="00000000" w:rsidRDefault="00473C5F">
            <w:pPr>
              <w:rPr>
                <w:rFonts w:eastAsia="Times New Roman"/>
              </w:rPr>
            </w:pPr>
          </w:p>
        </w:tc>
        <w:tc>
          <w:tcPr>
            <w:tcW w:w="17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Self-Storage Operations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Summary</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Year Ended December 31,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Year Ended December 31,</w:t>
            </w: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Percentage Change</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Percentage 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(Dollar amounts and square footage in thousands)</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Revenues: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3,175,207 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2,765,263 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2,765,263 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2,499,486 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Acquired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402,892 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161,364 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161,364 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11,365 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1319.8 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Newly Developed and Expanded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269,245 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197,058 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197,058 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145,360 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Other Non-Same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98,684 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79,881 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79,881 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65,419 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3,946,028 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3,203,566 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3,203,566 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2,721,630 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Cost of operations: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738,491 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698,629 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698,629 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712,390 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Acquired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135,911 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57,921 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57,921 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6,742 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759.1 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Newly Developed and Expanded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79,466 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70,029 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70,029 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62,871 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Other Non-Same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26,341 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25,451 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25,451 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25,540 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980,209 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852,030 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852,030 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807,543 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Net operating income (a):</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2,436,716 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2,066,634 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2,066,634 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1,787,096 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Acquired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266,981 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103,443 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103,443 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4,623 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2137.6 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Newly Developed and Expanded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189,779 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127,029 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127,029 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82,489 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Other Non-Same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72,343 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54,430 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54,430 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39,879 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Total net operating income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2,965,819 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2,351,536 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2,351,536 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1,914,087 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Depreciation and amortization expense: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471,458 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451,802 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451,802 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452,622 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Acquired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309,312 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167,119 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167,119 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11,904 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1303.9 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Newly Developed and Expanded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63,362 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56,411 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56,411 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48,573 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Other Non-Same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44,014 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38,096 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38,096 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40,158 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56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Total depreciation and amortization expense</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888,146 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713,428 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713,428 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553,257 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Net income (loss):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1,965,258 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1,614,832 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1,614,832 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1,334,474 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Acquired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(42,331)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(63,676)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(63,676)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(7,281)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774.6 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Newly Developed and Expanded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126,417 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70,618 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70,618 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33,916 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Other Non-Same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28,329 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16,334 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16,334 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(5954.5)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38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Total net income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2,077,673 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1,638,108 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1,638,108 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1,360,830 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Number of facilities at period end:</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Acquired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374.2 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Newly Developed and Expanded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Other Non-Same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2,869 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2,787 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2,787 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2,548 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Net rentable square footage at period end:</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149,118 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149,118 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149,118 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149,118 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Acquired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31,709 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26,905 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26,905 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5,075 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Newly Developed and Expanded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17,700 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16,606 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16,606 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15,088 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Other Non-Same Store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5,770 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204,217 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198,319 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198,319 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175,051 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bl>
    <w:p w:rsidR="00000000" w:rsidRDefault="00473C5F">
      <w:pPr>
        <w:jc w:val="center"/>
        <w:divId w:val="1828135199"/>
        <w:rPr>
          <w:rFonts w:eastAsia="Times New Roman"/>
        </w:rPr>
      </w:pPr>
      <w:r>
        <w:rPr>
          <w:rFonts w:eastAsia="Times New Roman"/>
          <w:color w:val="000000"/>
          <w:sz w:val="20"/>
          <w:szCs w:val="20"/>
        </w:rPr>
        <w:t>28</w:t>
      </w:r>
    </w:p>
    <w:p w:rsidR="00000000" w:rsidRDefault="00473C5F">
      <w:pPr>
        <w:rPr>
          <w:rFonts w:eastAsia="Times New Roman"/>
        </w:rPr>
      </w:pPr>
      <w:r>
        <w:rPr>
          <w:rFonts w:eastAsia="Times New Roman"/>
        </w:rPr>
        <w:pict>
          <v:rect id="_x0000_i1055" style="width:0;height:1.5pt" o:hralign="center" o:hrstd="t" o:hr="t" fillcolor="#a0a0a0" stroked="f"/>
        </w:pict>
      </w:r>
    </w:p>
    <w:p w:rsidR="00000000" w:rsidRDefault="00473C5F">
      <w:pPr>
        <w:divId w:val="1235118497"/>
        <w:rPr>
          <w:rFonts w:eastAsia="Times New Roman"/>
        </w:rPr>
      </w:pPr>
    </w:p>
    <w:p w:rsidR="00000000" w:rsidRDefault="00473C5F">
      <w:pPr>
        <w:ind w:hanging="360"/>
        <w:jc w:val="both"/>
        <w:divId w:val="2017687657"/>
        <w:rPr>
          <w:rFonts w:eastAsia="Times New Roman"/>
        </w:rPr>
      </w:pPr>
      <w:r>
        <w:rPr>
          <w:rFonts w:eastAsia="Times New Roman"/>
          <w:color w:val="000000"/>
          <w:sz w:val="18"/>
          <w:szCs w:val="18"/>
        </w:rPr>
        <w:t xml:space="preserve">(a)Net operating income or “NOI” </w:t>
      </w:r>
      <w:r>
        <w:rPr>
          <w:rFonts w:eastAsia="Times New Roman"/>
          <w:color w:val="000000"/>
          <w:sz w:val="18"/>
          <w:szCs w:val="18"/>
        </w:rPr>
        <w:t>is a non-GAAP financial measure that excludes the impact of depreciation and amortization expense, which is based upon historical real estate costs and assumes that building values diminish ratably over time, while we believe that real estate values fluctu</w:t>
      </w:r>
      <w:r>
        <w:rPr>
          <w:rFonts w:eastAsia="Times New Roman"/>
          <w:color w:val="000000"/>
          <w:sz w:val="18"/>
          <w:szCs w:val="18"/>
        </w:rPr>
        <w:t>ate due to market conditions. We utilize NOI in determining current property values, evaluating property performance, and in evaluating property operating trends. We believe that investors and analysts utilize NOI in a similar manner. NOI is not a substitu</w:t>
      </w:r>
      <w:r>
        <w:rPr>
          <w:rFonts w:eastAsia="Times New Roman"/>
          <w:color w:val="000000"/>
          <w:sz w:val="18"/>
          <w:szCs w:val="18"/>
        </w:rPr>
        <w:t>te for net income, operating cash flow, or other related financial measures, in evaluating our operating results. See Note 13 to our December 31, 2022 consolidated financial statements for a reconciliation of NOI to our total net income for all periods pre</w:t>
      </w:r>
      <w:r>
        <w:rPr>
          <w:rFonts w:eastAsia="Times New Roman"/>
          <w:color w:val="000000"/>
          <w:sz w:val="18"/>
          <w:szCs w:val="18"/>
        </w:rPr>
        <w:t>sented.</w:t>
      </w:r>
    </w:p>
    <w:p w:rsidR="00000000" w:rsidRDefault="00473C5F">
      <w:pPr>
        <w:ind w:firstLine="720"/>
        <w:jc w:val="both"/>
        <w:rPr>
          <w:rFonts w:eastAsia="Times New Roman"/>
        </w:rPr>
      </w:pPr>
      <w:r>
        <w:rPr>
          <w:rFonts w:eastAsia="Times New Roman"/>
          <w:i/>
          <w:iCs/>
          <w:color w:val="000000"/>
          <w:sz w:val="20"/>
          <w:szCs w:val="20"/>
        </w:rPr>
        <w:t>Same Store Facilities</w:t>
      </w:r>
    </w:p>
    <w:p w:rsidR="00000000" w:rsidRDefault="00473C5F">
      <w:pPr>
        <w:ind w:firstLine="720"/>
        <w:jc w:val="both"/>
        <w:rPr>
          <w:rFonts w:eastAsia="Times New Roman"/>
        </w:rPr>
      </w:pPr>
    </w:p>
    <w:p w:rsidR="00000000" w:rsidRDefault="00473C5F">
      <w:pPr>
        <w:ind w:firstLine="720"/>
        <w:jc w:val="both"/>
        <w:rPr>
          <w:rFonts w:eastAsia="Times New Roman"/>
        </w:rPr>
      </w:pPr>
      <w:r>
        <w:rPr>
          <w:rFonts w:eastAsia="Times New Roman"/>
          <w:color w:val="000000"/>
          <w:sz w:val="20"/>
          <w:szCs w:val="20"/>
        </w:rPr>
        <w:t>The Same Store Facilities consist of facilities we have owned and operated on a stabilized level of occupancy, revenues, and cost of operations since January 1, 2020. The composition of our Same Store Facilities allows us mo</w:t>
      </w:r>
      <w:r>
        <w:rPr>
          <w:rFonts w:eastAsia="Times New Roman"/>
          <w:color w:val="000000"/>
          <w:sz w:val="20"/>
          <w:szCs w:val="20"/>
        </w:rPr>
        <w:t>re effectively to evaluate the ongoing performance of our self-storage portfolio in 2020, 2021, and 2022 and exclude the impact of fill-up of unstabilized facilities, which can significantly affect operating trends. We believe investors and analysts use Sa</w:t>
      </w:r>
      <w:r>
        <w:rPr>
          <w:rFonts w:eastAsia="Times New Roman"/>
          <w:color w:val="000000"/>
          <w:sz w:val="20"/>
          <w:szCs w:val="20"/>
        </w:rPr>
        <w:t xml:space="preserve">me Store information in a similar manner. However, because other REITs may not compute Same Store Facilities in the same manner as we do, may not use the same terminology or may not present such a measure, Same Store Facilities may not be comparable among </w:t>
      </w:r>
      <w:r>
        <w:rPr>
          <w:rFonts w:eastAsia="Times New Roman"/>
          <w:color w:val="000000"/>
          <w:sz w:val="20"/>
          <w:szCs w:val="20"/>
        </w:rPr>
        <w:t xml:space="preserve">REITs. </w:t>
      </w:r>
    </w:p>
    <w:p w:rsidR="00000000" w:rsidRDefault="00473C5F">
      <w:pPr>
        <w:ind w:firstLine="720"/>
        <w:jc w:val="both"/>
        <w:rPr>
          <w:rFonts w:eastAsia="Times New Roman"/>
        </w:rPr>
      </w:pPr>
    </w:p>
    <w:p w:rsidR="00000000" w:rsidRDefault="00473C5F">
      <w:pPr>
        <w:ind w:firstLine="720"/>
        <w:jc w:val="both"/>
        <w:rPr>
          <w:rFonts w:eastAsia="Times New Roman"/>
        </w:rPr>
      </w:pPr>
      <w:r>
        <w:rPr>
          <w:rFonts w:eastAsia="Times New Roman"/>
          <w:color w:val="000000"/>
          <w:sz w:val="20"/>
          <w:szCs w:val="20"/>
        </w:rPr>
        <w:t>The following table summarizes the historical operating results of these 2,276 facilities (149.1 million net rentable square feet) that represent approximately 73% of the aggregate net rentable square feet of our U.S. consolidated self-storage po</w:t>
      </w:r>
      <w:r>
        <w:rPr>
          <w:rFonts w:eastAsia="Times New Roman"/>
          <w:color w:val="000000"/>
          <w:sz w:val="20"/>
          <w:szCs w:val="20"/>
        </w:rPr>
        <w:t>rtfolio at December 31, 2022. It includes various measures and detail that we do not include in the analysis of the developed, acquired, and other non-same store facilities, due to the relative magnitude and importance of the Same Store Facilities relative</w:t>
      </w:r>
      <w:r>
        <w:rPr>
          <w:rFonts w:eastAsia="Times New Roman"/>
          <w:color w:val="000000"/>
          <w:sz w:val="20"/>
          <w:szCs w:val="20"/>
        </w:rPr>
        <w:t xml:space="preserve"> to our other self-storage facilities.</w:t>
      </w:r>
    </w:p>
    <w:p w:rsidR="00000000" w:rsidRDefault="00473C5F">
      <w:pPr>
        <w:ind w:firstLine="720"/>
        <w:jc w:val="both"/>
        <w:rPr>
          <w:rFonts w:eastAsia="Times New Roman"/>
        </w:rPr>
      </w:pPr>
    </w:p>
    <w:p w:rsidR="00000000" w:rsidRDefault="00473C5F">
      <w:pPr>
        <w:jc w:val="center"/>
        <w:divId w:val="104009653"/>
        <w:rPr>
          <w:rFonts w:eastAsia="Times New Roman"/>
        </w:rPr>
      </w:pPr>
      <w:r>
        <w:rPr>
          <w:rFonts w:eastAsia="Times New Roman"/>
          <w:color w:val="000000"/>
          <w:sz w:val="20"/>
          <w:szCs w:val="20"/>
        </w:rPr>
        <w:t>29</w:t>
      </w:r>
    </w:p>
    <w:p w:rsidR="00000000" w:rsidRDefault="00473C5F">
      <w:pPr>
        <w:rPr>
          <w:rFonts w:eastAsia="Times New Roman"/>
        </w:rPr>
      </w:pPr>
      <w:r>
        <w:rPr>
          <w:rFonts w:eastAsia="Times New Roman"/>
        </w:rPr>
        <w:pict>
          <v:rect id="_x0000_i1056" style="width:0;height:1.5pt" o:hralign="center" o:hrstd="t" o:hr="t" fillcolor="#a0a0a0" stroked="f"/>
        </w:pict>
      </w:r>
    </w:p>
    <w:p w:rsidR="00000000" w:rsidRDefault="00473C5F">
      <w:pPr>
        <w:divId w:val="1467039889"/>
        <w:rPr>
          <w:rFonts w:eastAsia="Times New Roman"/>
        </w:rPr>
      </w:pPr>
    </w:p>
    <w:p w:rsidR="00000000" w:rsidRDefault="00473C5F">
      <w:pPr>
        <w:divId w:val="480585118"/>
        <w:rPr>
          <w:rFonts w:eastAsia="Times New Roman"/>
        </w:rPr>
      </w:pPr>
      <w:r>
        <w:rPr>
          <w:rFonts w:eastAsia="Times New Roman"/>
          <w:b/>
          <w:bCs/>
          <w:color w:val="000000"/>
          <w:sz w:val="20"/>
          <w:szCs w:val="20"/>
        </w:rPr>
        <w:t>Selected Operating Data for the Same Store Facilities (2,276 facilities)</w:t>
      </w:r>
    </w:p>
    <w:p w:rsidR="00000000" w:rsidRDefault="00473C5F">
      <w:pPr>
        <w:jc w:val="both"/>
        <w:divId w:val="955866737"/>
        <w:rPr>
          <w:rFonts w:eastAsia="Times New Roman"/>
        </w:rPr>
      </w:pPr>
    </w:p>
    <w:tbl>
      <w:tblPr>
        <w:tblW w:w="4969" w:type="pct"/>
        <w:jc w:val="center"/>
        <w:tblCellMar>
          <w:top w:w="15" w:type="dxa"/>
          <w:left w:w="15" w:type="dxa"/>
          <w:bottom w:w="15" w:type="dxa"/>
          <w:right w:w="15" w:type="dxa"/>
        </w:tblCellMar>
        <w:tblLook w:val="04A0" w:firstRow="1" w:lastRow="0" w:firstColumn="1" w:lastColumn="0" w:noHBand="0" w:noVBand="1"/>
      </w:tblPr>
      <w:tblGrid>
        <w:gridCol w:w="38"/>
        <w:gridCol w:w="1686"/>
        <w:gridCol w:w="37"/>
        <w:gridCol w:w="36"/>
        <w:gridCol w:w="36"/>
        <w:gridCol w:w="36"/>
        <w:gridCol w:w="36"/>
        <w:gridCol w:w="36"/>
        <w:gridCol w:w="36"/>
        <w:gridCol w:w="120"/>
        <w:gridCol w:w="850"/>
        <w:gridCol w:w="36"/>
        <w:gridCol w:w="36"/>
        <w:gridCol w:w="36"/>
        <w:gridCol w:w="36"/>
        <w:gridCol w:w="120"/>
        <w:gridCol w:w="850"/>
        <w:gridCol w:w="36"/>
        <w:gridCol w:w="36"/>
        <w:gridCol w:w="36"/>
        <w:gridCol w:w="36"/>
        <w:gridCol w:w="91"/>
        <w:gridCol w:w="730"/>
        <w:gridCol w:w="36"/>
        <w:gridCol w:w="36"/>
        <w:gridCol w:w="36"/>
        <w:gridCol w:w="36"/>
        <w:gridCol w:w="120"/>
        <w:gridCol w:w="850"/>
        <w:gridCol w:w="36"/>
        <w:gridCol w:w="36"/>
        <w:gridCol w:w="36"/>
        <w:gridCol w:w="36"/>
        <w:gridCol w:w="120"/>
        <w:gridCol w:w="850"/>
        <w:gridCol w:w="36"/>
        <w:gridCol w:w="36"/>
        <w:gridCol w:w="36"/>
        <w:gridCol w:w="36"/>
        <w:gridCol w:w="91"/>
        <w:gridCol w:w="730"/>
        <w:gridCol w:w="36"/>
      </w:tblGrid>
      <w:tr w:rsidR="00000000">
        <w:trPr>
          <w:jc w:val="center"/>
        </w:trPr>
        <w:tc>
          <w:tcPr>
            <w:tcW w:w="50" w:type="pct"/>
            <w:vAlign w:val="center"/>
            <w:hideMark/>
          </w:tcPr>
          <w:p w:rsidR="00000000" w:rsidRDefault="00473C5F">
            <w:pPr>
              <w:jc w:val="both"/>
              <w:rPr>
                <w:rFonts w:eastAsia="Times New Roman"/>
              </w:rPr>
            </w:pPr>
          </w:p>
        </w:tc>
        <w:tc>
          <w:tcPr>
            <w:tcW w:w="167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8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8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0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8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8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0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 Ended December 31,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 Ended December 31,</w:t>
            </w: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Percentage Change</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Percentage 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(Dollar amounts in thousands, except for per square foot data)</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Revenues (a):</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Rental income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3,074,192 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2,683,116 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2,683,116 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2,415,822 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11.1%</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Late charges and administrative fees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101,015 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82,147 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82,147 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83,664 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Total revenues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3,175,207 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2,765,263 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2,765,263 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2,499,486 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10.6%</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Direct cost of operations (a):</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Property taxes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279,388 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267,961 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267,961 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258,453 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3.7%</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On-site property manager payroll</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119,139 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114,426 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114,426 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128,819 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(11.2)%</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Repairs and maintenance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58,468 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52,703 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52,703 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50,700 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4.0%</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Utilities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43,457 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40,548 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40,548 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41,345 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(1.9)%</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Marketing</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45,906 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39,682 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39,682 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62,101 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(36.1)%</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Other direct property costs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80,991 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73,646 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73,646 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68,332 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7.8%</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Total direct cost of operations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627,349 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588,966 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588,966 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609,750 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(3.4)%</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Direct net operating income (b)</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2,547,858 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2,176,297 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2,176,297 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1,889,736 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15.2%</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Indirect cost of operations (a):</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Supervisory payroll</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(35,017)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(37,058)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(37,058)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(40,965)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(9.5)%</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Centralized management costs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(61,922)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(55,350)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(55,350)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(49,129)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12.7%</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Share-based compensation</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(14,203)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(17,255)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(17,255)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(12,546)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37.5%</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Net operating income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2,436,716 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2,066,634 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2,066,634 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1,787,096 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15.6%</w:t>
            </w: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20"/>
                <w:szCs w:val="20"/>
              </w:rPr>
              <w:t>Depreciation and amortization expense</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(471,458)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(451,802)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(451,802)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(452,622)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(0.2)%</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Net income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1,965,258 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1,614,832 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1,614,832 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1,334,474 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21.0%</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20"/>
                <w:szCs w:val="20"/>
              </w:rPr>
              <w:t>Gross margin (before indirect costs, depreciation and amortization expense)</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80.2%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78.7%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78.7%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75.6%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4.1%</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20"/>
                <w:szCs w:val="20"/>
              </w:rPr>
              <w:t>Gross margin (before depreciation and amortization expense)</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76.7%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74.7%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74.7%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71.5%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4.5%</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Weighted average for the period:</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159"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Square foot occupancy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94.9%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96.3%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96.3%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94.5%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1.9%</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20"/>
                <w:szCs w:val="20"/>
              </w:rPr>
              <w:t>Realized annual rental income per (c):</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Occupied square foot</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21.73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18.67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18.67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17.15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8.9%</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Available square foot</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20.61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17.99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17.99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16.20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11.0%</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191525544"/>
              <w:rPr>
                <w:rFonts w:eastAsia="Times New Roman"/>
              </w:rPr>
            </w:pPr>
            <w:r>
              <w:rPr>
                <w:rFonts w:eastAsia="Times New Roman"/>
                <w:color w:val="000000"/>
                <w:sz w:val="20"/>
                <w:szCs w:val="20"/>
              </w:rPr>
              <w:t>At December 31: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Square foot occupancy</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92.4%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94.8%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94.8%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94.2%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0.6%</w:t>
            </w:r>
          </w:p>
        </w:tc>
      </w:tr>
      <w:tr w:rsidR="00000000">
        <w:trPr>
          <w:jc w:val="center"/>
        </w:trPr>
        <w:tc>
          <w:tcPr>
            <w:tcW w:w="0" w:type="auto"/>
            <w:gridSpan w:val="3"/>
            <w:tcMar>
              <w:top w:w="30" w:type="dxa"/>
              <w:left w:w="20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20"/>
                <w:szCs w:val="20"/>
              </w:rPr>
              <w:t>Annual contract rent per occupied square foot (d)</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23.02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19.96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19.96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17.81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12.1%</w:t>
            </w:r>
          </w:p>
        </w:tc>
      </w:tr>
    </w:tbl>
    <w:p w:rsidR="00000000" w:rsidRDefault="00473C5F">
      <w:pPr>
        <w:jc w:val="center"/>
        <w:divId w:val="248583915"/>
        <w:rPr>
          <w:rFonts w:eastAsia="Times New Roman"/>
        </w:rPr>
      </w:pPr>
      <w:r>
        <w:rPr>
          <w:rFonts w:eastAsia="Times New Roman"/>
          <w:color w:val="000000"/>
          <w:sz w:val="20"/>
          <w:szCs w:val="20"/>
        </w:rPr>
        <w:t>30</w:t>
      </w:r>
    </w:p>
    <w:p w:rsidR="00000000" w:rsidRDefault="00473C5F">
      <w:pPr>
        <w:rPr>
          <w:rFonts w:eastAsia="Times New Roman"/>
        </w:rPr>
      </w:pPr>
      <w:r>
        <w:rPr>
          <w:rFonts w:eastAsia="Times New Roman"/>
        </w:rPr>
        <w:pict>
          <v:rect id="_x0000_i1057" style="width:0;height:1.5pt" o:hralign="center" o:hrstd="t" o:hr="t" fillcolor="#a0a0a0" stroked="f"/>
        </w:pict>
      </w:r>
    </w:p>
    <w:p w:rsidR="00000000" w:rsidRDefault="00473C5F">
      <w:pPr>
        <w:divId w:val="1087387522"/>
        <w:rPr>
          <w:rFonts w:eastAsia="Times New Roman"/>
        </w:rPr>
      </w:pPr>
    </w:p>
    <w:p w:rsidR="00000000" w:rsidRDefault="00473C5F">
      <w:pPr>
        <w:ind w:hanging="360"/>
        <w:jc w:val="both"/>
        <w:divId w:val="2048793403"/>
        <w:rPr>
          <w:rFonts w:eastAsia="Times New Roman"/>
        </w:rPr>
      </w:pPr>
      <w:r>
        <w:rPr>
          <w:rFonts w:eastAsia="Times New Roman"/>
          <w:color w:val="000000"/>
          <w:sz w:val="18"/>
          <w:szCs w:val="18"/>
        </w:rPr>
        <w:t>(a)</w:t>
      </w:r>
      <w:r>
        <w:rPr>
          <w:rFonts w:eastAsia="Times New Roman"/>
          <w:color w:val="000000"/>
          <w:sz w:val="18"/>
          <w:szCs w:val="18"/>
        </w:rPr>
        <w:t>Revenues and cost of operations do not include tenant reinsurance and merchandise sale revenues and expenses generated at the facilities. See “Ancillary Operations” below for more information.</w:t>
      </w:r>
    </w:p>
    <w:p w:rsidR="00000000" w:rsidRDefault="00473C5F">
      <w:pPr>
        <w:ind w:hanging="360"/>
        <w:jc w:val="both"/>
        <w:divId w:val="1115175850"/>
        <w:rPr>
          <w:rFonts w:eastAsia="Times New Roman"/>
        </w:rPr>
      </w:pPr>
      <w:r>
        <w:rPr>
          <w:rFonts w:eastAsia="Times New Roman"/>
          <w:color w:val="000000"/>
          <w:sz w:val="18"/>
          <w:szCs w:val="18"/>
        </w:rPr>
        <w:t>(b)Direct net operating income (“Direct NOI”), a subtotal withi</w:t>
      </w:r>
      <w:r>
        <w:rPr>
          <w:rFonts w:eastAsia="Times New Roman"/>
          <w:color w:val="000000"/>
          <w:sz w:val="18"/>
          <w:szCs w:val="18"/>
        </w:rPr>
        <w:t>n NOI, is a non-GAAP financial measure that excludes the impact of supervisory payroll, centralized management costs, and share-based compensation in addition to depreciation and amortization expense. We utilize direct net operating income in evaluating pr</w:t>
      </w:r>
      <w:r>
        <w:rPr>
          <w:rFonts w:eastAsia="Times New Roman"/>
          <w:color w:val="000000"/>
          <w:sz w:val="18"/>
          <w:szCs w:val="18"/>
        </w:rPr>
        <w:t xml:space="preserve">operty performance and in evaluating property operating trends as compared to our competitors. </w:t>
      </w:r>
    </w:p>
    <w:p w:rsidR="00000000" w:rsidRDefault="00473C5F">
      <w:pPr>
        <w:ind w:hanging="360"/>
        <w:jc w:val="both"/>
        <w:divId w:val="209658889"/>
        <w:rPr>
          <w:rFonts w:eastAsia="Times New Roman"/>
        </w:rPr>
      </w:pPr>
      <w:r>
        <w:rPr>
          <w:rFonts w:eastAsia="Times New Roman"/>
          <w:color w:val="000000"/>
          <w:sz w:val="18"/>
          <w:szCs w:val="18"/>
        </w:rPr>
        <w:t>(c)Realized annual rent per occupied square foot is computed by dividing rental income, before late charges and administrative fees, by the weighted average occ</w:t>
      </w:r>
      <w:r>
        <w:rPr>
          <w:rFonts w:eastAsia="Times New Roman"/>
          <w:color w:val="000000"/>
          <w:sz w:val="18"/>
          <w:szCs w:val="18"/>
        </w:rPr>
        <w:t>upied square feet for the period. Realized annual rent per available square foot (“REVPAF”) is computed by dividing rental income, before late charges and administrative fees, by the total available net rentable square feet for the period. These measures e</w:t>
      </w:r>
      <w:r>
        <w:rPr>
          <w:rFonts w:eastAsia="Times New Roman"/>
          <w:color w:val="000000"/>
          <w:sz w:val="18"/>
          <w:szCs w:val="18"/>
        </w:rPr>
        <w:t>xclude late charges and administrative fees in order to provide a better measure of our ongoing level of revenue. Late charges are dependent upon the level of delinquency, and administrative fees are dependent upon the level of move-ins. In addition, the r</w:t>
      </w:r>
      <w:r>
        <w:rPr>
          <w:rFonts w:eastAsia="Times New Roman"/>
          <w:color w:val="000000"/>
          <w:sz w:val="18"/>
          <w:szCs w:val="18"/>
        </w:rPr>
        <w:t xml:space="preserve">ates charged for late charges and administrative fees can vary independently from rental rates. These measures take into consideration promotional discounts, which reduce rental income. </w:t>
      </w:r>
    </w:p>
    <w:p w:rsidR="00000000" w:rsidRDefault="00473C5F">
      <w:pPr>
        <w:ind w:hanging="360"/>
        <w:jc w:val="both"/>
        <w:divId w:val="2024092948"/>
        <w:rPr>
          <w:rFonts w:eastAsia="Times New Roman"/>
        </w:rPr>
      </w:pPr>
      <w:r>
        <w:rPr>
          <w:rFonts w:eastAsia="Times New Roman"/>
          <w:color w:val="000000"/>
          <w:sz w:val="18"/>
          <w:szCs w:val="18"/>
        </w:rPr>
        <w:t xml:space="preserve">(d)Annual contract rent represents the agreed upon monthly rate that </w:t>
      </w:r>
      <w:r>
        <w:rPr>
          <w:rFonts w:eastAsia="Times New Roman"/>
          <w:color w:val="000000"/>
          <w:sz w:val="18"/>
          <w:szCs w:val="18"/>
        </w:rPr>
        <w:t>is paid by our tenants in place at the time of measurement. Contract rates are initially set in the lease agreement upon move-in, and we adjust them from time to time with notice. Contract rent excludes other fees that are charged on a per-item basis, such</w:t>
      </w:r>
      <w:r>
        <w:rPr>
          <w:rFonts w:eastAsia="Times New Roman"/>
          <w:color w:val="000000"/>
          <w:sz w:val="18"/>
          <w:szCs w:val="18"/>
        </w:rPr>
        <w:t xml:space="preserve"> as late charges and administrative fees, does not reflect the impact of promotional discounts, and does not reflect the impact of rents that are written off as uncollectible.</w:t>
      </w:r>
    </w:p>
    <w:p w:rsidR="00000000" w:rsidRDefault="00473C5F">
      <w:pPr>
        <w:divId w:val="1396124074"/>
        <w:rPr>
          <w:rFonts w:eastAsia="Times New Roman"/>
        </w:rPr>
      </w:pPr>
      <w:r>
        <w:rPr>
          <w:rFonts w:eastAsia="Times New Roman"/>
          <w:i/>
          <w:iCs/>
          <w:color w:val="000000"/>
          <w:sz w:val="20"/>
          <w:szCs w:val="20"/>
        </w:rPr>
        <w:t>Analysis of Same Store Revenue</w:t>
      </w:r>
    </w:p>
    <w:p w:rsidR="00000000" w:rsidRDefault="00473C5F">
      <w:pPr>
        <w:ind w:firstLine="720"/>
        <w:jc w:val="both"/>
        <w:divId w:val="2013988227"/>
        <w:rPr>
          <w:rFonts w:eastAsia="Times New Roman"/>
        </w:rPr>
      </w:pPr>
      <w:r>
        <w:rPr>
          <w:rFonts w:eastAsia="Times New Roman"/>
          <w:color w:val="000000"/>
          <w:sz w:val="20"/>
          <w:szCs w:val="20"/>
        </w:rPr>
        <w:t>We believe a balanced occupancy and rate strategy</w:t>
      </w:r>
      <w:r>
        <w:rPr>
          <w:rFonts w:eastAsia="Times New Roman"/>
          <w:color w:val="000000"/>
          <w:sz w:val="20"/>
          <w:szCs w:val="20"/>
        </w:rPr>
        <w:t xml:space="preserve"> maximizes our revenues over time. We regularly adjust rental rates and promotional discounts offered (generally, “$1.00 rent for the first month”), as well as our marketing efforts to maximize revenue from new tenants to replace tenants that vacate. </w:t>
      </w:r>
    </w:p>
    <w:p w:rsidR="00000000" w:rsidRDefault="00473C5F">
      <w:pPr>
        <w:ind w:firstLine="720"/>
        <w:jc w:val="both"/>
        <w:divId w:val="236745970"/>
        <w:rPr>
          <w:rFonts w:eastAsia="Times New Roman"/>
        </w:rPr>
      </w:pPr>
      <w:r>
        <w:rPr>
          <w:rFonts w:eastAsia="Times New Roman"/>
          <w:color w:val="000000"/>
          <w:sz w:val="20"/>
          <w:szCs w:val="20"/>
        </w:rPr>
        <w:t>We t</w:t>
      </w:r>
      <w:r>
        <w:rPr>
          <w:rFonts w:eastAsia="Times New Roman"/>
          <w:color w:val="000000"/>
          <w:sz w:val="20"/>
          <w:szCs w:val="20"/>
        </w:rPr>
        <w:t>ypically increase rental rates to our long-term tenants (generally, those who have been with us for at least a year) every six to twelve months. As a result, the number of long-term tenants we have in our facilities is an important factor in our revenue gr</w:t>
      </w:r>
      <w:r>
        <w:rPr>
          <w:rFonts w:eastAsia="Times New Roman"/>
          <w:color w:val="000000"/>
          <w:sz w:val="20"/>
          <w:szCs w:val="20"/>
        </w:rPr>
        <w:t xml:space="preserve">owth. The level of rate increases to long-term tenants is based upon evaluating the additional revenue from the increase against the negative impact of incremental move-outs, by considering customers’ in-place rent and prevailing market rents, among other </w:t>
      </w:r>
      <w:r>
        <w:rPr>
          <w:rFonts w:eastAsia="Times New Roman"/>
          <w:color w:val="000000"/>
          <w:sz w:val="20"/>
          <w:szCs w:val="20"/>
        </w:rPr>
        <w:t xml:space="preserve">factors. </w:t>
      </w:r>
    </w:p>
    <w:p w:rsidR="00000000" w:rsidRDefault="00473C5F">
      <w:pPr>
        <w:ind w:firstLine="720"/>
        <w:jc w:val="both"/>
        <w:divId w:val="497624403"/>
        <w:rPr>
          <w:rFonts w:eastAsia="Times New Roman"/>
        </w:rPr>
      </w:pPr>
      <w:r>
        <w:rPr>
          <w:rFonts w:eastAsia="Times New Roman"/>
          <w:color w:val="000000"/>
          <w:sz w:val="20"/>
          <w:szCs w:val="20"/>
        </w:rPr>
        <w:t>Revenues generated by our Same Store Facilities increased 14.8% and 10.6% in 2022 and 2021, respectively, in each case as compared to the previous year. The increase in 2022 is due primarily to (i) a 16.4% increase in realized annual rent per occ</w:t>
      </w:r>
      <w:r>
        <w:rPr>
          <w:rFonts w:eastAsia="Times New Roman"/>
          <w:color w:val="000000"/>
          <w:sz w:val="20"/>
          <w:szCs w:val="20"/>
        </w:rPr>
        <w:t>upied square foot for 2022 as compared to 2021, partially offset by (ii) a 1.5% decrease in average occupancy for 2022 as compared to 2021. The increase in 2021 is due primarily to (i) an 8.9% increase in realized annual rent per occupied square foot for 2</w:t>
      </w:r>
      <w:r>
        <w:rPr>
          <w:rFonts w:eastAsia="Times New Roman"/>
          <w:color w:val="000000"/>
          <w:sz w:val="20"/>
          <w:szCs w:val="20"/>
        </w:rPr>
        <w:t>021 as compared to 2020 and, to a lesser extent, (ii) a 1.9% increase in average occupancy for 2021 as compared to 2020.</w:t>
      </w:r>
    </w:p>
    <w:p w:rsidR="00000000" w:rsidRDefault="00473C5F">
      <w:pPr>
        <w:ind w:firstLine="720"/>
        <w:jc w:val="both"/>
        <w:divId w:val="1985308737"/>
        <w:rPr>
          <w:rFonts w:eastAsia="Times New Roman"/>
        </w:rPr>
      </w:pPr>
      <w:r>
        <w:rPr>
          <w:rFonts w:eastAsia="Times New Roman"/>
          <w:color w:val="000000"/>
          <w:sz w:val="20"/>
          <w:szCs w:val="20"/>
        </w:rPr>
        <w:t>Our growth in revenues, realized annual rent per occupied square foot, and REVPAF for 2022 as compared to 2021 was evident in each of our markets. Our weighted average square foot occupancy remained strong across our markets for 2022.</w:t>
      </w:r>
    </w:p>
    <w:p w:rsidR="00000000" w:rsidRDefault="00473C5F">
      <w:pPr>
        <w:ind w:firstLine="720"/>
        <w:jc w:val="both"/>
        <w:divId w:val="801966687"/>
        <w:rPr>
          <w:rFonts w:eastAsia="Times New Roman"/>
        </w:rPr>
      </w:pPr>
      <w:r>
        <w:rPr>
          <w:rFonts w:eastAsia="Times New Roman"/>
          <w:color w:val="000000"/>
          <w:sz w:val="20"/>
          <w:szCs w:val="20"/>
        </w:rPr>
        <w:t>The increase in reali</w:t>
      </w:r>
      <w:r>
        <w:rPr>
          <w:rFonts w:eastAsia="Times New Roman"/>
          <w:color w:val="000000"/>
          <w:sz w:val="20"/>
          <w:szCs w:val="20"/>
        </w:rPr>
        <w:t>zed annual rent per occupied square foot in 2022 as compared to the same periods in 2021 was due to rate increases to existing long-term tenants in substantially all of our markets in 2022 as compared to curtailed increases in certain markets in 2021, comb</w:t>
      </w:r>
      <w:r>
        <w:rPr>
          <w:rFonts w:eastAsia="Times New Roman"/>
          <w:color w:val="000000"/>
          <w:sz w:val="20"/>
          <w:szCs w:val="20"/>
        </w:rPr>
        <w:t xml:space="preserve">ined with a 6.2% increase in average rates per square foot charged to new tenants moving in, as a result of strong customer demand in most of our markets. These improvements were partially offset by increases in move-out activity and promotional discounts </w:t>
      </w:r>
      <w:r>
        <w:rPr>
          <w:rFonts w:eastAsia="Times New Roman"/>
          <w:color w:val="000000"/>
          <w:sz w:val="20"/>
          <w:szCs w:val="20"/>
        </w:rPr>
        <w:t xml:space="preserve">given during 2022 as compared to 2021. At December 31, 2022, annual contract rent per occupied square foot was 15.3% higher as compared to December 31, 2021. </w:t>
      </w:r>
    </w:p>
    <w:p w:rsidR="00000000" w:rsidRDefault="00473C5F">
      <w:pPr>
        <w:ind w:firstLine="720"/>
        <w:jc w:val="both"/>
        <w:divId w:val="1568496283"/>
        <w:rPr>
          <w:rFonts w:eastAsia="Times New Roman"/>
        </w:rPr>
      </w:pPr>
      <w:r>
        <w:rPr>
          <w:rFonts w:eastAsia="Times New Roman"/>
          <w:color w:val="000000"/>
          <w:sz w:val="20"/>
          <w:szCs w:val="20"/>
        </w:rPr>
        <w:t>We experienced high occupancy levels throughout 2022 with a weighted average square foot occupanc</w:t>
      </w:r>
      <w:r>
        <w:rPr>
          <w:rFonts w:eastAsia="Times New Roman"/>
          <w:color w:val="000000"/>
          <w:sz w:val="20"/>
          <w:szCs w:val="20"/>
        </w:rPr>
        <w:t xml:space="preserve">y of 94.9%, although representing a decrease of 1.5% during 2022 as compared to 2021. Year-over-year move-out volumes increased 9.7% and year-over-year move-in volumes increased 4.5% in 2022 as compared to 2021, leading to a lower square foot occupancy at </w:t>
      </w:r>
      <w:r>
        <w:rPr>
          <w:rFonts w:eastAsia="Times New Roman"/>
          <w:color w:val="000000"/>
          <w:sz w:val="20"/>
          <w:szCs w:val="20"/>
        </w:rPr>
        <w:t xml:space="preserve">December 31, 2022 of 92.4% as compared to 94.8% at December 31, 2021. </w:t>
      </w:r>
    </w:p>
    <w:p w:rsidR="00000000" w:rsidRDefault="00473C5F">
      <w:pPr>
        <w:ind w:firstLine="720"/>
        <w:jc w:val="both"/>
        <w:divId w:val="78599331"/>
        <w:rPr>
          <w:rFonts w:eastAsia="Times New Roman"/>
        </w:rPr>
      </w:pPr>
      <w:r>
        <w:rPr>
          <w:rFonts w:eastAsia="Times New Roman"/>
          <w:color w:val="000000"/>
          <w:sz w:val="20"/>
          <w:szCs w:val="20"/>
        </w:rPr>
        <w:t>Move-out volumes were partially impacted by rental rate increases to our existing tenants in 2022 as compared to 2021. However, move-out activity from tenants not receiving increases wa</w:t>
      </w:r>
      <w:r>
        <w:rPr>
          <w:rFonts w:eastAsia="Times New Roman"/>
          <w:color w:val="000000"/>
          <w:sz w:val="20"/>
          <w:szCs w:val="20"/>
        </w:rPr>
        <w:t>s also higher in 2022 compared to 2021 but remains below pre-2020 levels. Average length of stay of our tenants increased in 2022 as compared to 2021, which supported our revenue growth by contributing to the number of tenants eligible for rental rate incr</w:t>
      </w:r>
      <w:r>
        <w:rPr>
          <w:rFonts w:eastAsia="Times New Roman"/>
          <w:color w:val="000000"/>
          <w:sz w:val="20"/>
          <w:szCs w:val="20"/>
        </w:rPr>
        <w:t>eases in 2022.</w:t>
      </w:r>
    </w:p>
    <w:p w:rsidR="00000000" w:rsidRDefault="00473C5F">
      <w:pPr>
        <w:jc w:val="center"/>
        <w:divId w:val="449789513"/>
        <w:rPr>
          <w:rFonts w:eastAsia="Times New Roman"/>
        </w:rPr>
      </w:pPr>
      <w:r>
        <w:rPr>
          <w:rFonts w:eastAsia="Times New Roman"/>
          <w:color w:val="000000"/>
          <w:sz w:val="20"/>
          <w:szCs w:val="20"/>
        </w:rPr>
        <w:t>31</w:t>
      </w:r>
    </w:p>
    <w:p w:rsidR="00000000" w:rsidRDefault="00473C5F">
      <w:pPr>
        <w:rPr>
          <w:rFonts w:eastAsia="Times New Roman"/>
        </w:rPr>
      </w:pPr>
      <w:r>
        <w:rPr>
          <w:rFonts w:eastAsia="Times New Roman"/>
        </w:rPr>
        <w:pict>
          <v:rect id="_x0000_i1058" style="width:0;height:1.5pt" o:hralign="center" o:hrstd="t" o:hr="t" fillcolor="#a0a0a0" stroked="f"/>
        </w:pict>
      </w:r>
    </w:p>
    <w:p w:rsidR="00000000" w:rsidRDefault="00473C5F">
      <w:pPr>
        <w:divId w:val="99304831"/>
        <w:rPr>
          <w:rFonts w:eastAsia="Times New Roman"/>
        </w:rPr>
      </w:pPr>
    </w:p>
    <w:p w:rsidR="00000000" w:rsidRDefault="00473C5F">
      <w:pPr>
        <w:ind w:firstLine="720"/>
        <w:jc w:val="both"/>
        <w:divId w:val="1533499484"/>
        <w:rPr>
          <w:rFonts w:eastAsia="Times New Roman"/>
        </w:rPr>
      </w:pPr>
      <w:r>
        <w:rPr>
          <w:rFonts w:eastAsia="Times New Roman"/>
          <w:color w:val="000000"/>
          <w:sz w:val="20"/>
          <w:szCs w:val="20"/>
        </w:rPr>
        <w:t>In order to attract more new tenants to replace those that vacated in the second half of 2022, we took a number of actions including increasing promotional discounting, reducing rental rates to new cu</w:t>
      </w:r>
      <w:r>
        <w:rPr>
          <w:rFonts w:eastAsia="Times New Roman"/>
          <w:color w:val="000000"/>
          <w:sz w:val="20"/>
          <w:szCs w:val="20"/>
        </w:rPr>
        <w:t>stomers, and increasing marketing expense.</w:t>
      </w:r>
    </w:p>
    <w:p w:rsidR="00000000" w:rsidRDefault="00473C5F">
      <w:pPr>
        <w:ind w:firstLine="720"/>
        <w:jc w:val="both"/>
        <w:divId w:val="1816605815"/>
        <w:rPr>
          <w:rFonts w:eastAsia="Times New Roman"/>
        </w:rPr>
      </w:pPr>
      <w:r>
        <w:rPr>
          <w:rFonts w:eastAsia="Times New Roman"/>
          <w:color w:val="000000"/>
          <w:sz w:val="20"/>
          <w:szCs w:val="20"/>
        </w:rPr>
        <w:t>Demand historically has been higher in the summer months than in the winter months and, as a result, rental rates charged to new tenants have typically been higher in the summer months than in the winter months. M</w:t>
      </w:r>
      <w:r>
        <w:rPr>
          <w:rFonts w:eastAsia="Times New Roman"/>
          <w:color w:val="000000"/>
          <w:sz w:val="20"/>
          <w:szCs w:val="20"/>
        </w:rPr>
        <w:t>ore typical seasonal patterns of demand with lower demand in the winter months returned in 2022. Demand fluctuates due to various local and regional factors, including the overall economy. Demand for our facilities is also impacted by new supply of self-st</w:t>
      </w:r>
      <w:r>
        <w:rPr>
          <w:rFonts w:eastAsia="Times New Roman"/>
          <w:color w:val="000000"/>
          <w:sz w:val="20"/>
          <w:szCs w:val="20"/>
        </w:rPr>
        <w:t>orage space and alternatives to self-storage.</w:t>
      </w:r>
    </w:p>
    <w:p w:rsidR="00000000" w:rsidRDefault="00473C5F">
      <w:pPr>
        <w:ind w:firstLine="720"/>
        <w:jc w:val="both"/>
        <w:divId w:val="1345328795"/>
        <w:rPr>
          <w:rFonts w:eastAsia="Times New Roman"/>
        </w:rPr>
      </w:pPr>
      <w:r>
        <w:rPr>
          <w:rFonts w:eastAsia="Times New Roman"/>
          <w:color w:val="000000"/>
          <w:sz w:val="20"/>
          <w:szCs w:val="20"/>
        </w:rPr>
        <w:t>We expect weaker demand in 2023 as compared to 2022 driven by a weaker macroeconomic outlook and more limited moving activities, with move-out activities and occupancy levels returning to pre-2020 levels. We wi</w:t>
      </w:r>
      <w:r>
        <w:rPr>
          <w:rFonts w:eastAsia="Times New Roman"/>
          <w:color w:val="000000"/>
          <w:sz w:val="20"/>
          <w:szCs w:val="20"/>
        </w:rPr>
        <w:t>ll continue to support demand levels with increased marketing expense, lowering rental rates to new customers, and increased promotional discounting. As a result, we expect revenue growth to decline significantly in 2023 as compared to high levels of growt</w:t>
      </w:r>
      <w:r>
        <w:rPr>
          <w:rFonts w:eastAsia="Times New Roman"/>
          <w:color w:val="000000"/>
          <w:sz w:val="20"/>
          <w:szCs w:val="20"/>
        </w:rPr>
        <w:t>h in 2022 and 2021. With a wide range of potential macroeconomic pathways for 2023, the range of potential revenue growth rates is wide including the potential for year-over-year declines in revenue in the second half of 2023.</w:t>
      </w:r>
    </w:p>
    <w:p w:rsidR="00000000" w:rsidRDefault="00473C5F">
      <w:pPr>
        <w:ind w:firstLine="720"/>
        <w:jc w:val="both"/>
        <w:divId w:val="1296331010"/>
        <w:rPr>
          <w:rFonts w:eastAsia="Times New Roman"/>
        </w:rPr>
      </w:pPr>
      <w:r>
        <w:rPr>
          <w:rFonts w:eastAsia="Times New Roman"/>
          <w:color w:val="000000"/>
          <w:sz w:val="20"/>
          <w:szCs w:val="20"/>
          <w:u w:val="single"/>
        </w:rPr>
        <w:t>Late Charges and Administrati</w:t>
      </w:r>
      <w:r>
        <w:rPr>
          <w:rFonts w:eastAsia="Times New Roman"/>
          <w:color w:val="000000"/>
          <w:sz w:val="20"/>
          <w:szCs w:val="20"/>
          <w:u w:val="single"/>
        </w:rPr>
        <w:t>ve Fees</w:t>
      </w:r>
    </w:p>
    <w:p w:rsidR="00000000" w:rsidRDefault="00473C5F">
      <w:pPr>
        <w:ind w:firstLine="720"/>
        <w:jc w:val="both"/>
        <w:divId w:val="1910575698"/>
        <w:rPr>
          <w:rFonts w:eastAsia="Times New Roman"/>
        </w:rPr>
      </w:pPr>
      <w:r>
        <w:rPr>
          <w:rFonts w:eastAsia="Times New Roman"/>
          <w:color w:val="000000"/>
          <w:sz w:val="20"/>
          <w:szCs w:val="20"/>
        </w:rPr>
        <w:t>Late charges and administrative fees increased 23.0% in 2022 and decreased 1.8% in 2021, in each case as compared to the previous year. The increase in 2022 is due to (i) higher late charges collected on delinquent accounts driven by more delinquen</w:t>
      </w:r>
      <w:r>
        <w:rPr>
          <w:rFonts w:eastAsia="Times New Roman"/>
          <w:color w:val="000000"/>
          <w:sz w:val="20"/>
          <w:szCs w:val="20"/>
        </w:rPr>
        <w:t>t accounts compared to 2021 and to a lesser extent (ii) higher administrative fees charged per move-in combined with higher move-in volumes. The decrease in 2021 as compared to 2020 is due to (i) an acceleration in average collections whereby a greater per</w:t>
      </w:r>
      <w:r>
        <w:rPr>
          <w:rFonts w:eastAsia="Times New Roman"/>
          <w:color w:val="000000"/>
          <w:sz w:val="20"/>
          <w:szCs w:val="20"/>
        </w:rPr>
        <w:t>centage of tenants paid their monthly rent promptly to avoid the incurrence of such fees and (ii) reduced move-in administrative fees due to lower move-ins.</w:t>
      </w:r>
    </w:p>
    <w:p w:rsidR="00000000" w:rsidRDefault="00473C5F">
      <w:pPr>
        <w:ind w:firstLine="720"/>
        <w:jc w:val="both"/>
        <w:divId w:val="1555965079"/>
        <w:rPr>
          <w:rFonts w:eastAsia="Times New Roman"/>
        </w:rPr>
      </w:pPr>
      <w:r>
        <w:rPr>
          <w:rFonts w:eastAsia="Times New Roman"/>
          <w:color w:val="000000"/>
          <w:sz w:val="20"/>
          <w:szCs w:val="20"/>
          <w:u w:val="single"/>
        </w:rPr>
        <w:t>Selected Key Statistical Data</w:t>
      </w:r>
    </w:p>
    <w:p w:rsidR="00000000" w:rsidRDefault="00473C5F">
      <w:pPr>
        <w:ind w:firstLine="720"/>
        <w:jc w:val="both"/>
        <w:divId w:val="1344627088"/>
        <w:rPr>
          <w:rFonts w:eastAsia="Times New Roman"/>
        </w:rPr>
      </w:pPr>
      <w:r>
        <w:rPr>
          <w:rFonts w:eastAsia="Times New Roman"/>
          <w:color w:val="000000"/>
          <w:sz w:val="20"/>
          <w:szCs w:val="20"/>
        </w:rPr>
        <w:t>The following table sets forth average annual contract rent per squar</w:t>
      </w:r>
      <w:r>
        <w:rPr>
          <w:rFonts w:eastAsia="Times New Roman"/>
          <w:color w:val="000000"/>
          <w:sz w:val="20"/>
          <w:szCs w:val="20"/>
        </w:rPr>
        <w:t>e foot and total square footage for tenants moving in and moving out during the years ended December 31, 2022, 2021, and 2020. It also includes promotional discounts, which vary based upon the move-in contractual rates, move-in volume, and percentage of te</w:t>
      </w:r>
      <w:r>
        <w:rPr>
          <w:rFonts w:eastAsia="Times New Roman"/>
          <w:color w:val="000000"/>
          <w:sz w:val="20"/>
          <w:szCs w:val="20"/>
        </w:rPr>
        <w:t xml:space="preserve">nants moving in who receive the discount. </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2108"/>
        <w:gridCol w:w="38"/>
        <w:gridCol w:w="36"/>
        <w:gridCol w:w="36"/>
        <w:gridCol w:w="36"/>
        <w:gridCol w:w="36"/>
        <w:gridCol w:w="36"/>
        <w:gridCol w:w="36"/>
        <w:gridCol w:w="120"/>
        <w:gridCol w:w="850"/>
        <w:gridCol w:w="36"/>
        <w:gridCol w:w="36"/>
        <w:gridCol w:w="36"/>
        <w:gridCol w:w="36"/>
        <w:gridCol w:w="120"/>
        <w:gridCol w:w="850"/>
        <w:gridCol w:w="36"/>
        <w:gridCol w:w="36"/>
        <w:gridCol w:w="36"/>
        <w:gridCol w:w="36"/>
        <w:gridCol w:w="65"/>
        <w:gridCol w:w="490"/>
        <w:gridCol w:w="36"/>
        <w:gridCol w:w="36"/>
        <w:gridCol w:w="36"/>
        <w:gridCol w:w="36"/>
        <w:gridCol w:w="120"/>
        <w:gridCol w:w="850"/>
        <w:gridCol w:w="36"/>
        <w:gridCol w:w="36"/>
        <w:gridCol w:w="36"/>
        <w:gridCol w:w="36"/>
        <w:gridCol w:w="120"/>
        <w:gridCol w:w="850"/>
        <w:gridCol w:w="36"/>
        <w:gridCol w:w="36"/>
        <w:gridCol w:w="36"/>
        <w:gridCol w:w="36"/>
        <w:gridCol w:w="82"/>
        <w:gridCol w:w="618"/>
        <w:gridCol w:w="37"/>
      </w:tblGrid>
      <w:tr w:rsidR="00000000">
        <w:trPr>
          <w:jc w:val="center"/>
        </w:trPr>
        <w:tc>
          <w:tcPr>
            <w:tcW w:w="50" w:type="pct"/>
            <w:vAlign w:val="center"/>
            <w:hideMark/>
          </w:tcPr>
          <w:p w:rsidR="00000000" w:rsidRDefault="00473C5F">
            <w:pPr>
              <w:ind w:firstLine="720"/>
              <w:jc w:val="both"/>
              <w:rPr>
                <w:rFonts w:eastAsia="Times New Roman"/>
              </w:rPr>
            </w:pPr>
          </w:p>
        </w:tc>
        <w:tc>
          <w:tcPr>
            <w:tcW w:w="185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7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7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 Ended December 31,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 Ended December 31,</w:t>
            </w: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ind w:hanging="9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473C5F">
            <w:pPr>
              <w:spacing w:after="100"/>
              <w:ind w:hanging="9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ind w:hanging="9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473C5F">
            <w:pPr>
              <w:spacing w:after="100"/>
              <w:ind w:hanging="9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(Amounts in thousands, except for per square foot amounts)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15"/>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15"/>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20"/>
                <w:szCs w:val="20"/>
              </w:rPr>
              <w:t>Tenants moving in during the period:</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20"/>
                <w:szCs w:val="20"/>
              </w:rPr>
              <w:t>Average annual contract rent per square foot</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18.11 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13.53 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26.1%</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Square footage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97,783 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93,607 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93,607 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104,636 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(10.5)%</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Contract rents gained from move-ins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1,770,850 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1,596,935 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1,596,935 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1,415,725 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12.8%</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Promotional discounts given</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46,087 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38,203 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38,203 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75,785 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(49.6)%</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20"/>
                <w:szCs w:val="20"/>
              </w:rPr>
              <w:t>Tenants moving out during the period:</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20"/>
                <w:szCs w:val="20"/>
              </w:rPr>
              <w:t>Average annual contract rent per square foot</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20.65 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15.52 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12.9%</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Square footage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101,399 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92,466 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92,466 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100,670 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(8.1)%</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Contract rents lost from move-outs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2,093,889 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1,620,004 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29.3%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1,620,004 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1,562,398 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3.7%</w:t>
            </w:r>
          </w:p>
        </w:tc>
      </w:tr>
    </w:tbl>
    <w:p w:rsidR="00000000" w:rsidRDefault="00473C5F">
      <w:pPr>
        <w:ind w:firstLine="720"/>
        <w:jc w:val="both"/>
        <w:rPr>
          <w:rFonts w:eastAsia="Times New Roman"/>
        </w:rPr>
      </w:pPr>
    </w:p>
    <w:p w:rsidR="00000000" w:rsidRDefault="00473C5F">
      <w:pPr>
        <w:divId w:val="1518539457"/>
        <w:rPr>
          <w:rFonts w:eastAsia="Times New Roman"/>
        </w:rPr>
      </w:pPr>
      <w:r>
        <w:rPr>
          <w:rFonts w:eastAsia="Times New Roman"/>
          <w:i/>
          <w:iCs/>
          <w:color w:val="000000"/>
          <w:sz w:val="20"/>
          <w:szCs w:val="20"/>
        </w:rPr>
        <w:t xml:space="preserve">Analysis of Same Store Cost of Operations </w:t>
      </w:r>
    </w:p>
    <w:p w:rsidR="00000000" w:rsidRDefault="00473C5F">
      <w:pPr>
        <w:ind w:firstLine="720"/>
        <w:jc w:val="both"/>
        <w:divId w:val="2005742399"/>
        <w:rPr>
          <w:rFonts w:eastAsia="Times New Roman"/>
        </w:rPr>
      </w:pPr>
      <w:r>
        <w:rPr>
          <w:rFonts w:eastAsia="Times New Roman"/>
          <w:color w:val="000000"/>
          <w:sz w:val="20"/>
          <w:szCs w:val="20"/>
        </w:rPr>
        <w:t>Cost of operations (ex</w:t>
      </w:r>
      <w:r>
        <w:rPr>
          <w:rFonts w:eastAsia="Times New Roman"/>
          <w:color w:val="000000"/>
          <w:sz w:val="20"/>
          <w:szCs w:val="20"/>
        </w:rPr>
        <w:t>cluding depreciation and amortization) increased 5.7% in 2022 as compared to 2021 due primarily to increased property tax expense, on-site property manager payroll expense, marketing expense, other direct property costs, and centralized management costs. C</w:t>
      </w:r>
      <w:r>
        <w:rPr>
          <w:rFonts w:eastAsia="Times New Roman"/>
          <w:color w:val="000000"/>
          <w:sz w:val="20"/>
          <w:szCs w:val="20"/>
        </w:rPr>
        <w:t>ost of operations (excluding depreciation and amortization) decreased 1.9% in 2021 as compared to 2020 due primarily to decreased marketing expense and on-site property manager payroll expense, partially offset by increased property tax expense, other dire</w:t>
      </w:r>
      <w:r>
        <w:rPr>
          <w:rFonts w:eastAsia="Times New Roman"/>
          <w:color w:val="000000"/>
          <w:sz w:val="20"/>
          <w:szCs w:val="20"/>
        </w:rPr>
        <w:t>ct property costs, and centralized management costs.</w:t>
      </w:r>
    </w:p>
    <w:p w:rsidR="00000000" w:rsidRDefault="00473C5F">
      <w:pPr>
        <w:jc w:val="center"/>
        <w:divId w:val="327948761"/>
        <w:rPr>
          <w:rFonts w:eastAsia="Times New Roman"/>
        </w:rPr>
      </w:pPr>
      <w:r>
        <w:rPr>
          <w:rFonts w:eastAsia="Times New Roman"/>
          <w:color w:val="000000"/>
          <w:sz w:val="20"/>
          <w:szCs w:val="20"/>
        </w:rPr>
        <w:t>32</w:t>
      </w:r>
    </w:p>
    <w:p w:rsidR="00000000" w:rsidRDefault="00473C5F">
      <w:pPr>
        <w:rPr>
          <w:rFonts w:eastAsia="Times New Roman"/>
        </w:rPr>
      </w:pPr>
      <w:r>
        <w:rPr>
          <w:rFonts w:eastAsia="Times New Roman"/>
        </w:rPr>
        <w:pict>
          <v:rect id="_x0000_i1059" style="width:0;height:1.5pt" o:hralign="center" o:hrstd="t" o:hr="t" fillcolor="#a0a0a0" stroked="f"/>
        </w:pict>
      </w:r>
    </w:p>
    <w:p w:rsidR="00000000" w:rsidRDefault="00473C5F">
      <w:pPr>
        <w:divId w:val="1448742038"/>
        <w:rPr>
          <w:rFonts w:eastAsia="Times New Roman"/>
        </w:rPr>
      </w:pPr>
    </w:p>
    <w:p w:rsidR="00000000" w:rsidRDefault="00473C5F">
      <w:pPr>
        <w:ind w:firstLine="720"/>
        <w:jc w:val="both"/>
        <w:divId w:val="2138375146"/>
        <w:rPr>
          <w:rFonts w:eastAsia="Times New Roman"/>
        </w:rPr>
      </w:pPr>
      <w:r>
        <w:rPr>
          <w:rFonts w:eastAsia="Times New Roman"/>
          <w:color w:val="000000"/>
          <w:sz w:val="20"/>
          <w:szCs w:val="20"/>
        </w:rPr>
        <w:t>Property tax expense increased 4.3% and 3.7% in 2022 and 2021, respectively, in each case as compared to the previous year, as a result of higher assessed values.</w:t>
      </w:r>
      <w:r>
        <w:rPr>
          <w:rFonts w:eastAsia="Times New Roman"/>
          <w:color w:val="000000"/>
          <w:sz w:val="20"/>
          <w:szCs w:val="20"/>
        </w:rPr>
        <w:t xml:space="preserve"> We expected property tax expense growth of approximately 5.3% in 2023 due primarily to higher assessed values.</w:t>
      </w:r>
    </w:p>
    <w:p w:rsidR="00000000" w:rsidRDefault="00473C5F">
      <w:pPr>
        <w:ind w:firstLine="720"/>
        <w:jc w:val="both"/>
        <w:divId w:val="770007615"/>
        <w:rPr>
          <w:rFonts w:eastAsia="Times New Roman"/>
        </w:rPr>
      </w:pPr>
      <w:r>
        <w:rPr>
          <w:rFonts w:eastAsia="Times New Roman"/>
          <w:color w:val="000000"/>
          <w:sz w:val="20"/>
          <w:szCs w:val="20"/>
        </w:rPr>
        <w:t>On-site property manager payroll expense increased 4.1% in 2022 as compared to 2021 and decreased 11.2% in 2021 as compared to 2020. The increas</w:t>
      </w:r>
      <w:r>
        <w:rPr>
          <w:rFonts w:eastAsia="Times New Roman"/>
          <w:color w:val="000000"/>
          <w:sz w:val="20"/>
          <w:szCs w:val="20"/>
        </w:rPr>
        <w:t>e in 2022 is primarily due to competitive labor conditions experienced in most geographical markets, partially offset by a decline in hours worked driven by revisions in operational processes. The decrease in 2021 is primarily due to (i) a year-over-year d</w:t>
      </w:r>
      <w:r>
        <w:rPr>
          <w:rFonts w:eastAsia="Times New Roman"/>
          <w:color w:val="000000"/>
          <w:sz w:val="20"/>
          <w:szCs w:val="20"/>
        </w:rPr>
        <w:t xml:space="preserve">ecline in hours worked due to staffing reductions from reduced move-in and move-out activity and revisions to other operational processes and (ii) a temporary $3.00 hourly incentive increase and enhancement of paid time off benefits to all of our property </w:t>
      </w:r>
      <w:r>
        <w:rPr>
          <w:rFonts w:eastAsia="Times New Roman"/>
          <w:color w:val="000000"/>
          <w:sz w:val="20"/>
          <w:szCs w:val="20"/>
        </w:rPr>
        <w:t xml:space="preserve">managers between April 1, 2020 and June 30, 2020 in response to the COVID Pandemic, partially offset by wage increases in response to competitive labor conditions experienced in most geographical markets since the second quarter of 2021. We expect on-site </w:t>
      </w:r>
      <w:r>
        <w:rPr>
          <w:rFonts w:eastAsia="Times New Roman"/>
          <w:color w:val="000000"/>
          <w:sz w:val="20"/>
          <w:szCs w:val="20"/>
        </w:rPr>
        <w:t>property manager payroll expense to increase in 2023 driven by increased wage rates, partially offset by expected reduction in labor hours driven by revisions in operational processes.</w:t>
      </w:r>
    </w:p>
    <w:p w:rsidR="00000000" w:rsidRDefault="00473C5F">
      <w:pPr>
        <w:ind w:firstLine="634"/>
        <w:jc w:val="both"/>
        <w:divId w:val="1119421701"/>
        <w:rPr>
          <w:rFonts w:eastAsia="Times New Roman"/>
        </w:rPr>
      </w:pPr>
      <w:r>
        <w:rPr>
          <w:rFonts w:eastAsia="Times New Roman"/>
          <w:color w:val="000000"/>
          <w:sz w:val="20"/>
          <w:szCs w:val="20"/>
        </w:rPr>
        <w:t>Marketing expense includes Internet advertising and the operating costs</w:t>
      </w:r>
      <w:r>
        <w:rPr>
          <w:rFonts w:eastAsia="Times New Roman"/>
          <w:color w:val="000000"/>
          <w:sz w:val="20"/>
          <w:szCs w:val="20"/>
        </w:rPr>
        <w:t xml:space="preserve"> of our telephone reservation center. Internet advertising expense, comprising keyword search fees assessed on a “per click” basis, varies based upon demand for self-storage space, the quantity of people inquiring about self-storage through online search, </w:t>
      </w:r>
      <w:r>
        <w:rPr>
          <w:rFonts w:eastAsia="Times New Roman"/>
          <w:color w:val="000000"/>
          <w:sz w:val="20"/>
          <w:szCs w:val="20"/>
        </w:rPr>
        <w:t>occupancy levels, the number and aggressiveness of bidding competitors, and other factors. These factors are volatile; accordingly, Internet advertising can increase or decrease significantly in the short-term. We increased marketing expense by 15.7% in 20</w:t>
      </w:r>
      <w:r>
        <w:rPr>
          <w:rFonts w:eastAsia="Times New Roman"/>
          <w:color w:val="000000"/>
          <w:sz w:val="20"/>
          <w:szCs w:val="20"/>
        </w:rPr>
        <w:t xml:space="preserve">22 as compared to 2021, by utilizing a higher volume of online paid search programs to attract new tenants. We decreased marketing expense by 36.1% in 2021 as compared to 2020 due primarily to lower volume of paid search programs we utilized in 2021 given </w:t>
      </w:r>
      <w:r>
        <w:rPr>
          <w:rFonts w:eastAsia="Times New Roman"/>
          <w:color w:val="000000"/>
          <w:sz w:val="20"/>
          <w:szCs w:val="20"/>
        </w:rPr>
        <w:t>strong demand and high occupancies in many of our same store properties.</w:t>
      </w:r>
    </w:p>
    <w:p w:rsidR="00000000" w:rsidRDefault="00473C5F">
      <w:pPr>
        <w:ind w:firstLine="634"/>
        <w:jc w:val="both"/>
        <w:divId w:val="117921220"/>
        <w:rPr>
          <w:rFonts w:eastAsia="Times New Roman"/>
        </w:rPr>
      </w:pPr>
      <w:r>
        <w:rPr>
          <w:rFonts w:eastAsia="Times New Roman"/>
          <w:color w:val="000000"/>
          <w:sz w:val="20"/>
          <w:szCs w:val="20"/>
        </w:rPr>
        <w:t>Other direct property costs include administrative expenses specific to each self-storage facility, such as property loss, telephone and data communication lines, business license cos</w:t>
      </w:r>
      <w:r>
        <w:rPr>
          <w:rFonts w:eastAsia="Times New Roman"/>
          <w:color w:val="000000"/>
          <w:sz w:val="20"/>
          <w:szCs w:val="20"/>
        </w:rPr>
        <w:t>ts, bank charges related to processing the facilities’ cash receipts, tenant mailings, credit card fees, eviction costs, and the cost of operating each property’s rental office. These costs increased 10.0% in 2022 as compared to 2021 and 7.8% in 2021 as co</w:t>
      </w:r>
      <w:r>
        <w:rPr>
          <w:rFonts w:eastAsia="Times New Roman"/>
          <w:color w:val="000000"/>
          <w:sz w:val="20"/>
          <w:szCs w:val="20"/>
        </w:rPr>
        <w:t>mpared to 2020. These increases were due primarily to an increase in credit card fees as result of year-over-year increases in revenues, and to a lesser extent, a long-term trend of more customers paying with credit cards rather than cash, checks, or other</w:t>
      </w:r>
      <w:r>
        <w:rPr>
          <w:rFonts w:eastAsia="Times New Roman"/>
          <w:color w:val="000000"/>
          <w:sz w:val="20"/>
          <w:szCs w:val="20"/>
        </w:rPr>
        <w:t xml:space="preserve"> methods of payment with lower transaction costs. We expect a moderate increase in other direct property costs in 2023 primarily driven by increase in credit card fees.</w:t>
      </w:r>
    </w:p>
    <w:p w:rsidR="00000000" w:rsidRDefault="00473C5F">
      <w:pPr>
        <w:ind w:firstLine="634"/>
        <w:jc w:val="both"/>
        <w:divId w:val="1783377577"/>
        <w:rPr>
          <w:rFonts w:eastAsia="Times New Roman"/>
        </w:rPr>
      </w:pPr>
      <w:r>
        <w:rPr>
          <w:rFonts w:eastAsia="Times New Roman"/>
          <w:color w:val="000000"/>
          <w:sz w:val="20"/>
          <w:szCs w:val="20"/>
        </w:rPr>
        <w:t>Centralized management costs represents administrative and cash compensation expenses f</w:t>
      </w:r>
      <w:r>
        <w:rPr>
          <w:rFonts w:eastAsia="Times New Roman"/>
          <w:color w:val="000000"/>
          <w:sz w:val="20"/>
          <w:szCs w:val="20"/>
        </w:rPr>
        <w:t>or shared general corporate functions to the extent their efforts are devoted to self-storage operations. Such functions include information technology support, hardware, and software, as well as centralized administration of payroll, benefits, training, f</w:t>
      </w:r>
      <w:r>
        <w:rPr>
          <w:rFonts w:eastAsia="Times New Roman"/>
          <w:color w:val="000000"/>
          <w:sz w:val="20"/>
          <w:szCs w:val="20"/>
        </w:rPr>
        <w:t>acilities management, customer service, pricing and marketing, operational accounting and finance, and legal costs. Centralized management costs increased 11.9% in 2022 as compared to 2021 and 12.7% in 2021 as compared to 2020. These increases were due pri</w:t>
      </w:r>
      <w:r>
        <w:rPr>
          <w:rFonts w:eastAsia="Times New Roman"/>
          <w:color w:val="000000"/>
          <w:sz w:val="20"/>
          <w:szCs w:val="20"/>
        </w:rPr>
        <w:t>marily to an increase in technology and data team costs that support property operations. We expect centralized managements costs to remain flat in 2023 compared to 2022.</w:t>
      </w:r>
    </w:p>
    <w:p w:rsidR="00000000" w:rsidRDefault="00473C5F">
      <w:pPr>
        <w:jc w:val="center"/>
        <w:divId w:val="601962376"/>
        <w:rPr>
          <w:rFonts w:eastAsia="Times New Roman"/>
        </w:rPr>
      </w:pPr>
      <w:r>
        <w:rPr>
          <w:rFonts w:eastAsia="Times New Roman"/>
          <w:color w:val="000000"/>
          <w:sz w:val="20"/>
          <w:szCs w:val="20"/>
        </w:rPr>
        <w:t>33</w:t>
      </w:r>
    </w:p>
    <w:p w:rsidR="00000000" w:rsidRDefault="00473C5F">
      <w:pPr>
        <w:rPr>
          <w:rFonts w:eastAsia="Times New Roman"/>
        </w:rPr>
      </w:pPr>
      <w:r>
        <w:rPr>
          <w:rFonts w:eastAsia="Times New Roman"/>
        </w:rPr>
        <w:pict>
          <v:rect id="_x0000_i1060" style="width:0;height:1.5pt" o:hralign="center" o:hrstd="t" o:hr="t" fillcolor="#a0a0a0" stroked="f"/>
        </w:pict>
      </w:r>
    </w:p>
    <w:p w:rsidR="00000000" w:rsidRDefault="00473C5F">
      <w:pPr>
        <w:divId w:val="877739544"/>
        <w:rPr>
          <w:rFonts w:eastAsia="Times New Roman"/>
        </w:rPr>
      </w:pPr>
    </w:p>
    <w:p w:rsidR="00000000" w:rsidRDefault="00473C5F">
      <w:pPr>
        <w:jc w:val="both"/>
        <w:divId w:val="793063310"/>
        <w:rPr>
          <w:rFonts w:eastAsia="Times New Roman"/>
        </w:rPr>
      </w:pPr>
      <w:r>
        <w:rPr>
          <w:rFonts w:eastAsia="Times New Roman"/>
          <w:b/>
          <w:bCs/>
          <w:color w:val="000000"/>
          <w:sz w:val="20"/>
          <w:szCs w:val="20"/>
          <w:u w:val="single"/>
        </w:rPr>
        <w:t>Analysis of Market Trends</w:t>
      </w:r>
    </w:p>
    <w:p w:rsidR="00000000" w:rsidRDefault="00473C5F">
      <w:pPr>
        <w:ind w:firstLine="720"/>
        <w:jc w:val="both"/>
        <w:divId w:val="1641182076"/>
        <w:rPr>
          <w:rFonts w:eastAsia="Times New Roman"/>
        </w:rPr>
      </w:pPr>
      <w:r>
        <w:rPr>
          <w:rFonts w:eastAsia="Times New Roman"/>
          <w:color w:val="000000"/>
          <w:sz w:val="20"/>
          <w:szCs w:val="20"/>
        </w:rPr>
        <w:t>The following tabl</w:t>
      </w:r>
      <w:r>
        <w:rPr>
          <w:rFonts w:eastAsia="Times New Roman"/>
          <w:color w:val="000000"/>
          <w:sz w:val="20"/>
          <w:szCs w:val="20"/>
        </w:rPr>
        <w:t>es set forth selected market trends in our Same Store Facilities:</w:t>
      </w:r>
    </w:p>
    <w:p w:rsidR="00000000" w:rsidRDefault="00473C5F">
      <w:pPr>
        <w:divId w:val="337081361"/>
        <w:rPr>
          <w:rFonts w:eastAsia="Times New Roman"/>
        </w:rPr>
      </w:pPr>
      <w:r>
        <w:rPr>
          <w:rFonts w:eastAsia="Times New Roman"/>
          <w:b/>
          <w:bCs/>
          <w:color w:val="000000"/>
          <w:sz w:val="20"/>
          <w:szCs w:val="20"/>
        </w:rPr>
        <w:t>Same Store Facilities Operating Trends by Market</w:t>
      </w:r>
    </w:p>
    <w:tbl>
      <w:tblPr>
        <w:tblW w:w="5000" w:type="pct"/>
        <w:tblCellMar>
          <w:top w:w="15" w:type="dxa"/>
          <w:left w:w="15" w:type="dxa"/>
          <w:bottom w:w="15" w:type="dxa"/>
          <w:right w:w="15" w:type="dxa"/>
        </w:tblCellMar>
        <w:tblLook w:val="04A0" w:firstRow="1" w:lastRow="0" w:firstColumn="1" w:lastColumn="0" w:noHBand="0" w:noVBand="1"/>
      </w:tblPr>
      <w:tblGrid>
        <w:gridCol w:w="42"/>
        <w:gridCol w:w="1309"/>
        <w:gridCol w:w="38"/>
        <w:gridCol w:w="89"/>
        <w:gridCol w:w="530"/>
        <w:gridCol w:w="37"/>
        <w:gridCol w:w="95"/>
        <w:gridCol w:w="568"/>
        <w:gridCol w:w="37"/>
        <w:gridCol w:w="110"/>
        <w:gridCol w:w="450"/>
        <w:gridCol w:w="36"/>
        <w:gridCol w:w="110"/>
        <w:gridCol w:w="450"/>
        <w:gridCol w:w="36"/>
        <w:gridCol w:w="75"/>
        <w:gridCol w:w="447"/>
        <w:gridCol w:w="170"/>
        <w:gridCol w:w="55"/>
        <w:gridCol w:w="325"/>
        <w:gridCol w:w="171"/>
        <w:gridCol w:w="55"/>
        <w:gridCol w:w="325"/>
        <w:gridCol w:w="170"/>
        <w:gridCol w:w="75"/>
        <w:gridCol w:w="447"/>
        <w:gridCol w:w="170"/>
        <w:gridCol w:w="110"/>
        <w:gridCol w:w="450"/>
        <w:gridCol w:w="36"/>
        <w:gridCol w:w="110"/>
        <w:gridCol w:w="450"/>
        <w:gridCol w:w="36"/>
        <w:gridCol w:w="75"/>
        <w:gridCol w:w="447"/>
        <w:gridCol w:w="170"/>
      </w:tblGrid>
      <w:tr w:rsidR="00000000">
        <w:trPr>
          <w:divId w:val="342905130"/>
        </w:trPr>
        <w:tc>
          <w:tcPr>
            <w:tcW w:w="50" w:type="pct"/>
            <w:vAlign w:val="center"/>
            <w:hideMark/>
          </w:tcPr>
          <w:p w:rsidR="00000000" w:rsidRDefault="00473C5F">
            <w:pPr>
              <w:rPr>
                <w:rFonts w:eastAsia="Times New Roman"/>
              </w:rPr>
            </w:pPr>
          </w:p>
        </w:tc>
        <w:tc>
          <w:tcPr>
            <w:tcW w:w="103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3429051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16"/>
                <w:szCs w:val="16"/>
              </w:rPr>
              <w:t> </w:t>
            </w:r>
          </w:p>
        </w:tc>
        <w:tc>
          <w:tcPr>
            <w:tcW w:w="0" w:type="auto"/>
            <w:gridSpan w:val="6"/>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As of December 31, 2022</w:t>
            </w:r>
          </w:p>
        </w:tc>
        <w:tc>
          <w:tcPr>
            <w:tcW w:w="0" w:type="auto"/>
            <w:gridSpan w:val="27"/>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Year Ended December 31,</w:t>
            </w:r>
          </w:p>
        </w:tc>
      </w:tr>
      <w:tr w:rsidR="00000000">
        <w:trPr>
          <w:divId w:val="342905130"/>
          <w:trHeight w:val="42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6"/>
                <w:szCs w:val="16"/>
              </w:rPr>
              <w:t> </w:t>
            </w:r>
          </w:p>
        </w:tc>
        <w:tc>
          <w:tcPr>
            <w:tcW w:w="0" w:type="auto"/>
            <w:gridSpan w:val="3"/>
            <w:vMerge w:val="restart"/>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Number</w:t>
            </w:r>
            <w:r>
              <w:rPr>
                <w:rFonts w:eastAsia="Times New Roman"/>
                <w:color w:val="000000"/>
                <w:sz w:val="16"/>
                <w:szCs w:val="16"/>
              </w:rPr>
              <w:br/>
              <w:t xml:space="preserve">of </w:t>
            </w:r>
            <w:r>
              <w:rPr>
                <w:rFonts w:eastAsia="Times New Roman"/>
                <w:color w:val="000000"/>
                <w:sz w:val="16"/>
                <w:szCs w:val="16"/>
              </w:rPr>
              <w:br/>
            </w:r>
            <w:r>
              <w:rPr>
                <w:rFonts w:eastAsia="Times New Roman"/>
                <w:color w:val="000000"/>
                <w:sz w:val="16"/>
                <w:szCs w:val="16"/>
              </w:rPr>
              <w:t>Facilities</w:t>
            </w:r>
          </w:p>
        </w:tc>
        <w:tc>
          <w:tcPr>
            <w:tcW w:w="0" w:type="auto"/>
            <w:gridSpan w:val="3"/>
            <w:vMerge w:val="restart"/>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Square</w:t>
            </w:r>
            <w:r>
              <w:rPr>
                <w:rFonts w:eastAsia="Times New Roman"/>
                <w:color w:val="000000"/>
                <w:sz w:val="16"/>
                <w:szCs w:val="16"/>
              </w:rPr>
              <w:br/>
              <w:t>Feet</w:t>
            </w:r>
            <w:r>
              <w:rPr>
                <w:rFonts w:eastAsia="Times New Roman"/>
                <w:color w:val="000000"/>
                <w:sz w:val="16"/>
                <w:szCs w:val="16"/>
              </w:rPr>
              <w:br/>
              <w:t>(millions)</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Occupied Square Foot</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Average Occupancy</w:t>
            </w:r>
          </w:p>
        </w:tc>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Available Square Foot</w:t>
            </w:r>
          </w:p>
        </w:tc>
      </w:tr>
      <w:tr w:rsidR="00000000">
        <w:trPr>
          <w:divId w:val="342905130"/>
          <w:trHeight w:val="240"/>
        </w:trPr>
        <w:tc>
          <w:tcPr>
            <w:tcW w:w="0" w:type="auto"/>
            <w:gridSpan w:val="3"/>
            <w:tcBorders>
              <w:right w:val="single" w:sz="8"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6"/>
                <w:szCs w:val="16"/>
              </w:rPr>
              <w:t> </w:t>
            </w:r>
          </w:p>
        </w:tc>
        <w:tc>
          <w:tcPr>
            <w:tcW w:w="0" w:type="auto"/>
            <w:gridSpan w:val="3"/>
            <w:vMerge/>
            <w:tcBorders>
              <w:top w:val="single" w:sz="8" w:space="0" w:color="000000"/>
              <w:left w:val="single" w:sz="8" w:space="0" w:color="000000"/>
              <w:right w:val="single" w:sz="8" w:space="0" w:color="000000"/>
            </w:tcBorders>
            <w:vAlign w:val="center"/>
            <w:hideMark/>
          </w:tcPr>
          <w:p w:rsidR="00000000" w:rsidRDefault="00473C5F">
            <w:pPr>
              <w:spacing w:after="100"/>
              <w:rPr>
                <w:rFonts w:eastAsia="Times New Roman"/>
              </w:rPr>
            </w:pPr>
          </w:p>
        </w:tc>
        <w:tc>
          <w:tcPr>
            <w:tcW w:w="0" w:type="auto"/>
            <w:gridSpan w:val="3"/>
            <w:vMerge/>
            <w:tcBorders>
              <w:top w:val="single" w:sz="8" w:space="0" w:color="000000"/>
              <w:left w:val="single" w:sz="8" w:space="0" w:color="000000"/>
            </w:tcBorders>
            <w:vAlign w:val="center"/>
            <w:hideMark/>
          </w:tcPr>
          <w:p w:rsidR="00000000" w:rsidRDefault="00473C5F">
            <w:pPr>
              <w:spacing w:after="100"/>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Los Angeles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212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15.3</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32.55 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27.32 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98.2 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31.55 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26.83 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San Francisco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128</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7.8</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31.43 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New York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30.60 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Miami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83</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5.8</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26.70 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21.77 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Seattle-Tacoma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86</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5.7</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Washington DC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5.5</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Chicago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129</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Dallas-Ft. Worth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106</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7.0</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Atlanta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101</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6.6</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Houston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95</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6.8</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Orlando-Daytona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69</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4.4</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Philadelphia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56</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West Palm Beach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37</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2.6</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Tampa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51</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3.4</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Charlotte</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50</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3.8</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All other markets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893</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56.4</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34290513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Totals</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2,276</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149.1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21.73 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18.67 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20.61 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17.99 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bl>
    <w:p w:rsidR="00000000" w:rsidRDefault="00473C5F">
      <w:pPr>
        <w:jc w:val="center"/>
        <w:divId w:val="1734045032"/>
        <w:rPr>
          <w:rFonts w:eastAsia="Times New Roman"/>
        </w:rPr>
      </w:pPr>
      <w:r>
        <w:rPr>
          <w:rFonts w:eastAsia="Times New Roman"/>
          <w:color w:val="000000"/>
          <w:sz w:val="20"/>
          <w:szCs w:val="20"/>
        </w:rPr>
        <w:t>34</w:t>
      </w:r>
    </w:p>
    <w:p w:rsidR="00000000" w:rsidRDefault="00473C5F">
      <w:pPr>
        <w:rPr>
          <w:rFonts w:eastAsia="Times New Roman"/>
        </w:rPr>
      </w:pPr>
      <w:r>
        <w:rPr>
          <w:rFonts w:eastAsia="Times New Roman"/>
        </w:rPr>
        <w:pict>
          <v:rect id="_x0000_i1061" style="width:0;height:1.5pt" o:hralign="center" o:hrstd="t" o:hr="t" fillcolor="#a0a0a0" stroked="f"/>
        </w:pict>
      </w:r>
    </w:p>
    <w:p w:rsidR="00000000" w:rsidRDefault="00473C5F">
      <w:pPr>
        <w:divId w:val="2121760571"/>
        <w:rPr>
          <w:rFonts w:eastAsia="Times New Roman"/>
        </w:rPr>
      </w:pPr>
    </w:p>
    <w:p w:rsidR="00000000" w:rsidRDefault="00473C5F">
      <w:pPr>
        <w:divId w:val="1458717174"/>
        <w:rPr>
          <w:rFonts w:eastAsia="Times New Roman"/>
        </w:rPr>
      </w:pPr>
      <w:r>
        <w:rPr>
          <w:rFonts w:eastAsia="Times New Roman"/>
          <w:b/>
          <w:bCs/>
          <w:color w:val="000000"/>
          <w:sz w:val="20"/>
          <w:szCs w:val="20"/>
        </w:rPr>
        <w:t>Same Store Facilities Operating Trends by Market (Continue</w:t>
      </w:r>
      <w:r>
        <w:rPr>
          <w:rFonts w:eastAsia="Times New Roman"/>
          <w:b/>
          <w:bCs/>
          <w:color w:val="000000"/>
          <w:sz w:val="20"/>
          <w:szCs w:val="20"/>
        </w:rPr>
        <w:t>d)</w:t>
      </w:r>
    </w:p>
    <w:tbl>
      <w:tblPr>
        <w:tblW w:w="5000" w:type="pct"/>
        <w:tblCellMar>
          <w:top w:w="15" w:type="dxa"/>
          <w:left w:w="15" w:type="dxa"/>
          <w:bottom w:w="15" w:type="dxa"/>
          <w:right w:w="15" w:type="dxa"/>
        </w:tblCellMar>
        <w:tblLook w:val="04A0" w:firstRow="1" w:lastRow="0" w:firstColumn="1" w:lastColumn="0" w:noHBand="0" w:noVBand="1"/>
      </w:tblPr>
      <w:tblGrid>
        <w:gridCol w:w="63"/>
        <w:gridCol w:w="842"/>
        <w:gridCol w:w="38"/>
        <w:gridCol w:w="110"/>
        <w:gridCol w:w="765"/>
        <w:gridCol w:w="36"/>
        <w:gridCol w:w="110"/>
        <w:gridCol w:w="765"/>
        <w:gridCol w:w="36"/>
        <w:gridCol w:w="75"/>
        <w:gridCol w:w="447"/>
        <w:gridCol w:w="170"/>
        <w:gridCol w:w="110"/>
        <w:gridCol w:w="630"/>
        <w:gridCol w:w="36"/>
        <w:gridCol w:w="110"/>
        <w:gridCol w:w="630"/>
        <w:gridCol w:w="36"/>
        <w:gridCol w:w="75"/>
        <w:gridCol w:w="447"/>
        <w:gridCol w:w="170"/>
        <w:gridCol w:w="110"/>
        <w:gridCol w:w="630"/>
        <w:gridCol w:w="36"/>
        <w:gridCol w:w="110"/>
        <w:gridCol w:w="630"/>
        <w:gridCol w:w="36"/>
        <w:gridCol w:w="75"/>
        <w:gridCol w:w="447"/>
        <w:gridCol w:w="170"/>
        <w:gridCol w:w="110"/>
        <w:gridCol w:w="765"/>
        <w:gridCol w:w="36"/>
        <w:gridCol w:w="110"/>
        <w:gridCol w:w="765"/>
        <w:gridCol w:w="36"/>
        <w:gridCol w:w="75"/>
        <w:gridCol w:w="447"/>
        <w:gridCol w:w="170"/>
      </w:tblGrid>
      <w:tr w:rsidR="00000000">
        <w:trPr>
          <w:divId w:val="1070661862"/>
        </w:trPr>
        <w:tc>
          <w:tcPr>
            <w:tcW w:w="50" w:type="pct"/>
            <w:vAlign w:val="center"/>
            <w:hideMark/>
          </w:tcPr>
          <w:p w:rsidR="00000000" w:rsidRDefault="00473C5F">
            <w:pPr>
              <w:rPr>
                <w:rFonts w:eastAsia="Times New Roman"/>
              </w:rPr>
            </w:pPr>
          </w:p>
        </w:tc>
        <w:tc>
          <w:tcPr>
            <w:tcW w:w="67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070661862"/>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16"/>
                <w:szCs w:val="16"/>
              </w:rPr>
              <w:t> </w:t>
            </w:r>
          </w:p>
        </w:tc>
        <w:tc>
          <w:tcPr>
            <w:tcW w:w="0" w:type="auto"/>
            <w:gridSpan w:val="36"/>
            <w:tcBorders>
              <w:top w:val="single" w:sz="8" w:space="0" w:color="000000"/>
              <w:left w:val="single" w:sz="8" w:space="0" w:color="000000"/>
              <w:bottom w:val="single" w:sz="8" w:space="0" w:color="000000"/>
              <w:right w:val="single" w:sz="8" w:space="0" w:color="000000"/>
            </w:tcBorders>
            <w:tcMar>
              <w:top w:w="30" w:type="dxa"/>
              <w:left w:w="48" w:type="dxa"/>
              <w:bottom w:w="30" w:type="dxa"/>
              <w:right w:w="48" w:type="dxa"/>
            </w:tcMar>
            <w:hideMark/>
          </w:tcPr>
          <w:p w:rsidR="00000000" w:rsidRDefault="00473C5F">
            <w:pPr>
              <w:spacing w:after="100"/>
              <w:jc w:val="center"/>
              <w:rPr>
                <w:rFonts w:eastAsia="Times New Roman"/>
              </w:rPr>
            </w:pPr>
            <w:r>
              <w:rPr>
                <w:rFonts w:eastAsia="Times New Roman"/>
                <w:color w:val="000000"/>
                <w:sz w:val="16"/>
                <w:szCs w:val="16"/>
              </w:rPr>
              <w:t>Year Ended December 31,</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6"/>
                <w:szCs w:val="16"/>
              </w:rPr>
              <w:t> </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473C5F">
            <w:pPr>
              <w:spacing w:after="100"/>
              <w:jc w:val="center"/>
              <w:rPr>
                <w:rFonts w:eastAsia="Times New Roman"/>
              </w:rPr>
            </w:pPr>
            <w:r>
              <w:rPr>
                <w:rFonts w:eastAsia="Times New Roman"/>
                <w:color w:val="000000"/>
                <w:sz w:val="16"/>
                <w:szCs w:val="16"/>
              </w:rPr>
              <w:t>Revenues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473C5F">
            <w:pPr>
              <w:spacing w:after="100"/>
              <w:jc w:val="center"/>
              <w:rPr>
                <w:rFonts w:eastAsia="Times New Roman"/>
              </w:rPr>
            </w:pPr>
            <w:r>
              <w:rPr>
                <w:rFonts w:eastAsia="Times New Roman"/>
                <w:color w:val="000000"/>
                <w:sz w:val="16"/>
                <w:szCs w:val="16"/>
              </w:rPr>
              <w:t>Direct Expenses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473C5F">
            <w:pPr>
              <w:spacing w:after="100"/>
              <w:jc w:val="center"/>
              <w:rPr>
                <w:rFonts w:eastAsia="Times New Roman"/>
              </w:rPr>
            </w:pPr>
            <w:r>
              <w:rPr>
                <w:rFonts w:eastAsia="Times New Roman"/>
                <w:color w:val="000000"/>
                <w:sz w:val="16"/>
                <w:szCs w:val="16"/>
              </w:rPr>
              <w:t>Indirect Expenses ($000's)</w:t>
            </w:r>
          </w:p>
        </w:tc>
        <w:tc>
          <w:tcPr>
            <w:tcW w:w="0" w:type="auto"/>
            <w:gridSpan w:val="9"/>
            <w:tcBorders>
              <w:top w:val="single" w:sz="8" w:space="0" w:color="000000"/>
              <w:left w:val="single" w:sz="8" w:space="0" w:color="000000"/>
              <w:right w:val="single" w:sz="8" w:space="0" w:color="000000"/>
            </w:tcBorders>
            <w:tcMar>
              <w:top w:w="30" w:type="dxa"/>
              <w:left w:w="48" w:type="dxa"/>
              <w:bottom w:w="30" w:type="dxa"/>
              <w:right w:w="48" w:type="dxa"/>
            </w:tcMar>
            <w:vAlign w:val="center"/>
            <w:hideMark/>
          </w:tcPr>
          <w:p w:rsidR="00000000" w:rsidRDefault="00473C5F">
            <w:pPr>
              <w:spacing w:after="100"/>
              <w:jc w:val="center"/>
              <w:rPr>
                <w:rFonts w:eastAsia="Times New Roman"/>
              </w:rPr>
            </w:pPr>
            <w:r>
              <w:rPr>
                <w:rFonts w:eastAsia="Times New Roman"/>
                <w:color w:val="000000"/>
                <w:sz w:val="16"/>
                <w:szCs w:val="16"/>
              </w:rPr>
              <w:t>Net Operating Income ($000's)</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Los Angeles </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492,438 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417,935 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62,909 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58,765 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11,287 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11,014 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418,242 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348,156 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San Francisco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238,642 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216,832 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35,100 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33,929 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6,645 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6,689 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196,897 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176,214 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New York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190,639 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174,251 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44,968 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42,982 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140,336 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125,819 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Miami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160,813 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131,175 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28,259 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26,100 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128,538 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100,893 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Seattle-Tacoma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138,426 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122,217 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23,295 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22,457 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3,894 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111,237 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95,700 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Washington DC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135,483 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122,902 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27,850 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26,531 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103,493 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92,292 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Chicago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152,089 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133,771 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57,184 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51,764 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5,917 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5,797 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88,988 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76,210 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Dallas-Ft. Worth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118,577 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102,074 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26,047 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24,196 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4,548 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4,645 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87,982 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73,233 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Atlanta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113,572 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96,721 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22,299 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19,041 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86,517 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72,801 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Houston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105,071 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90,192 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28,554 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27,281 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4,289 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72,228 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58,514 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Orlando-Daytona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78,622 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64,982 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14,883 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13,543 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3,487 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60,252 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48,155 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Philadelphia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72,597 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66,000 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15,685 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15,105 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54,195 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48,165 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West Palm Beach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66,203 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55,558 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13,232 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11,710 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51,054 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41,838 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Tampa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63,047 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52,443 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13,033 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11,767 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47,629 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38,272 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Charlotte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56,671 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47,411 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9,113 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44,942 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36,090 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All other markets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992,317 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870,799 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204,646 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194,682 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43,485 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41,835 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744,186 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634,282 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07066186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Totals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3,175,207 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2,765,263 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627,349 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588,966 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111,142 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109,663 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2,436,716 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2,066,634 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bl>
    <w:p w:rsidR="00000000" w:rsidRDefault="00473C5F">
      <w:pPr>
        <w:divId w:val="290985695"/>
        <w:rPr>
          <w:rFonts w:eastAsia="Times New Roman"/>
        </w:rPr>
      </w:pPr>
    </w:p>
    <w:p w:rsidR="00000000" w:rsidRDefault="00473C5F">
      <w:pPr>
        <w:jc w:val="center"/>
        <w:divId w:val="2116705465"/>
        <w:rPr>
          <w:rFonts w:eastAsia="Times New Roman"/>
        </w:rPr>
      </w:pPr>
      <w:r>
        <w:rPr>
          <w:rFonts w:eastAsia="Times New Roman"/>
          <w:color w:val="000000"/>
          <w:sz w:val="20"/>
          <w:szCs w:val="20"/>
        </w:rPr>
        <w:t>35</w:t>
      </w:r>
    </w:p>
    <w:p w:rsidR="00000000" w:rsidRDefault="00473C5F">
      <w:pPr>
        <w:rPr>
          <w:rFonts w:eastAsia="Times New Roman"/>
        </w:rPr>
      </w:pPr>
      <w:r>
        <w:rPr>
          <w:rFonts w:eastAsia="Times New Roman"/>
        </w:rPr>
        <w:pict>
          <v:rect id="_x0000_i1062" style="width:0;height:1.5pt" o:hralign="center" o:hrstd="t" o:hr="t" fillcolor="#a0a0a0" stroked="f"/>
        </w:pict>
      </w:r>
    </w:p>
    <w:p w:rsidR="00000000" w:rsidRDefault="00473C5F">
      <w:pPr>
        <w:divId w:val="1594165599"/>
        <w:rPr>
          <w:rFonts w:eastAsia="Times New Roman"/>
        </w:rPr>
      </w:pPr>
    </w:p>
    <w:p w:rsidR="00000000" w:rsidRDefault="00473C5F">
      <w:pPr>
        <w:divId w:val="1738240730"/>
        <w:rPr>
          <w:rFonts w:eastAsia="Times New Roman"/>
        </w:rPr>
      </w:pPr>
      <w:r>
        <w:rPr>
          <w:rFonts w:eastAsia="Times New Roman"/>
          <w:b/>
          <w:bCs/>
          <w:color w:val="000000"/>
          <w:sz w:val="20"/>
          <w:szCs w:val="20"/>
        </w:rPr>
        <w:t>Same Store Facilities Operating Trends by Market (Cont</w:t>
      </w:r>
      <w:r>
        <w:rPr>
          <w:rFonts w:eastAsia="Times New Roman"/>
          <w:b/>
          <w:bCs/>
          <w:color w:val="000000"/>
          <w:sz w:val="20"/>
          <w:szCs w:val="20"/>
        </w:rPr>
        <w:t>inued)</w:t>
      </w:r>
    </w:p>
    <w:tbl>
      <w:tblPr>
        <w:tblW w:w="5000" w:type="pct"/>
        <w:tblCellMar>
          <w:top w:w="15" w:type="dxa"/>
          <w:left w:w="15" w:type="dxa"/>
          <w:bottom w:w="15" w:type="dxa"/>
          <w:right w:w="15" w:type="dxa"/>
        </w:tblCellMar>
        <w:tblLook w:val="04A0" w:firstRow="1" w:lastRow="0" w:firstColumn="1" w:lastColumn="0" w:noHBand="0" w:noVBand="1"/>
      </w:tblPr>
      <w:tblGrid>
        <w:gridCol w:w="42"/>
        <w:gridCol w:w="1309"/>
        <w:gridCol w:w="38"/>
        <w:gridCol w:w="89"/>
        <w:gridCol w:w="530"/>
        <w:gridCol w:w="37"/>
        <w:gridCol w:w="95"/>
        <w:gridCol w:w="568"/>
        <w:gridCol w:w="37"/>
        <w:gridCol w:w="110"/>
        <w:gridCol w:w="450"/>
        <w:gridCol w:w="36"/>
        <w:gridCol w:w="110"/>
        <w:gridCol w:w="450"/>
        <w:gridCol w:w="36"/>
        <w:gridCol w:w="75"/>
        <w:gridCol w:w="447"/>
        <w:gridCol w:w="170"/>
        <w:gridCol w:w="55"/>
        <w:gridCol w:w="325"/>
        <w:gridCol w:w="171"/>
        <w:gridCol w:w="55"/>
        <w:gridCol w:w="325"/>
        <w:gridCol w:w="170"/>
        <w:gridCol w:w="75"/>
        <w:gridCol w:w="447"/>
        <w:gridCol w:w="170"/>
        <w:gridCol w:w="110"/>
        <w:gridCol w:w="450"/>
        <w:gridCol w:w="36"/>
        <w:gridCol w:w="110"/>
        <w:gridCol w:w="450"/>
        <w:gridCol w:w="36"/>
        <w:gridCol w:w="75"/>
        <w:gridCol w:w="447"/>
        <w:gridCol w:w="170"/>
      </w:tblGrid>
      <w:tr w:rsidR="00000000">
        <w:trPr>
          <w:divId w:val="1924875433"/>
        </w:trPr>
        <w:tc>
          <w:tcPr>
            <w:tcW w:w="50" w:type="pct"/>
            <w:vAlign w:val="center"/>
            <w:hideMark/>
          </w:tcPr>
          <w:p w:rsidR="00000000" w:rsidRDefault="00473C5F">
            <w:pPr>
              <w:rPr>
                <w:rFonts w:eastAsia="Times New Roman"/>
              </w:rPr>
            </w:pPr>
          </w:p>
        </w:tc>
        <w:tc>
          <w:tcPr>
            <w:tcW w:w="103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9248754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16"/>
                <w:szCs w:val="16"/>
              </w:rPr>
              <w:t> </w:t>
            </w:r>
          </w:p>
        </w:tc>
        <w:tc>
          <w:tcPr>
            <w:tcW w:w="0" w:type="auto"/>
            <w:gridSpan w:val="6"/>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As of December 31, 2022</w:t>
            </w:r>
          </w:p>
        </w:tc>
        <w:tc>
          <w:tcPr>
            <w:tcW w:w="0" w:type="auto"/>
            <w:gridSpan w:val="27"/>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Year Ended December 31,</w:t>
            </w:r>
          </w:p>
        </w:tc>
      </w:tr>
      <w:tr w:rsidR="00000000">
        <w:trPr>
          <w:divId w:val="1924875433"/>
          <w:trHeight w:val="42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6"/>
                <w:szCs w:val="16"/>
              </w:rPr>
              <w:t> </w:t>
            </w:r>
          </w:p>
        </w:tc>
        <w:tc>
          <w:tcPr>
            <w:tcW w:w="0" w:type="auto"/>
            <w:gridSpan w:val="3"/>
            <w:vMerge w:val="restart"/>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Number</w:t>
            </w:r>
            <w:r>
              <w:rPr>
                <w:rFonts w:eastAsia="Times New Roman"/>
                <w:color w:val="000000"/>
                <w:sz w:val="16"/>
                <w:szCs w:val="16"/>
              </w:rPr>
              <w:br/>
              <w:t xml:space="preserve">of </w:t>
            </w:r>
            <w:r>
              <w:rPr>
                <w:rFonts w:eastAsia="Times New Roman"/>
                <w:color w:val="000000"/>
                <w:sz w:val="16"/>
                <w:szCs w:val="16"/>
              </w:rPr>
              <w:br/>
              <w:t>Facilities</w:t>
            </w:r>
          </w:p>
        </w:tc>
        <w:tc>
          <w:tcPr>
            <w:tcW w:w="0" w:type="auto"/>
            <w:gridSpan w:val="3"/>
            <w:vMerge w:val="restart"/>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Square</w:t>
            </w:r>
            <w:r>
              <w:rPr>
                <w:rFonts w:eastAsia="Times New Roman"/>
                <w:color w:val="000000"/>
                <w:sz w:val="16"/>
                <w:szCs w:val="16"/>
              </w:rPr>
              <w:br/>
              <w:t>Feet</w:t>
            </w:r>
            <w:r>
              <w:rPr>
                <w:rFonts w:eastAsia="Times New Roman"/>
                <w:color w:val="000000"/>
                <w:sz w:val="16"/>
                <w:szCs w:val="16"/>
              </w:rPr>
              <w:br/>
              <w:t>(millions)</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Occupied Square Foot</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Average Occupancy</w:t>
            </w:r>
          </w:p>
        </w:tc>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Available Square Foot</w:t>
            </w:r>
          </w:p>
        </w:tc>
      </w:tr>
      <w:tr w:rsidR="00000000">
        <w:trPr>
          <w:divId w:val="1924875433"/>
          <w:trHeight w:val="240"/>
        </w:trPr>
        <w:tc>
          <w:tcPr>
            <w:tcW w:w="0" w:type="auto"/>
            <w:gridSpan w:val="3"/>
            <w:tcBorders>
              <w:right w:val="single" w:sz="8"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6"/>
                <w:szCs w:val="16"/>
              </w:rPr>
              <w:t> </w:t>
            </w:r>
          </w:p>
        </w:tc>
        <w:tc>
          <w:tcPr>
            <w:tcW w:w="0" w:type="auto"/>
            <w:gridSpan w:val="3"/>
            <w:vMerge/>
            <w:tcBorders>
              <w:top w:val="single" w:sz="8" w:space="0" w:color="000000"/>
              <w:left w:val="single" w:sz="8" w:space="0" w:color="000000"/>
              <w:right w:val="single" w:sz="8" w:space="0" w:color="000000"/>
            </w:tcBorders>
            <w:vAlign w:val="center"/>
            <w:hideMark/>
          </w:tcPr>
          <w:p w:rsidR="00000000" w:rsidRDefault="00473C5F">
            <w:pPr>
              <w:spacing w:after="100"/>
              <w:rPr>
                <w:rFonts w:eastAsia="Times New Roman"/>
              </w:rPr>
            </w:pPr>
          </w:p>
        </w:tc>
        <w:tc>
          <w:tcPr>
            <w:tcW w:w="0" w:type="auto"/>
            <w:gridSpan w:val="3"/>
            <w:vMerge/>
            <w:tcBorders>
              <w:top w:val="single" w:sz="8" w:space="0" w:color="000000"/>
              <w:left w:val="single" w:sz="8" w:space="0" w:color="000000"/>
            </w:tcBorders>
            <w:vAlign w:val="center"/>
            <w:hideMark/>
          </w:tcPr>
          <w:p w:rsidR="00000000" w:rsidRDefault="00473C5F">
            <w:pPr>
              <w:spacing w:after="100"/>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Los Angeles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212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15.3</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27.32 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25.81 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98.2 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26.83 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24.93 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San Francisco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128</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7.8</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New York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Miami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83</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5.8</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21.77 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Seattle-Tacoma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86</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5.7</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Washington DC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5.5</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Chicago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129</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Dallas-Ft. Worth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106</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7.0</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Atlanta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101</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6.6</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Houston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95</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6.8</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Orlando-Daytona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69</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4.4</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Philadelphia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56</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16.20 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West Palm Beach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37</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2.6</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Tampa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51</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3.4</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Charlotte</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50</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3.8</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10.31 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All other markets </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893</w:t>
            </w: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56.4</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13.31 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19248754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Totals</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2,276</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149.1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18.67 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17.15 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17.99 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16.20 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bl>
    <w:p w:rsidR="00000000" w:rsidRDefault="00473C5F">
      <w:pPr>
        <w:divId w:val="868417986"/>
        <w:rPr>
          <w:rFonts w:eastAsia="Times New Roman"/>
        </w:rPr>
      </w:pPr>
    </w:p>
    <w:p w:rsidR="00000000" w:rsidRDefault="00473C5F">
      <w:pPr>
        <w:jc w:val="center"/>
        <w:divId w:val="2019652103"/>
        <w:rPr>
          <w:rFonts w:eastAsia="Times New Roman"/>
        </w:rPr>
      </w:pPr>
      <w:r>
        <w:rPr>
          <w:rFonts w:eastAsia="Times New Roman"/>
          <w:color w:val="000000"/>
          <w:sz w:val="20"/>
          <w:szCs w:val="20"/>
        </w:rPr>
        <w:t>36</w:t>
      </w:r>
    </w:p>
    <w:p w:rsidR="00000000" w:rsidRDefault="00473C5F">
      <w:pPr>
        <w:rPr>
          <w:rFonts w:eastAsia="Times New Roman"/>
        </w:rPr>
      </w:pPr>
      <w:r>
        <w:rPr>
          <w:rFonts w:eastAsia="Times New Roman"/>
        </w:rPr>
        <w:pict>
          <v:rect id="_x0000_i1063" style="width:0;height:1.5pt" o:hralign="center" o:hrstd="t" o:hr="t" fillcolor="#a0a0a0" stroked="f"/>
        </w:pict>
      </w:r>
    </w:p>
    <w:p w:rsidR="00000000" w:rsidRDefault="00473C5F">
      <w:pPr>
        <w:divId w:val="1377924980"/>
        <w:rPr>
          <w:rFonts w:eastAsia="Times New Roman"/>
        </w:rPr>
      </w:pPr>
    </w:p>
    <w:p w:rsidR="00000000" w:rsidRDefault="00473C5F">
      <w:pPr>
        <w:divId w:val="524829960"/>
        <w:rPr>
          <w:rFonts w:eastAsia="Times New Roman"/>
        </w:rPr>
      </w:pPr>
      <w:r>
        <w:rPr>
          <w:rFonts w:eastAsia="Times New Roman"/>
          <w:b/>
          <w:bCs/>
          <w:color w:val="000000"/>
          <w:sz w:val="20"/>
          <w:szCs w:val="20"/>
        </w:rPr>
        <w:t>Same Store Facilities Operating Trends by Market (Contin</w:t>
      </w:r>
      <w:r>
        <w:rPr>
          <w:rFonts w:eastAsia="Times New Roman"/>
          <w:b/>
          <w:bCs/>
          <w:color w:val="000000"/>
          <w:sz w:val="20"/>
          <w:szCs w:val="20"/>
        </w:rPr>
        <w:t>ued)</w:t>
      </w:r>
    </w:p>
    <w:tbl>
      <w:tblPr>
        <w:tblW w:w="5000" w:type="pct"/>
        <w:tblCellMar>
          <w:top w:w="15" w:type="dxa"/>
          <w:left w:w="15" w:type="dxa"/>
          <w:bottom w:w="15" w:type="dxa"/>
          <w:right w:w="15" w:type="dxa"/>
        </w:tblCellMar>
        <w:tblLook w:val="04A0" w:firstRow="1" w:lastRow="0" w:firstColumn="1" w:lastColumn="0" w:noHBand="0" w:noVBand="1"/>
      </w:tblPr>
      <w:tblGrid>
        <w:gridCol w:w="63"/>
        <w:gridCol w:w="842"/>
        <w:gridCol w:w="38"/>
        <w:gridCol w:w="110"/>
        <w:gridCol w:w="765"/>
        <w:gridCol w:w="36"/>
        <w:gridCol w:w="110"/>
        <w:gridCol w:w="765"/>
        <w:gridCol w:w="36"/>
        <w:gridCol w:w="75"/>
        <w:gridCol w:w="447"/>
        <w:gridCol w:w="170"/>
        <w:gridCol w:w="110"/>
        <w:gridCol w:w="630"/>
        <w:gridCol w:w="36"/>
        <w:gridCol w:w="110"/>
        <w:gridCol w:w="630"/>
        <w:gridCol w:w="36"/>
        <w:gridCol w:w="75"/>
        <w:gridCol w:w="447"/>
        <w:gridCol w:w="170"/>
        <w:gridCol w:w="110"/>
        <w:gridCol w:w="630"/>
        <w:gridCol w:w="36"/>
        <w:gridCol w:w="110"/>
        <w:gridCol w:w="630"/>
        <w:gridCol w:w="36"/>
        <w:gridCol w:w="75"/>
        <w:gridCol w:w="447"/>
        <w:gridCol w:w="170"/>
        <w:gridCol w:w="110"/>
        <w:gridCol w:w="765"/>
        <w:gridCol w:w="36"/>
        <w:gridCol w:w="110"/>
        <w:gridCol w:w="765"/>
        <w:gridCol w:w="36"/>
        <w:gridCol w:w="75"/>
        <w:gridCol w:w="447"/>
        <w:gridCol w:w="170"/>
      </w:tblGrid>
      <w:tr w:rsidR="00000000">
        <w:trPr>
          <w:divId w:val="2077702711"/>
        </w:trPr>
        <w:tc>
          <w:tcPr>
            <w:tcW w:w="50" w:type="pct"/>
            <w:vAlign w:val="center"/>
            <w:hideMark/>
          </w:tcPr>
          <w:p w:rsidR="00000000" w:rsidRDefault="00473C5F">
            <w:pPr>
              <w:rPr>
                <w:rFonts w:eastAsia="Times New Roman"/>
              </w:rPr>
            </w:pPr>
          </w:p>
        </w:tc>
        <w:tc>
          <w:tcPr>
            <w:tcW w:w="67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0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2077702711"/>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16"/>
                <w:szCs w:val="16"/>
              </w:rPr>
              <w:t> </w:t>
            </w:r>
          </w:p>
        </w:tc>
        <w:tc>
          <w:tcPr>
            <w:tcW w:w="0" w:type="auto"/>
            <w:gridSpan w:val="36"/>
            <w:tcBorders>
              <w:top w:val="single" w:sz="8" w:space="0" w:color="000000"/>
              <w:left w:val="single" w:sz="8" w:space="0" w:color="000000"/>
              <w:bottom w:val="single" w:sz="8" w:space="0" w:color="000000"/>
              <w:right w:val="single" w:sz="8" w:space="0" w:color="000000"/>
            </w:tcBorders>
            <w:tcMar>
              <w:top w:w="30" w:type="dxa"/>
              <w:left w:w="48" w:type="dxa"/>
              <w:bottom w:w="30" w:type="dxa"/>
              <w:right w:w="48" w:type="dxa"/>
            </w:tcMar>
            <w:hideMark/>
          </w:tcPr>
          <w:p w:rsidR="00000000" w:rsidRDefault="00473C5F">
            <w:pPr>
              <w:spacing w:after="100"/>
              <w:jc w:val="center"/>
              <w:rPr>
                <w:rFonts w:eastAsia="Times New Roman"/>
              </w:rPr>
            </w:pPr>
            <w:r>
              <w:rPr>
                <w:rFonts w:eastAsia="Times New Roman"/>
                <w:color w:val="000000"/>
                <w:sz w:val="16"/>
                <w:szCs w:val="16"/>
              </w:rPr>
              <w:t>Year Ended December 31,</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6"/>
                <w:szCs w:val="16"/>
              </w:rPr>
              <w:t> </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473C5F">
            <w:pPr>
              <w:spacing w:after="100"/>
              <w:jc w:val="center"/>
              <w:rPr>
                <w:rFonts w:eastAsia="Times New Roman"/>
              </w:rPr>
            </w:pPr>
            <w:r>
              <w:rPr>
                <w:rFonts w:eastAsia="Times New Roman"/>
                <w:color w:val="000000"/>
                <w:sz w:val="16"/>
                <w:szCs w:val="16"/>
              </w:rPr>
              <w:t>Revenues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473C5F">
            <w:pPr>
              <w:spacing w:after="100"/>
              <w:jc w:val="center"/>
              <w:rPr>
                <w:rFonts w:eastAsia="Times New Roman"/>
              </w:rPr>
            </w:pPr>
            <w:r>
              <w:rPr>
                <w:rFonts w:eastAsia="Times New Roman"/>
                <w:color w:val="000000"/>
                <w:sz w:val="16"/>
                <w:szCs w:val="16"/>
              </w:rPr>
              <w:t>Direct Expenses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473C5F">
            <w:pPr>
              <w:spacing w:after="100"/>
              <w:jc w:val="center"/>
              <w:rPr>
                <w:rFonts w:eastAsia="Times New Roman"/>
              </w:rPr>
            </w:pPr>
            <w:r>
              <w:rPr>
                <w:rFonts w:eastAsia="Times New Roman"/>
                <w:color w:val="000000"/>
                <w:sz w:val="16"/>
                <w:szCs w:val="16"/>
              </w:rPr>
              <w:t>Indirect Expenses ($000's)</w:t>
            </w:r>
          </w:p>
        </w:tc>
        <w:tc>
          <w:tcPr>
            <w:tcW w:w="0" w:type="auto"/>
            <w:gridSpan w:val="9"/>
            <w:tcBorders>
              <w:top w:val="single" w:sz="8" w:space="0" w:color="000000"/>
              <w:left w:val="single" w:sz="8" w:space="0" w:color="000000"/>
              <w:right w:val="single" w:sz="8" w:space="0" w:color="000000"/>
            </w:tcBorders>
            <w:tcMar>
              <w:top w:w="30" w:type="dxa"/>
              <w:left w:w="48" w:type="dxa"/>
              <w:bottom w:w="30" w:type="dxa"/>
              <w:right w:w="48" w:type="dxa"/>
            </w:tcMar>
            <w:vAlign w:val="center"/>
            <w:hideMark/>
          </w:tcPr>
          <w:p w:rsidR="00000000" w:rsidRDefault="00473C5F">
            <w:pPr>
              <w:spacing w:after="100"/>
              <w:jc w:val="center"/>
              <w:rPr>
                <w:rFonts w:eastAsia="Times New Roman"/>
              </w:rPr>
            </w:pPr>
            <w:r>
              <w:rPr>
                <w:rFonts w:eastAsia="Times New Roman"/>
                <w:color w:val="000000"/>
                <w:sz w:val="16"/>
                <w:szCs w:val="16"/>
              </w:rPr>
              <w:t>Net Operating Income ($000's)</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6"/>
                <w:szCs w:val="16"/>
              </w:rPr>
              <w:t>Change</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Los Angeles </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417,935 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389,109 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58,765 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62,787 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(6.4)</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11,014 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10,371 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348,156 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315,951 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San Francisco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216,832 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202,927 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33,929 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35,029 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6,689 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176,214 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161,561 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New York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174,251 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162,637 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42,982 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43,849 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125,819 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113,907 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Miami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131,175 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112,742 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26,100 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26,353 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100,893 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82,274 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Seattle-Tacoma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122,217 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111,693 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22,457 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23,228 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95,700 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84,408 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Washington DC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122,902 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113,694 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26,531 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26,926 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3,667 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92,292 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83,101 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Chicago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133,771 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118,560 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51,764 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50,338 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5,797 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76,210 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62,749 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Dallas-Ft. Worth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102,074 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90,153 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24,196 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25,744 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4,645 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73,233 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60,044 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Atlanta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96,721 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85,125 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19,041 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19,633 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72,801 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61,126 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Houston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90,192 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81,144 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27,281 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27,830 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58,514 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49,173 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Orlando-Daytona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64,982 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58,793 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13,543 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14,604 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48,155 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41,279 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Philadelphia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66,000 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59,666 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15,105 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15,461 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48,165 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41,572 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West Palm Beach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55,558 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47,364 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11,710 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11,708 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41,838 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33,752 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Tampa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52,443 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45,205 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11,767 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12,410 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38,272 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30,640 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Charlotte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47,411 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41,106 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9,113 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9,627 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36,090 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29,452 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All other markets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870,799 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779,568 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194,682 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204,223 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41,835 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39,238 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634,282 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536,107 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divId w:val="207770271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Totals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2,765,263 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2,499,486 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588,966 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609,750 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109,663 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102,640 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2,066,634 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1,787,096 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bl>
    <w:p w:rsidR="00000000" w:rsidRDefault="00473C5F">
      <w:pPr>
        <w:jc w:val="center"/>
        <w:divId w:val="1585989023"/>
        <w:rPr>
          <w:rFonts w:eastAsia="Times New Roman"/>
        </w:rPr>
      </w:pPr>
      <w:r>
        <w:rPr>
          <w:rFonts w:eastAsia="Times New Roman"/>
          <w:color w:val="000000"/>
          <w:sz w:val="20"/>
          <w:szCs w:val="20"/>
        </w:rPr>
        <w:t>37</w:t>
      </w:r>
    </w:p>
    <w:p w:rsidR="00000000" w:rsidRDefault="00473C5F">
      <w:pPr>
        <w:rPr>
          <w:rFonts w:eastAsia="Times New Roman"/>
        </w:rPr>
      </w:pPr>
      <w:r>
        <w:rPr>
          <w:rFonts w:eastAsia="Times New Roman"/>
        </w:rPr>
        <w:pict>
          <v:rect id="_x0000_i1064" style="width:0;height:1.5pt" o:hralign="center" o:hrstd="t" o:hr="t" fillcolor="#a0a0a0" stroked="f"/>
        </w:pict>
      </w:r>
    </w:p>
    <w:p w:rsidR="00000000" w:rsidRDefault="00473C5F">
      <w:pPr>
        <w:divId w:val="780758533"/>
        <w:rPr>
          <w:rFonts w:eastAsia="Times New Roman"/>
        </w:rPr>
      </w:pPr>
    </w:p>
    <w:p w:rsidR="00000000" w:rsidRDefault="00473C5F">
      <w:pPr>
        <w:ind w:firstLine="720"/>
        <w:jc w:val="both"/>
        <w:divId w:val="1226986488"/>
        <w:rPr>
          <w:rFonts w:eastAsia="Times New Roman"/>
        </w:rPr>
      </w:pPr>
      <w:r>
        <w:rPr>
          <w:rFonts w:eastAsia="Times New Roman"/>
          <w:b/>
          <w:bCs/>
          <w:i/>
          <w:iCs/>
          <w:color w:val="000000"/>
          <w:sz w:val="20"/>
          <w:szCs w:val="20"/>
          <w:u w:val="single"/>
        </w:rPr>
        <w:t>Acquired Facilities</w:t>
      </w:r>
    </w:p>
    <w:p w:rsidR="00000000" w:rsidRDefault="00473C5F">
      <w:pPr>
        <w:ind w:firstLine="720"/>
        <w:jc w:val="both"/>
        <w:divId w:val="27417978"/>
        <w:rPr>
          <w:rFonts w:eastAsia="Times New Roman"/>
        </w:rPr>
      </w:pPr>
      <w:r>
        <w:rPr>
          <w:rFonts w:eastAsia="Times New Roman"/>
          <w:color w:val="000000"/>
          <w:sz w:val="20"/>
          <w:szCs w:val="20"/>
        </w:rPr>
        <w:t>The Acquired Facilities represent 368 facilities that we acquired in 2020, 2021, and 2022. As a result of the stabilization process and timing of when these facilities were acquired, year-over-year changes can be significant. The following table summarizes</w:t>
      </w:r>
      <w:r>
        <w:rPr>
          <w:rFonts w:eastAsia="Times New Roman"/>
          <w:color w:val="000000"/>
          <w:sz w:val="20"/>
          <w:szCs w:val="20"/>
        </w:rPr>
        <w:t xml:space="preserve"> operating data with respect to the Acquired Facilities: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546"/>
        <w:gridCol w:w="36"/>
        <w:gridCol w:w="36"/>
        <w:gridCol w:w="36"/>
        <w:gridCol w:w="195"/>
        <w:gridCol w:w="194"/>
        <w:gridCol w:w="194"/>
        <w:gridCol w:w="194"/>
        <w:gridCol w:w="122"/>
        <w:gridCol w:w="751"/>
        <w:gridCol w:w="38"/>
        <w:gridCol w:w="36"/>
        <w:gridCol w:w="36"/>
        <w:gridCol w:w="36"/>
        <w:gridCol w:w="123"/>
        <w:gridCol w:w="751"/>
        <w:gridCol w:w="38"/>
        <w:gridCol w:w="37"/>
        <w:gridCol w:w="37"/>
        <w:gridCol w:w="37"/>
        <w:gridCol w:w="123"/>
        <w:gridCol w:w="751"/>
        <w:gridCol w:w="38"/>
        <w:gridCol w:w="36"/>
        <w:gridCol w:w="36"/>
        <w:gridCol w:w="36"/>
        <w:gridCol w:w="122"/>
        <w:gridCol w:w="751"/>
        <w:gridCol w:w="37"/>
        <w:gridCol w:w="36"/>
        <w:gridCol w:w="36"/>
        <w:gridCol w:w="36"/>
        <w:gridCol w:w="121"/>
        <w:gridCol w:w="583"/>
        <w:gridCol w:w="36"/>
        <w:gridCol w:w="36"/>
        <w:gridCol w:w="36"/>
        <w:gridCol w:w="36"/>
        <w:gridCol w:w="122"/>
        <w:gridCol w:w="751"/>
        <w:gridCol w:w="37"/>
      </w:tblGrid>
      <w:tr w:rsidR="00000000">
        <w:trPr>
          <w:jc w:val="center"/>
        </w:trPr>
        <w:tc>
          <w:tcPr>
            <w:tcW w:w="50" w:type="pct"/>
            <w:vAlign w:val="center"/>
            <w:hideMark/>
          </w:tcPr>
          <w:p w:rsidR="00000000" w:rsidRDefault="00473C5F">
            <w:pPr>
              <w:ind w:firstLine="720"/>
              <w:jc w:val="both"/>
              <w:rPr>
                <w:rFonts w:eastAsia="Times New Roman"/>
              </w:rPr>
            </w:pPr>
          </w:p>
        </w:tc>
        <w:tc>
          <w:tcPr>
            <w:tcW w:w="174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20"/>
                <w:szCs w:val="20"/>
              </w:rPr>
              <w:t xml:space="preserve">ACQUIRED FACILITIES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 Ended December 31,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 Ended December 31,</w:t>
            </w: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Change (a)</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Change (a)</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 amounts in thousands, except for per square foot amounts)</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20"/>
                <w:szCs w:val="20"/>
              </w:rPr>
              <w:t>Revenues (b):</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170413792"/>
              <w:rPr>
                <w:rFonts w:eastAsia="Times New Roman"/>
              </w:rPr>
            </w:pPr>
            <w:r>
              <w:rPr>
                <w:rFonts w:eastAsia="Times New Roman"/>
                <w:color w:val="000000"/>
                <w:sz w:val="20"/>
                <w:szCs w:val="20"/>
              </w:rPr>
              <w:t>2020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75,647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54,890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20,757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54,890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11,365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43,525</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185634895"/>
              <w:rPr>
                <w:rFonts w:eastAsia="Times New Roman"/>
              </w:rPr>
            </w:pPr>
            <w:r>
              <w:rPr>
                <w:rFonts w:eastAsia="Times New Roman"/>
                <w:color w:val="000000"/>
                <w:sz w:val="20"/>
                <w:szCs w:val="20"/>
              </w:rPr>
              <w:t>2021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312,300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106,474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205,826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106,474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106,474</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621961337"/>
              <w:rPr>
                <w:rFonts w:eastAsia="Times New Roman"/>
              </w:rPr>
            </w:pPr>
            <w:r>
              <w:rPr>
                <w:rFonts w:eastAsia="Times New Roman"/>
                <w:color w:val="000000"/>
                <w:sz w:val="20"/>
                <w:szCs w:val="20"/>
              </w:rPr>
              <w:t>2022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14,945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14,945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    Total revenues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402,892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161,364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241,528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161,364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11,365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149,999</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20"/>
                <w:szCs w:val="20"/>
              </w:rPr>
              <w:t xml:space="preserve">Cost of operations (b):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777528444"/>
              <w:rPr>
                <w:rFonts w:eastAsia="Times New Roman"/>
              </w:rPr>
            </w:pPr>
            <w:r>
              <w:rPr>
                <w:rFonts w:eastAsia="Times New Roman"/>
                <w:color w:val="000000"/>
                <w:sz w:val="20"/>
                <w:szCs w:val="20"/>
              </w:rPr>
              <w:t>2020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26,168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25,216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952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25,216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6,742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18,474</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852886768"/>
              <w:rPr>
                <w:rFonts w:eastAsia="Times New Roman"/>
              </w:rPr>
            </w:pPr>
            <w:r>
              <w:rPr>
                <w:rFonts w:eastAsia="Times New Roman"/>
                <w:color w:val="000000"/>
                <w:sz w:val="20"/>
                <w:szCs w:val="20"/>
              </w:rPr>
              <w:t>2021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101,859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32,705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69,154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32,705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32,705</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78986536"/>
              <w:rPr>
                <w:rFonts w:eastAsia="Times New Roman"/>
              </w:rPr>
            </w:pPr>
            <w:r>
              <w:rPr>
                <w:rFonts w:eastAsia="Times New Roman"/>
                <w:color w:val="000000"/>
                <w:sz w:val="20"/>
                <w:szCs w:val="20"/>
              </w:rPr>
              <w:t>2022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7,884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7,884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    Total cost of operations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135,911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57,921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77,990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57,921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6,742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51,179</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20"/>
                <w:szCs w:val="20"/>
              </w:rPr>
              <w:t>Net operating income: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832181928"/>
              <w:rPr>
                <w:rFonts w:eastAsia="Times New Roman"/>
              </w:rPr>
            </w:pPr>
            <w:r>
              <w:rPr>
                <w:rFonts w:eastAsia="Times New Roman"/>
                <w:color w:val="000000"/>
                <w:sz w:val="20"/>
                <w:szCs w:val="20"/>
              </w:rPr>
              <w:t>2020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49,479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29,674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19,805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29,674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4,623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25,051</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217621808"/>
              <w:rPr>
                <w:rFonts w:eastAsia="Times New Roman"/>
              </w:rPr>
            </w:pPr>
            <w:r>
              <w:rPr>
                <w:rFonts w:eastAsia="Times New Roman"/>
                <w:color w:val="000000"/>
                <w:sz w:val="20"/>
                <w:szCs w:val="20"/>
              </w:rPr>
              <w:t>2021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210,441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73,769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136,672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73,769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73,769</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705299243"/>
              <w:rPr>
                <w:rFonts w:eastAsia="Times New Roman"/>
              </w:rPr>
            </w:pPr>
            <w:r>
              <w:rPr>
                <w:rFonts w:eastAsia="Times New Roman"/>
                <w:color w:val="000000"/>
                <w:sz w:val="20"/>
                <w:szCs w:val="20"/>
              </w:rPr>
              <w:t>2022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7,061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7,061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r>
              <w:rPr>
                <w:rFonts w:eastAsia="Times New Roman"/>
                <w:color w:val="000000"/>
                <w:sz w:val="20"/>
                <w:szCs w:val="20"/>
              </w:rPr>
              <w:t xml:space="preserve">Net operating income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266,981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103,443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163,538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103,443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4,623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98,820</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Depreciation and amortization expense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(309,312)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(167,119)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(142,193)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(167,119)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(11,904)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(155,215)</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Net loss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(42,331)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(63,676)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21,345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(63,676)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(7,281)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(56,395)</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95517247"/>
              <w:rPr>
                <w:rFonts w:eastAsia="Times New Roman"/>
              </w:rPr>
            </w:pPr>
            <w:r>
              <w:rPr>
                <w:rFonts w:eastAsia="Times New Roman"/>
                <w:color w:val="000000"/>
                <w:sz w:val="20"/>
                <w:szCs w:val="20"/>
                <w:u w:val="single"/>
              </w:rPr>
              <w:t>At December 31: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Square foot occupancy:</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992102576"/>
              <w:rPr>
                <w:rFonts w:eastAsia="Times New Roman"/>
              </w:rPr>
            </w:pPr>
            <w:r>
              <w:rPr>
                <w:rFonts w:eastAsia="Times New Roman"/>
                <w:color w:val="000000"/>
                <w:sz w:val="20"/>
                <w:szCs w:val="20"/>
              </w:rPr>
              <w:t>2020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88.4%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88.2%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0.2%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88.2%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63.5%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38.9%</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887595188"/>
              <w:rPr>
                <w:rFonts w:eastAsia="Times New Roman"/>
              </w:rPr>
            </w:pPr>
            <w:r>
              <w:rPr>
                <w:rFonts w:eastAsia="Times New Roman"/>
                <w:color w:val="000000"/>
                <w:sz w:val="20"/>
                <w:szCs w:val="20"/>
              </w:rPr>
              <w:t>2021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83.1%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79.9%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79.9%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773861496"/>
              <w:rPr>
                <w:rFonts w:eastAsia="Times New Roman"/>
              </w:rPr>
            </w:pPr>
            <w:r>
              <w:rPr>
                <w:rFonts w:eastAsia="Times New Roman"/>
                <w:color w:val="000000"/>
                <w:sz w:val="20"/>
                <w:szCs w:val="20"/>
              </w:rPr>
              <w:t>2022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79.4%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83.4%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81.4%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81.4%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63.5%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28.2%</w:t>
            </w:r>
          </w:p>
        </w:tc>
      </w:tr>
      <w:tr w:rsidR="00000000">
        <w:trPr>
          <w:jc w:val="center"/>
        </w:trPr>
        <w:tc>
          <w:tcPr>
            <w:tcW w:w="0" w:type="auto"/>
            <w:gridSpan w:val="3"/>
            <w:tcMar>
              <w:top w:w="30" w:type="dxa"/>
              <w:left w:w="8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20"/>
                <w:szCs w:val="20"/>
              </w:rPr>
              <w:t>Annual contract rent per occupied square foot:</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19690579"/>
              <w:rPr>
                <w:rFonts w:eastAsia="Times New Roman"/>
              </w:rPr>
            </w:pPr>
            <w:r>
              <w:rPr>
                <w:rFonts w:eastAsia="Times New Roman"/>
                <w:color w:val="000000"/>
                <w:sz w:val="20"/>
                <w:szCs w:val="20"/>
              </w:rPr>
              <w:t>2020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17.39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14.82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14.82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12.50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18.6%</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42489545"/>
              <w:rPr>
                <w:rFonts w:eastAsia="Times New Roman"/>
              </w:rPr>
            </w:pPr>
            <w:r>
              <w:rPr>
                <w:rFonts w:eastAsia="Times New Roman"/>
                <w:color w:val="000000"/>
                <w:sz w:val="20"/>
                <w:szCs w:val="20"/>
              </w:rPr>
              <w:t>2021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17.81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15.62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15.62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930194125"/>
              <w:rPr>
                <w:rFonts w:eastAsia="Times New Roman"/>
              </w:rPr>
            </w:pPr>
            <w:r>
              <w:rPr>
                <w:rFonts w:eastAsia="Times New Roman"/>
                <w:color w:val="000000"/>
                <w:sz w:val="20"/>
                <w:szCs w:val="20"/>
              </w:rPr>
              <w:t>2022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11.48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16.84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12.50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23.7%</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Number of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759570086"/>
              <w:rPr>
                <w:rFonts w:eastAsia="Times New Roman"/>
              </w:rPr>
            </w:pPr>
            <w:r>
              <w:rPr>
                <w:rFonts w:eastAsia="Times New Roman"/>
                <w:color w:val="000000"/>
                <w:sz w:val="20"/>
                <w:szCs w:val="20"/>
              </w:rPr>
              <w:t>2020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247618297"/>
              <w:rPr>
                <w:rFonts w:eastAsia="Times New Roman"/>
              </w:rPr>
            </w:pPr>
            <w:r>
              <w:rPr>
                <w:rFonts w:eastAsia="Times New Roman"/>
                <w:color w:val="000000"/>
                <w:sz w:val="20"/>
                <w:szCs w:val="20"/>
              </w:rPr>
              <w:t>2021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232</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766344441"/>
              <w:rPr>
                <w:rFonts w:eastAsia="Times New Roman"/>
              </w:rPr>
            </w:pPr>
            <w:r>
              <w:rPr>
                <w:rFonts w:eastAsia="Times New Roman"/>
                <w:color w:val="000000"/>
                <w:sz w:val="20"/>
                <w:szCs w:val="20"/>
              </w:rPr>
              <w:t>2022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368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294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294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232</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Net rentable square feet (in thousands) (c):</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287613850"/>
              <w:rPr>
                <w:rFonts w:eastAsia="Times New Roman"/>
              </w:rPr>
            </w:pPr>
            <w:r>
              <w:rPr>
                <w:rFonts w:eastAsia="Times New Roman"/>
                <w:color w:val="000000"/>
                <w:sz w:val="20"/>
                <w:szCs w:val="20"/>
              </w:rPr>
              <w:t>2020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222253365"/>
              <w:rPr>
                <w:rFonts w:eastAsia="Times New Roman"/>
              </w:rPr>
            </w:pPr>
            <w:r>
              <w:rPr>
                <w:rFonts w:eastAsia="Times New Roman"/>
                <w:color w:val="000000"/>
                <w:sz w:val="20"/>
                <w:szCs w:val="20"/>
              </w:rPr>
              <w:t>2021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21,908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21,830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21,830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21,830</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513834783"/>
              <w:rPr>
                <w:rFonts w:eastAsia="Times New Roman"/>
              </w:rPr>
            </w:pPr>
            <w:r>
              <w:rPr>
                <w:rFonts w:eastAsia="Times New Roman"/>
                <w:color w:val="000000"/>
                <w:sz w:val="20"/>
                <w:szCs w:val="20"/>
              </w:rPr>
              <w:t>2022 Acquisitions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4,726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4,726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31,709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26,905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4,804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26,905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21,830</w:t>
            </w:r>
          </w:p>
        </w:tc>
      </w:tr>
    </w:tbl>
    <w:p w:rsidR="00000000" w:rsidRDefault="00473C5F">
      <w:pPr>
        <w:jc w:val="center"/>
        <w:divId w:val="38864165"/>
        <w:rPr>
          <w:rFonts w:eastAsia="Times New Roman"/>
        </w:rPr>
      </w:pPr>
      <w:r>
        <w:rPr>
          <w:rFonts w:eastAsia="Times New Roman"/>
          <w:color w:val="000000"/>
          <w:sz w:val="20"/>
          <w:szCs w:val="20"/>
        </w:rPr>
        <w:t>38</w:t>
      </w:r>
    </w:p>
    <w:p w:rsidR="00000000" w:rsidRDefault="00473C5F">
      <w:pPr>
        <w:rPr>
          <w:rFonts w:eastAsia="Times New Roman"/>
        </w:rPr>
      </w:pPr>
      <w:r>
        <w:rPr>
          <w:rFonts w:eastAsia="Times New Roman"/>
        </w:rPr>
        <w:pict>
          <v:rect id="_x0000_i1065" style="width:0;height:1.5pt" o:hralign="center" o:hrstd="t" o:hr="t" fillcolor="#a0a0a0" stroked="f"/>
        </w:pict>
      </w:r>
    </w:p>
    <w:p w:rsidR="00000000" w:rsidRDefault="00473C5F">
      <w:pPr>
        <w:divId w:val="405106278"/>
        <w:rPr>
          <w:rFonts w:eastAsia="Times New Roman"/>
        </w:rPr>
      </w:pPr>
    </w:p>
    <w:p w:rsidR="00000000" w:rsidRDefault="00473C5F">
      <w:pPr>
        <w:divId w:val="1220630309"/>
        <w:rPr>
          <w:rFonts w:eastAsia="Times New Roman"/>
        </w:rPr>
      </w:pPr>
      <w:r>
        <w:rPr>
          <w:rFonts w:eastAsia="Times New Roman"/>
          <w:b/>
          <w:bCs/>
          <w:color w:val="000000"/>
          <w:sz w:val="20"/>
          <w:szCs w:val="20"/>
        </w:rPr>
        <w:t xml:space="preserve">ACQUIRED FACILITIES (Continued) </w:t>
      </w:r>
    </w:p>
    <w:tbl>
      <w:tblPr>
        <w:tblW w:w="4287" w:type="pct"/>
        <w:tblCellMar>
          <w:top w:w="15" w:type="dxa"/>
          <w:left w:w="15" w:type="dxa"/>
          <w:bottom w:w="15" w:type="dxa"/>
          <w:right w:w="15" w:type="dxa"/>
        </w:tblCellMar>
        <w:tblLook w:val="04A0" w:firstRow="1" w:lastRow="0" w:firstColumn="1" w:lastColumn="0" w:noHBand="0" w:noVBand="1"/>
      </w:tblPr>
      <w:tblGrid>
        <w:gridCol w:w="38"/>
        <w:gridCol w:w="5559"/>
        <w:gridCol w:w="37"/>
        <w:gridCol w:w="121"/>
        <w:gridCol w:w="1331"/>
        <w:gridCol w:w="36"/>
      </w:tblGrid>
      <w:tr w:rsidR="00000000">
        <w:trPr>
          <w:divId w:val="458646850"/>
        </w:trPr>
        <w:tc>
          <w:tcPr>
            <w:tcW w:w="50" w:type="pct"/>
            <w:vAlign w:val="center"/>
            <w:hideMark/>
          </w:tcPr>
          <w:p w:rsidR="00000000" w:rsidRDefault="00473C5F">
            <w:pPr>
              <w:rPr>
                <w:rFonts w:eastAsia="Times New Roman"/>
              </w:rPr>
            </w:pPr>
          </w:p>
        </w:tc>
        <w:tc>
          <w:tcPr>
            <w:tcW w:w="39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96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45864685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 xml:space="preserve">As of </w:t>
            </w:r>
          </w:p>
          <w:p w:rsidR="00000000" w:rsidRDefault="00473C5F">
            <w:pPr>
              <w:spacing w:after="100"/>
              <w:jc w:val="center"/>
              <w:rPr>
                <w:rFonts w:eastAsia="Times New Roman"/>
              </w:rPr>
            </w:pPr>
            <w:r>
              <w:rPr>
                <w:rFonts w:eastAsia="Times New Roman"/>
                <w:color w:val="000000"/>
                <w:sz w:val="20"/>
                <w:szCs w:val="20"/>
              </w:rPr>
              <w:t>December 31, 2022</w:t>
            </w:r>
          </w:p>
        </w:tc>
      </w:tr>
      <w:tr w:rsidR="00000000">
        <w:trPr>
          <w:divId w:val="45864685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Costs to acquire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r>
      <w:tr w:rsidR="00000000">
        <w:trPr>
          <w:divId w:val="458646850"/>
        </w:trPr>
        <w:tc>
          <w:tcPr>
            <w:tcW w:w="0" w:type="auto"/>
            <w:gridSpan w:val="3"/>
            <w:tcMar>
              <w:top w:w="30" w:type="dxa"/>
              <w:left w:w="20" w:type="dxa"/>
              <w:bottom w:w="30" w:type="dxa"/>
              <w:right w:w="20" w:type="dxa"/>
            </w:tcMar>
            <w:vAlign w:val="bottom"/>
            <w:hideMark/>
          </w:tcPr>
          <w:p w:rsidR="00000000" w:rsidRDefault="00473C5F">
            <w:pPr>
              <w:spacing w:after="100"/>
              <w:divId w:val="1405831603"/>
              <w:rPr>
                <w:rFonts w:eastAsia="Times New Roman"/>
              </w:rPr>
            </w:pPr>
            <w:r>
              <w:rPr>
                <w:rFonts w:eastAsia="Times New Roman"/>
                <w:color w:val="000000"/>
                <w:sz w:val="20"/>
                <w:szCs w:val="20"/>
              </w:rPr>
              <w:t>2020 Acquisitions</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796,065</w:t>
            </w:r>
          </w:p>
        </w:tc>
      </w:tr>
      <w:tr w:rsidR="00000000">
        <w:trPr>
          <w:divId w:val="458646850"/>
        </w:trPr>
        <w:tc>
          <w:tcPr>
            <w:tcW w:w="0" w:type="auto"/>
            <w:gridSpan w:val="3"/>
            <w:tcMar>
              <w:top w:w="30" w:type="dxa"/>
              <w:left w:w="20" w:type="dxa"/>
              <w:bottom w:w="30" w:type="dxa"/>
              <w:right w:w="20" w:type="dxa"/>
            </w:tcMar>
            <w:vAlign w:val="bottom"/>
            <w:hideMark/>
          </w:tcPr>
          <w:p w:rsidR="00000000" w:rsidRDefault="00473C5F">
            <w:pPr>
              <w:spacing w:after="100"/>
              <w:divId w:val="2055737681"/>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5,115,276</w:t>
            </w:r>
          </w:p>
        </w:tc>
      </w:tr>
      <w:tr w:rsidR="00000000">
        <w:trPr>
          <w:divId w:val="458646850"/>
        </w:trPr>
        <w:tc>
          <w:tcPr>
            <w:tcW w:w="0" w:type="auto"/>
            <w:gridSpan w:val="3"/>
            <w:tcMar>
              <w:top w:w="30" w:type="dxa"/>
              <w:left w:w="20" w:type="dxa"/>
              <w:bottom w:w="30" w:type="dxa"/>
              <w:right w:w="20" w:type="dxa"/>
            </w:tcMar>
            <w:vAlign w:val="bottom"/>
            <w:hideMark/>
          </w:tcPr>
          <w:p w:rsidR="00000000" w:rsidRDefault="00473C5F">
            <w:pPr>
              <w:spacing w:after="100"/>
              <w:divId w:val="1340304916"/>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730,480</w:t>
            </w:r>
          </w:p>
        </w:tc>
      </w:tr>
      <w:tr w:rsidR="00000000">
        <w:trPr>
          <w:divId w:val="458646850"/>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6,641,821</w:t>
            </w:r>
          </w:p>
        </w:tc>
      </w:tr>
    </w:tbl>
    <w:p w:rsidR="00000000" w:rsidRDefault="00473C5F">
      <w:pPr>
        <w:ind w:hanging="360"/>
        <w:jc w:val="both"/>
        <w:divId w:val="1203831954"/>
        <w:rPr>
          <w:rFonts w:eastAsia="Times New Roman"/>
        </w:rPr>
      </w:pPr>
      <w:r>
        <w:rPr>
          <w:rFonts w:eastAsia="Times New Roman"/>
          <w:color w:val="000000"/>
          <w:sz w:val="18"/>
          <w:szCs w:val="18"/>
        </w:rPr>
        <w:t>(a)</w:t>
      </w:r>
      <w:r>
        <w:rPr>
          <w:rFonts w:eastAsia="Times New Roman"/>
          <w:color w:val="000000"/>
          <w:sz w:val="18"/>
          <w:szCs w:val="18"/>
        </w:rPr>
        <w:t xml:space="preserve">Represents the percentage change with respect to square foot occupancy and annual contract rent per occupied square foot, and the absolute nominal change with respect to all other items. </w:t>
      </w:r>
    </w:p>
    <w:p w:rsidR="00000000" w:rsidRDefault="00473C5F">
      <w:pPr>
        <w:ind w:hanging="360"/>
        <w:jc w:val="both"/>
        <w:divId w:val="1896240210"/>
        <w:rPr>
          <w:rFonts w:eastAsia="Times New Roman"/>
        </w:rPr>
      </w:pPr>
      <w:r>
        <w:rPr>
          <w:rFonts w:eastAsia="Times New Roman"/>
          <w:color w:val="000000"/>
          <w:sz w:val="18"/>
          <w:szCs w:val="18"/>
        </w:rPr>
        <w:t>(b)Revenues and cost of operations do not include tenant reinsurance</w:t>
      </w:r>
      <w:r>
        <w:rPr>
          <w:rFonts w:eastAsia="Times New Roman"/>
          <w:color w:val="000000"/>
          <w:sz w:val="18"/>
          <w:szCs w:val="18"/>
        </w:rPr>
        <w:t xml:space="preserve"> and merchandise sale revenues and expenses generated at the facilities. See “Ancillary Operations” below for more information.</w:t>
      </w:r>
    </w:p>
    <w:p w:rsidR="00000000" w:rsidRDefault="00473C5F">
      <w:pPr>
        <w:ind w:hanging="360"/>
        <w:jc w:val="both"/>
        <w:divId w:val="1804958830"/>
        <w:rPr>
          <w:rFonts w:eastAsia="Times New Roman"/>
        </w:rPr>
      </w:pPr>
      <w:r>
        <w:rPr>
          <w:rFonts w:eastAsia="Times New Roman"/>
          <w:color w:val="000000"/>
          <w:sz w:val="18"/>
          <w:szCs w:val="18"/>
        </w:rPr>
        <w:t>(c)The Acquired Facilities have an aggregate of approximately 31.7 million net rentable square feet, including 11.2 million in T</w:t>
      </w:r>
      <w:r>
        <w:rPr>
          <w:rFonts w:eastAsia="Times New Roman"/>
          <w:color w:val="000000"/>
          <w:sz w:val="18"/>
          <w:szCs w:val="18"/>
        </w:rPr>
        <w:t xml:space="preserve">exas, 3.9 million in Maryland, 1.8 million in Florida, 1.2 million in Oklahoma, 1.1 million in Virginia, 0.9 million in North Carolina, 0.8 million in each of Arizona, Colorado and Ohio, 0.6 million in each of California, Georgia, Illinois, Minnesota, and </w:t>
      </w:r>
      <w:r>
        <w:rPr>
          <w:rFonts w:eastAsia="Times New Roman"/>
          <w:color w:val="000000"/>
          <w:sz w:val="18"/>
          <w:szCs w:val="18"/>
        </w:rPr>
        <w:t>South Carolina, 0.5 million in each of Idaho, Indiana, Michigan, Missouri, Nebraska, Oregon, and Pennsylvania, 0.4 million in each of Alabama, Nevada, and Tennessee, 0.3 million in Washington, and 1.2 million in other states.</w:t>
      </w:r>
    </w:p>
    <w:p w:rsidR="00000000" w:rsidRDefault="00473C5F">
      <w:pPr>
        <w:ind w:firstLine="720"/>
        <w:jc w:val="both"/>
        <w:divId w:val="994918047"/>
        <w:rPr>
          <w:rFonts w:eastAsia="Times New Roman"/>
        </w:rPr>
      </w:pPr>
      <w:r>
        <w:rPr>
          <w:rFonts w:eastAsia="Times New Roman"/>
          <w:color w:val="000000"/>
          <w:sz w:val="20"/>
          <w:szCs w:val="20"/>
        </w:rPr>
        <w:t>We have been active in acquiri</w:t>
      </w:r>
      <w:r>
        <w:rPr>
          <w:rFonts w:eastAsia="Times New Roman"/>
          <w:color w:val="000000"/>
          <w:sz w:val="20"/>
          <w:szCs w:val="20"/>
        </w:rPr>
        <w:t>ng facilities in recent years. Since the beginning of 2020, we acquired a total of 368 facilities with 31.7 million net rentable square feet for $6.6 billion. During 2022, these facilities contributed net operating income of $267.0 million.</w:t>
      </w:r>
    </w:p>
    <w:p w:rsidR="00000000" w:rsidRDefault="00473C5F">
      <w:pPr>
        <w:ind w:firstLine="720"/>
        <w:jc w:val="both"/>
        <w:divId w:val="1932547319"/>
        <w:rPr>
          <w:rFonts w:eastAsia="Times New Roman"/>
        </w:rPr>
      </w:pPr>
      <w:r>
        <w:rPr>
          <w:rFonts w:eastAsia="Times New Roman"/>
          <w:color w:val="000000"/>
          <w:sz w:val="20"/>
          <w:szCs w:val="20"/>
        </w:rPr>
        <w:t>During 2022, we</w:t>
      </w:r>
      <w:r>
        <w:rPr>
          <w:rFonts w:eastAsia="Times New Roman"/>
          <w:color w:val="000000"/>
          <w:sz w:val="20"/>
          <w:szCs w:val="20"/>
        </w:rPr>
        <w:t xml:space="preserve"> acquired the Neighborhood Storage portfolio in the Ocala, Florida market, consisting of 28 properties with 1.2 million net rentable square feet, which includes 26 properties closed in December 2022 for $179.8 million and two properties that are under cons</w:t>
      </w:r>
      <w:r>
        <w:rPr>
          <w:rFonts w:eastAsia="Times New Roman"/>
          <w:color w:val="000000"/>
          <w:sz w:val="20"/>
          <w:szCs w:val="20"/>
        </w:rPr>
        <w:t>truction and expected to close in early 2023.</w:t>
      </w:r>
    </w:p>
    <w:p w:rsidR="00000000" w:rsidRDefault="00473C5F">
      <w:pPr>
        <w:ind w:firstLine="720"/>
        <w:jc w:val="both"/>
        <w:divId w:val="780491335"/>
        <w:rPr>
          <w:rFonts w:eastAsia="Times New Roman"/>
        </w:rPr>
      </w:pPr>
      <w:r>
        <w:rPr>
          <w:rFonts w:eastAsia="Times New Roman"/>
          <w:color w:val="000000"/>
          <w:sz w:val="20"/>
          <w:szCs w:val="20"/>
        </w:rPr>
        <w:t xml:space="preserve">During 2021, we acquired the ezStorage portfolio, consisting of 48 properties (4.1 million net rentable square feet) for acquisition cost of $1.8 billion. Included in the Acquisition results in the table above </w:t>
      </w:r>
      <w:r>
        <w:rPr>
          <w:rFonts w:eastAsia="Times New Roman"/>
          <w:color w:val="000000"/>
          <w:sz w:val="20"/>
          <w:szCs w:val="20"/>
        </w:rPr>
        <w:t xml:space="preserve">are ezStorage portfolio revenues of $100.8 million, NOI of $79.9 million (including Direct NOI of $82.7 million), and average square footage occupancy of 89.6% for 2022. </w:t>
      </w:r>
    </w:p>
    <w:p w:rsidR="00000000" w:rsidRDefault="00473C5F">
      <w:pPr>
        <w:ind w:firstLine="720"/>
        <w:jc w:val="both"/>
        <w:divId w:val="1916470406"/>
        <w:rPr>
          <w:rFonts w:eastAsia="Times New Roman"/>
        </w:rPr>
      </w:pPr>
      <w:r>
        <w:rPr>
          <w:rFonts w:eastAsia="Times New Roman"/>
          <w:color w:val="000000"/>
          <w:sz w:val="20"/>
          <w:szCs w:val="20"/>
        </w:rPr>
        <w:t xml:space="preserve">During 2021, we acquired the All Storage portfolio, consisting of 56 properties (7.5 </w:t>
      </w:r>
      <w:r>
        <w:rPr>
          <w:rFonts w:eastAsia="Times New Roman"/>
          <w:color w:val="000000"/>
          <w:sz w:val="20"/>
          <w:szCs w:val="20"/>
        </w:rPr>
        <w:t>million net rentable square feet) for $1.5 billion. Included in the Acquisition results in the table above are All Storage portfolio revenues of $79.2 million, NOI of $48.4 million (including Direct NOI of $51.2 million), and average square footage occupan</w:t>
      </w:r>
      <w:r>
        <w:rPr>
          <w:rFonts w:eastAsia="Times New Roman"/>
          <w:color w:val="000000"/>
          <w:sz w:val="20"/>
          <w:szCs w:val="20"/>
        </w:rPr>
        <w:t xml:space="preserve">cy of 79.4% for 2022. </w:t>
      </w:r>
    </w:p>
    <w:p w:rsidR="00000000" w:rsidRDefault="00473C5F">
      <w:pPr>
        <w:ind w:firstLine="720"/>
        <w:jc w:val="both"/>
        <w:divId w:val="9452930"/>
        <w:rPr>
          <w:rFonts w:eastAsia="Times New Roman"/>
        </w:rPr>
      </w:pPr>
      <w:r>
        <w:rPr>
          <w:rFonts w:eastAsia="Times New Roman"/>
          <w:color w:val="000000"/>
          <w:sz w:val="20"/>
          <w:szCs w:val="20"/>
        </w:rPr>
        <w:t xml:space="preserve">We remain active in seeking to acquire additional self-storage facilities. Subsequent to December 31, 2022, we acquired or were under contract to acquire eight self-storage facilities across five states with 0.5 million net rentable </w:t>
      </w:r>
      <w:r>
        <w:rPr>
          <w:rFonts w:eastAsia="Times New Roman"/>
          <w:color w:val="000000"/>
          <w:sz w:val="20"/>
          <w:szCs w:val="20"/>
        </w:rPr>
        <w:t>square feet, for $70.5 million. Future acquisition volume is likely to be impacted by increasing cost of capital requirements and overall macro-economic uncertainties.</w:t>
      </w:r>
    </w:p>
    <w:p w:rsidR="00000000" w:rsidRDefault="00473C5F">
      <w:pPr>
        <w:ind w:firstLine="720"/>
        <w:jc w:val="both"/>
        <w:rPr>
          <w:rFonts w:eastAsia="Times New Roman"/>
        </w:rPr>
      </w:pPr>
    </w:p>
    <w:p w:rsidR="00000000" w:rsidRDefault="00473C5F">
      <w:pPr>
        <w:divId w:val="812136192"/>
        <w:rPr>
          <w:rFonts w:eastAsia="Times New Roman"/>
        </w:rPr>
      </w:pPr>
    </w:p>
    <w:p w:rsidR="00000000" w:rsidRDefault="00473C5F">
      <w:pPr>
        <w:jc w:val="center"/>
        <w:divId w:val="224803087"/>
        <w:rPr>
          <w:rFonts w:eastAsia="Times New Roman"/>
        </w:rPr>
      </w:pPr>
      <w:r>
        <w:rPr>
          <w:rFonts w:eastAsia="Times New Roman"/>
          <w:color w:val="000000"/>
          <w:sz w:val="20"/>
          <w:szCs w:val="20"/>
        </w:rPr>
        <w:t>39</w:t>
      </w:r>
    </w:p>
    <w:p w:rsidR="00000000" w:rsidRDefault="00473C5F">
      <w:pPr>
        <w:rPr>
          <w:rFonts w:eastAsia="Times New Roman"/>
        </w:rPr>
      </w:pPr>
      <w:r>
        <w:rPr>
          <w:rFonts w:eastAsia="Times New Roman"/>
        </w:rPr>
        <w:pict>
          <v:rect id="_x0000_i1066" style="width:0;height:1.5pt" o:hralign="center" o:hrstd="t" o:hr="t" fillcolor="#a0a0a0" stroked="f"/>
        </w:pict>
      </w:r>
    </w:p>
    <w:p w:rsidR="00000000" w:rsidRDefault="00473C5F">
      <w:pPr>
        <w:divId w:val="2132087542"/>
        <w:rPr>
          <w:rFonts w:eastAsia="Times New Roman"/>
        </w:rPr>
      </w:pPr>
    </w:p>
    <w:p w:rsidR="00000000" w:rsidRDefault="00473C5F">
      <w:pPr>
        <w:divId w:val="1945728745"/>
        <w:rPr>
          <w:rFonts w:eastAsia="Times New Roman"/>
        </w:rPr>
      </w:pPr>
      <w:r>
        <w:rPr>
          <w:rFonts w:eastAsia="Times New Roman"/>
          <w:b/>
          <w:bCs/>
          <w:i/>
          <w:iCs/>
          <w:color w:val="000000"/>
          <w:sz w:val="20"/>
          <w:szCs w:val="20"/>
          <w:u w:val="single"/>
        </w:rPr>
        <w:t>Developed and Expanded Facilities</w:t>
      </w:r>
    </w:p>
    <w:p w:rsidR="00000000" w:rsidRDefault="00473C5F">
      <w:pPr>
        <w:ind w:firstLine="720"/>
        <w:jc w:val="both"/>
        <w:divId w:val="1801605011"/>
        <w:rPr>
          <w:rFonts w:eastAsia="Times New Roman"/>
        </w:rPr>
      </w:pPr>
      <w:r>
        <w:rPr>
          <w:rFonts w:eastAsia="Times New Roman"/>
          <w:color w:val="000000"/>
          <w:sz w:val="20"/>
          <w:szCs w:val="20"/>
        </w:rPr>
        <w:t>The deve</w:t>
      </w:r>
      <w:r>
        <w:rPr>
          <w:rFonts w:eastAsia="Times New Roman"/>
          <w:color w:val="000000"/>
          <w:sz w:val="20"/>
          <w:szCs w:val="20"/>
        </w:rPr>
        <w:t>loped and expanded facilities include 62 facilities that were developed on new sites since January 1, 2017, and 91 facilities expanded to increase their net rentable square footage. Of these expansions, 51 were completed before 2021, 27 were completed in 2</w:t>
      </w:r>
      <w:r>
        <w:rPr>
          <w:rFonts w:eastAsia="Times New Roman"/>
          <w:color w:val="000000"/>
          <w:sz w:val="20"/>
          <w:szCs w:val="20"/>
        </w:rPr>
        <w:t>021 or 2022, and 13 are currently in process at December 31, 2022. The following table summarizes operating data with respect to the Developed and Expanded Facilities: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911"/>
        <w:gridCol w:w="39"/>
        <w:gridCol w:w="166"/>
        <w:gridCol w:w="166"/>
        <w:gridCol w:w="267"/>
        <w:gridCol w:w="242"/>
        <w:gridCol w:w="224"/>
        <w:gridCol w:w="46"/>
        <w:gridCol w:w="122"/>
        <w:gridCol w:w="662"/>
        <w:gridCol w:w="37"/>
        <w:gridCol w:w="36"/>
        <w:gridCol w:w="36"/>
        <w:gridCol w:w="36"/>
        <w:gridCol w:w="120"/>
        <w:gridCol w:w="600"/>
        <w:gridCol w:w="36"/>
        <w:gridCol w:w="36"/>
        <w:gridCol w:w="36"/>
        <w:gridCol w:w="36"/>
        <w:gridCol w:w="120"/>
        <w:gridCol w:w="600"/>
        <w:gridCol w:w="36"/>
        <w:gridCol w:w="36"/>
        <w:gridCol w:w="36"/>
        <w:gridCol w:w="36"/>
        <w:gridCol w:w="122"/>
        <w:gridCol w:w="662"/>
        <w:gridCol w:w="37"/>
        <w:gridCol w:w="36"/>
        <w:gridCol w:w="36"/>
        <w:gridCol w:w="36"/>
        <w:gridCol w:w="120"/>
        <w:gridCol w:w="600"/>
        <w:gridCol w:w="36"/>
        <w:gridCol w:w="36"/>
        <w:gridCol w:w="36"/>
        <w:gridCol w:w="36"/>
        <w:gridCol w:w="120"/>
        <w:gridCol w:w="600"/>
        <w:gridCol w:w="36"/>
      </w:tblGrid>
      <w:tr w:rsidR="00000000">
        <w:trPr>
          <w:jc w:val="center"/>
        </w:trPr>
        <w:tc>
          <w:tcPr>
            <w:tcW w:w="50" w:type="pct"/>
            <w:vAlign w:val="center"/>
            <w:hideMark/>
          </w:tcPr>
          <w:p w:rsidR="00000000" w:rsidRDefault="00473C5F">
            <w:pPr>
              <w:ind w:firstLine="720"/>
              <w:jc w:val="both"/>
              <w:rPr>
                <w:rFonts w:eastAsia="Times New Roman"/>
              </w:rPr>
            </w:pPr>
          </w:p>
        </w:tc>
        <w:tc>
          <w:tcPr>
            <w:tcW w:w="172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8"/>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20"/>
                <w:szCs w:val="20"/>
              </w:rPr>
              <w:t>DEVELOPED AND EXPANDED FACILITIES</w:t>
            </w:r>
          </w:p>
        </w:tc>
        <w:tc>
          <w:tcPr>
            <w:tcW w:w="0" w:type="auto"/>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 Ended December 31,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 Ended December 31,</w:t>
            </w: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Change (a)</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Change (a)</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 amounts in thousands, except for per square foot amounts)</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20"/>
                <w:szCs w:val="20"/>
              </w:rPr>
              <w:t>Revenues (b):</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2017</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35,216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27,593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7,623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27,593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21,541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6,052</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2018</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36,789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28,308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8,481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28,308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20,163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8,145</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2019</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16,444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11,921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4,523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11,921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6,455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5,466</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2020</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6,838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3,405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3,433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3,405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301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3,104</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8,333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1,602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6,731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1,602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1,602</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687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687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Expansions completed before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95,029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70,091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24,938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70,091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47,886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22,205</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Expansions completed in 2021 or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51,374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33,746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17,628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33,746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29,333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4,413</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Expansions in process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18,535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20,392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(1,857)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20,392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19,681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711</w:t>
            </w:r>
          </w:p>
        </w:tc>
      </w:tr>
      <w:tr w:rsidR="00000000">
        <w:trPr>
          <w:jc w:val="center"/>
        </w:trPr>
        <w:tc>
          <w:tcPr>
            <w:tcW w:w="0" w:type="auto"/>
            <w:gridSpan w:val="3"/>
            <w:tcMar>
              <w:top w:w="30" w:type="dxa"/>
              <w:left w:w="32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r>
              <w:rPr>
                <w:rFonts w:eastAsia="Times New Roman"/>
                <w:color w:val="000000"/>
                <w:sz w:val="20"/>
                <w:szCs w:val="20"/>
              </w:rPr>
              <w:t xml:space="preserve">Total revenues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269,245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197,058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72,187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197,058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145,360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51,698</w:t>
            </w: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20"/>
                <w:szCs w:val="20"/>
              </w:rPr>
              <w:t xml:space="preserve">Cost of operations (b):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2017</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10,416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9,932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484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9,932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9,625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307</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2018</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10,742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9,983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759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9,983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10,364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(381)</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2019</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5,622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5,240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382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5,240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4,685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555</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2020</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1,702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1,679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1,679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383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1,296</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3,539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1,993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1,546</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738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738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Expansions completed before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30,357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28,554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1,803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28,554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25,083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3,471</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Expansions completed in 2021 or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12,554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8,949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3,605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8,949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8,187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762</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Expansions in process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3,796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4,146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(350)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4,146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4,544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(398)</w:t>
            </w:r>
          </w:p>
        </w:tc>
      </w:tr>
      <w:tr w:rsidR="00000000">
        <w:trPr>
          <w:jc w:val="center"/>
        </w:trPr>
        <w:tc>
          <w:tcPr>
            <w:tcW w:w="0" w:type="auto"/>
            <w:gridSpan w:val="3"/>
            <w:tcMar>
              <w:top w:w="30" w:type="dxa"/>
              <w:left w:w="32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r>
              <w:rPr>
                <w:rFonts w:eastAsia="Times New Roman"/>
                <w:color w:val="000000"/>
                <w:sz w:val="20"/>
                <w:szCs w:val="20"/>
              </w:rPr>
              <w:t xml:space="preserve">Total cost of operations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79,466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70,029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9,437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70,029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62,871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7,158</w:t>
            </w: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20"/>
                <w:szCs w:val="20"/>
              </w:rPr>
              <w:t>Net operating income (loss):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2017</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24,800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17,661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7,139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17,661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11,916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5,745</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2018</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26,047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18,325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7,722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18,325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9,799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8,526</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2019</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10,822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6,681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4,141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6,681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1,770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4,911</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2020</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5,136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1,726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3,410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1,726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1,808</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4,794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4,738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56</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Expansions completed before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64,672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41,537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23,135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41,537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22,803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18,734</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Expansions completed in 2021 or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38,820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24,797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14,023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24,797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21,146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3,651</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Expansions in process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14,739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16,246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(1,507)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16,246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15,137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1,109</w:t>
            </w:r>
          </w:p>
        </w:tc>
      </w:tr>
      <w:tr w:rsidR="00000000">
        <w:trPr>
          <w:jc w:val="center"/>
        </w:trPr>
        <w:tc>
          <w:tcPr>
            <w:tcW w:w="0" w:type="auto"/>
            <w:gridSpan w:val="3"/>
            <w:tcMar>
              <w:top w:w="30" w:type="dxa"/>
              <w:left w:w="32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r>
              <w:rPr>
                <w:rFonts w:eastAsia="Times New Roman"/>
                <w:color w:val="000000"/>
                <w:sz w:val="20"/>
                <w:szCs w:val="20"/>
              </w:rPr>
              <w:t xml:space="preserve">Net operating income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189,779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127,029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62,750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127,029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82,489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44,540</w:t>
            </w:r>
          </w:p>
        </w:tc>
      </w:tr>
      <w:tr w:rsidR="00000000">
        <w:trPr>
          <w:jc w:val="center"/>
        </w:trPr>
        <w:tc>
          <w:tcPr>
            <w:tcW w:w="0" w:type="auto"/>
            <w:gridSpan w:val="3"/>
            <w:tcMar>
              <w:top w:w="30" w:type="dxa"/>
              <w:left w:w="14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Depreciation and amortization expense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(63,362)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(56,411)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(6,951)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(56,411)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(48,573)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(7,838)</w:t>
            </w:r>
          </w:p>
        </w:tc>
      </w:tr>
      <w:tr w:rsidR="00000000">
        <w:trPr>
          <w:jc w:val="center"/>
        </w:trPr>
        <w:tc>
          <w:tcPr>
            <w:tcW w:w="0" w:type="auto"/>
            <w:gridSpan w:val="3"/>
            <w:tcMar>
              <w:top w:w="30" w:type="dxa"/>
              <w:left w:w="32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r>
              <w:rPr>
                <w:rFonts w:eastAsia="Times New Roman"/>
                <w:color w:val="000000"/>
                <w:sz w:val="20"/>
                <w:szCs w:val="20"/>
              </w:rPr>
              <w:t>   Net income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126,417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70,618 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55,799 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70,618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33,916 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36,702 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divId w:val="992217633"/>
        <w:rPr>
          <w:rFonts w:eastAsia="Times New Roman"/>
        </w:rPr>
      </w:pPr>
    </w:p>
    <w:p w:rsidR="00000000" w:rsidRDefault="00473C5F">
      <w:pPr>
        <w:divId w:val="709651374"/>
        <w:rPr>
          <w:rFonts w:eastAsia="Times New Roman"/>
        </w:rPr>
      </w:pPr>
    </w:p>
    <w:p w:rsidR="00000000" w:rsidRDefault="00473C5F">
      <w:pPr>
        <w:jc w:val="both"/>
        <w:rPr>
          <w:rFonts w:eastAsia="Times New Roman"/>
        </w:rPr>
      </w:pPr>
    </w:p>
    <w:p w:rsidR="00000000" w:rsidRDefault="00473C5F">
      <w:pPr>
        <w:jc w:val="center"/>
        <w:divId w:val="567225762"/>
        <w:rPr>
          <w:rFonts w:eastAsia="Times New Roman"/>
        </w:rPr>
      </w:pPr>
      <w:r>
        <w:rPr>
          <w:rFonts w:eastAsia="Times New Roman"/>
          <w:color w:val="000000"/>
          <w:sz w:val="20"/>
          <w:szCs w:val="20"/>
        </w:rPr>
        <w:t>40</w:t>
      </w:r>
    </w:p>
    <w:p w:rsidR="00000000" w:rsidRDefault="00473C5F">
      <w:pPr>
        <w:rPr>
          <w:rFonts w:eastAsia="Times New Roman"/>
        </w:rPr>
      </w:pPr>
      <w:r>
        <w:rPr>
          <w:rFonts w:eastAsia="Times New Roman"/>
        </w:rPr>
        <w:pict>
          <v:rect id="_x0000_i1067" style="width:0;height:1.5pt" o:hralign="center" o:hrstd="t" o:hr="t" fillcolor="#a0a0a0" stroked="f"/>
        </w:pict>
      </w:r>
    </w:p>
    <w:p w:rsidR="00000000" w:rsidRDefault="00473C5F">
      <w:pPr>
        <w:divId w:val="161135571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2750"/>
        <w:gridCol w:w="36"/>
        <w:gridCol w:w="36"/>
        <w:gridCol w:w="36"/>
        <w:gridCol w:w="36"/>
        <w:gridCol w:w="46"/>
        <w:gridCol w:w="46"/>
        <w:gridCol w:w="46"/>
        <w:gridCol w:w="113"/>
        <w:gridCol w:w="693"/>
        <w:gridCol w:w="39"/>
        <w:gridCol w:w="37"/>
        <w:gridCol w:w="37"/>
        <w:gridCol w:w="37"/>
        <w:gridCol w:w="113"/>
        <w:gridCol w:w="666"/>
        <w:gridCol w:w="38"/>
        <w:gridCol w:w="36"/>
        <w:gridCol w:w="36"/>
        <w:gridCol w:w="36"/>
        <w:gridCol w:w="59"/>
        <w:gridCol w:w="658"/>
        <w:gridCol w:w="36"/>
        <w:gridCol w:w="36"/>
        <w:gridCol w:w="36"/>
        <w:gridCol w:w="36"/>
        <w:gridCol w:w="52"/>
        <w:gridCol w:w="666"/>
        <w:gridCol w:w="38"/>
        <w:gridCol w:w="37"/>
        <w:gridCol w:w="37"/>
        <w:gridCol w:w="37"/>
        <w:gridCol w:w="52"/>
        <w:gridCol w:w="665"/>
        <w:gridCol w:w="37"/>
        <w:gridCol w:w="36"/>
        <w:gridCol w:w="36"/>
        <w:gridCol w:w="36"/>
        <w:gridCol w:w="64"/>
        <w:gridCol w:w="654"/>
        <w:gridCol w:w="37"/>
      </w:tblGrid>
      <w:tr w:rsidR="00000000">
        <w:trPr>
          <w:jc w:val="center"/>
        </w:trPr>
        <w:tc>
          <w:tcPr>
            <w:tcW w:w="50" w:type="pct"/>
            <w:vAlign w:val="center"/>
            <w:hideMark/>
          </w:tcPr>
          <w:p w:rsidR="00000000" w:rsidRDefault="00473C5F">
            <w:pPr>
              <w:rPr>
                <w:rFonts w:eastAsia="Times New Roman"/>
              </w:rPr>
            </w:pPr>
          </w:p>
        </w:tc>
        <w:tc>
          <w:tcPr>
            <w:tcW w:w="172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5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DEVELOPED AND EXPANDED FACILITIES (Continued)</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As of December 31,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As of December 31,</w:t>
            </w: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Change (a)</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Change (a)</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 amounts in thousands, except for per square foot amounts)</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Square foot occupancy:</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2017</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89.3%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91.4%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91.4%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88.7%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3.0%</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2018</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87.5%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88.6%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88.6%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86.5%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2.4%</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2019</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87.3%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87.3%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87.3%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84.6%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3.2%</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2020</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94.3%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88.9%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88.9%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34.0%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161.5%</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82.4%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48.8%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68.9%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48.8%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41.6%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Expansions completed before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86.7%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86.6%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0.1%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86.6%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75.0%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15.5%</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Expansions completed in 2021 or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80.0%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81.4%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81.4%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90.8%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(10.4)%</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Expansions in process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81.8%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89.2%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89.2%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94.4%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(5.5)%</w:t>
            </w: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84.1%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85.3%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85.3%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81.2%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5.0%</w:t>
            </w:r>
          </w:p>
        </w:tc>
      </w:tr>
      <w:tr w:rsidR="00000000">
        <w:trPr>
          <w:jc w:val="center"/>
        </w:trPr>
        <w:tc>
          <w:tcPr>
            <w:tcW w:w="0" w:type="auto"/>
            <w:gridSpan w:val="3"/>
            <w:tcMar>
              <w:top w:w="30" w:type="dxa"/>
              <w:left w:w="20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Annual contract rent per occupied square foot:</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2017</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19.77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16.03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23.3%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16.03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12.64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26.8%</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2018</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20.84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17.08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22.0%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17.08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12.73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34.2%</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2019</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18.19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14.58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24.8%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14.58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9.69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50.5%</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2020</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21.75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17.67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23.1%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17.67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10.08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75.3%</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18.04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15.41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17.1%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15.41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13.84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ascii="Calibri" w:eastAsia="Times New Roman" w:hAnsi="Calibri" w:cs="Calibri"/>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Expansions completed before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16.17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13.64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18.5%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13.64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10.41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31.0%</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Expansions completed in 2021 or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21.52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19.14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12.4%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19.14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18.19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5.2%</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Expansions in process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26.49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24.03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10.2%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24.03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21.87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9.9%</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18.98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16.08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18.0%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16.08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12.79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25.7%</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Number of facilities: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2017</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2018</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2019</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2020</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Expansions completed before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51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51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51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51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Expansions completed in 2021 or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Expansions in process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153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145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145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137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w:t>
            </w:r>
          </w:p>
        </w:tc>
      </w:tr>
      <w:tr w:rsidR="00000000">
        <w:trPr>
          <w:jc w:val="center"/>
        </w:trPr>
        <w:tc>
          <w:tcPr>
            <w:tcW w:w="0" w:type="auto"/>
            <w:gridSpan w:val="3"/>
            <w:tcMar>
              <w:top w:w="30" w:type="dxa"/>
              <w:left w:w="20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8"/>
                <w:szCs w:val="18"/>
              </w:rPr>
              <w:t>Net rentable square feet (in thousands) (c):</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2017</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2018</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2019</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2020</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347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347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347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347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681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681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681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681</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Developed in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631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631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Expansions completed before 2021</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6,879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6,879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6,879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6,873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Expansions completed in 2021 or 2022</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3,247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2,636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611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2,636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1,741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895</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Expansions in process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749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897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(148)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897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961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(64)</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17,700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16,606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1,094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16,606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15,088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18"/>
                <w:szCs w:val="18"/>
              </w:rPr>
              <w:t>1,518</w:t>
            </w:r>
          </w:p>
        </w:tc>
      </w:tr>
    </w:tbl>
    <w:p w:rsidR="00000000" w:rsidRDefault="00473C5F">
      <w:pPr>
        <w:jc w:val="center"/>
        <w:divId w:val="1308126731"/>
        <w:rPr>
          <w:rFonts w:eastAsia="Times New Roman"/>
        </w:rPr>
      </w:pPr>
      <w:r>
        <w:rPr>
          <w:rFonts w:eastAsia="Times New Roman"/>
          <w:color w:val="000000"/>
          <w:sz w:val="20"/>
          <w:szCs w:val="20"/>
        </w:rPr>
        <w:t>41</w:t>
      </w:r>
    </w:p>
    <w:p w:rsidR="00000000" w:rsidRDefault="00473C5F">
      <w:pPr>
        <w:rPr>
          <w:rFonts w:eastAsia="Times New Roman"/>
        </w:rPr>
      </w:pPr>
      <w:r>
        <w:rPr>
          <w:rFonts w:eastAsia="Times New Roman"/>
        </w:rPr>
        <w:pict>
          <v:rect id="_x0000_i1068" style="width:0;height:1.5pt" o:hralign="center" o:hrstd="t" o:hr="t" fillcolor="#a0a0a0" stroked="f"/>
        </w:pict>
      </w:r>
    </w:p>
    <w:p w:rsidR="00000000" w:rsidRDefault="00473C5F">
      <w:pPr>
        <w:divId w:val="1523981140"/>
        <w:rPr>
          <w:rFonts w:eastAsia="Times New Roman"/>
        </w:rPr>
      </w:pPr>
    </w:p>
    <w:tbl>
      <w:tblPr>
        <w:tblW w:w="4257" w:type="pct"/>
        <w:tblCellMar>
          <w:top w:w="15" w:type="dxa"/>
          <w:left w:w="15" w:type="dxa"/>
          <w:bottom w:w="15" w:type="dxa"/>
          <w:right w:w="15" w:type="dxa"/>
        </w:tblCellMar>
        <w:tblLook w:val="04A0" w:firstRow="1" w:lastRow="0" w:firstColumn="1" w:lastColumn="0" w:noHBand="0" w:noVBand="1"/>
      </w:tblPr>
      <w:tblGrid>
        <w:gridCol w:w="38"/>
        <w:gridCol w:w="5507"/>
        <w:gridCol w:w="37"/>
        <w:gridCol w:w="121"/>
        <w:gridCol w:w="1333"/>
        <w:gridCol w:w="36"/>
      </w:tblGrid>
      <w:tr w:rsidR="00000000">
        <w:trPr>
          <w:divId w:val="1452624253"/>
        </w:trPr>
        <w:tc>
          <w:tcPr>
            <w:tcW w:w="50" w:type="pct"/>
            <w:vAlign w:val="center"/>
            <w:hideMark/>
          </w:tcPr>
          <w:p w:rsidR="00000000" w:rsidRDefault="00473C5F">
            <w:pPr>
              <w:rPr>
                <w:rFonts w:eastAsia="Times New Roman"/>
              </w:rPr>
            </w:pPr>
          </w:p>
        </w:tc>
        <w:tc>
          <w:tcPr>
            <w:tcW w:w="392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96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452624253"/>
        </w:trPr>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p>
          <w:p w:rsidR="00000000" w:rsidRDefault="00473C5F">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 xml:space="preserve">As of </w:t>
            </w:r>
          </w:p>
          <w:p w:rsidR="00000000" w:rsidRDefault="00473C5F">
            <w:pPr>
              <w:spacing w:after="100"/>
              <w:jc w:val="center"/>
              <w:rPr>
                <w:rFonts w:eastAsia="Times New Roman"/>
              </w:rPr>
            </w:pPr>
            <w:r>
              <w:rPr>
                <w:rFonts w:eastAsia="Times New Roman"/>
                <w:color w:val="000000"/>
                <w:sz w:val="20"/>
                <w:szCs w:val="20"/>
              </w:rPr>
              <w:t>December 31, 2022</w:t>
            </w:r>
          </w:p>
        </w:tc>
      </w:tr>
      <w:tr w:rsidR="00000000">
        <w:trPr>
          <w:divId w:val="145262425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Costs to develop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r>
      <w:tr w:rsidR="00000000">
        <w:trPr>
          <w:divId w:val="1452624253"/>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2017</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239,871</w:t>
            </w:r>
          </w:p>
        </w:tc>
      </w:tr>
      <w:tr w:rsidR="00000000">
        <w:trPr>
          <w:divId w:val="1452624253"/>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262,187</w:t>
            </w:r>
          </w:p>
        </w:tc>
      </w:tr>
      <w:tr w:rsidR="00000000">
        <w:trPr>
          <w:divId w:val="1452624253"/>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150,387</w:t>
            </w:r>
          </w:p>
        </w:tc>
      </w:tr>
      <w:tr w:rsidR="00000000">
        <w:trPr>
          <w:divId w:val="1452624253"/>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42,063</w:t>
            </w:r>
          </w:p>
        </w:tc>
      </w:tr>
      <w:tr w:rsidR="00000000">
        <w:trPr>
          <w:divId w:val="1452624253"/>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115,632</w:t>
            </w:r>
          </w:p>
        </w:tc>
      </w:tr>
      <w:tr w:rsidR="00000000">
        <w:trPr>
          <w:divId w:val="1452624253"/>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in 2022</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100,089</w:t>
            </w:r>
          </w:p>
        </w:tc>
      </w:tr>
      <w:tr w:rsidR="00000000">
        <w:trPr>
          <w:divId w:val="1452624253"/>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Expansions completed before 2021 (d)</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478,659</w:t>
            </w:r>
          </w:p>
        </w:tc>
      </w:tr>
      <w:tr w:rsidR="00000000">
        <w:trPr>
          <w:divId w:val="1452624253"/>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Expansions completed in 2021 or 2022 (d)</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231,270</w:t>
            </w:r>
          </w:p>
        </w:tc>
      </w:tr>
      <w:tr w:rsidR="00000000">
        <w:trPr>
          <w:divId w:val="145262425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1,620,158</w:t>
            </w:r>
          </w:p>
        </w:tc>
      </w:tr>
    </w:tbl>
    <w:p w:rsidR="00000000" w:rsidRDefault="00473C5F">
      <w:pPr>
        <w:ind w:hanging="360"/>
        <w:jc w:val="both"/>
        <w:divId w:val="1514608466"/>
        <w:rPr>
          <w:rFonts w:eastAsia="Times New Roman"/>
        </w:rPr>
      </w:pPr>
      <w:r>
        <w:rPr>
          <w:rFonts w:eastAsia="Times New Roman"/>
          <w:color w:val="000000"/>
          <w:sz w:val="18"/>
          <w:szCs w:val="18"/>
        </w:rPr>
        <w:t>(a)</w:t>
      </w:r>
      <w:r>
        <w:rPr>
          <w:rFonts w:eastAsia="Times New Roman"/>
          <w:color w:val="000000"/>
          <w:sz w:val="18"/>
          <w:szCs w:val="18"/>
        </w:rPr>
        <w:t xml:space="preserve">Represents the percentage change with respect to square foot occupancy and annual contract rent per occupied square foot, and the absolute nominal change with respect to all other items. </w:t>
      </w:r>
    </w:p>
    <w:p w:rsidR="00000000" w:rsidRDefault="00473C5F">
      <w:pPr>
        <w:ind w:hanging="360"/>
        <w:jc w:val="both"/>
        <w:divId w:val="819033183"/>
        <w:rPr>
          <w:rFonts w:eastAsia="Times New Roman"/>
        </w:rPr>
      </w:pPr>
      <w:r>
        <w:rPr>
          <w:rFonts w:eastAsia="Times New Roman"/>
          <w:color w:val="000000"/>
          <w:sz w:val="18"/>
          <w:szCs w:val="18"/>
        </w:rPr>
        <w:t>(b)Revenues and cost of operations do not include tenant reinsurance</w:t>
      </w:r>
      <w:r>
        <w:rPr>
          <w:rFonts w:eastAsia="Times New Roman"/>
          <w:color w:val="000000"/>
          <w:sz w:val="18"/>
          <w:szCs w:val="18"/>
        </w:rPr>
        <w:t xml:space="preserve"> and merchandise sales generated at the facilities. See “Ancillary Operations” below for more information.</w:t>
      </w:r>
    </w:p>
    <w:p w:rsidR="00000000" w:rsidRDefault="00473C5F">
      <w:pPr>
        <w:ind w:hanging="360"/>
        <w:jc w:val="both"/>
        <w:divId w:val="78910851"/>
        <w:rPr>
          <w:rFonts w:eastAsia="Times New Roman"/>
        </w:rPr>
      </w:pPr>
      <w:r>
        <w:rPr>
          <w:rFonts w:eastAsia="Times New Roman"/>
          <w:color w:val="000000"/>
          <w:sz w:val="18"/>
          <w:szCs w:val="18"/>
        </w:rPr>
        <w:t>(c)The facilities included above have an aggregate of approximately 17.7 </w:t>
      </w:r>
      <w:r>
        <w:rPr>
          <w:rFonts w:eastAsia="Times New Roman"/>
          <w:color w:val="000000"/>
          <w:sz w:val="18"/>
          <w:szCs w:val="18"/>
        </w:rPr>
        <w:t>million net rentable square feet at December 31, 2022, including 5.0 million in Texas, 3.2 million in Florida, 2.2 million in California, 1.5 million in Colorado, 1.4 million in Minnesota, 0.9 million in North Carolina, 0.7 million in Michigan, 0.4 million</w:t>
      </w:r>
      <w:r>
        <w:rPr>
          <w:rFonts w:eastAsia="Times New Roman"/>
          <w:color w:val="000000"/>
          <w:sz w:val="18"/>
          <w:szCs w:val="18"/>
        </w:rPr>
        <w:t xml:space="preserve"> in each of Missouri, New Jersey, South Carolina, and Washington, 0.3 million in Virginia, and 0.9 million in other states.</w:t>
      </w:r>
    </w:p>
    <w:p w:rsidR="00000000" w:rsidRDefault="00473C5F">
      <w:pPr>
        <w:ind w:hanging="360"/>
        <w:jc w:val="both"/>
        <w:divId w:val="1214540557"/>
        <w:rPr>
          <w:rFonts w:eastAsia="Times New Roman"/>
        </w:rPr>
      </w:pPr>
      <w:r>
        <w:rPr>
          <w:rFonts w:eastAsia="Times New Roman"/>
          <w:color w:val="000000"/>
          <w:sz w:val="18"/>
          <w:szCs w:val="18"/>
        </w:rPr>
        <w:t xml:space="preserve">(d)These amounts only include the direct cost incurred to expand and renovate these facilities, and do not include (i) the original </w:t>
      </w:r>
      <w:r>
        <w:rPr>
          <w:rFonts w:eastAsia="Times New Roman"/>
          <w:color w:val="000000"/>
          <w:sz w:val="18"/>
          <w:szCs w:val="18"/>
        </w:rPr>
        <w:t xml:space="preserve">cost to develop or acquire the facility or (ii) the lost revenue on space demolished during the construction and fill-up period. </w:t>
      </w:r>
    </w:p>
    <w:p w:rsidR="00000000" w:rsidRDefault="00473C5F">
      <w:pPr>
        <w:ind w:firstLine="720"/>
        <w:jc w:val="both"/>
        <w:divId w:val="2106419109"/>
        <w:rPr>
          <w:rFonts w:eastAsia="Times New Roman"/>
        </w:rPr>
      </w:pPr>
      <w:r>
        <w:rPr>
          <w:rFonts w:eastAsia="Times New Roman"/>
          <w:color w:val="000000"/>
          <w:sz w:val="20"/>
          <w:szCs w:val="20"/>
        </w:rPr>
        <w:t>It typically takes at least three to four years for a newly developed or expanded self-storage facility to stabilize with respect to revenues. Physical occupancy can be achieved as early as two to three years following completion of the development or expa</w:t>
      </w:r>
      <w:r>
        <w:rPr>
          <w:rFonts w:eastAsia="Times New Roman"/>
          <w:color w:val="000000"/>
          <w:sz w:val="20"/>
          <w:szCs w:val="20"/>
        </w:rPr>
        <w:t xml:space="preserve">nsion through offering lower rental rates during fill-up. As a result, even after achieving high occupancy, there can still be a period of elevated revenue growth as the tenant base matures and higher rental rates are achieved. </w:t>
      </w:r>
    </w:p>
    <w:p w:rsidR="00000000" w:rsidRDefault="00473C5F">
      <w:pPr>
        <w:ind w:firstLine="720"/>
        <w:jc w:val="both"/>
        <w:divId w:val="1461265068"/>
        <w:rPr>
          <w:rFonts w:eastAsia="Times New Roman"/>
        </w:rPr>
      </w:pPr>
      <w:r>
        <w:rPr>
          <w:rFonts w:eastAsia="Times New Roman"/>
          <w:color w:val="000000"/>
          <w:sz w:val="20"/>
          <w:szCs w:val="20"/>
        </w:rPr>
        <w:t>We believe that our develop</w:t>
      </w:r>
      <w:r>
        <w:rPr>
          <w:rFonts w:eastAsia="Times New Roman"/>
          <w:color w:val="000000"/>
          <w:sz w:val="20"/>
          <w:szCs w:val="20"/>
        </w:rPr>
        <w:t>ment and redevelopment activities generate favorable risk-adjusted returns over the long run. However, in the short run, our earnings are diluted during the construction and stabilization period due to the cost of capital to fund the development cost, as w</w:t>
      </w:r>
      <w:r>
        <w:rPr>
          <w:rFonts w:eastAsia="Times New Roman"/>
          <w:color w:val="000000"/>
          <w:sz w:val="20"/>
          <w:szCs w:val="20"/>
        </w:rPr>
        <w:t xml:space="preserve">ell as the related construction and development overhead expenses included in general and administrative expense. </w:t>
      </w:r>
    </w:p>
    <w:p w:rsidR="00000000" w:rsidRDefault="00473C5F">
      <w:pPr>
        <w:ind w:firstLine="720"/>
        <w:jc w:val="both"/>
        <w:divId w:val="871259360"/>
        <w:rPr>
          <w:rFonts w:eastAsia="Times New Roman"/>
        </w:rPr>
      </w:pPr>
      <w:r>
        <w:rPr>
          <w:rFonts w:eastAsia="Times New Roman"/>
          <w:color w:val="000000"/>
          <w:sz w:val="20"/>
          <w:szCs w:val="20"/>
        </w:rPr>
        <w:t>We typically underwrite new developments to stabilize at approximately an 8.0% NOI yield on cost. Our developed facilities have thus far leas</w:t>
      </w:r>
      <w:r>
        <w:rPr>
          <w:rFonts w:eastAsia="Times New Roman"/>
          <w:color w:val="000000"/>
          <w:sz w:val="20"/>
          <w:szCs w:val="20"/>
        </w:rPr>
        <w:t>ed up as expected and are at various stages of their revenue stabilization periods. The actual annualized yields that we may achieve on these facilities upon stabilization will depend on many factors, including local and current market conditions in the vi</w:t>
      </w:r>
      <w:r>
        <w:rPr>
          <w:rFonts w:eastAsia="Times New Roman"/>
          <w:color w:val="000000"/>
          <w:sz w:val="20"/>
          <w:szCs w:val="20"/>
        </w:rPr>
        <w:t>cinity of each property and the level of new and existing supply.</w:t>
      </w:r>
    </w:p>
    <w:p w:rsidR="00000000" w:rsidRDefault="00473C5F">
      <w:pPr>
        <w:ind w:firstLine="720"/>
        <w:jc w:val="both"/>
        <w:divId w:val="821315926"/>
        <w:rPr>
          <w:rFonts w:eastAsia="Times New Roman"/>
        </w:rPr>
      </w:pPr>
      <w:r>
        <w:rPr>
          <w:rFonts w:eastAsia="Times New Roman"/>
          <w:color w:val="000000"/>
          <w:sz w:val="20"/>
          <w:szCs w:val="20"/>
        </w:rPr>
        <w:t xml:space="preserve">The facilities under “expansions completed” represent those facilities where the expansions have been completed at December 31, 2022. We incurred a total of $709.9 million in direct cost to </w:t>
      </w:r>
      <w:r>
        <w:rPr>
          <w:rFonts w:eastAsia="Times New Roman"/>
          <w:color w:val="000000"/>
          <w:sz w:val="20"/>
          <w:szCs w:val="20"/>
        </w:rPr>
        <w:t xml:space="preserve">expand these facilities, demolished a total of 1.2 million net rentable square feet of storage space, and built a total of 6.3 million net rentable square feet of new storage space. </w:t>
      </w:r>
    </w:p>
    <w:p w:rsidR="00000000" w:rsidRDefault="00473C5F">
      <w:pPr>
        <w:ind w:firstLine="720"/>
        <w:jc w:val="both"/>
        <w:divId w:val="77530678"/>
        <w:rPr>
          <w:rFonts w:eastAsia="Times New Roman"/>
        </w:rPr>
      </w:pPr>
      <w:r>
        <w:rPr>
          <w:rFonts w:eastAsia="Times New Roman"/>
          <w:color w:val="000000"/>
          <w:sz w:val="20"/>
          <w:szCs w:val="20"/>
        </w:rPr>
        <w:t>At December 31, 2022, we had 22 additional facilities in development, whi</w:t>
      </w:r>
      <w:r>
        <w:rPr>
          <w:rFonts w:eastAsia="Times New Roman"/>
          <w:color w:val="000000"/>
          <w:sz w:val="20"/>
          <w:szCs w:val="20"/>
        </w:rPr>
        <w:t xml:space="preserve">ch will have a total of 2.1 million net rentable square feet of storage space and have an aggregate development cost totaling approximately $492.3 million. We expect these facilities to open over the next 18 to 24 months. </w:t>
      </w:r>
    </w:p>
    <w:p w:rsidR="00000000" w:rsidRDefault="00473C5F">
      <w:pPr>
        <w:ind w:firstLine="720"/>
        <w:jc w:val="both"/>
        <w:divId w:val="1577934681"/>
        <w:rPr>
          <w:rFonts w:eastAsia="Times New Roman"/>
        </w:rPr>
      </w:pPr>
      <w:r>
        <w:rPr>
          <w:rFonts w:eastAsia="Times New Roman"/>
          <w:color w:val="000000"/>
          <w:sz w:val="20"/>
          <w:szCs w:val="20"/>
        </w:rPr>
        <w:t>The facilities under “expansion i</w:t>
      </w:r>
      <w:r>
        <w:rPr>
          <w:rFonts w:eastAsia="Times New Roman"/>
          <w:color w:val="000000"/>
          <w:sz w:val="20"/>
          <w:szCs w:val="20"/>
        </w:rPr>
        <w:t>n process” represent those facilities where construction is in process at December 31, 2022, and together with additional future expansion activities primarily related to our Same Store Facilities at December 31, 2022, we expect to add a total of 2.5 milli</w:t>
      </w:r>
      <w:r>
        <w:rPr>
          <w:rFonts w:eastAsia="Times New Roman"/>
          <w:color w:val="000000"/>
          <w:sz w:val="20"/>
          <w:szCs w:val="20"/>
        </w:rPr>
        <w:t xml:space="preserve">on net rentable square feet of storage space by expanding existing self-storage facilities for an aggregate direct development cost of $487.3 million. </w:t>
      </w:r>
    </w:p>
    <w:p w:rsidR="00000000" w:rsidRDefault="00473C5F">
      <w:pPr>
        <w:jc w:val="both"/>
        <w:divId w:val="171453452"/>
        <w:rPr>
          <w:rFonts w:eastAsia="Times New Roman"/>
        </w:rPr>
      </w:pPr>
    </w:p>
    <w:p w:rsidR="00000000" w:rsidRDefault="00473C5F">
      <w:pPr>
        <w:jc w:val="center"/>
        <w:divId w:val="1712655162"/>
        <w:rPr>
          <w:rFonts w:eastAsia="Times New Roman"/>
        </w:rPr>
      </w:pPr>
      <w:r>
        <w:rPr>
          <w:rFonts w:eastAsia="Times New Roman"/>
          <w:color w:val="000000"/>
          <w:sz w:val="20"/>
          <w:szCs w:val="20"/>
        </w:rPr>
        <w:t>42</w:t>
      </w:r>
    </w:p>
    <w:p w:rsidR="00000000" w:rsidRDefault="00473C5F">
      <w:pPr>
        <w:rPr>
          <w:rFonts w:eastAsia="Times New Roman"/>
        </w:rPr>
      </w:pPr>
      <w:r>
        <w:rPr>
          <w:rFonts w:eastAsia="Times New Roman"/>
        </w:rPr>
        <w:pict>
          <v:rect id="_x0000_i1069" style="width:0;height:1.5pt" o:hralign="center" o:hrstd="t" o:hr="t" fillcolor="#a0a0a0" stroked="f"/>
        </w:pict>
      </w:r>
    </w:p>
    <w:p w:rsidR="00000000" w:rsidRDefault="00473C5F">
      <w:pPr>
        <w:divId w:val="1731464723"/>
        <w:rPr>
          <w:rFonts w:eastAsia="Times New Roman"/>
        </w:rPr>
      </w:pPr>
    </w:p>
    <w:p w:rsidR="00000000" w:rsidRDefault="00473C5F">
      <w:pPr>
        <w:jc w:val="both"/>
        <w:divId w:val="1920601104"/>
        <w:rPr>
          <w:rFonts w:eastAsia="Times New Roman"/>
        </w:rPr>
      </w:pPr>
      <w:r>
        <w:rPr>
          <w:rFonts w:eastAsia="Times New Roman"/>
          <w:b/>
          <w:bCs/>
          <w:i/>
          <w:iCs/>
          <w:color w:val="000000"/>
          <w:sz w:val="20"/>
          <w:szCs w:val="20"/>
          <w:u w:val="single"/>
        </w:rPr>
        <w:t>Other Non-Same Store Facilities</w:t>
      </w:r>
    </w:p>
    <w:p w:rsidR="00000000" w:rsidRDefault="00473C5F">
      <w:pPr>
        <w:ind w:firstLine="720"/>
        <w:jc w:val="both"/>
        <w:divId w:val="1288664147"/>
        <w:rPr>
          <w:rFonts w:eastAsia="Times New Roman"/>
        </w:rPr>
      </w:pPr>
      <w:r>
        <w:rPr>
          <w:rFonts w:eastAsia="Times New Roman"/>
          <w:color w:val="000000"/>
          <w:sz w:val="20"/>
          <w:szCs w:val="20"/>
        </w:rPr>
        <w:t>The “Other Non-Same Store Fa</w:t>
      </w:r>
      <w:r>
        <w:rPr>
          <w:rFonts w:eastAsia="Times New Roman"/>
          <w:color w:val="000000"/>
          <w:sz w:val="20"/>
          <w:szCs w:val="20"/>
        </w:rPr>
        <w:t>cilities” represent facilities which, while not newly acquired, developed, or expanded, are not fully stabilized since January 1, 2020, including facilities undergoing fill-up as well as facilities damaged in casualty events such as hurricanes, floods, and</w:t>
      </w:r>
      <w:r>
        <w:rPr>
          <w:rFonts w:eastAsia="Times New Roman"/>
          <w:color w:val="000000"/>
          <w:sz w:val="20"/>
          <w:szCs w:val="20"/>
        </w:rPr>
        <w:t xml:space="preserve"> fires. </w:t>
      </w:r>
    </w:p>
    <w:p w:rsidR="00000000" w:rsidRDefault="00473C5F">
      <w:pPr>
        <w:ind w:firstLine="720"/>
        <w:jc w:val="both"/>
        <w:divId w:val="1069115992"/>
        <w:rPr>
          <w:rFonts w:eastAsia="Times New Roman"/>
        </w:rPr>
      </w:pPr>
      <w:r>
        <w:rPr>
          <w:rFonts w:eastAsia="Times New Roman"/>
          <w:color w:val="000000"/>
          <w:sz w:val="20"/>
          <w:szCs w:val="20"/>
        </w:rPr>
        <w:t>The Other Non-Same Store Facilities have an aggregate of 5.7 million net rentable square feet, including 1.1 million in Texas, 0.6 million in each of Florida and Washington, 0.4 million in each of California and Virginia, 0.3 million in each of In</w:t>
      </w:r>
      <w:r>
        <w:rPr>
          <w:rFonts w:eastAsia="Times New Roman"/>
          <w:color w:val="000000"/>
          <w:sz w:val="20"/>
          <w:szCs w:val="20"/>
        </w:rPr>
        <w:t xml:space="preserve">diana and South Carolina, 0.2 million in each of Arizona, Georgia, Kentucky, Massachusetts, and Tennessee, and 1.0 million in other states. </w:t>
      </w:r>
    </w:p>
    <w:p w:rsidR="00000000" w:rsidRDefault="00473C5F">
      <w:pPr>
        <w:ind w:firstLine="720"/>
        <w:jc w:val="both"/>
        <w:divId w:val="1504857020"/>
        <w:rPr>
          <w:rFonts w:eastAsia="Times New Roman"/>
        </w:rPr>
      </w:pPr>
      <w:r>
        <w:rPr>
          <w:rFonts w:eastAsia="Times New Roman"/>
          <w:color w:val="000000"/>
          <w:sz w:val="20"/>
          <w:szCs w:val="20"/>
        </w:rPr>
        <w:t>During 2022, 2021, and 2020, the average occupancy for these facilities totaled 91.4%, 92.7%, and 85.5%, respective</w:t>
      </w:r>
      <w:r>
        <w:rPr>
          <w:rFonts w:eastAsia="Times New Roman"/>
          <w:color w:val="000000"/>
          <w:sz w:val="20"/>
          <w:szCs w:val="20"/>
        </w:rPr>
        <w:t>ly, and the realized rent per occupied square foot totaled $18.42, $14.61, and $12.69, respectively.</w:t>
      </w:r>
    </w:p>
    <w:p w:rsidR="00000000" w:rsidRDefault="00473C5F">
      <w:pPr>
        <w:jc w:val="both"/>
        <w:divId w:val="117839578"/>
        <w:rPr>
          <w:rFonts w:eastAsia="Times New Roman"/>
        </w:rPr>
      </w:pPr>
      <w:r>
        <w:rPr>
          <w:rFonts w:eastAsia="Times New Roman"/>
          <w:b/>
          <w:bCs/>
          <w:i/>
          <w:iCs/>
          <w:color w:val="000000"/>
          <w:sz w:val="20"/>
          <w:szCs w:val="20"/>
          <w:u w:val="single"/>
        </w:rPr>
        <w:t>Depreciation and amortization expense</w:t>
      </w:r>
    </w:p>
    <w:p w:rsidR="00000000" w:rsidRDefault="00473C5F">
      <w:pPr>
        <w:ind w:firstLine="720"/>
        <w:jc w:val="both"/>
        <w:divId w:val="927999205"/>
        <w:rPr>
          <w:rFonts w:eastAsia="Times New Roman"/>
        </w:rPr>
      </w:pPr>
      <w:r>
        <w:rPr>
          <w:rFonts w:eastAsia="Times New Roman"/>
          <w:color w:val="000000"/>
          <w:sz w:val="20"/>
          <w:szCs w:val="20"/>
        </w:rPr>
        <w:t>Depreciation and amortization expense for Self-Storage Operations increased $174.7 million in 2022 as compared to 202</w:t>
      </w:r>
      <w:r>
        <w:rPr>
          <w:rFonts w:eastAsia="Times New Roman"/>
          <w:color w:val="000000"/>
          <w:sz w:val="20"/>
          <w:szCs w:val="20"/>
        </w:rPr>
        <w:t>1 and increased $160.2 million in 2021 as compared to 2020, primarily due to newly acquired facilities of $5.1 billion in 2021. We expect continued increases in depreciation expense in 2023 as a result of elevated levels of capital expenditures and new fac</w:t>
      </w:r>
      <w:r>
        <w:rPr>
          <w:rFonts w:eastAsia="Times New Roman"/>
          <w:color w:val="000000"/>
          <w:sz w:val="20"/>
          <w:szCs w:val="20"/>
        </w:rPr>
        <w:t>ilities that are acquired, developed or expanded in 2023.</w:t>
      </w:r>
    </w:p>
    <w:p w:rsidR="00000000" w:rsidRDefault="00473C5F">
      <w:pPr>
        <w:ind w:firstLine="720"/>
        <w:jc w:val="both"/>
        <w:divId w:val="1802923678"/>
        <w:rPr>
          <w:rFonts w:eastAsia="Times New Roman"/>
        </w:rPr>
      </w:pPr>
    </w:p>
    <w:p w:rsidR="00000000" w:rsidRDefault="00473C5F">
      <w:pPr>
        <w:jc w:val="center"/>
        <w:divId w:val="1303266248"/>
        <w:rPr>
          <w:rFonts w:eastAsia="Times New Roman"/>
        </w:rPr>
      </w:pPr>
      <w:r>
        <w:rPr>
          <w:rFonts w:eastAsia="Times New Roman"/>
          <w:color w:val="000000"/>
          <w:sz w:val="20"/>
          <w:szCs w:val="20"/>
        </w:rPr>
        <w:t>43</w:t>
      </w:r>
    </w:p>
    <w:p w:rsidR="00000000" w:rsidRDefault="00473C5F">
      <w:pPr>
        <w:rPr>
          <w:rFonts w:eastAsia="Times New Roman"/>
        </w:rPr>
      </w:pPr>
      <w:r>
        <w:rPr>
          <w:rFonts w:eastAsia="Times New Roman"/>
        </w:rPr>
        <w:pict>
          <v:rect id="_x0000_i1070" style="width:0;height:1.5pt" o:hralign="center" o:hrstd="t" o:hr="t" fillcolor="#a0a0a0" stroked="f"/>
        </w:pict>
      </w:r>
    </w:p>
    <w:p w:rsidR="00000000" w:rsidRDefault="00473C5F">
      <w:pPr>
        <w:divId w:val="1755711666"/>
        <w:rPr>
          <w:rFonts w:eastAsia="Times New Roman"/>
        </w:rPr>
      </w:pPr>
    </w:p>
    <w:p w:rsidR="00000000" w:rsidRDefault="00473C5F">
      <w:pPr>
        <w:ind w:firstLine="720"/>
        <w:jc w:val="both"/>
        <w:divId w:val="467432099"/>
        <w:rPr>
          <w:rFonts w:eastAsia="Times New Roman"/>
        </w:rPr>
      </w:pPr>
      <w:r>
        <w:rPr>
          <w:rFonts w:eastAsia="Times New Roman"/>
          <w:color w:val="000000"/>
          <w:sz w:val="20"/>
          <w:szCs w:val="20"/>
        </w:rPr>
        <w:t>The following discussion and analysis of the components of net income, including Ancillary Operations and items not allocated to segments, present a compa</w:t>
      </w:r>
      <w:r>
        <w:rPr>
          <w:rFonts w:eastAsia="Times New Roman"/>
          <w:color w:val="000000"/>
          <w:sz w:val="20"/>
          <w:szCs w:val="20"/>
        </w:rPr>
        <w:t>rison for the year ended December 31, 2022 to the year ended December 31, 2021. The results of these components for the years ended December 31, 2021 compared to December 31, 2020 was included in our Annual Report on Form 10-K for the year ended December 3</w:t>
      </w:r>
      <w:r>
        <w:rPr>
          <w:rFonts w:eastAsia="Times New Roman"/>
          <w:color w:val="000000"/>
          <w:sz w:val="20"/>
          <w:szCs w:val="20"/>
        </w:rPr>
        <w:t>1, 2021 on page 23, under Part II, Item 7, “Management’s Discussion and Analysis of Financial Condition and Results of Operations,” which was filed with the SEC on February 22, 2022.</w:t>
      </w:r>
    </w:p>
    <w:p w:rsidR="00000000" w:rsidRDefault="00473C5F">
      <w:pPr>
        <w:jc w:val="both"/>
        <w:divId w:val="1985818400"/>
        <w:rPr>
          <w:rFonts w:eastAsia="Times New Roman"/>
        </w:rPr>
      </w:pPr>
      <w:r>
        <w:rPr>
          <w:rFonts w:eastAsia="Times New Roman"/>
          <w:b/>
          <w:bCs/>
          <w:color w:val="000000"/>
          <w:sz w:val="20"/>
          <w:szCs w:val="20"/>
        </w:rPr>
        <w:t>Ancillary Operations</w:t>
      </w:r>
    </w:p>
    <w:p w:rsidR="00000000" w:rsidRDefault="00473C5F">
      <w:pPr>
        <w:ind w:firstLine="720"/>
        <w:jc w:val="both"/>
        <w:divId w:val="2045859213"/>
        <w:rPr>
          <w:rFonts w:eastAsia="Times New Roman"/>
        </w:rPr>
      </w:pPr>
      <w:r>
        <w:rPr>
          <w:rFonts w:eastAsia="Times New Roman"/>
          <w:color w:val="000000"/>
          <w:sz w:val="20"/>
          <w:szCs w:val="20"/>
        </w:rPr>
        <w:t>Ancillary revenues and expenses include amounts asso</w:t>
      </w:r>
      <w:r>
        <w:rPr>
          <w:rFonts w:eastAsia="Times New Roman"/>
          <w:color w:val="000000"/>
          <w:sz w:val="20"/>
          <w:szCs w:val="20"/>
        </w:rPr>
        <w:t>ciated with the reinsurance of policies against losses to goods stored by tenants in our self-storage facilities, sale of merchandise at our self-storage facilities, and management of property owned by unrelated third parties. The following table sets fort</w:t>
      </w:r>
      <w:r>
        <w:rPr>
          <w:rFonts w:eastAsia="Times New Roman"/>
          <w:color w:val="000000"/>
          <w:sz w:val="20"/>
          <w:szCs w:val="20"/>
        </w:rPr>
        <w:t>h our ancillary operations:</w:t>
      </w:r>
      <w:r>
        <w:rPr>
          <w:rFonts w:eastAsia="Times New Roman"/>
          <w:color w:val="000000"/>
          <w:sz w:val="2"/>
          <w:szCs w:val="2"/>
        </w:rPr>
        <w:t xml:space="preserve"> </w:t>
      </w:r>
    </w:p>
    <w:tbl>
      <w:tblPr>
        <w:tblW w:w="4962" w:type="pct"/>
        <w:jc w:val="center"/>
        <w:tblCellMar>
          <w:top w:w="15" w:type="dxa"/>
          <w:left w:w="15" w:type="dxa"/>
          <w:bottom w:w="15" w:type="dxa"/>
          <w:right w:w="15" w:type="dxa"/>
        </w:tblCellMar>
        <w:tblLook w:val="04A0" w:firstRow="1" w:lastRow="0" w:firstColumn="1" w:lastColumn="0" w:noHBand="0" w:noVBand="1"/>
      </w:tblPr>
      <w:tblGrid>
        <w:gridCol w:w="39"/>
        <w:gridCol w:w="3498"/>
        <w:gridCol w:w="37"/>
        <w:gridCol w:w="36"/>
        <w:gridCol w:w="36"/>
        <w:gridCol w:w="36"/>
        <w:gridCol w:w="36"/>
        <w:gridCol w:w="36"/>
        <w:gridCol w:w="36"/>
        <w:gridCol w:w="36"/>
        <w:gridCol w:w="36"/>
        <w:gridCol w:w="36"/>
        <w:gridCol w:w="36"/>
        <w:gridCol w:w="36"/>
        <w:gridCol w:w="36"/>
        <w:gridCol w:w="122"/>
        <w:gridCol w:w="1209"/>
        <w:gridCol w:w="38"/>
        <w:gridCol w:w="37"/>
        <w:gridCol w:w="37"/>
        <w:gridCol w:w="37"/>
        <w:gridCol w:w="121"/>
        <w:gridCol w:w="1166"/>
        <w:gridCol w:w="37"/>
        <w:gridCol w:w="36"/>
        <w:gridCol w:w="36"/>
        <w:gridCol w:w="36"/>
        <w:gridCol w:w="121"/>
        <w:gridCol w:w="1168"/>
        <w:gridCol w:w="36"/>
      </w:tblGrid>
      <w:tr w:rsidR="00000000">
        <w:trPr>
          <w:jc w:val="center"/>
        </w:trPr>
        <w:tc>
          <w:tcPr>
            <w:tcW w:w="50" w:type="pct"/>
            <w:vAlign w:val="center"/>
            <w:hideMark/>
          </w:tcPr>
          <w:p w:rsidR="00000000" w:rsidRDefault="00473C5F">
            <w:pPr>
              <w:ind w:firstLine="720"/>
              <w:jc w:val="both"/>
              <w:rPr>
                <w:rFonts w:eastAsia="Times New Roman"/>
              </w:rPr>
            </w:pPr>
          </w:p>
        </w:tc>
        <w:tc>
          <w:tcPr>
            <w:tcW w:w="228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80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80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80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 Ended December 31,</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(Amounts in thousands)</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Revenues: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Tenant reinsurance premiums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188,201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166,585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21,616</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Merchandise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28,303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28,466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(163)</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Third party property management</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19,631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17,207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2,424</w:t>
            </w: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Total revenues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236,135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212,258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23,877</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Cost of operations: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Tenant reinsurance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36,830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33,932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2,898</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Merchandise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17,113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17,274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(161)</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Third party property management</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18,755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17,362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1,393</w:t>
            </w: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Total cost of operations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72,698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68,568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4,130</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Net operating income (loss):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Tenant reinsurance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151,371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132,653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18,718</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Merchandise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11,190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11,192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Third party property management</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876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1,031</w:t>
            </w:r>
          </w:p>
        </w:tc>
      </w:tr>
      <w:tr w:rsidR="00000000">
        <w:trPr>
          <w:jc w:val="center"/>
        </w:trPr>
        <w:tc>
          <w:tcPr>
            <w:tcW w:w="0" w:type="auto"/>
            <w:gridSpan w:val="3"/>
            <w:tcMar>
              <w:top w:w="30" w:type="dxa"/>
              <w:left w:w="44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Total net operating income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163,437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143,690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19,747</w:t>
            </w:r>
          </w:p>
        </w:tc>
      </w:tr>
    </w:tbl>
    <w:p w:rsidR="00000000" w:rsidRDefault="00473C5F">
      <w:pPr>
        <w:ind w:firstLine="720"/>
        <w:jc w:val="both"/>
        <w:divId w:val="662779320"/>
        <w:rPr>
          <w:rFonts w:eastAsia="Times New Roman"/>
        </w:rPr>
      </w:pPr>
      <w:r>
        <w:rPr>
          <w:rFonts w:eastAsia="Times New Roman"/>
          <w:b/>
          <w:bCs/>
          <w:i/>
          <w:iCs/>
          <w:color w:val="000000"/>
          <w:sz w:val="20"/>
          <w:szCs w:val="20"/>
        </w:rPr>
        <w:t>Tenant r</w:t>
      </w:r>
      <w:r>
        <w:rPr>
          <w:rFonts w:eastAsia="Times New Roman"/>
          <w:b/>
          <w:bCs/>
          <w:i/>
          <w:iCs/>
          <w:color w:val="000000"/>
          <w:sz w:val="20"/>
          <w:szCs w:val="20"/>
        </w:rPr>
        <w:t xml:space="preserve">einsurance operations: </w:t>
      </w:r>
      <w:r>
        <w:rPr>
          <w:rFonts w:eastAsia="Times New Roman"/>
          <w:color w:val="000000"/>
          <w:sz w:val="20"/>
          <w:szCs w:val="20"/>
        </w:rPr>
        <w:t>Tenant reinsurance premium revenue increased $21.6 million or 13.0% in 2022 over 2021, as a result of an increase in our tenant base with respect to acquired, newly developed, and expanded facilities and the third party properties we</w:t>
      </w:r>
      <w:r>
        <w:rPr>
          <w:rFonts w:eastAsia="Times New Roman"/>
          <w:color w:val="000000"/>
          <w:sz w:val="20"/>
          <w:szCs w:val="20"/>
        </w:rPr>
        <w:t xml:space="preserve"> manage. Tenant reinsurance premium revenue generated from tenants at our Same-Store Facilities were $139.0 million and $133.9 million in 2022 and 2021, respectively, representing a 3.8% year over year increase in 2022.</w:t>
      </w:r>
    </w:p>
    <w:p w:rsidR="00000000" w:rsidRDefault="00473C5F">
      <w:pPr>
        <w:ind w:firstLine="720"/>
        <w:jc w:val="both"/>
        <w:divId w:val="2052222521"/>
        <w:rPr>
          <w:rFonts w:eastAsia="Times New Roman"/>
        </w:rPr>
      </w:pPr>
      <w:r>
        <w:rPr>
          <w:rFonts w:eastAsia="Times New Roman"/>
          <w:color w:val="000000"/>
          <w:sz w:val="20"/>
          <w:szCs w:val="20"/>
        </w:rPr>
        <w:t>We expect future growth will come pr</w:t>
      </w:r>
      <w:r>
        <w:rPr>
          <w:rFonts w:eastAsia="Times New Roman"/>
          <w:color w:val="000000"/>
          <w:sz w:val="20"/>
          <w:szCs w:val="20"/>
        </w:rPr>
        <w:t>imarily from customers of newly acquired and developed facilities, as well as additional tenants at our existing unstabilized self-storage facilities.</w:t>
      </w:r>
    </w:p>
    <w:p w:rsidR="00000000" w:rsidRDefault="00473C5F">
      <w:pPr>
        <w:ind w:firstLine="720"/>
        <w:jc w:val="both"/>
        <w:divId w:val="1002929745"/>
        <w:rPr>
          <w:rFonts w:eastAsia="Times New Roman"/>
        </w:rPr>
      </w:pPr>
      <w:r>
        <w:rPr>
          <w:rFonts w:eastAsia="Times New Roman"/>
          <w:color w:val="000000"/>
          <w:sz w:val="20"/>
          <w:szCs w:val="20"/>
        </w:rPr>
        <w:t xml:space="preserve">Cost of operations primarily includes claims paid as well as claims adjustment expenses. Claims expenses </w:t>
      </w:r>
      <w:r>
        <w:rPr>
          <w:rFonts w:eastAsia="Times New Roman"/>
          <w:color w:val="000000"/>
          <w:sz w:val="20"/>
          <w:szCs w:val="20"/>
        </w:rPr>
        <w:t xml:space="preserve">vary based upon the number of insured tenants and the volume of events that drive covered customer losses, such as burglary, as well as catastrophic weather events affecting multiple properties such as hurricanes and floods. Included in cost of operations </w:t>
      </w:r>
      <w:r>
        <w:rPr>
          <w:rFonts w:eastAsia="Times New Roman"/>
          <w:color w:val="000000"/>
          <w:sz w:val="20"/>
          <w:szCs w:val="20"/>
        </w:rPr>
        <w:t>are $2.7 million of estimated claims costs related to Hurricane Ian for 2022, as compared to $2.0 million of estimated claims costs related to Hurricane Ida for 2021.</w:t>
      </w:r>
    </w:p>
    <w:p w:rsidR="00000000" w:rsidRDefault="00473C5F">
      <w:pPr>
        <w:ind w:firstLine="720"/>
        <w:jc w:val="both"/>
        <w:divId w:val="140125303"/>
        <w:rPr>
          <w:rFonts w:eastAsia="Times New Roman"/>
        </w:rPr>
      </w:pPr>
      <w:r>
        <w:rPr>
          <w:rFonts w:eastAsia="Times New Roman"/>
          <w:b/>
          <w:bCs/>
          <w:i/>
          <w:iCs/>
          <w:color w:val="000000"/>
          <w:sz w:val="20"/>
          <w:szCs w:val="20"/>
        </w:rPr>
        <w:t>Merchandise sales:</w:t>
      </w:r>
      <w:r>
        <w:rPr>
          <w:rFonts w:eastAsia="Times New Roman"/>
          <w:i/>
          <w:iCs/>
          <w:color w:val="000000"/>
          <w:sz w:val="20"/>
          <w:szCs w:val="20"/>
        </w:rPr>
        <w:t xml:space="preserve"> </w:t>
      </w:r>
      <w:r>
        <w:rPr>
          <w:rFonts w:eastAsia="Times New Roman"/>
          <w:color w:val="000000"/>
          <w:sz w:val="20"/>
          <w:szCs w:val="20"/>
        </w:rPr>
        <w:t>Sales of locks, boxes, and packing supplies at our self-storage facili</w:t>
      </w:r>
      <w:r>
        <w:rPr>
          <w:rFonts w:eastAsia="Times New Roman"/>
          <w:color w:val="000000"/>
          <w:sz w:val="20"/>
          <w:szCs w:val="20"/>
        </w:rPr>
        <w:t>ties are primarily impacted by the level of move-ins and other customer traffic at our self-storage facilities. We do not expect any significant changes in revenues or profitability from our merchandise sales in 2023.</w:t>
      </w:r>
    </w:p>
    <w:p w:rsidR="00000000" w:rsidRDefault="00473C5F">
      <w:pPr>
        <w:ind w:firstLine="720"/>
        <w:jc w:val="both"/>
        <w:divId w:val="6907835"/>
        <w:rPr>
          <w:rFonts w:eastAsia="Times New Roman"/>
        </w:rPr>
      </w:pPr>
      <w:r>
        <w:rPr>
          <w:rFonts w:eastAsia="Times New Roman"/>
          <w:b/>
          <w:bCs/>
          <w:i/>
          <w:iCs/>
          <w:color w:val="000000"/>
          <w:sz w:val="20"/>
          <w:szCs w:val="20"/>
        </w:rPr>
        <w:t xml:space="preserve">Third-party property management: </w:t>
      </w:r>
      <w:r>
        <w:rPr>
          <w:rFonts w:eastAsia="Times New Roman"/>
          <w:color w:val="000000"/>
          <w:sz w:val="20"/>
          <w:szCs w:val="20"/>
        </w:rPr>
        <w:t xml:space="preserve">At December 31, 2022, in our third-party property management program, we managed 114 facilities for unrelated third parties, and were under contract to manage 78 additional facilities including 73 </w:t>
      </w:r>
    </w:p>
    <w:p w:rsidR="00000000" w:rsidRDefault="00473C5F">
      <w:pPr>
        <w:jc w:val="center"/>
        <w:divId w:val="172302258"/>
        <w:rPr>
          <w:rFonts w:eastAsia="Times New Roman"/>
        </w:rPr>
      </w:pPr>
      <w:r>
        <w:rPr>
          <w:rFonts w:eastAsia="Times New Roman"/>
          <w:color w:val="000000"/>
          <w:sz w:val="20"/>
          <w:szCs w:val="20"/>
        </w:rPr>
        <w:t>44</w:t>
      </w:r>
    </w:p>
    <w:p w:rsidR="00000000" w:rsidRDefault="00473C5F">
      <w:pPr>
        <w:rPr>
          <w:rFonts w:eastAsia="Times New Roman"/>
        </w:rPr>
      </w:pPr>
      <w:r>
        <w:rPr>
          <w:rFonts w:eastAsia="Times New Roman"/>
        </w:rPr>
        <w:pict>
          <v:rect id="_x0000_i1071" style="width:0;height:1.5pt" o:hralign="center" o:hrstd="t" o:hr="t" fillcolor="#a0a0a0" stroked="f"/>
        </w:pict>
      </w:r>
    </w:p>
    <w:p w:rsidR="00000000" w:rsidRDefault="00473C5F">
      <w:pPr>
        <w:divId w:val="878277106"/>
        <w:rPr>
          <w:rFonts w:eastAsia="Times New Roman"/>
        </w:rPr>
      </w:pPr>
    </w:p>
    <w:p w:rsidR="00000000" w:rsidRDefault="00473C5F">
      <w:pPr>
        <w:jc w:val="both"/>
        <w:divId w:val="359821109"/>
        <w:rPr>
          <w:rFonts w:eastAsia="Times New Roman"/>
        </w:rPr>
      </w:pPr>
      <w:r>
        <w:rPr>
          <w:rFonts w:eastAsia="Times New Roman"/>
          <w:color w:val="000000"/>
          <w:sz w:val="20"/>
          <w:szCs w:val="20"/>
        </w:rPr>
        <w:t>facilities that are currently under construction. During 2022, we added 60 facilities to the program, acquired three facilities from the program, and had 17 properties exit the program due to sales to other buyers. Whi</w:t>
      </w:r>
      <w:r>
        <w:rPr>
          <w:rFonts w:eastAsia="Times New Roman"/>
          <w:color w:val="000000"/>
          <w:sz w:val="20"/>
          <w:szCs w:val="20"/>
        </w:rPr>
        <w:t>le we expect this business to increase in scope and size, we do not expect any significant changes in overall profitability of this business in the near term as we seek new properties to manage and are in the earlier stages of fill-up for newly managed pro</w:t>
      </w:r>
      <w:r>
        <w:rPr>
          <w:rFonts w:eastAsia="Times New Roman"/>
          <w:color w:val="000000"/>
          <w:sz w:val="20"/>
          <w:szCs w:val="20"/>
        </w:rPr>
        <w:t>perties.</w:t>
      </w:r>
    </w:p>
    <w:p w:rsidR="00000000" w:rsidRDefault="00473C5F">
      <w:pPr>
        <w:jc w:val="both"/>
        <w:divId w:val="1985351683"/>
        <w:rPr>
          <w:rFonts w:eastAsia="Times New Roman"/>
        </w:rPr>
      </w:pPr>
      <w:r>
        <w:rPr>
          <w:rFonts w:eastAsia="Times New Roman"/>
          <w:b/>
          <w:bCs/>
          <w:color w:val="000000"/>
          <w:sz w:val="20"/>
          <w:szCs w:val="20"/>
        </w:rPr>
        <w:t>Analysis of items not allocated to segments</w:t>
      </w:r>
    </w:p>
    <w:p w:rsidR="00000000" w:rsidRDefault="00473C5F">
      <w:pPr>
        <w:jc w:val="both"/>
        <w:divId w:val="1542790112"/>
        <w:rPr>
          <w:rFonts w:eastAsia="Times New Roman"/>
        </w:rPr>
      </w:pPr>
      <w:r>
        <w:rPr>
          <w:rFonts w:eastAsia="Times New Roman"/>
          <w:b/>
          <w:bCs/>
          <w:i/>
          <w:iCs/>
          <w:color w:val="000000"/>
          <w:sz w:val="20"/>
          <w:szCs w:val="20"/>
        </w:rPr>
        <w:t>Equity in earnings of unconsolidated real estate entities</w:t>
      </w:r>
    </w:p>
    <w:p w:rsidR="00000000" w:rsidRDefault="00473C5F">
      <w:pPr>
        <w:ind w:firstLine="720"/>
        <w:jc w:val="both"/>
        <w:divId w:val="1618902992"/>
        <w:rPr>
          <w:rFonts w:eastAsia="Times New Roman"/>
        </w:rPr>
      </w:pPr>
      <w:r>
        <w:rPr>
          <w:rFonts w:eastAsia="Times New Roman"/>
          <w:color w:val="000000"/>
          <w:sz w:val="20"/>
          <w:szCs w:val="20"/>
        </w:rPr>
        <w:t>We account for the equity investments in PSB and Shurgard using the equity method and record our pro-rata share of the net income of these entiti</w:t>
      </w:r>
      <w:r>
        <w:rPr>
          <w:rFonts w:eastAsia="Times New Roman"/>
          <w:color w:val="000000"/>
          <w:sz w:val="20"/>
          <w:szCs w:val="20"/>
        </w:rPr>
        <w:t>es. The following table, and the discussion below, sets forth our equity in earnings of unconsolidated real estate entities:</w:t>
      </w:r>
    </w:p>
    <w:tbl>
      <w:tblPr>
        <w:tblW w:w="4962" w:type="pct"/>
        <w:jc w:val="center"/>
        <w:tblCellMar>
          <w:top w:w="15" w:type="dxa"/>
          <w:left w:w="15" w:type="dxa"/>
          <w:bottom w:w="15" w:type="dxa"/>
          <w:right w:w="15" w:type="dxa"/>
        </w:tblCellMar>
        <w:tblLook w:val="04A0" w:firstRow="1" w:lastRow="0" w:firstColumn="1" w:lastColumn="0" w:noHBand="0" w:noVBand="1"/>
      </w:tblPr>
      <w:tblGrid>
        <w:gridCol w:w="38"/>
        <w:gridCol w:w="3499"/>
        <w:gridCol w:w="37"/>
        <w:gridCol w:w="36"/>
        <w:gridCol w:w="36"/>
        <w:gridCol w:w="36"/>
        <w:gridCol w:w="36"/>
        <w:gridCol w:w="36"/>
        <w:gridCol w:w="36"/>
        <w:gridCol w:w="36"/>
        <w:gridCol w:w="36"/>
        <w:gridCol w:w="36"/>
        <w:gridCol w:w="36"/>
        <w:gridCol w:w="36"/>
        <w:gridCol w:w="36"/>
        <w:gridCol w:w="122"/>
        <w:gridCol w:w="1209"/>
        <w:gridCol w:w="38"/>
        <w:gridCol w:w="37"/>
        <w:gridCol w:w="37"/>
        <w:gridCol w:w="37"/>
        <w:gridCol w:w="121"/>
        <w:gridCol w:w="1166"/>
        <w:gridCol w:w="37"/>
        <w:gridCol w:w="36"/>
        <w:gridCol w:w="36"/>
        <w:gridCol w:w="36"/>
        <w:gridCol w:w="121"/>
        <w:gridCol w:w="1168"/>
        <w:gridCol w:w="36"/>
      </w:tblGrid>
      <w:tr w:rsidR="00000000">
        <w:trPr>
          <w:jc w:val="center"/>
        </w:trPr>
        <w:tc>
          <w:tcPr>
            <w:tcW w:w="50" w:type="pct"/>
            <w:vAlign w:val="center"/>
            <w:hideMark/>
          </w:tcPr>
          <w:p w:rsidR="00000000" w:rsidRDefault="00473C5F">
            <w:pPr>
              <w:ind w:firstLine="720"/>
              <w:jc w:val="both"/>
              <w:rPr>
                <w:rFonts w:eastAsia="Times New Roman"/>
              </w:rPr>
            </w:pPr>
          </w:p>
        </w:tc>
        <w:tc>
          <w:tcPr>
            <w:tcW w:w="228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80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80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80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 Ended December 31,</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(Amounts in thousands)</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Equity in earnings: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PSB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80,596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207,722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(127,126)</w:t>
            </w: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Shurgard</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26,385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24,371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2,014</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Total equity in earnings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106,981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232,093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(125,112)</w:t>
            </w:r>
          </w:p>
        </w:tc>
      </w:tr>
    </w:tbl>
    <w:p w:rsidR="00000000" w:rsidRDefault="00473C5F">
      <w:pPr>
        <w:ind w:firstLine="720"/>
        <w:jc w:val="both"/>
        <w:divId w:val="354425341"/>
        <w:rPr>
          <w:rFonts w:eastAsia="Times New Roman"/>
        </w:rPr>
      </w:pPr>
      <w:r>
        <w:rPr>
          <w:rFonts w:eastAsia="Times New Roman"/>
          <w:b/>
          <w:bCs/>
          <w:i/>
          <w:iCs/>
          <w:color w:val="000000"/>
          <w:sz w:val="20"/>
          <w:szCs w:val="20"/>
        </w:rPr>
        <w:t>Investme</w:t>
      </w:r>
      <w:r>
        <w:rPr>
          <w:rFonts w:eastAsia="Times New Roman"/>
          <w:b/>
          <w:bCs/>
          <w:i/>
          <w:iCs/>
          <w:color w:val="000000"/>
          <w:sz w:val="20"/>
          <w:szCs w:val="20"/>
        </w:rPr>
        <w:t>nt in PSB:</w:t>
      </w:r>
      <w:r>
        <w:rPr>
          <w:rFonts w:eastAsia="Times New Roman"/>
          <w:color w:val="000000"/>
          <w:sz w:val="20"/>
          <w:szCs w:val="20"/>
        </w:rPr>
        <w:t xml:space="preserve"> On April 24, 2022, PSB entered into an Agreement and Plan of Merger whereby affiliates of Blackstone agreed to acquire all outstanding shares of PSB’s common stock for $187.50 per share in cash. On July 20, 2022, PSB announced that it completed </w:t>
      </w:r>
      <w:r>
        <w:rPr>
          <w:rFonts w:eastAsia="Times New Roman"/>
          <w:color w:val="000000"/>
          <w:sz w:val="20"/>
          <w:szCs w:val="20"/>
        </w:rPr>
        <w:t>the merger transaction with Blackstone. Each share of PSB common stock and each common unit of partnership interest we held in PSB were converted into the right to receive the merger consideration of $187.50 per share or unit, including a $5.25 closing cas</w:t>
      </w:r>
      <w:r>
        <w:rPr>
          <w:rFonts w:eastAsia="Times New Roman"/>
          <w:color w:val="000000"/>
          <w:sz w:val="20"/>
          <w:szCs w:val="20"/>
        </w:rPr>
        <w:t>h dividend per share or unit, and a $0.22 prorated quarterly cash dividend per share or unit, for a total of $187.72 per share or unit. At the close of the merger transaction, we received a total of $2.7 billion of cash proceeds and recognized a gain of $2</w:t>
      </w:r>
      <w:r>
        <w:rPr>
          <w:rFonts w:eastAsia="Times New Roman"/>
          <w:color w:val="000000"/>
          <w:sz w:val="20"/>
          <w:szCs w:val="20"/>
        </w:rPr>
        <w:t>.1 billion, which was classified within gain on sale of our equity investment in PS Business Parks, Inc. in the Consolidated Statement of Income. Accordingly, equity in earnings from PSB for the year ended December 31, 2022 reflect activities through the m</w:t>
      </w:r>
      <w:r>
        <w:rPr>
          <w:rFonts w:eastAsia="Times New Roman"/>
          <w:color w:val="000000"/>
          <w:sz w:val="20"/>
          <w:szCs w:val="20"/>
        </w:rPr>
        <w:t>erger date, July 20, 2022.</w:t>
      </w:r>
    </w:p>
    <w:p w:rsidR="00000000" w:rsidRDefault="00473C5F">
      <w:pPr>
        <w:ind w:firstLine="720"/>
        <w:jc w:val="both"/>
        <w:divId w:val="2070641173"/>
        <w:rPr>
          <w:rFonts w:eastAsia="Times New Roman"/>
        </w:rPr>
      </w:pPr>
      <w:r>
        <w:rPr>
          <w:rFonts w:eastAsia="Times New Roman"/>
          <w:color w:val="000000"/>
          <w:sz w:val="20"/>
          <w:szCs w:val="20"/>
        </w:rPr>
        <w:t>Included in our equity earnings from PSB is our equity share of gains on sale of real estate totaling $49.1 million and $149.0 million for the years ended December 31, 2022 and 2021, respectively. Our equity share of earnings fro</w:t>
      </w:r>
      <w:r>
        <w:rPr>
          <w:rFonts w:eastAsia="Times New Roman"/>
          <w:color w:val="000000"/>
          <w:sz w:val="20"/>
          <w:szCs w:val="20"/>
        </w:rPr>
        <w:t>m PSB contributed $57.7 million and $99.3 million to Core FFO in 2022 and 2021, respectively.</w:t>
      </w:r>
    </w:p>
    <w:p w:rsidR="00000000" w:rsidRDefault="00473C5F">
      <w:pPr>
        <w:ind w:firstLine="720"/>
        <w:jc w:val="both"/>
        <w:divId w:val="656614650"/>
        <w:rPr>
          <w:rFonts w:eastAsia="Times New Roman"/>
        </w:rPr>
      </w:pPr>
      <w:r>
        <w:rPr>
          <w:rFonts w:eastAsia="Times New Roman"/>
          <w:color w:val="000000"/>
          <w:sz w:val="20"/>
          <w:szCs w:val="20"/>
        </w:rPr>
        <w:t>As a result of closing the sale of PSB, we will no longer recognize equity in earnings from PSB in the future.</w:t>
      </w:r>
    </w:p>
    <w:p w:rsidR="00000000" w:rsidRDefault="00473C5F">
      <w:pPr>
        <w:ind w:firstLine="720"/>
        <w:jc w:val="both"/>
        <w:divId w:val="555893836"/>
        <w:rPr>
          <w:rFonts w:eastAsia="Times New Roman"/>
        </w:rPr>
      </w:pPr>
      <w:r>
        <w:rPr>
          <w:rFonts w:eastAsia="Times New Roman"/>
          <w:b/>
          <w:bCs/>
          <w:i/>
          <w:iCs/>
          <w:color w:val="000000"/>
          <w:sz w:val="20"/>
          <w:szCs w:val="20"/>
        </w:rPr>
        <w:t>Investment in Shurgard:</w:t>
      </w:r>
      <w:r>
        <w:rPr>
          <w:rFonts w:eastAsia="Times New Roman"/>
          <w:i/>
          <w:iCs/>
          <w:color w:val="000000"/>
          <w:sz w:val="20"/>
          <w:szCs w:val="20"/>
        </w:rPr>
        <w:t xml:space="preserve"> </w:t>
      </w:r>
      <w:r>
        <w:rPr>
          <w:rFonts w:eastAsia="Times New Roman"/>
          <w:color w:val="000000"/>
          <w:sz w:val="20"/>
          <w:szCs w:val="20"/>
        </w:rPr>
        <w:t>Included in our equity earn</w:t>
      </w:r>
      <w:r>
        <w:rPr>
          <w:rFonts w:eastAsia="Times New Roman"/>
          <w:color w:val="000000"/>
          <w:sz w:val="20"/>
          <w:szCs w:val="20"/>
        </w:rPr>
        <w:t>ings from Shurgard for the year ended December 31, 2022 is our equity share of gains on sale of real estate totaling $3.5 million.</w:t>
      </w:r>
    </w:p>
    <w:p w:rsidR="00000000" w:rsidRDefault="00473C5F">
      <w:pPr>
        <w:ind w:firstLine="720"/>
        <w:jc w:val="both"/>
        <w:divId w:val="994796367"/>
        <w:rPr>
          <w:rFonts w:eastAsia="Times New Roman"/>
        </w:rPr>
      </w:pPr>
      <w:r>
        <w:rPr>
          <w:rFonts w:eastAsia="Times New Roman"/>
          <w:color w:val="000000"/>
          <w:sz w:val="20"/>
          <w:szCs w:val="20"/>
        </w:rPr>
        <w:t>For purposes of recording our equity in earnings from Shurgard, the Euro was translated at exchange rates of approximately 1.</w:t>
      </w:r>
      <w:r>
        <w:rPr>
          <w:rFonts w:eastAsia="Times New Roman"/>
          <w:color w:val="000000"/>
          <w:sz w:val="20"/>
          <w:szCs w:val="20"/>
        </w:rPr>
        <w:t xml:space="preserve">070 U.S. Dollars per Euro at December 31, 2022 (1.134 at December 31, 2021), and average exchange rates of 1.054 for 2022 and 1.183 for 2021. Accordingly, our equity in earnings from Shurgard was negatively impacted by the strengthening of the U.S. Dollar </w:t>
      </w:r>
      <w:r>
        <w:rPr>
          <w:rFonts w:eastAsia="Times New Roman"/>
          <w:color w:val="000000"/>
          <w:sz w:val="20"/>
          <w:szCs w:val="20"/>
        </w:rPr>
        <w:t>against the Euro by approximately 10.9% during the year ended December 31, 2022.</w:t>
      </w:r>
    </w:p>
    <w:p w:rsidR="00000000" w:rsidRDefault="00473C5F">
      <w:pPr>
        <w:jc w:val="center"/>
        <w:divId w:val="2097090834"/>
        <w:rPr>
          <w:rFonts w:eastAsia="Times New Roman"/>
        </w:rPr>
      </w:pPr>
      <w:r>
        <w:rPr>
          <w:rFonts w:eastAsia="Times New Roman"/>
          <w:color w:val="000000"/>
          <w:sz w:val="20"/>
          <w:szCs w:val="20"/>
        </w:rPr>
        <w:t>45</w:t>
      </w:r>
    </w:p>
    <w:p w:rsidR="00000000" w:rsidRDefault="00473C5F">
      <w:pPr>
        <w:rPr>
          <w:rFonts w:eastAsia="Times New Roman"/>
        </w:rPr>
      </w:pPr>
      <w:r>
        <w:rPr>
          <w:rFonts w:eastAsia="Times New Roman"/>
        </w:rPr>
        <w:pict>
          <v:rect id="_x0000_i1072" style="width:0;height:1.5pt" o:hralign="center" o:hrstd="t" o:hr="t" fillcolor="#a0a0a0" stroked="f"/>
        </w:pict>
      </w:r>
    </w:p>
    <w:p w:rsidR="00000000" w:rsidRDefault="00473C5F">
      <w:pPr>
        <w:divId w:val="1864705552"/>
        <w:rPr>
          <w:rFonts w:eastAsia="Times New Roman"/>
        </w:rPr>
      </w:pPr>
    </w:p>
    <w:p w:rsidR="00000000" w:rsidRDefault="00473C5F">
      <w:pPr>
        <w:ind w:firstLine="720"/>
        <w:jc w:val="both"/>
        <w:divId w:val="1291088253"/>
        <w:rPr>
          <w:rFonts w:eastAsia="Times New Roman"/>
        </w:rPr>
      </w:pPr>
      <w:r>
        <w:rPr>
          <w:rFonts w:eastAsia="Times New Roman"/>
          <w:b/>
          <w:bCs/>
          <w:i/>
          <w:iCs/>
          <w:color w:val="000000"/>
          <w:sz w:val="20"/>
          <w:szCs w:val="20"/>
        </w:rPr>
        <w:t>General and administrative expense:</w:t>
      </w:r>
      <w:r>
        <w:rPr>
          <w:rFonts w:eastAsia="Times New Roman"/>
          <w:color w:val="000000"/>
          <w:sz w:val="20"/>
          <w:szCs w:val="20"/>
        </w:rPr>
        <w:t xml:space="preserve"> </w:t>
      </w:r>
      <w:r>
        <w:rPr>
          <w:rFonts w:eastAsia="Times New Roman"/>
          <w:color w:val="000000"/>
          <w:sz w:val="20"/>
          <w:szCs w:val="20"/>
        </w:rPr>
        <w:t xml:space="preserve">The following table sets forth our general and administrative expense: </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3734"/>
        <w:gridCol w:w="36"/>
        <w:gridCol w:w="36"/>
        <w:gridCol w:w="36"/>
        <w:gridCol w:w="36"/>
        <w:gridCol w:w="36"/>
        <w:gridCol w:w="36"/>
        <w:gridCol w:w="36"/>
        <w:gridCol w:w="36"/>
        <w:gridCol w:w="36"/>
        <w:gridCol w:w="36"/>
        <w:gridCol w:w="36"/>
        <w:gridCol w:w="36"/>
        <w:gridCol w:w="36"/>
        <w:gridCol w:w="120"/>
        <w:gridCol w:w="1152"/>
        <w:gridCol w:w="36"/>
        <w:gridCol w:w="36"/>
        <w:gridCol w:w="36"/>
        <w:gridCol w:w="36"/>
        <w:gridCol w:w="120"/>
        <w:gridCol w:w="1109"/>
        <w:gridCol w:w="36"/>
        <w:gridCol w:w="36"/>
        <w:gridCol w:w="36"/>
        <w:gridCol w:w="36"/>
        <w:gridCol w:w="120"/>
        <w:gridCol w:w="1109"/>
        <w:gridCol w:w="36"/>
      </w:tblGrid>
      <w:tr w:rsidR="00000000">
        <w:trPr>
          <w:jc w:val="center"/>
        </w:trPr>
        <w:tc>
          <w:tcPr>
            <w:tcW w:w="50" w:type="pct"/>
            <w:vAlign w:val="center"/>
            <w:hideMark/>
          </w:tcPr>
          <w:p w:rsidR="00000000" w:rsidRDefault="00473C5F">
            <w:pPr>
              <w:ind w:firstLine="720"/>
              <w:jc w:val="both"/>
              <w:rPr>
                <w:rFonts w:eastAsia="Times New Roman"/>
              </w:rPr>
            </w:pPr>
          </w:p>
        </w:tc>
        <w:tc>
          <w:tcPr>
            <w:tcW w:w="24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6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6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6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 Ended December 31,</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(Amounts in thousands)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Share-based compensation expense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37,865 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37,760 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Development and acquisition costs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17,540 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8,892 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8,648 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Federal and State tax expense and related compliance costs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16,086 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11,530 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4,556 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Legal costs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4,014 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6,194 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(2,180)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Corporate management costs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21,808 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18,594 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3,214 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Other costs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17,429 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18,284 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(855)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Total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114,742 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101,254 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13,488 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ind w:firstLine="720"/>
        <w:jc w:val="both"/>
        <w:divId w:val="818309553"/>
        <w:rPr>
          <w:rFonts w:eastAsia="Times New Roman"/>
        </w:rPr>
      </w:pPr>
      <w:r>
        <w:rPr>
          <w:rFonts w:eastAsia="Times New Roman"/>
          <w:color w:val="000000"/>
          <w:sz w:val="20"/>
          <w:szCs w:val="20"/>
        </w:rPr>
        <w:t>Development and acquisition costs primarily represent internal and external expenses related to our development and acquisition of real estate facilities and varies primarily based upon the level of activities. The amounts in the above table are net of $17</w:t>
      </w:r>
      <w:r>
        <w:rPr>
          <w:rFonts w:eastAsia="Times New Roman"/>
          <w:color w:val="000000"/>
          <w:sz w:val="20"/>
          <w:szCs w:val="20"/>
        </w:rPr>
        <w:t>.4 million and $14.6 million in 2022 and 2021, respectively, in development costs that were capitalized to newly developed and redeveloped self-storage facilities. During 2022, we wrote off $7.0 million of accumulated development costs for cancelled develo</w:t>
      </w:r>
      <w:r>
        <w:rPr>
          <w:rFonts w:eastAsia="Times New Roman"/>
          <w:color w:val="000000"/>
          <w:sz w:val="20"/>
          <w:szCs w:val="20"/>
        </w:rPr>
        <w:t>pment and redevelopment projects driven by significant increases in construction costs from when the projects were initiated.</w:t>
      </w:r>
    </w:p>
    <w:p w:rsidR="00000000" w:rsidRDefault="00473C5F">
      <w:pPr>
        <w:ind w:firstLine="720"/>
        <w:jc w:val="both"/>
        <w:divId w:val="1488211032"/>
        <w:rPr>
          <w:rFonts w:eastAsia="Times New Roman"/>
        </w:rPr>
      </w:pPr>
      <w:r>
        <w:rPr>
          <w:rFonts w:eastAsia="Times New Roman"/>
          <w:b/>
          <w:bCs/>
          <w:i/>
          <w:iCs/>
          <w:color w:val="000000"/>
          <w:sz w:val="20"/>
          <w:szCs w:val="20"/>
        </w:rPr>
        <w:t>Interest and other income:</w:t>
      </w:r>
      <w:r>
        <w:rPr>
          <w:rFonts w:eastAsia="Times New Roman"/>
          <w:color w:val="000000"/>
          <w:sz w:val="20"/>
          <w:szCs w:val="20"/>
        </w:rPr>
        <w:t xml:space="preserve"> The following table sets forth our interest and other income: </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3730"/>
        <w:gridCol w:w="38"/>
        <w:gridCol w:w="36"/>
        <w:gridCol w:w="36"/>
        <w:gridCol w:w="36"/>
        <w:gridCol w:w="36"/>
        <w:gridCol w:w="36"/>
        <w:gridCol w:w="36"/>
        <w:gridCol w:w="36"/>
        <w:gridCol w:w="36"/>
        <w:gridCol w:w="36"/>
        <w:gridCol w:w="36"/>
        <w:gridCol w:w="36"/>
        <w:gridCol w:w="36"/>
        <w:gridCol w:w="120"/>
        <w:gridCol w:w="1152"/>
        <w:gridCol w:w="36"/>
        <w:gridCol w:w="36"/>
        <w:gridCol w:w="36"/>
        <w:gridCol w:w="36"/>
        <w:gridCol w:w="120"/>
        <w:gridCol w:w="1109"/>
        <w:gridCol w:w="36"/>
        <w:gridCol w:w="36"/>
        <w:gridCol w:w="36"/>
        <w:gridCol w:w="36"/>
        <w:gridCol w:w="120"/>
        <w:gridCol w:w="1109"/>
        <w:gridCol w:w="36"/>
      </w:tblGrid>
      <w:tr w:rsidR="00000000">
        <w:trPr>
          <w:divId w:val="1868367460"/>
          <w:jc w:val="center"/>
        </w:trPr>
        <w:tc>
          <w:tcPr>
            <w:tcW w:w="50" w:type="pct"/>
            <w:vAlign w:val="center"/>
            <w:hideMark/>
          </w:tcPr>
          <w:p w:rsidR="00000000" w:rsidRDefault="00473C5F">
            <w:pPr>
              <w:ind w:firstLine="720"/>
              <w:jc w:val="both"/>
              <w:rPr>
                <w:rFonts w:eastAsia="Times New Roman"/>
              </w:rPr>
            </w:pPr>
          </w:p>
        </w:tc>
        <w:tc>
          <w:tcPr>
            <w:tcW w:w="24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6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6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6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868367460"/>
          <w:jc w:val="center"/>
        </w:trPr>
        <w:tc>
          <w:tcPr>
            <w:tcW w:w="0" w:type="auto"/>
            <w:gridSpan w:val="3"/>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divId w:val="1868367460"/>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 Ended December 31,</w:t>
            </w:r>
          </w:p>
        </w:tc>
      </w:tr>
      <w:tr w:rsidR="00000000">
        <w:trPr>
          <w:divId w:val="186836746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Change</w:t>
            </w:r>
          </w:p>
        </w:tc>
      </w:tr>
      <w:tr w:rsidR="00000000">
        <w:trPr>
          <w:divId w:val="1868367460"/>
          <w:trHeight w:val="6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68367460"/>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(Amounts in thousands)</w:t>
            </w:r>
          </w:p>
        </w:tc>
      </w:tr>
      <w:tr w:rsidR="00000000">
        <w:trPr>
          <w:divId w:val="1868367460"/>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68367460"/>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Interest earned on cash balances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20,824 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20,723 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868367460"/>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Commercial operations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9,846 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8,127 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868367460"/>
          <w:jc w:val="center"/>
        </w:trPr>
        <w:tc>
          <w:tcPr>
            <w:tcW w:w="0" w:type="auto"/>
            <w:gridSpan w:val="3"/>
            <w:tcMar>
              <w:top w:w="30" w:type="dxa"/>
              <w:left w:w="20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20"/>
                <w:szCs w:val="20"/>
              </w:rPr>
              <w:t>Unrealized gain on private equity investments</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4,685 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4,685 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868367460"/>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Other</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5,212 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4,078 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868367460"/>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Total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40,567 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12,306 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28,261 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ind w:firstLine="720"/>
        <w:jc w:val="both"/>
        <w:divId w:val="913390426"/>
        <w:rPr>
          <w:rFonts w:eastAsia="Times New Roman"/>
        </w:rPr>
      </w:pPr>
      <w:r>
        <w:rPr>
          <w:rFonts w:eastAsia="Times New Roman"/>
          <w:b/>
          <w:bCs/>
          <w:i/>
          <w:iCs/>
          <w:color w:val="000000"/>
          <w:sz w:val="20"/>
          <w:szCs w:val="20"/>
        </w:rPr>
        <w:t>Interest expense:</w:t>
      </w:r>
      <w:r>
        <w:rPr>
          <w:rFonts w:eastAsia="Times New Roman"/>
          <w:color w:val="000000"/>
          <w:sz w:val="20"/>
          <w:szCs w:val="20"/>
        </w:rPr>
        <w:t xml:space="preserve"> For 2022 and 2021, we incurred $142.4 million and $94.3 million, respectively, of interest on our outstanding notes payable. In determining interest expense, these amounts were offset by capitalized interest of</w:t>
      </w:r>
      <w:r>
        <w:rPr>
          <w:rFonts w:eastAsia="Times New Roman"/>
          <w:color w:val="000000"/>
          <w:sz w:val="20"/>
          <w:szCs w:val="20"/>
        </w:rPr>
        <w:t xml:space="preserve"> $6.0 million and $3.5 million during 2022 and 2021, respectively, associated with our development activities. The increase of interest expense in 2022 as compared to 2021 is due to our issuances of debt to fund our 2021 acquisition activity. At December 3</w:t>
      </w:r>
      <w:r>
        <w:rPr>
          <w:rFonts w:eastAsia="Times New Roman"/>
          <w:color w:val="000000"/>
          <w:sz w:val="20"/>
          <w:szCs w:val="20"/>
        </w:rPr>
        <w:t>1, 2022, we had $6.9 billion of notes payable outstanding, with a weighted average interest rate of approximately 2.0%.</w:t>
      </w:r>
    </w:p>
    <w:p w:rsidR="00000000" w:rsidRDefault="00473C5F">
      <w:pPr>
        <w:ind w:firstLine="720"/>
        <w:jc w:val="both"/>
        <w:divId w:val="82845134"/>
        <w:rPr>
          <w:rFonts w:eastAsia="Times New Roman"/>
        </w:rPr>
      </w:pPr>
      <w:r>
        <w:rPr>
          <w:rFonts w:eastAsia="Times New Roman"/>
          <w:b/>
          <w:bCs/>
          <w:i/>
          <w:iCs/>
          <w:color w:val="000000"/>
          <w:sz w:val="20"/>
          <w:szCs w:val="20"/>
        </w:rPr>
        <w:t>Foreign Currency Exchange Gain:</w:t>
      </w:r>
      <w:r>
        <w:rPr>
          <w:rFonts w:eastAsia="Times New Roman"/>
          <w:color w:val="000000"/>
          <w:sz w:val="20"/>
          <w:szCs w:val="20"/>
        </w:rPr>
        <w:t xml:space="preserve"> For 2022, we recorded foreign currency gains of $98.3 million, representing primarily the changes in the</w:t>
      </w:r>
      <w:r>
        <w:rPr>
          <w:rFonts w:eastAsia="Times New Roman"/>
          <w:color w:val="000000"/>
          <w:sz w:val="20"/>
          <w:szCs w:val="20"/>
        </w:rPr>
        <w:t xml:space="preserve"> U.S. Dollar equivalent of our Euro-denominated unsecured notes due to fluctuations in exchange rates (gains of $111.8 million for 2021). The Euro was translated at exchange rates of approximately 1.070 U.S. Dollars per Euro at December 31, 2022 and 1.134 </w:t>
      </w:r>
      <w:r>
        <w:rPr>
          <w:rFonts w:eastAsia="Times New Roman"/>
          <w:color w:val="000000"/>
          <w:sz w:val="20"/>
          <w:szCs w:val="20"/>
        </w:rPr>
        <w:t xml:space="preserve">at December 31, 2021. Future gains and losses on foreign currency will be dependent upon changes in the relative value of the Euro to the U.S. Dollar and the level of Euro-denominated notes payable outstanding. </w:t>
      </w:r>
    </w:p>
    <w:p w:rsidR="00000000" w:rsidRDefault="00473C5F">
      <w:pPr>
        <w:ind w:firstLine="720"/>
        <w:jc w:val="both"/>
        <w:divId w:val="1834486638"/>
        <w:rPr>
          <w:rFonts w:eastAsia="Times New Roman"/>
        </w:rPr>
      </w:pPr>
      <w:r>
        <w:rPr>
          <w:rFonts w:eastAsia="Times New Roman"/>
          <w:b/>
          <w:bCs/>
          <w:i/>
          <w:iCs/>
          <w:color w:val="000000"/>
          <w:sz w:val="20"/>
          <w:szCs w:val="20"/>
        </w:rPr>
        <w:t>Gain on Sale of Real Estate:</w:t>
      </w:r>
      <w:r>
        <w:rPr>
          <w:rFonts w:eastAsia="Times New Roman"/>
          <w:color w:val="000000"/>
          <w:sz w:val="20"/>
          <w:szCs w:val="20"/>
        </w:rPr>
        <w:t xml:space="preserve"> In 2022 and 202</w:t>
      </w:r>
      <w:r>
        <w:rPr>
          <w:rFonts w:eastAsia="Times New Roman"/>
          <w:color w:val="000000"/>
          <w:sz w:val="20"/>
          <w:szCs w:val="20"/>
        </w:rPr>
        <w:t>1, we recorded gains on sale of real estate totaling $1.5 million and $13.7 million, respectively, in connection with the partial sale of real estate facilities pursuant to eminent domain proceedings.</w:t>
      </w:r>
    </w:p>
    <w:p w:rsidR="00000000" w:rsidRDefault="00473C5F">
      <w:pPr>
        <w:divId w:val="2004431692"/>
        <w:rPr>
          <w:rFonts w:eastAsia="Times New Roman"/>
        </w:rPr>
      </w:pPr>
    </w:p>
    <w:p w:rsidR="00000000" w:rsidRDefault="00473C5F">
      <w:pPr>
        <w:jc w:val="center"/>
        <w:divId w:val="2098746634"/>
        <w:rPr>
          <w:rFonts w:eastAsia="Times New Roman"/>
        </w:rPr>
      </w:pPr>
      <w:r>
        <w:rPr>
          <w:rFonts w:eastAsia="Times New Roman"/>
          <w:color w:val="000000"/>
          <w:sz w:val="20"/>
          <w:szCs w:val="20"/>
        </w:rPr>
        <w:t>46</w:t>
      </w:r>
    </w:p>
    <w:p w:rsidR="00000000" w:rsidRDefault="00473C5F">
      <w:pPr>
        <w:rPr>
          <w:rFonts w:eastAsia="Times New Roman"/>
        </w:rPr>
      </w:pPr>
      <w:r>
        <w:rPr>
          <w:rFonts w:eastAsia="Times New Roman"/>
        </w:rPr>
        <w:pict>
          <v:rect id="_x0000_i1073" style="width:0;height:1.5pt" o:hralign="center" o:hrstd="t" o:hr="t" fillcolor="#a0a0a0" stroked="f"/>
        </w:pict>
      </w:r>
    </w:p>
    <w:p w:rsidR="00000000" w:rsidRDefault="00473C5F">
      <w:pPr>
        <w:divId w:val="833301946"/>
        <w:rPr>
          <w:rFonts w:eastAsia="Times New Roman"/>
        </w:rPr>
      </w:pPr>
    </w:p>
    <w:p w:rsidR="00000000" w:rsidRDefault="00473C5F">
      <w:pPr>
        <w:divId w:val="560335840"/>
        <w:rPr>
          <w:rFonts w:eastAsia="Times New Roman"/>
        </w:rPr>
      </w:pPr>
      <w:r>
        <w:rPr>
          <w:rFonts w:eastAsia="Times New Roman"/>
          <w:b/>
          <w:bCs/>
          <w:color w:val="000000"/>
          <w:sz w:val="20"/>
          <w:szCs w:val="20"/>
        </w:rPr>
        <w:t>Liquidity and Capital Resources</w:t>
      </w:r>
    </w:p>
    <w:p w:rsidR="00000000" w:rsidRDefault="00473C5F">
      <w:pPr>
        <w:ind w:firstLine="720"/>
        <w:divId w:val="155925999"/>
        <w:rPr>
          <w:rFonts w:eastAsia="Times New Roman"/>
        </w:rPr>
      </w:pPr>
      <w:r>
        <w:rPr>
          <w:rFonts w:eastAsia="Times New Roman"/>
          <w:b/>
          <w:bCs/>
          <w:color w:val="000000"/>
          <w:sz w:val="20"/>
          <w:szCs w:val="20"/>
          <w:u w:val="single"/>
        </w:rPr>
        <w:t>Overview and our Sources of Capital</w:t>
      </w:r>
    </w:p>
    <w:p w:rsidR="00000000" w:rsidRDefault="00473C5F">
      <w:pPr>
        <w:ind w:firstLine="720"/>
        <w:divId w:val="119542988"/>
        <w:rPr>
          <w:rFonts w:eastAsia="Times New Roman"/>
        </w:rPr>
      </w:pPr>
    </w:p>
    <w:p w:rsidR="00000000" w:rsidRDefault="00473C5F">
      <w:pPr>
        <w:ind w:firstLine="720"/>
        <w:jc w:val="both"/>
        <w:divId w:val="1921789931"/>
        <w:rPr>
          <w:rFonts w:eastAsia="Times New Roman"/>
        </w:rPr>
      </w:pPr>
      <w:r>
        <w:rPr>
          <w:rFonts w:eastAsia="Times New Roman"/>
          <w:color w:val="000000"/>
          <w:sz w:val="20"/>
          <w:szCs w:val="20"/>
        </w:rPr>
        <w:t>While operating as a REIT allows us to minimize the payment of U.S. federal corporate income tax expense, we are required to distribute at least 90%</w:t>
      </w:r>
      <w:r>
        <w:rPr>
          <w:rFonts w:eastAsia="Times New Roman"/>
          <w:color w:val="000000"/>
          <w:sz w:val="20"/>
          <w:szCs w:val="20"/>
        </w:rPr>
        <w:t xml:space="preserve"> of our taxable income to our shareholders. Notwithstanding this requirement, our annual operating retained cash flow increased from $200 million to $300 million per year in recent years to approximately $700 million in 2021 and $1 billion in 2022. Retaine</w:t>
      </w:r>
      <w:r>
        <w:rPr>
          <w:rFonts w:eastAsia="Times New Roman"/>
          <w:color w:val="000000"/>
          <w:sz w:val="20"/>
          <w:szCs w:val="20"/>
        </w:rPr>
        <w:t>d operating cash flow represents our expected cash flow provided by operating activities (including property operating costs and interest payments described below), less shareholder distributions and capital expenditures. We expect retained cash flow of ap</w:t>
      </w:r>
      <w:r>
        <w:rPr>
          <w:rFonts w:eastAsia="Times New Roman"/>
          <w:color w:val="000000"/>
          <w:sz w:val="20"/>
          <w:szCs w:val="20"/>
        </w:rPr>
        <w:t>proximately $500 million for 2023.</w:t>
      </w:r>
    </w:p>
    <w:p w:rsidR="00000000" w:rsidRDefault="00473C5F">
      <w:pPr>
        <w:ind w:firstLine="720"/>
        <w:jc w:val="both"/>
        <w:divId w:val="1685204151"/>
        <w:rPr>
          <w:rFonts w:eastAsia="Times New Roman"/>
        </w:rPr>
      </w:pPr>
      <w:r>
        <w:rPr>
          <w:rFonts w:eastAsia="Times New Roman"/>
          <w:color w:val="000000"/>
          <w:sz w:val="20"/>
          <w:szCs w:val="20"/>
        </w:rPr>
        <w:t>The REIT distribution requirement limits cash flow from operations that can be retained and reinvested in the business, increasing our reliance upon raising capital to fund growth. Capital needs in excess of retained cash</w:t>
      </w:r>
      <w:r>
        <w:rPr>
          <w:rFonts w:eastAsia="Times New Roman"/>
          <w:color w:val="000000"/>
          <w:sz w:val="20"/>
          <w:szCs w:val="20"/>
        </w:rPr>
        <w:t xml:space="preserve"> flow are met with: (i) medium and long-term debt, (ii) preferred equity, and (iii) common equity. We select among these sources of capital based upon relative cost, availability, the desire for leverage, and considering potential constraints caused by cer</w:t>
      </w:r>
      <w:r>
        <w:rPr>
          <w:rFonts w:eastAsia="Times New Roman"/>
          <w:color w:val="000000"/>
          <w:sz w:val="20"/>
          <w:szCs w:val="20"/>
        </w:rPr>
        <w:t xml:space="preserve">tain features of capital sources, such as debt covenants. We view our line of credit, as well as any short-term bank loans, as bridge financing. </w:t>
      </w:r>
    </w:p>
    <w:p w:rsidR="00000000" w:rsidRDefault="00473C5F">
      <w:pPr>
        <w:ind w:firstLine="720"/>
        <w:jc w:val="both"/>
        <w:divId w:val="252789506"/>
        <w:rPr>
          <w:rFonts w:eastAsia="Times New Roman"/>
        </w:rPr>
      </w:pPr>
      <w:r>
        <w:rPr>
          <w:rFonts w:eastAsia="Times New Roman"/>
          <w:color w:val="000000"/>
          <w:sz w:val="20"/>
          <w:szCs w:val="20"/>
        </w:rPr>
        <w:t>Because raising capital is important to our growth, we endeavor to maintain a strong financial profile charact</w:t>
      </w:r>
      <w:r>
        <w:rPr>
          <w:rFonts w:eastAsia="Times New Roman"/>
          <w:color w:val="000000"/>
          <w:sz w:val="20"/>
          <w:szCs w:val="20"/>
        </w:rPr>
        <w:t xml:space="preserve">erized by strong credit metrics, including low leverage relative to our total capitalization and operating cash flows. We are one of the highest rated REITs, as rated by major rating agencies Moody’s and Standard &amp; Poor’s. Our senior notes payable have an </w:t>
      </w:r>
      <w:r>
        <w:rPr>
          <w:rFonts w:eastAsia="Times New Roman"/>
          <w:color w:val="000000"/>
          <w:sz w:val="20"/>
          <w:szCs w:val="20"/>
        </w:rPr>
        <w:t>“A” credit rating by Standard &amp; Poor’s and “A2” by Moody’s. Our credit ratings on each of our series of preferred shares are “A3” by Moody’s and “BBB+” by Standard &amp; Poor’s. Our credit profile enables us to effectively access both the public and private ca</w:t>
      </w:r>
      <w:r>
        <w:rPr>
          <w:rFonts w:eastAsia="Times New Roman"/>
          <w:color w:val="000000"/>
          <w:sz w:val="20"/>
          <w:szCs w:val="20"/>
        </w:rPr>
        <w:t>pital markets to raise capital.</w:t>
      </w:r>
    </w:p>
    <w:p w:rsidR="00000000" w:rsidRDefault="00473C5F">
      <w:pPr>
        <w:ind w:firstLine="720"/>
        <w:jc w:val="both"/>
        <w:divId w:val="836924235"/>
        <w:rPr>
          <w:rFonts w:eastAsia="Times New Roman"/>
        </w:rPr>
      </w:pPr>
      <w:r>
        <w:rPr>
          <w:rFonts w:eastAsia="Times New Roman"/>
          <w:color w:val="000000"/>
          <w:sz w:val="20"/>
          <w:szCs w:val="20"/>
        </w:rPr>
        <w:t>We have a $500.0 million revolving line of credit that we are able to use as temporary “bridge” financing until we are able to raise longer term capital. As of December 31, 2022 and February 21, 2023, there were no borrowing</w:t>
      </w:r>
      <w:r>
        <w:rPr>
          <w:rFonts w:eastAsia="Times New Roman"/>
          <w:color w:val="000000"/>
          <w:sz w:val="20"/>
          <w:szCs w:val="20"/>
        </w:rPr>
        <w:t xml:space="preserve">s outstanding on the revolving line of credit; however, we do have approximately $18.6 million of outstanding letters of credit, which limits our borrowing capacity to $481.4 million as of February 21, 2023. Our line of credit matures on April 19, 2024. </w:t>
      </w:r>
    </w:p>
    <w:p w:rsidR="00000000" w:rsidRDefault="00473C5F">
      <w:pPr>
        <w:ind w:firstLine="720"/>
        <w:jc w:val="both"/>
        <w:divId w:val="906306454"/>
        <w:rPr>
          <w:rFonts w:eastAsia="Times New Roman"/>
        </w:rPr>
      </w:pPr>
      <w:r>
        <w:rPr>
          <w:rFonts w:eastAsia="Times New Roman"/>
          <w:color w:val="000000"/>
          <w:sz w:val="20"/>
          <w:szCs w:val="20"/>
        </w:rPr>
        <w:t>W</w:t>
      </w:r>
      <w:r>
        <w:rPr>
          <w:rFonts w:eastAsia="Times New Roman"/>
          <w:color w:val="000000"/>
          <w:sz w:val="20"/>
          <w:szCs w:val="20"/>
        </w:rPr>
        <w:t>e believe that we have significant financial flexibility to adapt to changing conditions and opportunities, and we have significant access to sources of capital including debt and preferred equity. While the costs of financing have increased recently, base</w:t>
      </w:r>
      <w:r>
        <w:rPr>
          <w:rFonts w:eastAsia="Times New Roman"/>
          <w:color w:val="000000"/>
          <w:sz w:val="20"/>
          <w:szCs w:val="20"/>
        </w:rPr>
        <w:t>d on our strong credit profile and our substantial current liquidity relative to our capital requirements noted below, we would not expect any potential capital market dislocations to have a material impact upon our expected capital and growth plans over t</w:t>
      </w:r>
      <w:r>
        <w:rPr>
          <w:rFonts w:eastAsia="Times New Roman"/>
          <w:color w:val="000000"/>
          <w:sz w:val="20"/>
          <w:szCs w:val="20"/>
        </w:rPr>
        <w:t>he next 12 months. However, if capital market conditions were to change significantly in the long run, our access to or cost of debt and preferred equity capital could be negatively impacted and potentially affect future investment activities.</w:t>
      </w:r>
    </w:p>
    <w:p w:rsidR="00000000" w:rsidRDefault="00473C5F">
      <w:pPr>
        <w:ind w:firstLine="720"/>
        <w:jc w:val="both"/>
        <w:divId w:val="1172453204"/>
        <w:rPr>
          <w:rFonts w:eastAsia="Times New Roman"/>
        </w:rPr>
      </w:pPr>
      <w:r>
        <w:rPr>
          <w:rFonts w:eastAsia="Times New Roman"/>
          <w:color w:val="000000"/>
          <w:sz w:val="20"/>
          <w:szCs w:val="20"/>
        </w:rPr>
        <w:t xml:space="preserve">Our current </w:t>
      </w:r>
      <w:r>
        <w:rPr>
          <w:rFonts w:eastAsia="Times New Roman"/>
          <w:color w:val="000000"/>
          <w:sz w:val="20"/>
          <w:szCs w:val="20"/>
        </w:rPr>
        <w:t>and expected capital resources include: (i) $775.3 million of cash as of December 31, 2022 and (ii) approximately $500.0 million of expected retained operating cash flow over the next twelve months. We believe that our cash provided by our operating activi</w:t>
      </w:r>
      <w:r>
        <w:rPr>
          <w:rFonts w:eastAsia="Times New Roman"/>
          <w:color w:val="000000"/>
          <w:sz w:val="20"/>
          <w:szCs w:val="20"/>
        </w:rPr>
        <w:t>ties will continue to be sufficient to enable us to meet our ongoing cash requirements for interest payments on debt, maintenance capital expenditures, and distributions to our shareholders for the foreseeable future.</w:t>
      </w:r>
    </w:p>
    <w:p w:rsidR="00000000" w:rsidRDefault="00473C5F">
      <w:pPr>
        <w:ind w:firstLine="720"/>
        <w:jc w:val="both"/>
        <w:divId w:val="604457331"/>
        <w:rPr>
          <w:rFonts w:eastAsia="Times New Roman"/>
        </w:rPr>
      </w:pPr>
      <w:r>
        <w:rPr>
          <w:rFonts w:eastAsia="Times New Roman"/>
          <w:color w:val="000000"/>
          <w:sz w:val="20"/>
          <w:szCs w:val="20"/>
        </w:rPr>
        <w:t>As described below, our current commit</w:t>
      </w:r>
      <w:r>
        <w:rPr>
          <w:rFonts w:eastAsia="Times New Roman"/>
          <w:color w:val="000000"/>
          <w:sz w:val="20"/>
          <w:szCs w:val="20"/>
        </w:rPr>
        <w:t>ted cash requirements consist of (i) $70.5 million in property acquisitions currently under contract and (ii) $606.6 million of remaining spending on our current development pipeline, which will be incurred primarily in the next 18 to 24 months. Our cash r</w:t>
      </w:r>
      <w:r>
        <w:rPr>
          <w:rFonts w:eastAsia="Times New Roman"/>
          <w:color w:val="000000"/>
          <w:sz w:val="20"/>
          <w:szCs w:val="20"/>
        </w:rPr>
        <w:t>equirements may increase over the next year as we add projects to our development pipeline and acquire additional properties. Additional potential cash requirements could result from various activities including the redemption of outstanding preferred secu</w:t>
      </w:r>
      <w:r>
        <w:rPr>
          <w:rFonts w:eastAsia="Times New Roman"/>
          <w:color w:val="000000"/>
          <w:sz w:val="20"/>
          <w:szCs w:val="20"/>
        </w:rPr>
        <w:t>rities, repurchases of common stock, or merger and acquisition activities, as and to the extent we determine to engage in such activities.</w:t>
      </w:r>
    </w:p>
    <w:p w:rsidR="00000000" w:rsidRDefault="00473C5F">
      <w:pPr>
        <w:ind w:firstLine="720"/>
        <w:jc w:val="both"/>
        <w:divId w:val="1630821652"/>
        <w:rPr>
          <w:rFonts w:eastAsia="Times New Roman"/>
        </w:rPr>
      </w:pPr>
      <w:r>
        <w:rPr>
          <w:rFonts w:eastAsia="Times New Roman"/>
          <w:color w:val="000000"/>
          <w:sz w:val="20"/>
          <w:szCs w:val="20"/>
        </w:rPr>
        <w:t>Over the long term, to the extent that our cash requirements exceed our capital resources, we believe we have a varie</w:t>
      </w:r>
      <w:r>
        <w:rPr>
          <w:rFonts w:eastAsia="Times New Roman"/>
          <w:color w:val="000000"/>
          <w:sz w:val="20"/>
          <w:szCs w:val="20"/>
        </w:rPr>
        <w:t>ty of possibilities to raise additional capital including issuing common or preferred securities, issuing debt, or entering into joint venture arrangements to acquire or develop facilities.</w:t>
      </w:r>
    </w:p>
    <w:p w:rsidR="00000000" w:rsidRDefault="00473C5F">
      <w:pPr>
        <w:jc w:val="center"/>
        <w:divId w:val="1603604629"/>
        <w:rPr>
          <w:rFonts w:eastAsia="Times New Roman"/>
        </w:rPr>
      </w:pPr>
      <w:r>
        <w:rPr>
          <w:rFonts w:eastAsia="Times New Roman"/>
          <w:color w:val="000000"/>
          <w:sz w:val="20"/>
          <w:szCs w:val="20"/>
        </w:rPr>
        <w:t>47</w:t>
      </w:r>
    </w:p>
    <w:p w:rsidR="00000000" w:rsidRDefault="00473C5F">
      <w:pPr>
        <w:rPr>
          <w:rFonts w:eastAsia="Times New Roman"/>
        </w:rPr>
      </w:pPr>
      <w:r>
        <w:rPr>
          <w:rFonts w:eastAsia="Times New Roman"/>
        </w:rPr>
        <w:pict>
          <v:rect id="_x0000_i1074" style="width:0;height:1.5pt" o:hralign="center" o:hrstd="t" o:hr="t" fillcolor="#a0a0a0" stroked="f"/>
        </w:pict>
      </w:r>
    </w:p>
    <w:p w:rsidR="00000000" w:rsidRDefault="00473C5F">
      <w:pPr>
        <w:divId w:val="1777602650"/>
        <w:rPr>
          <w:rFonts w:eastAsia="Times New Roman"/>
        </w:rPr>
      </w:pPr>
    </w:p>
    <w:p w:rsidR="00000000" w:rsidRDefault="00473C5F">
      <w:pPr>
        <w:ind w:firstLine="720"/>
        <w:jc w:val="both"/>
        <w:divId w:val="25453361"/>
        <w:rPr>
          <w:rFonts w:eastAsia="Times New Roman"/>
        </w:rPr>
      </w:pPr>
      <w:r>
        <w:rPr>
          <w:rFonts w:eastAsia="Times New Roman"/>
          <w:b/>
          <w:bCs/>
          <w:color w:val="000000"/>
          <w:sz w:val="20"/>
          <w:szCs w:val="20"/>
          <w:u w:val="single"/>
        </w:rPr>
        <w:t>Cash Requirements</w:t>
      </w:r>
    </w:p>
    <w:p w:rsidR="00000000" w:rsidRDefault="00473C5F">
      <w:pPr>
        <w:ind w:firstLine="720"/>
        <w:jc w:val="both"/>
        <w:divId w:val="2065837310"/>
        <w:rPr>
          <w:rFonts w:eastAsia="Times New Roman"/>
        </w:rPr>
      </w:pPr>
      <w:r>
        <w:rPr>
          <w:rFonts w:eastAsia="Times New Roman"/>
          <w:color w:val="000000"/>
          <w:sz w:val="20"/>
          <w:szCs w:val="20"/>
        </w:rPr>
        <w:t>The fo</w:t>
      </w:r>
      <w:r>
        <w:rPr>
          <w:rFonts w:eastAsia="Times New Roman"/>
          <w:color w:val="000000"/>
          <w:sz w:val="20"/>
          <w:szCs w:val="20"/>
        </w:rPr>
        <w:t>llowing summarizes our expected material cash requirements, which comprise (i) contractually obligated expenditures, including payments of principal and interest, (ii) other essential expenditures, including property operating expenses, maintenance capital</w:t>
      </w:r>
      <w:r>
        <w:rPr>
          <w:rFonts w:eastAsia="Times New Roman"/>
          <w:color w:val="000000"/>
          <w:sz w:val="20"/>
          <w:szCs w:val="20"/>
        </w:rPr>
        <w:t xml:space="preserve"> expenditures and dividends paid in accordance with REIT distribution requirements, and (iii) opportunistic expenditures, including acquisitions and developments and repurchases of our securities. We expect to satisfy these cash requirements through operat</w:t>
      </w:r>
      <w:r>
        <w:rPr>
          <w:rFonts w:eastAsia="Times New Roman"/>
          <w:color w:val="000000"/>
          <w:sz w:val="20"/>
          <w:szCs w:val="20"/>
        </w:rPr>
        <w:t>ing cash flow and opportunistic debt and equity financings.</w:t>
      </w:r>
    </w:p>
    <w:p w:rsidR="00000000" w:rsidRDefault="00473C5F">
      <w:pPr>
        <w:ind w:firstLine="720"/>
        <w:jc w:val="both"/>
        <w:divId w:val="337007914"/>
        <w:rPr>
          <w:rFonts w:eastAsia="Times New Roman"/>
        </w:rPr>
      </w:pPr>
      <w:r>
        <w:rPr>
          <w:rFonts w:eastAsia="Times New Roman"/>
          <w:b/>
          <w:bCs/>
          <w:i/>
          <w:iCs/>
          <w:color w:val="000000"/>
          <w:sz w:val="20"/>
          <w:szCs w:val="20"/>
        </w:rPr>
        <w:t>Required Debt Repayments:</w:t>
      </w:r>
      <w:r>
        <w:rPr>
          <w:rFonts w:eastAsia="Times New Roman"/>
          <w:b/>
          <w:bCs/>
          <w:color w:val="000000"/>
          <w:sz w:val="20"/>
          <w:szCs w:val="20"/>
        </w:rPr>
        <w:t xml:space="preserve"> </w:t>
      </w:r>
      <w:r>
        <w:rPr>
          <w:rFonts w:eastAsia="Times New Roman"/>
          <w:color w:val="000000"/>
          <w:sz w:val="20"/>
          <w:szCs w:val="20"/>
        </w:rPr>
        <w:t>As of December 31, 2022, the principal outstanding on our debt totaled approximately $6.9 billion, consisting of $10.1 million of secured notes payable, $1.7 billion of E</w:t>
      </w:r>
      <w:r>
        <w:rPr>
          <w:rFonts w:eastAsia="Times New Roman"/>
          <w:color w:val="000000"/>
          <w:sz w:val="20"/>
          <w:szCs w:val="20"/>
        </w:rPr>
        <w:t>uro-denominated unsecured notes payable and $5.3 billion of U.S. Dollar denominated unsecured notes payable. Approximate principal maturities and interest payments are as follows (amounts in thousands):</w:t>
      </w:r>
    </w:p>
    <w:tbl>
      <w:tblPr>
        <w:tblW w:w="5595" w:type="dxa"/>
        <w:jc w:val="center"/>
        <w:tblCellMar>
          <w:top w:w="15" w:type="dxa"/>
          <w:left w:w="15" w:type="dxa"/>
          <w:bottom w:w="15" w:type="dxa"/>
          <w:right w:w="15" w:type="dxa"/>
        </w:tblCellMar>
        <w:tblLook w:val="04A0" w:firstRow="1" w:lastRow="0" w:firstColumn="1" w:lastColumn="0" w:noHBand="0" w:noVBand="1"/>
      </w:tblPr>
      <w:tblGrid>
        <w:gridCol w:w="36"/>
        <w:gridCol w:w="4033"/>
        <w:gridCol w:w="36"/>
        <w:gridCol w:w="120"/>
        <w:gridCol w:w="1334"/>
        <w:gridCol w:w="36"/>
      </w:tblGrid>
      <w:tr w:rsidR="00000000">
        <w:trPr>
          <w:jc w:val="center"/>
        </w:trPr>
        <w:tc>
          <w:tcPr>
            <w:tcW w:w="20" w:type="dxa"/>
            <w:vAlign w:val="center"/>
            <w:hideMark/>
          </w:tcPr>
          <w:p w:rsidR="00000000" w:rsidRDefault="00473C5F">
            <w:pPr>
              <w:ind w:firstLine="720"/>
              <w:jc w:val="both"/>
              <w:rPr>
                <w:rFonts w:eastAsia="Times New Roman"/>
              </w:rPr>
            </w:pPr>
          </w:p>
        </w:tc>
        <w:tc>
          <w:tcPr>
            <w:tcW w:w="4160" w:type="dxa"/>
            <w:vAlign w:val="center"/>
            <w:hideMark/>
          </w:tcPr>
          <w:p w:rsidR="00000000" w:rsidRDefault="00473C5F">
            <w:pPr>
              <w:spacing w:after="100"/>
              <w:rPr>
                <w:rFonts w:eastAsia="Times New Roman"/>
                <w:sz w:val="20"/>
                <w:szCs w:val="20"/>
              </w:rPr>
            </w:pPr>
          </w:p>
        </w:tc>
        <w:tc>
          <w:tcPr>
            <w:tcW w:w="20" w:type="dxa"/>
            <w:vAlign w:val="center"/>
            <w:hideMark/>
          </w:tcPr>
          <w:p w:rsidR="00000000" w:rsidRDefault="00473C5F">
            <w:pPr>
              <w:spacing w:after="100"/>
              <w:rPr>
                <w:rFonts w:eastAsia="Times New Roman"/>
                <w:sz w:val="20"/>
                <w:szCs w:val="20"/>
              </w:rPr>
            </w:pPr>
          </w:p>
        </w:tc>
        <w:tc>
          <w:tcPr>
            <w:tcW w:w="20" w:type="dxa"/>
            <w:vAlign w:val="center"/>
            <w:hideMark/>
          </w:tcPr>
          <w:p w:rsidR="00000000" w:rsidRDefault="00473C5F">
            <w:pPr>
              <w:spacing w:after="100"/>
              <w:rPr>
                <w:rFonts w:eastAsia="Times New Roman"/>
                <w:sz w:val="20"/>
                <w:szCs w:val="20"/>
              </w:rPr>
            </w:pPr>
          </w:p>
        </w:tc>
        <w:tc>
          <w:tcPr>
            <w:tcW w:w="1355" w:type="dxa"/>
            <w:vAlign w:val="center"/>
            <w:hideMark/>
          </w:tcPr>
          <w:p w:rsidR="00000000" w:rsidRDefault="00473C5F">
            <w:pPr>
              <w:spacing w:after="100"/>
              <w:rPr>
                <w:rFonts w:eastAsia="Times New Roman"/>
                <w:sz w:val="20"/>
                <w:szCs w:val="20"/>
              </w:rPr>
            </w:pPr>
          </w:p>
        </w:tc>
        <w:tc>
          <w:tcPr>
            <w:tcW w:w="20" w:type="dxa"/>
            <w:vAlign w:val="center"/>
            <w:hideMark/>
          </w:tcPr>
          <w:p w:rsidR="00000000" w:rsidRDefault="00473C5F">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2023</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151,532</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2024</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933,385</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367,561</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2026</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1,251,404</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2027</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587,643</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Thereafter </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4,349,115</w:t>
            </w:r>
          </w:p>
        </w:tc>
      </w:tr>
      <w:tr w:rsidR="00000000">
        <w:trPr>
          <w:trHeight w:val="300"/>
          <w:jc w:val="center"/>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7,640,640</w:t>
            </w:r>
          </w:p>
        </w:tc>
      </w:tr>
    </w:tbl>
    <w:p w:rsidR="00000000" w:rsidRDefault="00473C5F">
      <w:pPr>
        <w:ind w:firstLine="720"/>
        <w:jc w:val="both"/>
        <w:divId w:val="1173572209"/>
        <w:rPr>
          <w:rFonts w:eastAsia="Times New Roman"/>
        </w:rPr>
      </w:pPr>
      <w:r>
        <w:rPr>
          <w:rFonts w:eastAsia="Times New Roman"/>
          <w:b/>
          <w:bCs/>
          <w:i/>
          <w:iCs/>
          <w:color w:val="000000"/>
          <w:sz w:val="20"/>
          <w:szCs w:val="20"/>
        </w:rPr>
        <w:t>Capital Expenditure Requirements:</w:t>
      </w:r>
      <w:r>
        <w:rPr>
          <w:rFonts w:eastAsia="Times New Roman"/>
          <w:color w:val="000000"/>
          <w:sz w:val="20"/>
          <w:szCs w:val="20"/>
        </w:rPr>
        <w:t xml:space="preserve"> </w:t>
      </w:r>
      <w:r>
        <w:rPr>
          <w:rFonts w:eastAsia="Times New Roman"/>
          <w:color w:val="000000"/>
          <w:sz w:val="20"/>
          <w:szCs w:val="20"/>
        </w:rPr>
        <w:t>Capital expenditures include general maintenance, major repairs, or replacements to elements of our facilities to keep our facilities in good operating condition and maintain their visual appeal. Capital expenditures do not include costs relating to the de</w:t>
      </w:r>
      <w:r>
        <w:rPr>
          <w:rFonts w:eastAsia="Times New Roman"/>
          <w:color w:val="000000"/>
          <w:sz w:val="20"/>
          <w:szCs w:val="20"/>
        </w:rPr>
        <w:t xml:space="preserve">velopment of new facilities or redevelopment of existing facilities to increase their available rentable square footage. </w:t>
      </w:r>
    </w:p>
    <w:p w:rsidR="00000000" w:rsidRDefault="00473C5F">
      <w:pPr>
        <w:ind w:firstLine="720"/>
        <w:jc w:val="both"/>
        <w:divId w:val="1568571391"/>
        <w:rPr>
          <w:rFonts w:eastAsia="Times New Roman"/>
        </w:rPr>
      </w:pPr>
      <w:r>
        <w:rPr>
          <w:rFonts w:eastAsia="Times New Roman"/>
          <w:color w:val="000000"/>
          <w:sz w:val="20"/>
          <w:szCs w:val="20"/>
        </w:rPr>
        <w:t>Capital expenditures totaled $452.3 million in 2022 and are expected to approximate $450 million in 2023. In addition to standard capi</w:t>
      </w:r>
      <w:r>
        <w:rPr>
          <w:rFonts w:eastAsia="Times New Roman"/>
          <w:color w:val="000000"/>
          <w:sz w:val="20"/>
          <w:szCs w:val="20"/>
        </w:rPr>
        <w:t>tal repairs of building elements reaching the end of their useful lives, our capital expenditures in recent years have included incremental expenditures to enhance the competitive position of certain of our facilities relative to local competitors pursuant</w:t>
      </w:r>
      <w:r>
        <w:rPr>
          <w:rFonts w:eastAsia="Times New Roman"/>
          <w:color w:val="000000"/>
          <w:sz w:val="20"/>
          <w:szCs w:val="20"/>
        </w:rPr>
        <w:t xml:space="preserve"> to a multi-year program. Such investments include development of more pronounced, attractive, and clearly identifiable color schemes and signage and upgrades to the configuration and layout of the offices and other customer zones to improve the customer e</w:t>
      </w:r>
      <w:r>
        <w:rPr>
          <w:rFonts w:eastAsia="Times New Roman"/>
          <w:color w:val="000000"/>
          <w:sz w:val="20"/>
          <w:szCs w:val="20"/>
        </w:rPr>
        <w:t>xperience. We spent approximately $189 million in 2022 and expect to spend $160 million in 2023 on this effort. In addition, we have made investments in LED lighting and the installation of solar panels, which approximated $56 million for the year ended De</w:t>
      </w:r>
      <w:r>
        <w:rPr>
          <w:rFonts w:eastAsia="Times New Roman"/>
          <w:color w:val="000000"/>
          <w:sz w:val="20"/>
          <w:szCs w:val="20"/>
        </w:rPr>
        <w:t>cember 31, 2022 and we expect to spend $132 million in 2023.</w:t>
      </w:r>
    </w:p>
    <w:p w:rsidR="00000000" w:rsidRDefault="00473C5F">
      <w:pPr>
        <w:ind w:firstLine="720"/>
        <w:jc w:val="both"/>
        <w:divId w:val="191920253"/>
        <w:rPr>
          <w:rFonts w:eastAsia="Times New Roman"/>
        </w:rPr>
      </w:pPr>
      <w:r>
        <w:rPr>
          <w:rFonts w:eastAsia="Times New Roman"/>
          <w:color w:val="000000"/>
          <w:sz w:val="20"/>
          <w:szCs w:val="20"/>
        </w:rPr>
        <w:t xml:space="preserve">We believe that these incremental investments improve customer satisfaction, the attractiveness and competitiveness of our facilities to new and existing customers and, in the case of LED lighting and solar panels, reduce operating costs. </w:t>
      </w:r>
    </w:p>
    <w:p w:rsidR="00000000" w:rsidRDefault="00473C5F">
      <w:pPr>
        <w:ind w:firstLine="720"/>
        <w:jc w:val="both"/>
        <w:divId w:val="68157526"/>
        <w:rPr>
          <w:rFonts w:eastAsia="Times New Roman"/>
        </w:rPr>
      </w:pPr>
      <w:r>
        <w:rPr>
          <w:rFonts w:eastAsia="Times New Roman"/>
          <w:b/>
          <w:bCs/>
          <w:i/>
          <w:iCs/>
          <w:color w:val="000000"/>
          <w:sz w:val="20"/>
          <w:szCs w:val="20"/>
        </w:rPr>
        <w:t>Requirement to P</w:t>
      </w:r>
      <w:r>
        <w:rPr>
          <w:rFonts w:eastAsia="Times New Roman"/>
          <w:b/>
          <w:bCs/>
          <w:i/>
          <w:iCs/>
          <w:color w:val="000000"/>
          <w:sz w:val="20"/>
          <w:szCs w:val="20"/>
        </w:rPr>
        <w:t>ay Distributions:</w:t>
      </w:r>
      <w:r>
        <w:rPr>
          <w:rFonts w:eastAsia="Times New Roman"/>
          <w:color w:val="000000"/>
          <w:sz w:val="20"/>
          <w:szCs w:val="20"/>
        </w:rPr>
        <w:t xml:space="preserve"> For all periods presented herein, we have elected to be treated as a REIT, as defined in the Code. For each taxable year in which we qualify for taxation as a REIT, we will not be subject to U.S. federal corporate income tax on our “REIT </w:t>
      </w:r>
      <w:r>
        <w:rPr>
          <w:rFonts w:eastAsia="Times New Roman"/>
          <w:color w:val="000000"/>
          <w:sz w:val="20"/>
          <w:szCs w:val="20"/>
        </w:rPr>
        <w:t>taxable income” (generally, taxable income subject to specified adjustments, including a deduction for dividends paid and excluding our net capital gain) that is distributed to our shareholders. We believe we have met these requirements in all periods pres</w:t>
      </w:r>
      <w:r>
        <w:rPr>
          <w:rFonts w:eastAsia="Times New Roman"/>
          <w:color w:val="000000"/>
          <w:sz w:val="20"/>
          <w:szCs w:val="20"/>
        </w:rPr>
        <w:t>ented herein, and we expect to continue to qualify as a REIT.</w:t>
      </w:r>
      <w:r>
        <w:rPr>
          <w:rFonts w:eastAsia="Times New Roman"/>
          <w:color w:val="000000"/>
        </w:rPr>
        <w:t xml:space="preserve"> </w:t>
      </w:r>
    </w:p>
    <w:p w:rsidR="00000000" w:rsidRDefault="00473C5F">
      <w:pPr>
        <w:ind w:firstLine="720"/>
        <w:jc w:val="both"/>
        <w:divId w:val="2098289117"/>
        <w:rPr>
          <w:rFonts w:eastAsia="Times New Roman"/>
        </w:rPr>
      </w:pPr>
      <w:r>
        <w:rPr>
          <w:rFonts w:eastAsia="Times New Roman"/>
          <w:color w:val="000000"/>
          <w:sz w:val="20"/>
          <w:szCs w:val="20"/>
        </w:rPr>
        <w:t>On February 4, 2023, our Board declared a regular common quarterly dividend of $3.00 per common share totaling approximately $526 million, which will be paid at the end of March 2023. Our consi</w:t>
      </w:r>
      <w:r>
        <w:rPr>
          <w:rFonts w:eastAsia="Times New Roman"/>
          <w:color w:val="000000"/>
          <w:sz w:val="20"/>
          <w:szCs w:val="20"/>
        </w:rPr>
        <w:t>stent, long-term dividend policy has been to distribute our taxable income. Future quarterly distributions with respect to the common shares will continue to be determined based upon our REIT distribution requirements after taking into consideration distri</w:t>
      </w:r>
      <w:r>
        <w:rPr>
          <w:rFonts w:eastAsia="Times New Roman"/>
          <w:color w:val="000000"/>
          <w:sz w:val="20"/>
          <w:szCs w:val="20"/>
        </w:rPr>
        <w:t>butions to the preferred shareholders and will be funded with cash flows from operating activities. Our future aggregate annual common dividend distributions may increase as a result of the issuance of additional common shares, including any shares that wo</w:t>
      </w:r>
      <w:r>
        <w:rPr>
          <w:rFonts w:eastAsia="Times New Roman"/>
          <w:color w:val="000000"/>
          <w:sz w:val="20"/>
          <w:szCs w:val="20"/>
        </w:rPr>
        <w:t>uld be issued if we were to consummate our recently proposed acquisition of Life Storage.</w:t>
      </w:r>
    </w:p>
    <w:p w:rsidR="00000000" w:rsidRDefault="00473C5F">
      <w:pPr>
        <w:ind w:firstLine="720"/>
        <w:jc w:val="both"/>
        <w:divId w:val="489829862"/>
        <w:rPr>
          <w:rFonts w:eastAsia="Times New Roman"/>
        </w:rPr>
      </w:pPr>
      <w:r>
        <w:rPr>
          <w:rFonts w:eastAsia="Times New Roman"/>
          <w:color w:val="000000"/>
          <w:sz w:val="20"/>
          <w:szCs w:val="20"/>
        </w:rPr>
        <w:t xml:space="preserve">The annual distribution requirement with respect to our preferred shares outstanding at December 31, 2022 is approximately $194.7 million per year. </w:t>
      </w:r>
    </w:p>
    <w:p w:rsidR="00000000" w:rsidRDefault="00473C5F">
      <w:pPr>
        <w:jc w:val="center"/>
        <w:divId w:val="1268196222"/>
        <w:rPr>
          <w:rFonts w:eastAsia="Times New Roman"/>
        </w:rPr>
      </w:pPr>
      <w:r>
        <w:rPr>
          <w:rFonts w:eastAsia="Times New Roman"/>
          <w:color w:val="000000"/>
          <w:sz w:val="20"/>
          <w:szCs w:val="20"/>
        </w:rPr>
        <w:t>48</w:t>
      </w:r>
    </w:p>
    <w:p w:rsidR="00000000" w:rsidRDefault="00473C5F">
      <w:pPr>
        <w:rPr>
          <w:rFonts w:eastAsia="Times New Roman"/>
        </w:rPr>
      </w:pPr>
      <w:r>
        <w:rPr>
          <w:rFonts w:eastAsia="Times New Roman"/>
        </w:rPr>
        <w:pict>
          <v:rect id="_x0000_i1075" style="width:0;height:1.5pt" o:hralign="center" o:hrstd="t" o:hr="t" fillcolor="#a0a0a0" stroked="f"/>
        </w:pict>
      </w:r>
    </w:p>
    <w:p w:rsidR="00000000" w:rsidRDefault="00473C5F">
      <w:pPr>
        <w:divId w:val="1195003289"/>
        <w:rPr>
          <w:rFonts w:eastAsia="Times New Roman"/>
        </w:rPr>
      </w:pPr>
    </w:p>
    <w:p w:rsidR="00000000" w:rsidRDefault="00473C5F">
      <w:pPr>
        <w:ind w:firstLine="720"/>
        <w:jc w:val="both"/>
        <w:divId w:val="1998073368"/>
        <w:rPr>
          <w:rFonts w:eastAsia="Times New Roman"/>
        </w:rPr>
      </w:pPr>
      <w:r>
        <w:rPr>
          <w:rFonts w:eastAsia="Times New Roman"/>
          <w:b/>
          <w:bCs/>
          <w:i/>
          <w:iCs/>
          <w:color w:val="000000"/>
          <w:sz w:val="20"/>
          <w:szCs w:val="20"/>
        </w:rPr>
        <w:t>Real Estate Investment Activities:</w:t>
      </w:r>
      <w:r>
        <w:rPr>
          <w:rFonts w:eastAsia="Times New Roman"/>
          <w:b/>
          <w:bCs/>
          <w:color w:val="000000"/>
          <w:sz w:val="20"/>
          <w:szCs w:val="20"/>
        </w:rPr>
        <w:t xml:space="preserve"> </w:t>
      </w:r>
      <w:r>
        <w:rPr>
          <w:rFonts w:eastAsia="Times New Roman"/>
          <w:color w:val="000000"/>
          <w:sz w:val="20"/>
          <w:szCs w:val="20"/>
        </w:rPr>
        <w:t>We continue to seek to acquire additional self-storage facilities from third parties. Subsequent to December 31, 2022, we acquired or were under contract to acquire eight self-storage facilities fo</w:t>
      </w:r>
      <w:r>
        <w:rPr>
          <w:rFonts w:eastAsia="Times New Roman"/>
          <w:color w:val="000000"/>
          <w:sz w:val="20"/>
          <w:szCs w:val="20"/>
        </w:rPr>
        <w:t>r a total purchase price of $70.5 million.</w:t>
      </w:r>
    </w:p>
    <w:p w:rsidR="00000000" w:rsidRDefault="00473C5F">
      <w:pPr>
        <w:ind w:firstLine="720"/>
        <w:jc w:val="both"/>
        <w:divId w:val="1442992535"/>
        <w:rPr>
          <w:rFonts w:eastAsia="Times New Roman"/>
        </w:rPr>
      </w:pPr>
      <w:r>
        <w:rPr>
          <w:rFonts w:eastAsia="Times New Roman"/>
          <w:color w:val="000000"/>
          <w:sz w:val="20"/>
          <w:szCs w:val="20"/>
        </w:rPr>
        <w:t xml:space="preserve">We are actively seeking to acquire additional facilities. However, future acquisition volume will depend upon whether additional owners will be motivated to market their facilities, which will in turn depend upon </w:t>
      </w:r>
      <w:r>
        <w:rPr>
          <w:rFonts w:eastAsia="Times New Roman"/>
          <w:color w:val="000000"/>
          <w:sz w:val="20"/>
          <w:szCs w:val="20"/>
        </w:rPr>
        <w:t xml:space="preserve">factors such as economic conditions and the level of seller confidence. </w:t>
      </w:r>
    </w:p>
    <w:p w:rsidR="00000000" w:rsidRDefault="00473C5F">
      <w:pPr>
        <w:ind w:firstLine="720"/>
        <w:jc w:val="both"/>
        <w:divId w:val="494564742"/>
        <w:rPr>
          <w:rFonts w:eastAsia="Times New Roman"/>
        </w:rPr>
      </w:pPr>
      <w:r>
        <w:rPr>
          <w:rFonts w:eastAsia="Times New Roman"/>
          <w:color w:val="000000"/>
          <w:sz w:val="20"/>
          <w:szCs w:val="20"/>
        </w:rPr>
        <w:t xml:space="preserve">As of December 31, 2022, we had development and expansion projects at a total cost of approximately $979.6 million. Costs incurred through December 31, 2022 were $373.0 million, with </w:t>
      </w:r>
      <w:r>
        <w:rPr>
          <w:rFonts w:eastAsia="Times New Roman"/>
          <w:color w:val="000000"/>
          <w:sz w:val="20"/>
          <w:szCs w:val="20"/>
        </w:rPr>
        <w:t xml:space="preserve">the remaining cost to complete of $606.6 million expected to be incurred primarily in the next 18 to 24 months. Some of these projects are subject to contingencies such as entitlement approval. We expect to continue to seek to add projects to maintain and </w:t>
      </w:r>
      <w:r>
        <w:rPr>
          <w:rFonts w:eastAsia="Times New Roman"/>
          <w:color w:val="000000"/>
          <w:sz w:val="20"/>
          <w:szCs w:val="20"/>
        </w:rPr>
        <w:t>increase our robust pipeline. Our ability to do so continues to be challenged by various constraints such as difficulty in finding projects that meet our risk-adjusted yield expectations and challenges in obtaining building permits for self-storage facilit</w:t>
      </w:r>
      <w:r>
        <w:rPr>
          <w:rFonts w:eastAsia="Times New Roman"/>
          <w:color w:val="000000"/>
          <w:sz w:val="20"/>
          <w:szCs w:val="20"/>
        </w:rPr>
        <w:t>ies in certain municipalities.</w:t>
      </w:r>
    </w:p>
    <w:p w:rsidR="00000000" w:rsidRDefault="00473C5F">
      <w:pPr>
        <w:ind w:firstLine="720"/>
        <w:jc w:val="both"/>
        <w:divId w:val="1115716212"/>
        <w:rPr>
          <w:rFonts w:eastAsia="Times New Roman"/>
        </w:rPr>
      </w:pPr>
      <w:r>
        <w:rPr>
          <w:rFonts w:eastAsia="Times New Roman"/>
          <w:b/>
          <w:bCs/>
          <w:i/>
          <w:iCs/>
          <w:color w:val="000000"/>
          <w:sz w:val="20"/>
          <w:szCs w:val="20"/>
        </w:rPr>
        <w:t>Property Operating Expenses:</w:t>
      </w:r>
      <w:r>
        <w:rPr>
          <w:rFonts w:eastAsia="Times New Roman"/>
          <w:color w:val="000000"/>
          <w:sz w:val="20"/>
          <w:szCs w:val="20"/>
        </w:rPr>
        <w:t xml:space="preserve"> The direct and indirect cost of our operations impose significant cash requirements. Direct operating costs include property taxes, on-site property manager payroll, repairs and maintenance, utili</w:t>
      </w:r>
      <w:r>
        <w:rPr>
          <w:rFonts w:eastAsia="Times New Roman"/>
          <w:color w:val="000000"/>
          <w:sz w:val="20"/>
          <w:szCs w:val="20"/>
        </w:rPr>
        <w:t>ties, and marketing. Indirect operating costs include supervisory payroll and centralized management costs. The cash requirements from these operating costs will vary year to year based on, among other things, changes in the size of our portfolio and chang</w:t>
      </w:r>
      <w:r>
        <w:rPr>
          <w:rFonts w:eastAsia="Times New Roman"/>
          <w:color w:val="000000"/>
          <w:sz w:val="20"/>
          <w:szCs w:val="20"/>
        </w:rPr>
        <w:t>es in property tax rates and assessed values, wage rates, and marketing costs in our markets.</w:t>
      </w:r>
    </w:p>
    <w:p w:rsidR="00000000" w:rsidRDefault="00473C5F">
      <w:pPr>
        <w:ind w:firstLine="720"/>
        <w:jc w:val="both"/>
        <w:divId w:val="1547569080"/>
        <w:rPr>
          <w:rFonts w:eastAsia="Times New Roman"/>
        </w:rPr>
      </w:pPr>
      <w:r>
        <w:rPr>
          <w:rFonts w:eastAsia="Times New Roman"/>
          <w:b/>
          <w:bCs/>
          <w:i/>
          <w:iCs/>
          <w:color w:val="000000"/>
          <w:sz w:val="20"/>
          <w:szCs w:val="20"/>
        </w:rPr>
        <w:t>Redemption of Preferred Securities</w:t>
      </w:r>
      <w:r>
        <w:rPr>
          <w:rFonts w:eastAsia="Times New Roman"/>
          <w:color w:val="000000"/>
          <w:sz w:val="20"/>
          <w:szCs w:val="20"/>
        </w:rPr>
        <w:t>: Historically, we have taken advantage of refinancing higher coupon preferred securities with lower coupon preferred securities</w:t>
      </w:r>
      <w:r>
        <w:rPr>
          <w:rFonts w:eastAsia="Times New Roman"/>
          <w:color w:val="000000"/>
          <w:sz w:val="20"/>
          <w:szCs w:val="20"/>
        </w:rPr>
        <w:t>. In the future, we may also elect to finance the redemption of preferred securities with proceeds from the issuance of debt. As of February 21, 2023, we have two series of preferred securities that are eligible for redemption, at our option and with 30 da</w:t>
      </w:r>
      <w:r>
        <w:rPr>
          <w:rFonts w:eastAsia="Times New Roman"/>
          <w:color w:val="000000"/>
          <w:sz w:val="20"/>
          <w:szCs w:val="20"/>
        </w:rPr>
        <w:t>ys’ notice: our 5.150% Series F Preferred Shares ($280.0 million) and our 5.050% Series G Preferred Shares ($300.0 million). See Note 9 to our December 31, 2022 consolidated financial statements for the redemption dates of all of our series of preferred sh</w:t>
      </w:r>
      <w:r>
        <w:rPr>
          <w:rFonts w:eastAsia="Times New Roman"/>
          <w:color w:val="000000"/>
          <w:sz w:val="20"/>
          <w:szCs w:val="20"/>
        </w:rPr>
        <w:t xml:space="preserve">ares. Redemption of such preferred shares will depend upon many factors, including the rate at which we could issue replacement preferred securities. None of our preferred securities are redeemable at the option of the holders. </w:t>
      </w:r>
    </w:p>
    <w:p w:rsidR="00000000" w:rsidRDefault="00473C5F">
      <w:pPr>
        <w:ind w:firstLine="720"/>
        <w:jc w:val="both"/>
        <w:divId w:val="633751890"/>
        <w:rPr>
          <w:rFonts w:eastAsia="Times New Roman"/>
        </w:rPr>
      </w:pPr>
      <w:r>
        <w:rPr>
          <w:rFonts w:eastAsia="Times New Roman"/>
          <w:b/>
          <w:bCs/>
          <w:i/>
          <w:iCs/>
          <w:color w:val="000000"/>
          <w:sz w:val="20"/>
          <w:szCs w:val="20"/>
        </w:rPr>
        <w:t>Repurchases of Common Share</w:t>
      </w:r>
      <w:r>
        <w:rPr>
          <w:rFonts w:eastAsia="Times New Roman"/>
          <w:b/>
          <w:bCs/>
          <w:i/>
          <w:iCs/>
          <w:color w:val="000000"/>
          <w:sz w:val="20"/>
          <w:szCs w:val="20"/>
        </w:rPr>
        <w:t>s</w:t>
      </w:r>
      <w:r>
        <w:rPr>
          <w:rFonts w:eastAsia="Times New Roman"/>
          <w:color w:val="000000"/>
          <w:sz w:val="20"/>
          <w:szCs w:val="20"/>
        </w:rPr>
        <w:t>: Our Board has authorized management to repurchase up to 35,000,000 of our common shares on the open market or in privately negotiated transactions. During 2022, we did not repurchase any of our common shares. From the inception of the repurchase program</w:t>
      </w:r>
      <w:r>
        <w:rPr>
          <w:rFonts w:eastAsia="Times New Roman"/>
          <w:color w:val="000000"/>
          <w:sz w:val="20"/>
          <w:szCs w:val="20"/>
        </w:rPr>
        <w:t xml:space="preserve"> through February 21, 2023, we have repurchased a total of 23,721,916 common shares at an aggregate cost of approximately $679.1 million. Future levels of common share repurchases will be dependent upon our available capital, investment alternatives and th</w:t>
      </w:r>
      <w:r>
        <w:rPr>
          <w:rFonts w:eastAsia="Times New Roman"/>
          <w:color w:val="000000"/>
          <w:sz w:val="20"/>
          <w:szCs w:val="20"/>
        </w:rPr>
        <w:t>e trading price of our common shares.</w:t>
      </w:r>
    </w:p>
    <w:p w:rsidR="00000000" w:rsidRDefault="00473C5F">
      <w:pPr>
        <w:jc w:val="center"/>
        <w:divId w:val="1907450072"/>
        <w:rPr>
          <w:rFonts w:eastAsia="Times New Roman"/>
        </w:rPr>
      </w:pPr>
      <w:r>
        <w:rPr>
          <w:rFonts w:eastAsia="Times New Roman"/>
          <w:color w:val="000000"/>
          <w:sz w:val="20"/>
          <w:szCs w:val="20"/>
        </w:rPr>
        <w:t>49</w:t>
      </w:r>
    </w:p>
    <w:p w:rsidR="00000000" w:rsidRDefault="00473C5F">
      <w:pPr>
        <w:rPr>
          <w:rFonts w:eastAsia="Times New Roman"/>
        </w:rPr>
      </w:pPr>
      <w:r>
        <w:rPr>
          <w:rFonts w:eastAsia="Times New Roman"/>
        </w:rPr>
        <w:pict>
          <v:rect id="_x0000_i1076" style="width:0;height:1.5pt" o:hralign="center" o:hrstd="t" o:hr="t" fillcolor="#a0a0a0" stroked="f"/>
        </w:pict>
      </w:r>
    </w:p>
    <w:p w:rsidR="00000000" w:rsidRDefault="00473C5F">
      <w:pPr>
        <w:divId w:val="1855995621"/>
        <w:rPr>
          <w:rFonts w:eastAsia="Times New Roman"/>
        </w:rPr>
      </w:pPr>
    </w:p>
    <w:p w:rsidR="00000000" w:rsidRDefault="00473C5F">
      <w:pPr>
        <w:jc w:val="both"/>
        <w:divId w:val="137308622"/>
        <w:rPr>
          <w:rFonts w:eastAsia="Times New Roman"/>
        </w:rPr>
      </w:pPr>
      <w:r>
        <w:rPr>
          <w:rFonts w:eastAsia="Times New Roman"/>
          <w:b/>
          <w:bCs/>
          <w:color w:val="000000"/>
          <w:sz w:val="20"/>
          <w:szCs w:val="20"/>
          <w:u w:val="single"/>
        </w:rPr>
        <w:t>ITEM 7A.</w:t>
      </w:r>
      <w:r>
        <w:rPr>
          <w:rFonts w:eastAsia="Times New Roman"/>
          <w:color w:val="000000"/>
          <w:sz w:val="20"/>
          <w:szCs w:val="20"/>
        </w:rPr>
        <w:t>    </w:t>
      </w:r>
      <w:r>
        <w:rPr>
          <w:rFonts w:eastAsia="Times New Roman"/>
          <w:b/>
          <w:bCs/>
          <w:color w:val="000000"/>
          <w:sz w:val="20"/>
          <w:szCs w:val="20"/>
          <w:u w:val="single"/>
        </w:rPr>
        <w:t>Quantitative and Qualitative Disclosures about Market Risk</w:t>
      </w:r>
    </w:p>
    <w:p w:rsidR="00000000" w:rsidRDefault="00473C5F">
      <w:pPr>
        <w:ind w:firstLine="720"/>
        <w:jc w:val="both"/>
        <w:divId w:val="1369525317"/>
        <w:rPr>
          <w:rFonts w:eastAsia="Times New Roman"/>
        </w:rPr>
      </w:pPr>
      <w:r>
        <w:rPr>
          <w:rFonts w:eastAsia="Times New Roman"/>
          <w:color w:val="000000"/>
          <w:sz w:val="20"/>
          <w:szCs w:val="20"/>
        </w:rPr>
        <w:t xml:space="preserve">To limit our exposure to market risk, we are capitalized primarily with preferred and common equity. Our </w:t>
      </w:r>
      <w:r>
        <w:rPr>
          <w:rFonts w:eastAsia="Times New Roman"/>
          <w:color w:val="000000"/>
          <w:sz w:val="20"/>
          <w:szCs w:val="20"/>
        </w:rPr>
        <w:t>preferred shares are redeemable at our option generally five years after issuance, but the holder has no redemption option. Our debt, which totals approximately $6.9 billion at December 31, 2022, is the only market-risk sensitive portion of our capital str</w:t>
      </w:r>
      <w:r>
        <w:rPr>
          <w:rFonts w:eastAsia="Times New Roman"/>
          <w:color w:val="000000"/>
          <w:sz w:val="20"/>
          <w:szCs w:val="20"/>
        </w:rPr>
        <w:t xml:space="preserve">ucture. </w:t>
      </w:r>
    </w:p>
    <w:p w:rsidR="00000000" w:rsidRDefault="00473C5F">
      <w:pPr>
        <w:ind w:firstLine="720"/>
        <w:jc w:val="both"/>
        <w:divId w:val="419252537"/>
        <w:rPr>
          <w:rFonts w:eastAsia="Times New Roman"/>
        </w:rPr>
      </w:pPr>
      <w:r>
        <w:rPr>
          <w:rFonts w:eastAsia="Times New Roman"/>
          <w:color w:val="000000"/>
          <w:sz w:val="20"/>
          <w:szCs w:val="20"/>
        </w:rPr>
        <w:t>The fair value of our debt at December 31, 2022 is approximately $6.0 billion. The table below summarizes the annual maturities of our debt, which had a weighted average effective rate of 2.0% at December 31, 2022. See Note 7 to our December 31, 2</w:t>
      </w:r>
      <w:r>
        <w:rPr>
          <w:rFonts w:eastAsia="Times New Roman"/>
          <w:color w:val="000000"/>
          <w:sz w:val="20"/>
          <w:szCs w:val="20"/>
        </w:rPr>
        <w:t>022 consolidated financial statements for further information regarding our debt (amounts in thousands).</w:t>
      </w:r>
      <w:r>
        <w:rPr>
          <w:rFonts w:eastAsia="Times New Roman"/>
          <w:color w:val="000000"/>
          <w:sz w:val="2"/>
          <w:szCs w:val="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5"/>
        <w:gridCol w:w="628"/>
        <w:gridCol w:w="36"/>
        <w:gridCol w:w="121"/>
        <w:gridCol w:w="872"/>
        <w:gridCol w:w="36"/>
        <w:gridCol w:w="36"/>
        <w:gridCol w:w="36"/>
        <w:gridCol w:w="36"/>
        <w:gridCol w:w="121"/>
        <w:gridCol w:w="826"/>
        <w:gridCol w:w="36"/>
        <w:gridCol w:w="36"/>
        <w:gridCol w:w="36"/>
        <w:gridCol w:w="36"/>
        <w:gridCol w:w="121"/>
        <w:gridCol w:w="826"/>
        <w:gridCol w:w="36"/>
        <w:gridCol w:w="36"/>
        <w:gridCol w:w="36"/>
        <w:gridCol w:w="36"/>
        <w:gridCol w:w="121"/>
        <w:gridCol w:w="832"/>
        <w:gridCol w:w="36"/>
        <w:gridCol w:w="36"/>
        <w:gridCol w:w="36"/>
        <w:gridCol w:w="36"/>
        <w:gridCol w:w="121"/>
        <w:gridCol w:w="822"/>
        <w:gridCol w:w="36"/>
        <w:gridCol w:w="36"/>
        <w:gridCol w:w="36"/>
        <w:gridCol w:w="36"/>
        <w:gridCol w:w="121"/>
        <w:gridCol w:w="840"/>
        <w:gridCol w:w="36"/>
        <w:gridCol w:w="36"/>
        <w:gridCol w:w="36"/>
        <w:gridCol w:w="36"/>
        <w:gridCol w:w="121"/>
        <w:gridCol w:w="832"/>
        <w:gridCol w:w="36"/>
      </w:tblGrid>
      <w:tr w:rsidR="00000000">
        <w:trPr>
          <w:divId w:val="2056536233"/>
        </w:trPr>
        <w:tc>
          <w:tcPr>
            <w:tcW w:w="50" w:type="pct"/>
            <w:vAlign w:val="center"/>
            <w:hideMark/>
          </w:tcPr>
          <w:p w:rsidR="00000000" w:rsidRDefault="00473C5F">
            <w:pPr>
              <w:ind w:firstLine="720"/>
              <w:jc w:val="both"/>
              <w:rPr>
                <w:rFonts w:eastAsia="Times New Roman"/>
              </w:rPr>
            </w:pPr>
          </w:p>
        </w:tc>
        <w:tc>
          <w:tcPr>
            <w:tcW w:w="42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5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5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5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5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5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5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5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2056536233"/>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2027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 Thereafter</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 Total</w:t>
            </w:r>
          </w:p>
        </w:tc>
      </w:tr>
      <w:tr w:rsidR="00000000">
        <w:trPr>
          <w:divId w:val="2056536233"/>
          <w:trHeight w:val="120"/>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056536233"/>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Debt </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8,270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807,159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259,170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1,150,138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500,140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4,185,709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6,910,586</w:t>
            </w:r>
          </w:p>
        </w:tc>
      </w:tr>
    </w:tbl>
    <w:p w:rsidR="00000000" w:rsidRDefault="00473C5F">
      <w:pPr>
        <w:ind w:firstLine="720"/>
        <w:jc w:val="both"/>
        <w:divId w:val="1098404580"/>
        <w:rPr>
          <w:rFonts w:eastAsia="Times New Roman"/>
        </w:rPr>
      </w:pPr>
      <w:r>
        <w:rPr>
          <w:rFonts w:eastAsia="Times New Roman"/>
          <w:color w:val="000000"/>
          <w:sz w:val="20"/>
          <w:szCs w:val="20"/>
        </w:rPr>
        <w:t>We have foreign currency exposure at December 31, 2022 related to (i) our investment in Shurgard, with a book value of $2</w:t>
      </w:r>
      <w:r>
        <w:rPr>
          <w:rFonts w:eastAsia="Times New Roman"/>
          <w:color w:val="000000"/>
          <w:sz w:val="20"/>
          <w:szCs w:val="20"/>
        </w:rPr>
        <w:t xml:space="preserve">75.8 million, and a fair value of $1.4 billion based upon the closing price of Shurgard’s stock on December 31, 2022, and (ii) €1.5 billion ($1.7 billion) of Euro-denominated unsecured notes payable, providing a natural hedge against the fair value of our </w:t>
      </w:r>
      <w:r>
        <w:rPr>
          <w:rFonts w:eastAsia="Times New Roman"/>
          <w:color w:val="000000"/>
          <w:sz w:val="20"/>
          <w:szCs w:val="20"/>
        </w:rPr>
        <w:t>investment in Shurgard.</w:t>
      </w:r>
    </w:p>
    <w:p w:rsidR="00000000" w:rsidRDefault="00473C5F">
      <w:pPr>
        <w:jc w:val="both"/>
        <w:divId w:val="658850180"/>
        <w:rPr>
          <w:rFonts w:eastAsia="Times New Roman"/>
        </w:rPr>
      </w:pPr>
      <w:r>
        <w:rPr>
          <w:rFonts w:eastAsia="Times New Roman"/>
          <w:b/>
          <w:bCs/>
          <w:color w:val="000000"/>
          <w:sz w:val="20"/>
          <w:szCs w:val="20"/>
        </w:rPr>
        <w:t>ITEM 8.    </w:t>
      </w:r>
      <w:r>
        <w:rPr>
          <w:rFonts w:eastAsia="Times New Roman"/>
          <w:b/>
          <w:bCs/>
          <w:color w:val="000000"/>
          <w:sz w:val="20"/>
          <w:szCs w:val="20"/>
          <w:u w:val="single"/>
        </w:rPr>
        <w:t>Financial Statements and Supplementary Data</w:t>
      </w:r>
    </w:p>
    <w:p w:rsidR="00000000" w:rsidRDefault="00473C5F">
      <w:pPr>
        <w:ind w:firstLine="720"/>
        <w:jc w:val="both"/>
        <w:divId w:val="299499796"/>
        <w:rPr>
          <w:rFonts w:eastAsia="Times New Roman"/>
        </w:rPr>
      </w:pPr>
      <w:r>
        <w:rPr>
          <w:rFonts w:eastAsia="Times New Roman"/>
          <w:color w:val="000000"/>
          <w:sz w:val="20"/>
          <w:szCs w:val="20"/>
        </w:rPr>
        <w:t>The financial statements and supplementary data appearing on pages F-3 to F-34 are incorporated herein by reference.</w:t>
      </w:r>
    </w:p>
    <w:p w:rsidR="00000000" w:rsidRDefault="00473C5F">
      <w:pPr>
        <w:jc w:val="both"/>
        <w:divId w:val="1627196173"/>
        <w:rPr>
          <w:rFonts w:eastAsia="Times New Roman"/>
        </w:rPr>
      </w:pPr>
      <w:r>
        <w:rPr>
          <w:rFonts w:eastAsia="Times New Roman"/>
          <w:b/>
          <w:bCs/>
          <w:color w:val="000000"/>
          <w:sz w:val="20"/>
          <w:szCs w:val="20"/>
        </w:rPr>
        <w:t>ITEM 9.    </w:t>
      </w:r>
      <w:r>
        <w:rPr>
          <w:rFonts w:eastAsia="Times New Roman"/>
          <w:b/>
          <w:bCs/>
          <w:color w:val="000000"/>
          <w:sz w:val="20"/>
          <w:szCs w:val="20"/>
          <w:u w:val="single"/>
        </w:rPr>
        <w:t xml:space="preserve">Changes in and Disagreements With Accountants on </w:t>
      </w:r>
      <w:r>
        <w:rPr>
          <w:rFonts w:eastAsia="Times New Roman"/>
          <w:b/>
          <w:bCs/>
          <w:color w:val="000000"/>
          <w:sz w:val="20"/>
          <w:szCs w:val="20"/>
          <w:u w:val="single"/>
        </w:rPr>
        <w:t>Accounting and Financial Disclosure</w:t>
      </w:r>
    </w:p>
    <w:p w:rsidR="00000000" w:rsidRDefault="00473C5F">
      <w:pPr>
        <w:ind w:firstLine="720"/>
        <w:jc w:val="both"/>
        <w:divId w:val="174656202"/>
        <w:rPr>
          <w:rFonts w:eastAsia="Times New Roman"/>
        </w:rPr>
      </w:pPr>
      <w:r>
        <w:rPr>
          <w:rFonts w:eastAsia="Times New Roman"/>
          <w:color w:val="000000"/>
          <w:sz w:val="20"/>
          <w:szCs w:val="20"/>
        </w:rPr>
        <w:t xml:space="preserve">Not applicable. </w:t>
      </w:r>
    </w:p>
    <w:p w:rsidR="00000000" w:rsidRDefault="00473C5F">
      <w:pPr>
        <w:jc w:val="both"/>
        <w:divId w:val="2138990401"/>
        <w:rPr>
          <w:rFonts w:eastAsia="Times New Roman"/>
        </w:rPr>
      </w:pPr>
      <w:r>
        <w:rPr>
          <w:rFonts w:eastAsia="Times New Roman"/>
          <w:b/>
          <w:bCs/>
          <w:color w:val="000000"/>
          <w:sz w:val="20"/>
          <w:szCs w:val="20"/>
        </w:rPr>
        <w:t>ITEM 9A.    </w:t>
      </w:r>
      <w:r>
        <w:rPr>
          <w:rFonts w:eastAsia="Times New Roman"/>
          <w:b/>
          <w:bCs/>
          <w:color w:val="000000"/>
          <w:sz w:val="20"/>
          <w:szCs w:val="20"/>
          <w:u w:val="single"/>
        </w:rPr>
        <w:t>Controls and Procedures</w:t>
      </w:r>
    </w:p>
    <w:p w:rsidR="00000000" w:rsidRDefault="00473C5F">
      <w:pPr>
        <w:jc w:val="both"/>
        <w:divId w:val="1584727862"/>
        <w:rPr>
          <w:rFonts w:eastAsia="Times New Roman"/>
        </w:rPr>
      </w:pPr>
      <w:r>
        <w:rPr>
          <w:rFonts w:eastAsia="Times New Roman"/>
          <w:b/>
          <w:bCs/>
          <w:color w:val="000000"/>
          <w:sz w:val="20"/>
          <w:szCs w:val="20"/>
        </w:rPr>
        <w:t>Conclusion Regarding the Effectiveness of Disclosure Controls and Procedures</w:t>
      </w:r>
    </w:p>
    <w:p w:rsidR="00000000" w:rsidRDefault="00473C5F">
      <w:pPr>
        <w:ind w:firstLine="720"/>
        <w:jc w:val="both"/>
        <w:divId w:val="704453226"/>
        <w:rPr>
          <w:rFonts w:eastAsia="Times New Roman"/>
        </w:rPr>
      </w:pPr>
      <w:r>
        <w:rPr>
          <w:rFonts w:eastAsia="Times New Roman"/>
          <w:color w:val="000000"/>
          <w:sz w:val="20"/>
          <w:szCs w:val="20"/>
        </w:rPr>
        <w:t>We maintain disclosure controls and procedures that are designed to ensure that information required to be disclosed in reports we file and submit under the Securities Exchange Act of 1934, as amended (the “Exchange Act”), is recorded, processed, summarize</w:t>
      </w:r>
      <w:r>
        <w:rPr>
          <w:rFonts w:eastAsia="Times New Roman"/>
          <w:color w:val="000000"/>
          <w:sz w:val="20"/>
          <w:szCs w:val="20"/>
        </w:rPr>
        <w:t>d, and reported within the time periods specified in accordance with SEC guidelines, and that such information is communicated to our management, including our Chief Executive Officer and Chief Financial Officer, to allow timely decisions regarding require</w:t>
      </w:r>
      <w:r>
        <w:rPr>
          <w:rFonts w:eastAsia="Times New Roman"/>
          <w:color w:val="000000"/>
          <w:sz w:val="20"/>
          <w:szCs w:val="20"/>
        </w:rPr>
        <w:t>d disclosure based on the definition “of disclosure controls and procedures” in Rules 13a-15(e) and 15d-15(e) of the Exchange Act. In designing and evaluating the disclosure controls and procedures, management recognized that any controls and procedures, n</w:t>
      </w:r>
      <w:r>
        <w:rPr>
          <w:rFonts w:eastAsia="Times New Roman"/>
          <w:color w:val="000000"/>
          <w:sz w:val="20"/>
          <w:szCs w:val="20"/>
        </w:rPr>
        <w:t>o matter how well designed and operated, can provide only reasonable assurance of achieving the desired control objectives, and management necessarily was required to apply its judgment in evaluating the cost-benefit relationship of possible controls and p</w:t>
      </w:r>
      <w:r>
        <w:rPr>
          <w:rFonts w:eastAsia="Times New Roman"/>
          <w:color w:val="000000"/>
          <w:sz w:val="20"/>
          <w:szCs w:val="20"/>
        </w:rPr>
        <w:t>rocedures in reaching that level of reasonable assurance. We also have investments in certain unconsolidated real estate entities, and, because we do not control these entities, our disclosure controls and procedures with respect to such entities are subst</w:t>
      </w:r>
      <w:r>
        <w:rPr>
          <w:rFonts w:eastAsia="Times New Roman"/>
          <w:color w:val="000000"/>
          <w:sz w:val="20"/>
          <w:szCs w:val="20"/>
        </w:rPr>
        <w:t>antially more limited than those we maintain with respect to our consolidated subsidiaries.</w:t>
      </w:r>
    </w:p>
    <w:p w:rsidR="00000000" w:rsidRDefault="00473C5F">
      <w:pPr>
        <w:ind w:firstLine="720"/>
        <w:jc w:val="both"/>
        <w:divId w:val="1869903468"/>
        <w:rPr>
          <w:rFonts w:eastAsia="Times New Roman"/>
        </w:rPr>
      </w:pPr>
      <w:r>
        <w:rPr>
          <w:rFonts w:eastAsia="Times New Roman"/>
          <w:color w:val="000000"/>
          <w:sz w:val="20"/>
          <w:szCs w:val="20"/>
        </w:rPr>
        <w:t>As of December 31, 2022, we carried out an evaluation, under the supervision and with the participation of management, including our Chief Executive Officer and Chi</w:t>
      </w:r>
      <w:r>
        <w:rPr>
          <w:rFonts w:eastAsia="Times New Roman"/>
          <w:color w:val="000000"/>
          <w:sz w:val="20"/>
          <w:szCs w:val="20"/>
        </w:rPr>
        <w:t>ef Financial Officer, of the effectiveness of the design and operation of our disclosure controls and procedures (as such term is defined in Rules 13a-15(e) and 15d-15(e) of the Exchange Act). Based on that evaluation, our Chief Executive Officer and Chief</w:t>
      </w:r>
      <w:r>
        <w:rPr>
          <w:rFonts w:eastAsia="Times New Roman"/>
          <w:color w:val="000000"/>
          <w:sz w:val="20"/>
          <w:szCs w:val="20"/>
        </w:rPr>
        <w:t xml:space="preserve"> Financial Officer concluded that our disclosure controls and procedures were effective as of December 31, 2022, at a reasonable assurance level.</w:t>
      </w:r>
    </w:p>
    <w:p w:rsidR="00000000" w:rsidRDefault="00473C5F">
      <w:pPr>
        <w:jc w:val="both"/>
        <w:divId w:val="833304602"/>
        <w:rPr>
          <w:rFonts w:eastAsia="Times New Roman"/>
        </w:rPr>
      </w:pPr>
      <w:r>
        <w:rPr>
          <w:rFonts w:eastAsia="Times New Roman"/>
          <w:b/>
          <w:bCs/>
          <w:color w:val="000000"/>
          <w:sz w:val="20"/>
          <w:szCs w:val="20"/>
        </w:rPr>
        <w:t>Management’</w:t>
      </w:r>
      <w:r>
        <w:rPr>
          <w:rFonts w:eastAsia="Times New Roman"/>
          <w:b/>
          <w:bCs/>
          <w:color w:val="000000"/>
          <w:sz w:val="20"/>
          <w:szCs w:val="20"/>
        </w:rPr>
        <w:t>s Report on Internal Control Over Financial Reporting</w:t>
      </w:r>
    </w:p>
    <w:p w:rsidR="00000000" w:rsidRDefault="00473C5F">
      <w:pPr>
        <w:ind w:firstLine="720"/>
        <w:jc w:val="both"/>
        <w:divId w:val="1559321659"/>
        <w:rPr>
          <w:rFonts w:eastAsia="Times New Roman"/>
        </w:rPr>
      </w:pPr>
      <w:r>
        <w:rPr>
          <w:rFonts w:eastAsia="Times New Roman"/>
          <w:color w:val="000000"/>
          <w:sz w:val="20"/>
          <w:szCs w:val="20"/>
        </w:rPr>
        <w:t>Our management is responsible for establishing and maintaining adequate internal control over financial reporting, as such term is defined in Rules 13a-15(f) and 15d-15(f) of the Exchange Act. Under the</w:t>
      </w:r>
      <w:r>
        <w:rPr>
          <w:rFonts w:eastAsia="Times New Roman"/>
          <w:color w:val="000000"/>
          <w:sz w:val="20"/>
          <w:szCs w:val="20"/>
        </w:rPr>
        <w:t xml:space="preserve"> supervision and with the </w:t>
      </w:r>
    </w:p>
    <w:p w:rsidR="00000000" w:rsidRDefault="00473C5F">
      <w:pPr>
        <w:jc w:val="center"/>
        <w:divId w:val="1940601884"/>
        <w:rPr>
          <w:rFonts w:eastAsia="Times New Roman"/>
        </w:rPr>
      </w:pPr>
      <w:r>
        <w:rPr>
          <w:rFonts w:eastAsia="Times New Roman"/>
          <w:color w:val="000000"/>
          <w:sz w:val="20"/>
          <w:szCs w:val="20"/>
        </w:rPr>
        <w:t>50</w:t>
      </w:r>
    </w:p>
    <w:p w:rsidR="00000000" w:rsidRDefault="00473C5F">
      <w:pPr>
        <w:rPr>
          <w:rFonts w:eastAsia="Times New Roman"/>
        </w:rPr>
      </w:pPr>
      <w:r>
        <w:rPr>
          <w:rFonts w:eastAsia="Times New Roman"/>
        </w:rPr>
        <w:pict>
          <v:rect id="_x0000_i1077" style="width:0;height:1.5pt" o:hralign="center" o:hrstd="t" o:hr="t" fillcolor="#a0a0a0" stroked="f"/>
        </w:pict>
      </w:r>
    </w:p>
    <w:p w:rsidR="00000000" w:rsidRDefault="00473C5F">
      <w:pPr>
        <w:divId w:val="557669344"/>
        <w:rPr>
          <w:rFonts w:eastAsia="Times New Roman"/>
        </w:rPr>
      </w:pPr>
    </w:p>
    <w:p w:rsidR="00000000" w:rsidRDefault="00473C5F">
      <w:pPr>
        <w:jc w:val="both"/>
        <w:divId w:val="2001080674"/>
        <w:rPr>
          <w:rFonts w:eastAsia="Times New Roman"/>
        </w:rPr>
      </w:pPr>
      <w:r>
        <w:rPr>
          <w:rFonts w:eastAsia="Times New Roman"/>
          <w:color w:val="000000"/>
          <w:sz w:val="20"/>
          <w:szCs w:val="20"/>
        </w:rPr>
        <w:t>participation of our management, including our Chief Executive Officer and Chief Financial Officer, we conducted an evaluation of the effectiveness of our internal control over financial r</w:t>
      </w:r>
      <w:r>
        <w:rPr>
          <w:rFonts w:eastAsia="Times New Roman"/>
          <w:color w:val="000000"/>
          <w:sz w:val="20"/>
          <w:szCs w:val="20"/>
        </w:rPr>
        <w:t xml:space="preserve">eporting based on the framework in </w:t>
      </w:r>
      <w:r>
        <w:rPr>
          <w:rFonts w:eastAsia="Times New Roman"/>
          <w:i/>
          <w:iCs/>
          <w:color w:val="000000"/>
          <w:sz w:val="20"/>
          <w:szCs w:val="20"/>
        </w:rPr>
        <w:t>Internal Control-Integrated Framework</w:t>
      </w:r>
      <w:r>
        <w:rPr>
          <w:rFonts w:eastAsia="Times New Roman"/>
          <w:color w:val="000000"/>
          <w:sz w:val="20"/>
          <w:szCs w:val="20"/>
        </w:rPr>
        <w:t xml:space="preserve"> issued by the Committee on Sponsoring Organizations of the Treadway Commission (2013 Framework). Based on our evaluation under the framework in </w:t>
      </w:r>
      <w:r>
        <w:rPr>
          <w:rFonts w:eastAsia="Times New Roman"/>
          <w:i/>
          <w:iCs/>
          <w:color w:val="000000"/>
          <w:sz w:val="20"/>
          <w:szCs w:val="20"/>
        </w:rPr>
        <w:t>Internal Control-Integrated Framework</w:t>
      </w:r>
      <w:r>
        <w:rPr>
          <w:rFonts w:eastAsia="Times New Roman"/>
          <w:color w:val="000000"/>
          <w:sz w:val="20"/>
          <w:szCs w:val="20"/>
        </w:rPr>
        <w:t xml:space="preserve">, </w:t>
      </w:r>
      <w:r>
        <w:rPr>
          <w:rFonts w:eastAsia="Times New Roman"/>
          <w:color w:val="000000"/>
          <w:sz w:val="20"/>
          <w:szCs w:val="20"/>
        </w:rPr>
        <w:t>our management concluded that our internal control over financial reporting was effective as of December 31, 2022.</w:t>
      </w:r>
    </w:p>
    <w:p w:rsidR="00000000" w:rsidRDefault="00473C5F">
      <w:pPr>
        <w:ind w:firstLine="720"/>
        <w:jc w:val="both"/>
        <w:divId w:val="1872105220"/>
        <w:rPr>
          <w:rFonts w:eastAsia="Times New Roman"/>
        </w:rPr>
      </w:pPr>
      <w:r>
        <w:rPr>
          <w:rFonts w:eastAsia="Times New Roman"/>
          <w:color w:val="000000"/>
          <w:sz w:val="20"/>
          <w:szCs w:val="20"/>
        </w:rPr>
        <w:t>The effectiveness of internal control over financial reporting as of December 31, 2022, has been audited by Ernst &amp; Young LLP, an independent</w:t>
      </w:r>
      <w:r>
        <w:rPr>
          <w:rFonts w:eastAsia="Times New Roman"/>
          <w:color w:val="000000"/>
          <w:sz w:val="20"/>
          <w:szCs w:val="20"/>
        </w:rPr>
        <w:t xml:space="preserve"> registered public accounting firm. Ernst &amp; Young LLP’s report on our internal control over financial reporting appears below.</w:t>
      </w:r>
    </w:p>
    <w:p w:rsidR="00000000" w:rsidRDefault="00473C5F">
      <w:pPr>
        <w:jc w:val="both"/>
        <w:divId w:val="702826928"/>
        <w:rPr>
          <w:rFonts w:eastAsia="Times New Roman"/>
        </w:rPr>
      </w:pPr>
      <w:r>
        <w:rPr>
          <w:rFonts w:eastAsia="Times New Roman"/>
          <w:b/>
          <w:bCs/>
          <w:color w:val="000000"/>
          <w:sz w:val="20"/>
          <w:szCs w:val="20"/>
        </w:rPr>
        <w:t>Changes in Internal Control Over Financial Reporting</w:t>
      </w:r>
    </w:p>
    <w:p w:rsidR="00000000" w:rsidRDefault="00473C5F">
      <w:pPr>
        <w:ind w:firstLine="720"/>
        <w:jc w:val="both"/>
        <w:divId w:val="92211677"/>
        <w:rPr>
          <w:rFonts w:eastAsia="Times New Roman"/>
        </w:rPr>
      </w:pPr>
      <w:r>
        <w:rPr>
          <w:rFonts w:eastAsia="Times New Roman"/>
          <w:color w:val="000000"/>
          <w:sz w:val="20"/>
          <w:szCs w:val="20"/>
        </w:rPr>
        <w:t>There have not been any changes in our internal control over financial repor</w:t>
      </w:r>
      <w:r>
        <w:rPr>
          <w:rFonts w:eastAsia="Times New Roman"/>
          <w:color w:val="000000"/>
          <w:sz w:val="20"/>
          <w:szCs w:val="20"/>
        </w:rPr>
        <w:t>ting (as such term is defined in Rules 13a-15(f) and 15d-15(f) under the Exchange Act) during the fourth quarter of 2022 to which this report relates that have materially affected, or are reasonable likely to materially affect, our internal control over fi</w:t>
      </w:r>
      <w:r>
        <w:rPr>
          <w:rFonts w:eastAsia="Times New Roman"/>
          <w:color w:val="000000"/>
          <w:sz w:val="20"/>
          <w:szCs w:val="20"/>
        </w:rPr>
        <w:t>nancial reporting.</w:t>
      </w:r>
    </w:p>
    <w:p w:rsidR="00000000" w:rsidRDefault="00473C5F">
      <w:pPr>
        <w:jc w:val="center"/>
        <w:divId w:val="1626736846"/>
        <w:rPr>
          <w:rFonts w:eastAsia="Times New Roman"/>
        </w:rPr>
      </w:pPr>
      <w:r>
        <w:rPr>
          <w:rFonts w:eastAsia="Times New Roman"/>
          <w:color w:val="000000"/>
          <w:sz w:val="20"/>
          <w:szCs w:val="20"/>
        </w:rPr>
        <w:t>51</w:t>
      </w:r>
    </w:p>
    <w:p w:rsidR="00000000" w:rsidRDefault="00473C5F">
      <w:pPr>
        <w:rPr>
          <w:rFonts w:eastAsia="Times New Roman"/>
        </w:rPr>
      </w:pPr>
      <w:r>
        <w:rPr>
          <w:rFonts w:eastAsia="Times New Roman"/>
        </w:rPr>
        <w:pict>
          <v:rect id="_x0000_i1078" style="width:0;height:1.5pt" o:hralign="center" o:hrstd="t" o:hr="t" fillcolor="#a0a0a0" stroked="f"/>
        </w:pict>
      </w:r>
    </w:p>
    <w:p w:rsidR="00000000" w:rsidRDefault="00473C5F">
      <w:pPr>
        <w:divId w:val="430856163"/>
        <w:rPr>
          <w:rFonts w:eastAsia="Times New Roman"/>
        </w:rPr>
      </w:pPr>
    </w:p>
    <w:p w:rsidR="00000000" w:rsidRDefault="00473C5F">
      <w:pPr>
        <w:jc w:val="center"/>
        <w:divId w:val="778989852"/>
        <w:rPr>
          <w:rFonts w:eastAsia="Times New Roman"/>
        </w:rPr>
      </w:pPr>
      <w:r>
        <w:rPr>
          <w:rFonts w:eastAsia="Times New Roman"/>
          <w:b/>
          <w:bCs/>
          <w:color w:val="000000"/>
          <w:sz w:val="20"/>
          <w:szCs w:val="20"/>
        </w:rPr>
        <w:t>Report of Independent Registered Public Accounting Firm</w:t>
      </w:r>
    </w:p>
    <w:p w:rsidR="00000000" w:rsidRDefault="00473C5F">
      <w:pPr>
        <w:divId w:val="1581790886"/>
        <w:rPr>
          <w:rFonts w:eastAsia="Times New Roman"/>
        </w:rPr>
      </w:pPr>
      <w:r>
        <w:rPr>
          <w:rFonts w:eastAsia="Times New Roman"/>
          <w:color w:val="000000"/>
          <w:sz w:val="20"/>
          <w:szCs w:val="20"/>
        </w:rPr>
        <w:t>To the Shareholders and Board of Trustees of Public Storage</w:t>
      </w:r>
    </w:p>
    <w:p w:rsidR="00000000" w:rsidRDefault="00473C5F">
      <w:pPr>
        <w:divId w:val="489447027"/>
        <w:rPr>
          <w:rFonts w:eastAsia="Times New Roman"/>
        </w:rPr>
      </w:pPr>
      <w:r>
        <w:rPr>
          <w:rFonts w:eastAsia="Times New Roman"/>
          <w:b/>
          <w:bCs/>
          <w:color w:val="000000"/>
          <w:sz w:val="20"/>
          <w:szCs w:val="20"/>
        </w:rPr>
        <w:t>Opinion on Internal Control over Financial Reporting</w:t>
      </w:r>
    </w:p>
    <w:p w:rsidR="00000000" w:rsidRDefault="00473C5F">
      <w:pPr>
        <w:divId w:val="360011571"/>
        <w:rPr>
          <w:rFonts w:eastAsia="Times New Roman"/>
        </w:rPr>
      </w:pPr>
      <w:r>
        <w:rPr>
          <w:rFonts w:eastAsia="Times New Roman"/>
          <w:color w:val="000000"/>
          <w:sz w:val="20"/>
          <w:szCs w:val="20"/>
        </w:rPr>
        <w:t>We have audited Public Stor</w:t>
      </w:r>
      <w:r>
        <w:rPr>
          <w:rFonts w:eastAsia="Times New Roman"/>
          <w:color w:val="000000"/>
          <w:sz w:val="20"/>
          <w:szCs w:val="20"/>
        </w:rPr>
        <w:t>age’s internal control over financial reporting as of December 31, 2022, based on criteria established in Internal Control—Integrated Framework issued by the Committee of Sponsoring Organizations of the Treadway Commission (2013 framework) (the COSO criter</w:t>
      </w:r>
      <w:r>
        <w:rPr>
          <w:rFonts w:eastAsia="Times New Roman"/>
          <w:color w:val="000000"/>
          <w:sz w:val="20"/>
          <w:szCs w:val="20"/>
        </w:rPr>
        <w:t>ia). In our opinion, Public Storage (the Company) maintained, in all material respects, effective internal control over financial reporting as of December 31, 2022, based on the COSO criteria.</w:t>
      </w:r>
    </w:p>
    <w:p w:rsidR="00000000" w:rsidRDefault="00473C5F">
      <w:pPr>
        <w:divId w:val="1518692610"/>
        <w:rPr>
          <w:rFonts w:eastAsia="Times New Roman"/>
        </w:rPr>
      </w:pPr>
      <w:r>
        <w:rPr>
          <w:rFonts w:eastAsia="Times New Roman"/>
          <w:color w:val="000000"/>
          <w:sz w:val="20"/>
          <w:szCs w:val="20"/>
        </w:rPr>
        <w:t>We also have audited, in accordance with the standards of the P</w:t>
      </w:r>
      <w:r>
        <w:rPr>
          <w:rFonts w:eastAsia="Times New Roman"/>
          <w:color w:val="000000"/>
          <w:sz w:val="20"/>
          <w:szCs w:val="20"/>
        </w:rPr>
        <w:t>ublic Company Accounting Oversight Board (United States) (PCAOB), the consolidated balance sheets of the Company as of December 31, 2022 and 2021, the related consolidated statements of income, comprehensive income, equity and redeemable noncontrolling int</w:t>
      </w:r>
      <w:r>
        <w:rPr>
          <w:rFonts w:eastAsia="Times New Roman"/>
          <w:color w:val="000000"/>
          <w:sz w:val="20"/>
          <w:szCs w:val="20"/>
        </w:rPr>
        <w:t>erests and cash flows for each of the three years in the period ended December 31, 2022 and the related notes and financial statement schedule listed in the Index at Item 15(a) and our report dated February 21, 2023 expressed an unqualified opinion thereon</w:t>
      </w:r>
      <w:r>
        <w:rPr>
          <w:rFonts w:eastAsia="Times New Roman"/>
          <w:color w:val="000000"/>
          <w:sz w:val="20"/>
          <w:szCs w:val="20"/>
        </w:rPr>
        <w:t>.</w:t>
      </w:r>
    </w:p>
    <w:p w:rsidR="00000000" w:rsidRDefault="00473C5F">
      <w:pPr>
        <w:divId w:val="101345970"/>
        <w:rPr>
          <w:rFonts w:eastAsia="Times New Roman"/>
        </w:rPr>
      </w:pPr>
      <w:r>
        <w:rPr>
          <w:rFonts w:eastAsia="Times New Roman"/>
          <w:b/>
          <w:bCs/>
          <w:color w:val="000000"/>
          <w:sz w:val="20"/>
          <w:szCs w:val="20"/>
        </w:rPr>
        <w:t>Basis for Opinion</w:t>
      </w:r>
    </w:p>
    <w:p w:rsidR="00000000" w:rsidRDefault="00473C5F">
      <w:pPr>
        <w:divId w:val="1590314656"/>
        <w:rPr>
          <w:rFonts w:eastAsia="Times New Roman"/>
        </w:rPr>
      </w:pPr>
      <w:r>
        <w:rPr>
          <w:rFonts w:eastAsia="Times New Roman"/>
          <w:color w:val="000000"/>
          <w:sz w:val="20"/>
          <w:szCs w:val="20"/>
        </w:rPr>
        <w:t>The Company’s management is responsible for maintaining effective internal control over financial reporting, and for its assessment of the effectiveness of internal control over financial reporting included in the accompanying Managemen</w:t>
      </w:r>
      <w:r>
        <w:rPr>
          <w:rFonts w:eastAsia="Times New Roman"/>
          <w:color w:val="000000"/>
          <w:sz w:val="20"/>
          <w:szCs w:val="20"/>
        </w:rPr>
        <w:t>t’s Report on Internal Control Over Financial Reporting. Our responsibility is to express an opinion on the Company’s internal control over financial reporting based on our audit. We are a public accounting firm registered with the PCAOB and are required t</w:t>
      </w:r>
      <w:r>
        <w:rPr>
          <w:rFonts w:eastAsia="Times New Roman"/>
          <w:color w:val="000000"/>
          <w:sz w:val="20"/>
          <w:szCs w:val="20"/>
        </w:rPr>
        <w:t xml:space="preserve">o be independent with respect to the Company in accordance with the U.S. federal securities laws and the applicable rules and regulations of the Securities and Exchange Commission and the PCAOB. </w:t>
      </w:r>
    </w:p>
    <w:p w:rsidR="00000000" w:rsidRDefault="00473C5F">
      <w:pPr>
        <w:divId w:val="2107459525"/>
        <w:rPr>
          <w:rFonts w:eastAsia="Times New Roman"/>
        </w:rPr>
      </w:pPr>
      <w:r>
        <w:rPr>
          <w:rFonts w:eastAsia="Times New Roman"/>
          <w:color w:val="000000"/>
          <w:sz w:val="20"/>
          <w:szCs w:val="20"/>
        </w:rPr>
        <w:t>We conducted our audit in accordance with the standards of t</w:t>
      </w:r>
      <w:r>
        <w:rPr>
          <w:rFonts w:eastAsia="Times New Roman"/>
          <w:color w:val="000000"/>
          <w:sz w:val="20"/>
          <w:szCs w:val="20"/>
        </w:rPr>
        <w:t>he PCAOB. Those standards require that we plan and perform the audit to obtain reasonable assurance about whether effective internal control over financial reporting was maintained in all material respects.</w:t>
      </w:r>
    </w:p>
    <w:p w:rsidR="00000000" w:rsidRDefault="00473C5F">
      <w:pPr>
        <w:divId w:val="2014603909"/>
        <w:rPr>
          <w:rFonts w:eastAsia="Times New Roman"/>
        </w:rPr>
      </w:pPr>
      <w:r>
        <w:rPr>
          <w:rFonts w:eastAsia="Times New Roman"/>
          <w:color w:val="000000"/>
          <w:sz w:val="20"/>
          <w:szCs w:val="20"/>
        </w:rPr>
        <w:t xml:space="preserve">Our audit included obtaining an understanding of </w:t>
      </w:r>
      <w:r>
        <w:rPr>
          <w:rFonts w:eastAsia="Times New Roman"/>
          <w:color w:val="000000"/>
          <w:sz w:val="20"/>
          <w:szCs w:val="20"/>
        </w:rPr>
        <w:t>internal control over financial reporting, assessing the risk that a material weakness exists, testing and evaluating the design and operating effectiveness of internal control based on the assessed risk, and performing such other procedures as we consider</w:t>
      </w:r>
      <w:r>
        <w:rPr>
          <w:rFonts w:eastAsia="Times New Roman"/>
          <w:color w:val="000000"/>
          <w:sz w:val="20"/>
          <w:szCs w:val="20"/>
        </w:rPr>
        <w:t>ed necessary in the circumstances. We believe that our audit provides a reasonable basis for our opinion.</w:t>
      </w:r>
    </w:p>
    <w:p w:rsidR="00000000" w:rsidRDefault="00473C5F">
      <w:pPr>
        <w:divId w:val="453989899"/>
        <w:rPr>
          <w:rFonts w:eastAsia="Times New Roman"/>
        </w:rPr>
      </w:pPr>
      <w:r>
        <w:rPr>
          <w:rFonts w:eastAsia="Times New Roman"/>
          <w:b/>
          <w:bCs/>
          <w:color w:val="000000"/>
          <w:sz w:val="20"/>
          <w:szCs w:val="20"/>
        </w:rPr>
        <w:t>Definition and Limitations of Internal Control Over Financial Reporting</w:t>
      </w:r>
    </w:p>
    <w:p w:rsidR="00000000" w:rsidRDefault="00473C5F">
      <w:pPr>
        <w:divId w:val="167865309"/>
        <w:rPr>
          <w:rFonts w:eastAsia="Times New Roman"/>
        </w:rPr>
      </w:pPr>
      <w:r>
        <w:rPr>
          <w:rFonts w:eastAsia="Times New Roman"/>
          <w:color w:val="000000"/>
          <w:sz w:val="20"/>
          <w:szCs w:val="20"/>
        </w:rPr>
        <w:t>A company’s internal control over financial reporting is a process designed to</w:t>
      </w:r>
      <w:r>
        <w:rPr>
          <w:rFonts w:eastAsia="Times New Roman"/>
          <w:color w:val="000000"/>
          <w:sz w:val="20"/>
          <w:szCs w:val="20"/>
        </w:rPr>
        <w:t xml:space="preserve"> provide reasonable assurance regarding the reliability of financial reporting and the preparation of financial statements for external purposes in accordance with generally accepted accounting principles. A company’s internal control over financial report</w:t>
      </w:r>
      <w:r>
        <w:rPr>
          <w:rFonts w:eastAsia="Times New Roman"/>
          <w:color w:val="000000"/>
          <w:sz w:val="20"/>
          <w:szCs w:val="20"/>
        </w:rPr>
        <w:t>ing includes those policies and procedures that (1) pertain to the maintenance of records that, in reasonable detail, accurately and fairly reflect the transactions and dispositions of the assets of the company; (2) provide reasonable assurance that transa</w:t>
      </w:r>
      <w:r>
        <w:rPr>
          <w:rFonts w:eastAsia="Times New Roman"/>
          <w:color w:val="000000"/>
          <w:sz w:val="20"/>
          <w:szCs w:val="20"/>
        </w:rPr>
        <w:t>ctions are recorded as necessary to permit preparation of financial statements in accordance with generally accepted accounting principles, and that receipts and expenditures of the company are being made only in accordance with authorizations of managemen</w:t>
      </w:r>
      <w:r>
        <w:rPr>
          <w:rFonts w:eastAsia="Times New Roman"/>
          <w:color w:val="000000"/>
          <w:sz w:val="20"/>
          <w:szCs w:val="20"/>
        </w:rPr>
        <w:t>t and directors of the company; and (3) provide reasonable assurance regarding prevention or timely detection of unauthorized acquisition, use, or disposition of the company’s assets that could have a material effect on the financial statements.</w:t>
      </w:r>
    </w:p>
    <w:p w:rsidR="00000000" w:rsidRDefault="00473C5F">
      <w:pPr>
        <w:divId w:val="772434663"/>
        <w:rPr>
          <w:rFonts w:eastAsia="Times New Roman"/>
        </w:rPr>
      </w:pPr>
      <w:r>
        <w:rPr>
          <w:rFonts w:eastAsia="Times New Roman"/>
          <w:color w:val="000000"/>
          <w:sz w:val="20"/>
          <w:szCs w:val="20"/>
        </w:rPr>
        <w:t>Because of</w:t>
      </w:r>
      <w:r>
        <w:rPr>
          <w:rFonts w:eastAsia="Times New Roman"/>
          <w:color w:val="000000"/>
          <w:sz w:val="20"/>
          <w:szCs w:val="20"/>
        </w:rPr>
        <w:t xml:space="preserve"> its inherent limitations, internal control over financial reporting may not prevent or detect misstatements. Also, projections of any evaluation of effectiveness to future periods are subject to the risk that controls may become inadequate because of chan</w:t>
      </w:r>
      <w:r>
        <w:rPr>
          <w:rFonts w:eastAsia="Times New Roman"/>
          <w:color w:val="000000"/>
          <w:sz w:val="20"/>
          <w:szCs w:val="20"/>
        </w:rPr>
        <w:t>ges in conditions, or that the degree of compliance with the policies or procedures may deteriorate.</w:t>
      </w:r>
    </w:p>
    <w:p w:rsidR="00000000" w:rsidRDefault="00473C5F">
      <w:pPr>
        <w:divId w:val="1184634901"/>
        <w:rPr>
          <w:rFonts w:eastAsia="Times New Roman"/>
        </w:rPr>
      </w:pPr>
      <w:r>
        <w:rPr>
          <w:rFonts w:eastAsia="Times New Roman"/>
          <w:color w:val="000000"/>
          <w:sz w:val="20"/>
          <w:szCs w:val="20"/>
        </w:rPr>
        <w:t>/s/ Ernst &amp; Young LLP</w:t>
      </w:r>
    </w:p>
    <w:p w:rsidR="00000000" w:rsidRDefault="00473C5F">
      <w:pPr>
        <w:divId w:val="1822965557"/>
        <w:rPr>
          <w:rFonts w:eastAsia="Times New Roman"/>
        </w:rPr>
      </w:pPr>
      <w:r>
        <w:rPr>
          <w:rFonts w:eastAsia="Times New Roman"/>
          <w:color w:val="000000"/>
          <w:sz w:val="20"/>
          <w:szCs w:val="20"/>
        </w:rPr>
        <w:t>Los Angeles, California</w:t>
      </w:r>
    </w:p>
    <w:p w:rsidR="00000000" w:rsidRDefault="00473C5F">
      <w:pPr>
        <w:divId w:val="1668678480"/>
        <w:rPr>
          <w:rFonts w:eastAsia="Times New Roman"/>
        </w:rPr>
      </w:pPr>
      <w:r>
        <w:rPr>
          <w:rFonts w:eastAsia="Times New Roman"/>
          <w:color w:val="000000"/>
          <w:sz w:val="20"/>
          <w:szCs w:val="20"/>
        </w:rPr>
        <w:t>February 21, 2023</w:t>
      </w:r>
    </w:p>
    <w:p w:rsidR="00000000" w:rsidRDefault="00473C5F">
      <w:pPr>
        <w:jc w:val="center"/>
        <w:divId w:val="528838833"/>
        <w:rPr>
          <w:rFonts w:eastAsia="Times New Roman"/>
        </w:rPr>
      </w:pPr>
      <w:r>
        <w:rPr>
          <w:rFonts w:eastAsia="Times New Roman"/>
          <w:color w:val="000000"/>
          <w:sz w:val="20"/>
          <w:szCs w:val="20"/>
        </w:rPr>
        <w:t>52</w:t>
      </w:r>
    </w:p>
    <w:p w:rsidR="00000000" w:rsidRDefault="00473C5F">
      <w:pPr>
        <w:rPr>
          <w:rFonts w:eastAsia="Times New Roman"/>
        </w:rPr>
      </w:pPr>
      <w:r>
        <w:rPr>
          <w:rFonts w:eastAsia="Times New Roman"/>
        </w:rPr>
        <w:pict>
          <v:rect id="_x0000_i1079" style="width:0;height:1.5pt" o:hralign="center" o:hrstd="t" o:hr="t" fillcolor="#a0a0a0" stroked="f"/>
        </w:pict>
      </w:r>
    </w:p>
    <w:p w:rsidR="00000000" w:rsidRDefault="00473C5F">
      <w:pPr>
        <w:divId w:val="1887178197"/>
        <w:rPr>
          <w:rFonts w:eastAsia="Times New Roman"/>
        </w:rPr>
      </w:pPr>
    </w:p>
    <w:p w:rsidR="00000000" w:rsidRDefault="00473C5F">
      <w:pPr>
        <w:jc w:val="both"/>
        <w:divId w:val="1844346803"/>
        <w:rPr>
          <w:rFonts w:eastAsia="Times New Roman"/>
        </w:rPr>
      </w:pPr>
      <w:r>
        <w:rPr>
          <w:rFonts w:eastAsia="Times New Roman"/>
          <w:b/>
          <w:bCs/>
          <w:color w:val="000000"/>
          <w:sz w:val="20"/>
          <w:szCs w:val="20"/>
        </w:rPr>
        <w:t>ITEM 9B.    </w:t>
      </w:r>
      <w:r>
        <w:rPr>
          <w:rFonts w:eastAsia="Times New Roman"/>
          <w:b/>
          <w:bCs/>
          <w:color w:val="000000"/>
          <w:sz w:val="20"/>
          <w:szCs w:val="20"/>
          <w:u w:val="single"/>
        </w:rPr>
        <w:t>Other Information</w:t>
      </w:r>
    </w:p>
    <w:p w:rsidR="00000000" w:rsidRDefault="00473C5F">
      <w:pPr>
        <w:ind w:firstLine="720"/>
        <w:jc w:val="both"/>
        <w:divId w:val="574584232"/>
        <w:rPr>
          <w:rFonts w:eastAsia="Times New Roman"/>
        </w:rPr>
      </w:pPr>
      <w:r>
        <w:rPr>
          <w:rFonts w:eastAsia="Times New Roman"/>
          <w:color w:val="000000"/>
          <w:sz w:val="20"/>
          <w:szCs w:val="20"/>
        </w:rPr>
        <w:t>None.</w:t>
      </w:r>
    </w:p>
    <w:p w:rsidR="00000000" w:rsidRDefault="00473C5F">
      <w:pPr>
        <w:jc w:val="both"/>
        <w:divId w:val="1648584862"/>
        <w:rPr>
          <w:rFonts w:eastAsia="Times New Roman"/>
        </w:rPr>
      </w:pPr>
      <w:r>
        <w:rPr>
          <w:rFonts w:eastAsia="Times New Roman"/>
          <w:b/>
          <w:bCs/>
          <w:color w:val="000000"/>
          <w:sz w:val="20"/>
          <w:szCs w:val="20"/>
        </w:rPr>
        <w:t>ITEM 9C.    </w:t>
      </w:r>
      <w:r>
        <w:rPr>
          <w:rFonts w:eastAsia="Times New Roman"/>
          <w:b/>
          <w:bCs/>
          <w:color w:val="000000"/>
          <w:sz w:val="20"/>
          <w:szCs w:val="20"/>
          <w:u w:val="single"/>
        </w:rPr>
        <w:t>Disclosure Regarding Foreign Jurisdictions that Prevent Inspections</w:t>
      </w:r>
    </w:p>
    <w:p w:rsidR="00000000" w:rsidRDefault="00473C5F">
      <w:pPr>
        <w:ind w:firstLine="720"/>
        <w:jc w:val="both"/>
        <w:divId w:val="673534135"/>
        <w:rPr>
          <w:rFonts w:eastAsia="Times New Roman"/>
        </w:rPr>
      </w:pPr>
      <w:r>
        <w:rPr>
          <w:rFonts w:eastAsia="Times New Roman"/>
          <w:color w:val="000000"/>
          <w:sz w:val="20"/>
          <w:szCs w:val="20"/>
        </w:rPr>
        <w:t xml:space="preserve">Not applicable. </w:t>
      </w:r>
    </w:p>
    <w:p w:rsidR="00000000" w:rsidRDefault="00473C5F">
      <w:pPr>
        <w:jc w:val="center"/>
        <w:divId w:val="594633455"/>
        <w:rPr>
          <w:rFonts w:eastAsia="Times New Roman"/>
        </w:rPr>
      </w:pPr>
      <w:r>
        <w:rPr>
          <w:rFonts w:eastAsia="Times New Roman"/>
          <w:color w:val="000000"/>
          <w:sz w:val="20"/>
          <w:szCs w:val="20"/>
        </w:rPr>
        <w:t>53</w:t>
      </w:r>
    </w:p>
    <w:p w:rsidR="00000000" w:rsidRDefault="00473C5F">
      <w:pPr>
        <w:rPr>
          <w:rFonts w:eastAsia="Times New Roman"/>
        </w:rPr>
      </w:pPr>
      <w:r>
        <w:rPr>
          <w:rFonts w:eastAsia="Times New Roman"/>
        </w:rPr>
        <w:pict>
          <v:rect id="_x0000_i1080" style="width:0;height:1.5pt" o:hralign="center" o:hrstd="t" o:hr="t" fillcolor="#a0a0a0" stroked="f"/>
        </w:pict>
      </w:r>
    </w:p>
    <w:p w:rsidR="00000000" w:rsidRDefault="00473C5F">
      <w:pPr>
        <w:divId w:val="1497183304"/>
        <w:rPr>
          <w:rFonts w:eastAsia="Times New Roman"/>
        </w:rPr>
      </w:pPr>
    </w:p>
    <w:p w:rsidR="00000000" w:rsidRDefault="00473C5F">
      <w:pPr>
        <w:jc w:val="center"/>
        <w:divId w:val="722095188"/>
        <w:rPr>
          <w:rFonts w:eastAsia="Times New Roman"/>
        </w:rPr>
      </w:pPr>
      <w:r>
        <w:rPr>
          <w:rFonts w:eastAsia="Times New Roman"/>
          <w:b/>
          <w:bCs/>
          <w:color w:val="000000"/>
          <w:sz w:val="20"/>
          <w:szCs w:val="20"/>
          <w:u w:val="single"/>
        </w:rPr>
        <w:t>PART III</w:t>
      </w:r>
    </w:p>
    <w:p w:rsidR="00000000" w:rsidRDefault="00473C5F">
      <w:pPr>
        <w:divId w:val="1437169819"/>
        <w:rPr>
          <w:rFonts w:eastAsia="Times New Roman"/>
        </w:rPr>
      </w:pPr>
      <w:r>
        <w:rPr>
          <w:rFonts w:eastAsia="Times New Roman"/>
          <w:b/>
          <w:bCs/>
          <w:color w:val="000000"/>
          <w:sz w:val="20"/>
          <w:szCs w:val="20"/>
        </w:rPr>
        <w:t>ITEM 10.    </w:t>
      </w:r>
      <w:r>
        <w:rPr>
          <w:rFonts w:eastAsia="Times New Roman"/>
          <w:b/>
          <w:bCs/>
          <w:color w:val="000000"/>
          <w:sz w:val="20"/>
          <w:szCs w:val="20"/>
          <w:u w:val="single"/>
        </w:rPr>
        <w:t>Trustees, Executive Officers and Corporate Governance</w:t>
      </w:r>
    </w:p>
    <w:p w:rsidR="00000000" w:rsidRDefault="00473C5F">
      <w:pPr>
        <w:ind w:firstLine="720"/>
        <w:jc w:val="both"/>
        <w:divId w:val="1914314183"/>
        <w:rPr>
          <w:rFonts w:eastAsia="Times New Roman"/>
        </w:rPr>
      </w:pPr>
      <w:r>
        <w:rPr>
          <w:rFonts w:eastAsia="Times New Roman"/>
          <w:color w:val="000000"/>
          <w:sz w:val="20"/>
          <w:szCs w:val="20"/>
        </w:rPr>
        <w:t>The following is a biographical summary of the current executive officers of the Company:</w:t>
      </w:r>
    </w:p>
    <w:p w:rsidR="00000000" w:rsidRDefault="00473C5F">
      <w:pPr>
        <w:ind w:firstLine="720"/>
        <w:jc w:val="both"/>
        <w:divId w:val="1549341621"/>
        <w:rPr>
          <w:rFonts w:eastAsia="Times New Roman"/>
        </w:rPr>
      </w:pPr>
      <w:r>
        <w:rPr>
          <w:rFonts w:eastAsia="Times New Roman"/>
          <w:b/>
          <w:bCs/>
          <w:color w:val="000000"/>
          <w:sz w:val="20"/>
          <w:szCs w:val="20"/>
        </w:rPr>
        <w:t>Joseph D. Russell, Jr.</w:t>
      </w:r>
      <w:r>
        <w:rPr>
          <w:rFonts w:eastAsia="Times New Roman"/>
          <w:color w:val="000000"/>
          <w:sz w:val="20"/>
          <w:szCs w:val="20"/>
        </w:rPr>
        <w:t>, age 63, has served as Chief E</w:t>
      </w:r>
      <w:r>
        <w:rPr>
          <w:rFonts w:eastAsia="Times New Roman"/>
          <w:color w:val="000000"/>
          <w:sz w:val="20"/>
          <w:szCs w:val="20"/>
        </w:rPr>
        <w:t>xecutive Officer since January 1, 2019, and as President since July 2016.  Prior to joining Public Storage, Mr. Russell was President and Chief Executive Officer of PS Business Parks, Inc. from August 2002 to July 2016. Mr. Russell has also served as a tru</w:t>
      </w:r>
      <w:r>
        <w:rPr>
          <w:rFonts w:eastAsia="Times New Roman"/>
          <w:color w:val="000000"/>
          <w:sz w:val="20"/>
          <w:szCs w:val="20"/>
        </w:rPr>
        <w:t>stee of Public Storage since January 1, 2019. </w:t>
      </w:r>
    </w:p>
    <w:p w:rsidR="00000000" w:rsidRDefault="00473C5F">
      <w:pPr>
        <w:ind w:firstLine="720"/>
        <w:jc w:val="both"/>
        <w:divId w:val="353264710"/>
        <w:rPr>
          <w:rFonts w:eastAsia="Times New Roman"/>
        </w:rPr>
      </w:pPr>
      <w:r>
        <w:rPr>
          <w:rFonts w:eastAsia="Times New Roman"/>
          <w:b/>
          <w:bCs/>
          <w:color w:val="000000"/>
          <w:sz w:val="20"/>
          <w:szCs w:val="20"/>
        </w:rPr>
        <w:t>H. Thomas Boyle</w:t>
      </w:r>
      <w:r>
        <w:rPr>
          <w:rFonts w:eastAsia="Times New Roman"/>
          <w:color w:val="000000"/>
          <w:sz w:val="20"/>
          <w:szCs w:val="20"/>
        </w:rPr>
        <w:t>, age 40, has served as Chief Financial Officer since January 1, 2019 and Chief Investment Officer since January 1, 2023. Previously, Mr. Boyle was Vice President and Chief Financial Officer, Op</w:t>
      </w:r>
      <w:r>
        <w:rPr>
          <w:rFonts w:eastAsia="Times New Roman"/>
          <w:color w:val="000000"/>
          <w:sz w:val="20"/>
          <w:szCs w:val="20"/>
        </w:rPr>
        <w:t>erations, from November 2016, when he joined the Company, until January 2019. Prior to joining Public Storage, Mr. Boyle served in roles of increasing responsibilities with Morgan Stanley since 2005, from analyst to his last role as Executive Director, Equ</w:t>
      </w:r>
      <w:r>
        <w:rPr>
          <w:rFonts w:eastAsia="Times New Roman"/>
          <w:color w:val="000000"/>
          <w:sz w:val="20"/>
          <w:szCs w:val="20"/>
        </w:rPr>
        <w:t>ity and Debt Capital Markets.</w:t>
      </w:r>
    </w:p>
    <w:p w:rsidR="00000000" w:rsidRDefault="00473C5F">
      <w:pPr>
        <w:ind w:firstLine="720"/>
        <w:jc w:val="both"/>
        <w:divId w:val="2032679952"/>
        <w:rPr>
          <w:rFonts w:eastAsia="Times New Roman"/>
        </w:rPr>
      </w:pPr>
      <w:r>
        <w:rPr>
          <w:rFonts w:eastAsia="Times New Roman"/>
          <w:b/>
          <w:bCs/>
          <w:color w:val="000000"/>
          <w:sz w:val="20"/>
          <w:szCs w:val="20"/>
        </w:rPr>
        <w:t>Natalia N. Johnson</w:t>
      </w:r>
      <w:r>
        <w:rPr>
          <w:rFonts w:eastAsia="Times New Roman"/>
          <w:color w:val="000000"/>
          <w:sz w:val="20"/>
          <w:szCs w:val="20"/>
        </w:rPr>
        <w:t>, age 45, has served as Chief Administrative Officer since August 4, 2020. Previously, Ms. Johnson was Senior Vice President, Chief Human Resources Officer from April 2018 until August 2020, and prior to that</w:t>
      </w:r>
      <w:r>
        <w:rPr>
          <w:rFonts w:eastAsia="Times New Roman"/>
          <w:color w:val="000000"/>
          <w:sz w:val="20"/>
          <w:szCs w:val="20"/>
        </w:rPr>
        <w:t xml:space="preserve"> was Senior Vice President of Human Resources, a position she held since joining the Company in July 2016. Prior to joining Public Storage, Ms. Johnson held a variety of senior management positions at Bank of America, including Chief Operating Officer for </w:t>
      </w:r>
      <w:r>
        <w:rPr>
          <w:rFonts w:eastAsia="Times New Roman"/>
          <w:color w:val="000000"/>
          <w:sz w:val="20"/>
          <w:szCs w:val="20"/>
        </w:rPr>
        <w:t>Mortgage Technology and Human Resources Executive for the Mortgage Business, and worked for Coca-Cola Andina and San Cristόbal Insurance.</w:t>
      </w:r>
    </w:p>
    <w:p w:rsidR="00000000" w:rsidRDefault="00473C5F">
      <w:pPr>
        <w:ind w:firstLine="720"/>
        <w:jc w:val="both"/>
        <w:divId w:val="1425809495"/>
        <w:rPr>
          <w:rFonts w:eastAsia="Times New Roman"/>
        </w:rPr>
      </w:pPr>
      <w:r>
        <w:rPr>
          <w:rFonts w:eastAsia="Times New Roman"/>
          <w:b/>
          <w:bCs/>
          <w:color w:val="000000"/>
          <w:sz w:val="20"/>
          <w:szCs w:val="20"/>
        </w:rPr>
        <w:t>Nathaniel A. Vitan</w:t>
      </w:r>
      <w:r>
        <w:rPr>
          <w:rFonts w:eastAsia="Times New Roman"/>
          <w:color w:val="000000"/>
          <w:sz w:val="20"/>
          <w:szCs w:val="20"/>
        </w:rPr>
        <w:t>, age 49, has served as Senior Vice President, Chief Legal Officer and Corporate Secretary since Apr</w:t>
      </w:r>
      <w:r>
        <w:rPr>
          <w:rFonts w:eastAsia="Times New Roman"/>
          <w:color w:val="000000"/>
          <w:sz w:val="20"/>
          <w:szCs w:val="20"/>
        </w:rPr>
        <w:t>il 20, 2019, and was previously Vice President and Chief Counsel–Litigation and Operations since joining the Company in June 2016 until April 2019. Prior to joining Public Storage, Mr. Vitan was Assistant General Counsel for Altria Client Services LLC from</w:t>
      </w:r>
      <w:r>
        <w:rPr>
          <w:rFonts w:eastAsia="Times New Roman"/>
          <w:color w:val="000000"/>
          <w:sz w:val="20"/>
          <w:szCs w:val="20"/>
        </w:rPr>
        <w:t xml:space="preserve"> 2008 to 2016, and before then was a Trial and Appellate Practice attorney at Latham &amp; Watkins LLP.</w:t>
      </w:r>
    </w:p>
    <w:p w:rsidR="00000000" w:rsidRDefault="00473C5F">
      <w:pPr>
        <w:ind w:firstLine="720"/>
        <w:jc w:val="both"/>
        <w:divId w:val="824128769"/>
        <w:rPr>
          <w:rFonts w:eastAsia="Times New Roman"/>
        </w:rPr>
      </w:pPr>
      <w:r>
        <w:rPr>
          <w:rFonts w:eastAsia="Times New Roman"/>
          <w:b/>
          <w:bCs/>
          <w:color w:val="000000"/>
          <w:sz w:val="20"/>
          <w:szCs w:val="20"/>
        </w:rPr>
        <w:t>David Lee</w:t>
      </w:r>
      <w:r>
        <w:rPr>
          <w:rFonts w:eastAsia="Times New Roman"/>
          <w:color w:val="000000"/>
          <w:sz w:val="20"/>
          <w:szCs w:val="20"/>
        </w:rPr>
        <w:t>, age 47, has served as Chief Operating Officer since November 1, 2021 and as the Company’s principal operating officer since February 21, 2023. Pr</w:t>
      </w:r>
      <w:r>
        <w:rPr>
          <w:rFonts w:eastAsia="Times New Roman"/>
          <w:color w:val="000000"/>
          <w:sz w:val="20"/>
          <w:szCs w:val="20"/>
        </w:rPr>
        <w:t>ior to joining Public Storage, Mr. Lee held various roles of increasing responsibility at The UPS Store since 2002, most recently as Senior Vice President of Operations.</w:t>
      </w:r>
    </w:p>
    <w:p w:rsidR="00000000" w:rsidRDefault="00473C5F">
      <w:pPr>
        <w:ind w:firstLine="720"/>
        <w:jc w:val="both"/>
        <w:divId w:val="220484277"/>
        <w:rPr>
          <w:rFonts w:eastAsia="Times New Roman"/>
        </w:rPr>
      </w:pPr>
      <w:r>
        <w:rPr>
          <w:rFonts w:eastAsia="Times New Roman"/>
          <w:color w:val="000000"/>
          <w:sz w:val="20"/>
          <w:szCs w:val="20"/>
        </w:rPr>
        <w:t>Other information required by this item is hereby incorporated by reference to the mat</w:t>
      </w:r>
      <w:r>
        <w:rPr>
          <w:rFonts w:eastAsia="Times New Roman"/>
          <w:color w:val="000000"/>
          <w:sz w:val="20"/>
          <w:szCs w:val="20"/>
        </w:rPr>
        <w:t>erial appearing in the Company’s Notice and Proxy Statement for its 2023 Annual Meeting of Shareholders, to be filed pursuant to Regulation 14A under the Exchange Act.</w:t>
      </w:r>
    </w:p>
    <w:p w:rsidR="00000000" w:rsidRDefault="00473C5F">
      <w:pPr>
        <w:divId w:val="324474338"/>
        <w:rPr>
          <w:rFonts w:eastAsia="Times New Roman"/>
        </w:rPr>
      </w:pPr>
      <w:r>
        <w:rPr>
          <w:rFonts w:eastAsia="Times New Roman"/>
          <w:b/>
          <w:bCs/>
          <w:color w:val="000000"/>
          <w:sz w:val="20"/>
          <w:szCs w:val="20"/>
        </w:rPr>
        <w:t>ITEM 11.    </w:t>
      </w:r>
      <w:r>
        <w:rPr>
          <w:rFonts w:eastAsia="Times New Roman"/>
          <w:b/>
          <w:bCs/>
          <w:color w:val="000000"/>
          <w:sz w:val="20"/>
          <w:szCs w:val="20"/>
          <w:u w:val="single"/>
        </w:rPr>
        <w:t>Executive Compensation</w:t>
      </w:r>
    </w:p>
    <w:p w:rsidR="00000000" w:rsidRDefault="00473C5F">
      <w:pPr>
        <w:ind w:firstLine="720"/>
        <w:jc w:val="both"/>
        <w:divId w:val="422147731"/>
        <w:rPr>
          <w:rFonts w:eastAsia="Times New Roman"/>
        </w:rPr>
      </w:pPr>
      <w:r>
        <w:rPr>
          <w:rFonts w:eastAsia="Times New Roman"/>
          <w:color w:val="000000"/>
          <w:sz w:val="20"/>
          <w:szCs w:val="20"/>
        </w:rPr>
        <w:t>The information required by this item is hereby incor</w:t>
      </w:r>
      <w:r>
        <w:rPr>
          <w:rFonts w:eastAsia="Times New Roman"/>
          <w:color w:val="000000"/>
          <w:sz w:val="20"/>
          <w:szCs w:val="20"/>
        </w:rPr>
        <w:t>porated by reference to the material appearing in the Company’s Notice and Proxy Statement for its 2023 Annual Meeting of Shareholders, to be filed pursuant to Regulation 14A under the Exchange Act.</w:t>
      </w:r>
    </w:p>
    <w:p w:rsidR="00000000" w:rsidRDefault="00473C5F">
      <w:pPr>
        <w:jc w:val="both"/>
        <w:divId w:val="331102454"/>
        <w:rPr>
          <w:rFonts w:eastAsia="Times New Roman"/>
        </w:rPr>
      </w:pPr>
    </w:p>
    <w:p w:rsidR="00000000" w:rsidRDefault="00473C5F">
      <w:pPr>
        <w:jc w:val="center"/>
        <w:divId w:val="1589004291"/>
        <w:rPr>
          <w:rFonts w:eastAsia="Times New Roman"/>
        </w:rPr>
      </w:pPr>
      <w:r>
        <w:rPr>
          <w:rFonts w:eastAsia="Times New Roman"/>
          <w:color w:val="000000"/>
          <w:sz w:val="20"/>
          <w:szCs w:val="20"/>
        </w:rPr>
        <w:t>54</w:t>
      </w:r>
    </w:p>
    <w:p w:rsidR="00000000" w:rsidRDefault="00473C5F">
      <w:pPr>
        <w:rPr>
          <w:rFonts w:eastAsia="Times New Roman"/>
        </w:rPr>
      </w:pPr>
      <w:r>
        <w:rPr>
          <w:rFonts w:eastAsia="Times New Roman"/>
        </w:rPr>
        <w:pict>
          <v:rect id="_x0000_i1081" style="width:0;height:1.5pt" o:hralign="center" o:hrstd="t" o:hr="t" fillcolor="#a0a0a0" stroked="f"/>
        </w:pict>
      </w:r>
    </w:p>
    <w:p w:rsidR="00000000" w:rsidRDefault="00473C5F">
      <w:pPr>
        <w:divId w:val="1252272999"/>
        <w:rPr>
          <w:rFonts w:eastAsia="Times New Roman"/>
        </w:rPr>
      </w:pPr>
    </w:p>
    <w:p w:rsidR="00000000" w:rsidRDefault="00473C5F">
      <w:pPr>
        <w:jc w:val="both"/>
        <w:divId w:val="1723282900"/>
        <w:rPr>
          <w:rFonts w:eastAsia="Times New Roman"/>
        </w:rPr>
      </w:pPr>
      <w:r>
        <w:rPr>
          <w:rFonts w:eastAsia="Times New Roman"/>
          <w:b/>
          <w:bCs/>
          <w:color w:val="000000"/>
          <w:sz w:val="20"/>
          <w:szCs w:val="20"/>
        </w:rPr>
        <w:t>ITEM 12.    </w:t>
      </w:r>
      <w:r>
        <w:rPr>
          <w:rFonts w:eastAsia="Times New Roman"/>
          <w:b/>
          <w:bCs/>
          <w:color w:val="000000"/>
          <w:sz w:val="20"/>
          <w:szCs w:val="20"/>
          <w:u w:val="single"/>
        </w:rPr>
        <w:t>Se</w:t>
      </w:r>
      <w:r>
        <w:rPr>
          <w:rFonts w:eastAsia="Times New Roman"/>
          <w:b/>
          <w:bCs/>
          <w:color w:val="000000"/>
          <w:sz w:val="20"/>
          <w:szCs w:val="20"/>
          <w:u w:val="single"/>
        </w:rPr>
        <w:t>curity Ownership of Certain Beneficial Owners and Management and Related Shareholder Matters</w:t>
      </w:r>
    </w:p>
    <w:p w:rsidR="00000000" w:rsidRDefault="00473C5F">
      <w:pPr>
        <w:ind w:firstLine="720"/>
        <w:jc w:val="both"/>
        <w:divId w:val="289288471"/>
        <w:rPr>
          <w:rFonts w:eastAsia="Times New Roman"/>
        </w:rPr>
      </w:pPr>
      <w:r>
        <w:rPr>
          <w:rFonts w:eastAsia="Times New Roman"/>
          <w:color w:val="000000"/>
          <w:sz w:val="20"/>
          <w:szCs w:val="20"/>
        </w:rPr>
        <w:t>The following table sets forth information, as of December 31, 2022 on the Company’s equity compensation plans:</w:t>
      </w:r>
    </w:p>
    <w:tbl>
      <w:tblPr>
        <w:tblW w:w="4803" w:type="pct"/>
        <w:jc w:val="center"/>
        <w:tblCellMar>
          <w:top w:w="15" w:type="dxa"/>
          <w:left w:w="15" w:type="dxa"/>
          <w:bottom w:w="15" w:type="dxa"/>
          <w:right w:w="15" w:type="dxa"/>
        </w:tblCellMar>
        <w:tblLook w:val="04A0" w:firstRow="1" w:lastRow="0" w:firstColumn="1" w:lastColumn="0" w:noHBand="0" w:noVBand="1"/>
      </w:tblPr>
      <w:tblGrid>
        <w:gridCol w:w="51"/>
        <w:gridCol w:w="3849"/>
        <w:gridCol w:w="39"/>
        <w:gridCol w:w="37"/>
        <w:gridCol w:w="37"/>
        <w:gridCol w:w="37"/>
        <w:gridCol w:w="56"/>
        <w:gridCol w:w="1148"/>
        <w:gridCol w:w="36"/>
        <w:gridCol w:w="36"/>
        <w:gridCol w:w="36"/>
        <w:gridCol w:w="36"/>
        <w:gridCol w:w="61"/>
        <w:gridCol w:w="1025"/>
        <w:gridCol w:w="36"/>
        <w:gridCol w:w="36"/>
        <w:gridCol w:w="36"/>
        <w:gridCol w:w="36"/>
        <w:gridCol w:w="60"/>
        <w:gridCol w:w="1255"/>
        <w:gridCol w:w="36"/>
      </w:tblGrid>
      <w:tr w:rsidR="00000000">
        <w:trPr>
          <w:divId w:val="849561406"/>
          <w:jc w:val="center"/>
        </w:trPr>
        <w:tc>
          <w:tcPr>
            <w:tcW w:w="50" w:type="pct"/>
            <w:vAlign w:val="center"/>
            <w:hideMark/>
          </w:tcPr>
          <w:p w:rsidR="00000000" w:rsidRDefault="00473C5F">
            <w:pPr>
              <w:ind w:firstLine="720"/>
              <w:jc w:val="both"/>
              <w:rPr>
                <w:rFonts w:eastAsia="Times New Roman"/>
              </w:rPr>
            </w:pPr>
          </w:p>
        </w:tc>
        <w:tc>
          <w:tcPr>
            <w:tcW w:w="24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4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7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8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849561406"/>
          <w:jc w:val="center"/>
        </w:trPr>
        <w:tc>
          <w:tcPr>
            <w:tcW w:w="0" w:type="auto"/>
            <w:gridSpan w:val="21"/>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Equity Compensation Plan Information</w:t>
            </w:r>
          </w:p>
        </w:tc>
      </w:tr>
      <w:tr w:rsidR="00000000">
        <w:trPr>
          <w:divId w:val="849561406"/>
          <w:trHeight w:val="1540"/>
          <w:jc w:val="center"/>
        </w:trPr>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Plan Category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Number of securities to be issued upon exercise of outstanding options, warrants, and rights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Weighted-average exercise price of outstanding options, warrants, and rights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Number of securities remaining available for future issuance under equity co</w:t>
            </w:r>
            <w:r>
              <w:rPr>
                <w:rFonts w:eastAsia="Times New Roman"/>
                <w:color w:val="000000"/>
                <w:sz w:val="18"/>
                <w:szCs w:val="18"/>
              </w:rPr>
              <w:t>mpensation plans (excluding securities reflected in column (A))</w:t>
            </w:r>
          </w:p>
        </w:tc>
      </w:tr>
      <w:tr w:rsidR="00000000">
        <w:trPr>
          <w:divId w:val="849561406"/>
          <w:trHeight w:val="280"/>
          <w:jc w:val="center"/>
        </w:trPr>
        <w:tc>
          <w:tcPr>
            <w:tcW w:w="0" w:type="auto"/>
            <w:gridSpan w:val="3"/>
            <w:vMerge/>
            <w:tcBorders>
              <w:top w:val="single" w:sz="8" w:space="0" w:color="000000"/>
            </w:tcBorders>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(A)</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(B)</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(C)</w:t>
            </w:r>
          </w:p>
        </w:tc>
      </w:tr>
      <w:tr w:rsidR="00000000">
        <w:trPr>
          <w:divId w:val="849561406"/>
          <w:jc w:val="center"/>
        </w:trPr>
        <w:tc>
          <w:tcPr>
            <w:tcW w:w="0" w:type="auto"/>
            <w:gridSpan w:val="3"/>
            <w:tcBorders>
              <w:top w:val="single" w:sz="8" w:space="0" w:color="000000"/>
            </w:tcBorders>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18"/>
                <w:szCs w:val="18"/>
              </w:rPr>
              <w:t>Equity compensation plans approved by security holders (a)</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3,815,547 (b)</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$ 209.53 (c)</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1,724,352</w:t>
            </w:r>
          </w:p>
        </w:tc>
      </w:tr>
      <w:tr w:rsidR="00000000">
        <w:trPr>
          <w:divId w:val="849561406"/>
          <w:jc w:val="center"/>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18"/>
                <w:szCs w:val="18"/>
              </w:rPr>
              <w:t>Equity compensation plans not approved by security holders (d)</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w:t>
            </w:r>
          </w:p>
        </w:tc>
      </w:tr>
      <w:tr w:rsidR="00000000">
        <w:trPr>
          <w:divId w:val="849561406"/>
          <w:jc w:val="center"/>
        </w:trPr>
        <w:tc>
          <w:tcPr>
            <w:tcW w:w="0" w:type="auto"/>
            <w:gridSpan w:val="3"/>
            <w:tcMar>
              <w:top w:w="30" w:type="dxa"/>
              <w:left w:w="140" w:type="dxa"/>
              <w:bottom w:w="30" w:type="dxa"/>
              <w:right w:w="20" w:type="dxa"/>
            </w:tcMar>
            <w:hideMark/>
          </w:tcPr>
          <w:p w:rsidR="00000000" w:rsidRDefault="00473C5F">
            <w:pPr>
              <w:spacing w:after="100"/>
              <w:rPr>
                <w:rFonts w:eastAsia="Times New Roman"/>
              </w:rPr>
            </w:pPr>
            <w:r>
              <w:rPr>
                <w:rFonts w:eastAsia="Times New Roman"/>
                <w:color w:val="000000"/>
                <w:sz w:val="18"/>
                <w:szCs w:val="18"/>
              </w:rPr>
              <w:t>Total</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3,815,547 (b)</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$ 209.53 (c)</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1,724,352</w:t>
            </w:r>
          </w:p>
        </w:tc>
      </w:tr>
    </w:tbl>
    <w:p w:rsidR="00000000" w:rsidRDefault="00473C5F">
      <w:pPr>
        <w:ind w:hanging="720"/>
        <w:jc w:val="both"/>
        <w:divId w:val="792283690"/>
        <w:rPr>
          <w:rFonts w:eastAsia="Times New Roman"/>
        </w:rPr>
      </w:pPr>
      <w:r>
        <w:rPr>
          <w:rFonts w:eastAsia="Times New Roman"/>
          <w:color w:val="000000"/>
          <w:sz w:val="18"/>
          <w:szCs w:val="18"/>
        </w:rPr>
        <w:t>a)</w:t>
      </w:r>
      <w:r>
        <w:rPr>
          <w:rFonts w:eastAsia="Times New Roman"/>
          <w:color w:val="000000"/>
          <w:sz w:val="20"/>
          <w:szCs w:val="20"/>
        </w:rPr>
        <w:t>The Company’</w:t>
      </w:r>
      <w:r>
        <w:rPr>
          <w:rFonts w:eastAsia="Times New Roman"/>
          <w:color w:val="000000"/>
          <w:sz w:val="20"/>
          <w:szCs w:val="20"/>
        </w:rPr>
        <w:t>s equity compensation plans are described more fully in Note 11 to the December 31, 2022 financial statements. All plans have been approved by the Company’s shareholders.</w:t>
      </w:r>
    </w:p>
    <w:p w:rsidR="00000000" w:rsidRDefault="00473C5F">
      <w:pPr>
        <w:ind w:hanging="720"/>
        <w:jc w:val="both"/>
        <w:divId w:val="1550410193"/>
        <w:rPr>
          <w:rFonts w:eastAsia="Times New Roman"/>
        </w:rPr>
      </w:pPr>
      <w:r>
        <w:rPr>
          <w:rFonts w:eastAsia="Times New Roman"/>
          <w:color w:val="000000"/>
          <w:sz w:val="18"/>
          <w:szCs w:val="18"/>
        </w:rPr>
        <w:t>b)</w:t>
      </w:r>
      <w:r>
        <w:rPr>
          <w:rFonts w:eastAsia="Times New Roman"/>
          <w:color w:val="000000"/>
          <w:sz w:val="20"/>
          <w:szCs w:val="20"/>
        </w:rPr>
        <w:t>Includes (i) stock options to purchase 3,307,964 common shares, including performan</w:t>
      </w:r>
      <w:r>
        <w:rPr>
          <w:rFonts w:eastAsia="Times New Roman"/>
          <w:color w:val="000000"/>
          <w:sz w:val="20"/>
          <w:szCs w:val="20"/>
        </w:rPr>
        <w:t>ce-based stock options as to which the performance period had not ended or the Compensation Committee had not certified performance as of December 31, 2022, which stock options are reflected in the table above assuming a maximum payout, (ii) 498,032 restri</w:t>
      </w:r>
      <w:r>
        <w:rPr>
          <w:rFonts w:eastAsia="Times New Roman"/>
          <w:color w:val="000000"/>
          <w:sz w:val="20"/>
          <w:szCs w:val="20"/>
        </w:rPr>
        <w:t>cted share units, including performance-based restricted share units as to which the performance period had not ended as of December 31, 2022, which restricted share units are reflected in the table above assuming a maximum payout, and (iii) 9,551 fully ve</w:t>
      </w:r>
      <w:r>
        <w:rPr>
          <w:rFonts w:eastAsia="Times New Roman"/>
          <w:color w:val="000000"/>
          <w:sz w:val="20"/>
          <w:szCs w:val="20"/>
        </w:rPr>
        <w:t>sted deferred share units. All restricted share units, if and when vested, and all deferred share units will be settled in common shares on a one-for-one basis.</w:t>
      </w:r>
    </w:p>
    <w:p w:rsidR="00000000" w:rsidRDefault="00473C5F">
      <w:pPr>
        <w:ind w:hanging="720"/>
        <w:jc w:val="both"/>
        <w:divId w:val="1034572273"/>
        <w:rPr>
          <w:rFonts w:eastAsia="Times New Roman"/>
        </w:rPr>
      </w:pPr>
      <w:r>
        <w:rPr>
          <w:rFonts w:eastAsia="Times New Roman"/>
          <w:color w:val="000000"/>
          <w:sz w:val="18"/>
          <w:szCs w:val="18"/>
        </w:rPr>
        <w:t>c)</w:t>
      </w:r>
      <w:r>
        <w:rPr>
          <w:rFonts w:eastAsia="Times New Roman"/>
          <w:color w:val="000000"/>
          <w:sz w:val="20"/>
          <w:szCs w:val="20"/>
        </w:rPr>
        <w:t xml:space="preserve">Represents the weighted average exercise price of stock options to purchase 1,854,041 common </w:t>
      </w:r>
      <w:r>
        <w:rPr>
          <w:rFonts w:eastAsia="Times New Roman"/>
          <w:color w:val="000000"/>
          <w:sz w:val="20"/>
          <w:szCs w:val="20"/>
        </w:rPr>
        <w:t>shares, excluding the performance-based stock options described in footnote (b), above. The 498,032 restricted share units would vest for no consideration.</w:t>
      </w:r>
    </w:p>
    <w:p w:rsidR="00000000" w:rsidRDefault="00473C5F">
      <w:pPr>
        <w:ind w:hanging="720"/>
        <w:jc w:val="both"/>
        <w:divId w:val="431751782"/>
        <w:rPr>
          <w:rFonts w:eastAsia="Times New Roman"/>
        </w:rPr>
      </w:pPr>
      <w:r>
        <w:rPr>
          <w:rFonts w:eastAsia="Times New Roman"/>
          <w:color w:val="000000"/>
          <w:sz w:val="20"/>
          <w:szCs w:val="20"/>
        </w:rPr>
        <w:t>d)There were no securities outstanding or available for future issuance under equity compensation pl</w:t>
      </w:r>
      <w:r>
        <w:rPr>
          <w:rFonts w:eastAsia="Times New Roman"/>
          <w:color w:val="000000"/>
          <w:sz w:val="20"/>
          <w:szCs w:val="20"/>
        </w:rPr>
        <w:t>ans not approved by the Company’s shareholders.</w:t>
      </w:r>
    </w:p>
    <w:p w:rsidR="00000000" w:rsidRDefault="00473C5F">
      <w:pPr>
        <w:ind w:firstLine="720"/>
        <w:jc w:val="both"/>
        <w:divId w:val="6176960"/>
        <w:rPr>
          <w:rFonts w:eastAsia="Times New Roman"/>
        </w:rPr>
      </w:pPr>
      <w:r>
        <w:rPr>
          <w:rFonts w:eastAsia="Times New Roman"/>
          <w:color w:val="000000"/>
          <w:sz w:val="20"/>
          <w:szCs w:val="20"/>
        </w:rPr>
        <w:t>Other information required by this item is hereby incorporated by reference to the material appearing in the Company’s Notice and Proxy Statement for its 2023 Annual Meeting of Shareholders, to be filed pursu</w:t>
      </w:r>
      <w:r>
        <w:rPr>
          <w:rFonts w:eastAsia="Times New Roman"/>
          <w:color w:val="000000"/>
          <w:sz w:val="20"/>
          <w:szCs w:val="20"/>
        </w:rPr>
        <w:t>ant to Regulation 14A under the Exchange Act.</w:t>
      </w:r>
    </w:p>
    <w:p w:rsidR="00000000" w:rsidRDefault="00473C5F">
      <w:pPr>
        <w:divId w:val="817692961"/>
        <w:rPr>
          <w:rFonts w:eastAsia="Times New Roman"/>
        </w:rPr>
      </w:pPr>
      <w:r>
        <w:rPr>
          <w:rFonts w:eastAsia="Times New Roman"/>
          <w:b/>
          <w:bCs/>
          <w:color w:val="000000"/>
          <w:sz w:val="20"/>
          <w:szCs w:val="20"/>
        </w:rPr>
        <w:t>ITEM 13.</w:t>
      </w:r>
      <w:r>
        <w:rPr>
          <w:rFonts w:eastAsia="Times New Roman"/>
          <w:color w:val="000000"/>
          <w:sz w:val="20"/>
          <w:szCs w:val="20"/>
        </w:rPr>
        <w:t>    </w:t>
      </w:r>
      <w:r>
        <w:rPr>
          <w:rFonts w:eastAsia="Times New Roman"/>
          <w:b/>
          <w:bCs/>
          <w:color w:val="000000"/>
          <w:sz w:val="20"/>
          <w:szCs w:val="20"/>
          <w:u w:val="single"/>
        </w:rPr>
        <w:t>Certain Relationships and Related Transactions and Trustee Independence</w:t>
      </w:r>
    </w:p>
    <w:p w:rsidR="00000000" w:rsidRDefault="00473C5F">
      <w:pPr>
        <w:ind w:firstLine="720"/>
        <w:jc w:val="both"/>
        <w:divId w:val="1534533053"/>
        <w:rPr>
          <w:rFonts w:eastAsia="Times New Roman"/>
        </w:rPr>
      </w:pPr>
      <w:r>
        <w:rPr>
          <w:rFonts w:eastAsia="Times New Roman"/>
          <w:color w:val="000000"/>
          <w:sz w:val="20"/>
          <w:szCs w:val="20"/>
        </w:rPr>
        <w:t>The information required by this item is hereby incorporated by reference to the material appearing in the Company’s Notice and Proxy Statement for its 2023 Annual Meeting of Shareholders, to be filed pursuant to Regulation 14A under the Exchange Act.</w:t>
      </w:r>
    </w:p>
    <w:p w:rsidR="00000000" w:rsidRDefault="00473C5F">
      <w:pPr>
        <w:divId w:val="2108115309"/>
        <w:rPr>
          <w:rFonts w:eastAsia="Times New Roman"/>
        </w:rPr>
      </w:pPr>
      <w:r>
        <w:rPr>
          <w:rFonts w:eastAsia="Times New Roman"/>
          <w:b/>
          <w:bCs/>
          <w:color w:val="000000"/>
          <w:sz w:val="20"/>
          <w:szCs w:val="20"/>
        </w:rPr>
        <w:t>ITEM</w:t>
      </w:r>
      <w:r>
        <w:rPr>
          <w:rFonts w:eastAsia="Times New Roman"/>
          <w:b/>
          <w:bCs/>
          <w:color w:val="000000"/>
          <w:sz w:val="20"/>
          <w:szCs w:val="20"/>
        </w:rPr>
        <w:t xml:space="preserve"> 14.    </w:t>
      </w:r>
      <w:r>
        <w:rPr>
          <w:rFonts w:eastAsia="Times New Roman"/>
          <w:b/>
          <w:bCs/>
          <w:color w:val="000000"/>
          <w:sz w:val="20"/>
          <w:szCs w:val="20"/>
          <w:u w:val="single"/>
        </w:rPr>
        <w:t>Principal Accountant Fees and Services</w:t>
      </w:r>
    </w:p>
    <w:p w:rsidR="00000000" w:rsidRDefault="00473C5F">
      <w:pPr>
        <w:ind w:firstLine="720"/>
        <w:jc w:val="both"/>
        <w:divId w:val="195042478"/>
        <w:rPr>
          <w:rFonts w:eastAsia="Times New Roman"/>
        </w:rPr>
      </w:pPr>
      <w:r>
        <w:rPr>
          <w:rFonts w:eastAsia="Times New Roman"/>
          <w:color w:val="000000"/>
          <w:sz w:val="20"/>
          <w:szCs w:val="20"/>
        </w:rPr>
        <w:t>The information required by this item is hereby incorporated by reference to the material appearing in the Company’s Notice and Proxy Statement for its 2023 Annual Meeting of Shareholders, to be filed pursuant</w:t>
      </w:r>
      <w:r>
        <w:rPr>
          <w:rFonts w:eastAsia="Times New Roman"/>
          <w:color w:val="000000"/>
          <w:sz w:val="20"/>
          <w:szCs w:val="20"/>
        </w:rPr>
        <w:t xml:space="preserve"> to Regulation 14A under the Exchange Act of 1934.</w:t>
      </w:r>
    </w:p>
    <w:p w:rsidR="00000000" w:rsidRDefault="00473C5F">
      <w:pPr>
        <w:jc w:val="center"/>
        <w:divId w:val="1051349983"/>
        <w:rPr>
          <w:rFonts w:eastAsia="Times New Roman"/>
        </w:rPr>
      </w:pPr>
      <w:r>
        <w:rPr>
          <w:rFonts w:eastAsia="Times New Roman"/>
          <w:color w:val="000000"/>
          <w:sz w:val="20"/>
          <w:szCs w:val="20"/>
        </w:rPr>
        <w:t>55</w:t>
      </w:r>
    </w:p>
    <w:p w:rsidR="00000000" w:rsidRDefault="00473C5F">
      <w:pPr>
        <w:rPr>
          <w:rFonts w:eastAsia="Times New Roman"/>
        </w:rPr>
      </w:pPr>
      <w:r>
        <w:rPr>
          <w:rFonts w:eastAsia="Times New Roman"/>
        </w:rPr>
        <w:pict>
          <v:rect id="_x0000_i1082" style="width:0;height:1.5pt" o:hralign="center" o:hrstd="t" o:hr="t" fillcolor="#a0a0a0" stroked="f"/>
        </w:pict>
      </w:r>
    </w:p>
    <w:p w:rsidR="00000000" w:rsidRDefault="00473C5F">
      <w:pPr>
        <w:divId w:val="455300698"/>
        <w:rPr>
          <w:rFonts w:eastAsia="Times New Roman"/>
        </w:rPr>
      </w:pPr>
    </w:p>
    <w:p w:rsidR="00000000" w:rsidRDefault="00473C5F">
      <w:pPr>
        <w:jc w:val="center"/>
        <w:divId w:val="1969823568"/>
        <w:rPr>
          <w:rFonts w:eastAsia="Times New Roman"/>
        </w:rPr>
      </w:pPr>
      <w:r>
        <w:rPr>
          <w:rFonts w:eastAsia="Times New Roman"/>
          <w:b/>
          <w:bCs/>
          <w:color w:val="000000"/>
          <w:sz w:val="20"/>
          <w:szCs w:val="20"/>
          <w:u w:val="single"/>
        </w:rPr>
        <w:t>PART IV</w:t>
      </w:r>
    </w:p>
    <w:p w:rsidR="00000000" w:rsidRDefault="00473C5F">
      <w:pPr>
        <w:divId w:val="1441681840"/>
        <w:rPr>
          <w:rFonts w:eastAsia="Times New Roman"/>
        </w:rPr>
      </w:pPr>
      <w:r>
        <w:rPr>
          <w:rFonts w:eastAsia="Times New Roman"/>
          <w:b/>
          <w:bCs/>
          <w:color w:val="000000"/>
          <w:sz w:val="20"/>
          <w:szCs w:val="20"/>
        </w:rPr>
        <w:t>ITEM 15.    </w:t>
      </w:r>
      <w:r>
        <w:rPr>
          <w:rFonts w:eastAsia="Times New Roman"/>
          <w:b/>
          <w:bCs/>
          <w:color w:val="000000"/>
          <w:sz w:val="20"/>
          <w:szCs w:val="20"/>
          <w:u w:val="single"/>
        </w:rPr>
        <w:t>Exhibits and Financial Statement Schedules</w:t>
      </w:r>
    </w:p>
    <w:p w:rsidR="00000000" w:rsidRDefault="00473C5F">
      <w:pPr>
        <w:divId w:val="1948003170"/>
        <w:rPr>
          <w:rFonts w:eastAsia="Times New Roman"/>
        </w:rPr>
      </w:pPr>
      <w:r>
        <w:rPr>
          <w:rFonts w:eastAsia="Times New Roman"/>
          <w:color w:val="000000"/>
          <w:sz w:val="20"/>
          <w:szCs w:val="20"/>
        </w:rPr>
        <w:t>a.    1.    Financial Statements</w:t>
      </w:r>
    </w:p>
    <w:p w:rsidR="00000000" w:rsidRDefault="00473C5F">
      <w:pPr>
        <w:divId w:val="1922254262"/>
        <w:rPr>
          <w:rFonts w:eastAsia="Times New Roman"/>
        </w:rPr>
      </w:pPr>
      <w:r>
        <w:rPr>
          <w:rFonts w:eastAsia="Times New Roman"/>
          <w:color w:val="000000"/>
          <w:sz w:val="20"/>
          <w:szCs w:val="20"/>
        </w:rPr>
        <w:t>The financial statements listed in the accompanying Index to Consoli</w:t>
      </w:r>
      <w:r>
        <w:rPr>
          <w:rFonts w:eastAsia="Times New Roman"/>
          <w:color w:val="000000"/>
          <w:sz w:val="20"/>
          <w:szCs w:val="20"/>
        </w:rPr>
        <w:t>dated Financial Statements and Schedules hereof are filed as part of this report.</w:t>
      </w:r>
    </w:p>
    <w:p w:rsidR="00000000" w:rsidRDefault="00473C5F">
      <w:pPr>
        <w:ind w:hanging="360"/>
        <w:divId w:val="1859410"/>
        <w:rPr>
          <w:rFonts w:eastAsia="Times New Roman"/>
        </w:rPr>
      </w:pPr>
      <w:r>
        <w:rPr>
          <w:rFonts w:eastAsia="Times New Roman"/>
          <w:color w:val="000000"/>
          <w:sz w:val="20"/>
          <w:szCs w:val="20"/>
        </w:rPr>
        <w:t>2.Financial Statement Schedules</w:t>
      </w:r>
    </w:p>
    <w:p w:rsidR="00000000" w:rsidRDefault="00473C5F">
      <w:pPr>
        <w:divId w:val="58867404"/>
        <w:rPr>
          <w:rFonts w:eastAsia="Times New Roman"/>
        </w:rPr>
      </w:pPr>
      <w:r>
        <w:rPr>
          <w:rFonts w:eastAsia="Times New Roman"/>
          <w:color w:val="000000"/>
          <w:sz w:val="20"/>
          <w:szCs w:val="20"/>
        </w:rPr>
        <w:t>The financial statements schedules listed in the accompanying Index to Consolidated Financial Statements and Schedules are filed as part of this report.</w:t>
      </w:r>
    </w:p>
    <w:p w:rsidR="00000000" w:rsidRDefault="00473C5F">
      <w:pPr>
        <w:ind w:hanging="360"/>
        <w:divId w:val="1119570163"/>
        <w:rPr>
          <w:rFonts w:eastAsia="Times New Roman"/>
        </w:rPr>
      </w:pPr>
      <w:r>
        <w:rPr>
          <w:rFonts w:eastAsia="Times New Roman"/>
          <w:color w:val="000000"/>
          <w:sz w:val="20"/>
          <w:szCs w:val="20"/>
        </w:rPr>
        <w:t>3.Exhibits</w:t>
      </w:r>
    </w:p>
    <w:p w:rsidR="00000000" w:rsidRDefault="00473C5F">
      <w:pPr>
        <w:divId w:val="906913678"/>
        <w:rPr>
          <w:rFonts w:eastAsia="Times New Roman"/>
        </w:rPr>
      </w:pPr>
      <w:r>
        <w:rPr>
          <w:rFonts w:eastAsia="Times New Roman"/>
          <w:color w:val="000000"/>
          <w:sz w:val="20"/>
          <w:szCs w:val="20"/>
        </w:rPr>
        <w:t>See Index to Exhibits contained herein.</w:t>
      </w:r>
    </w:p>
    <w:p w:rsidR="00000000" w:rsidRDefault="00473C5F">
      <w:pPr>
        <w:ind w:hanging="360"/>
        <w:divId w:val="1319068654"/>
        <w:rPr>
          <w:rFonts w:eastAsia="Times New Roman"/>
        </w:rPr>
      </w:pPr>
      <w:r>
        <w:rPr>
          <w:rFonts w:eastAsia="Times New Roman"/>
          <w:color w:val="000000"/>
          <w:sz w:val="20"/>
          <w:szCs w:val="20"/>
        </w:rPr>
        <w:t>b.Exhibits:</w:t>
      </w:r>
    </w:p>
    <w:p w:rsidR="00000000" w:rsidRDefault="00473C5F">
      <w:pPr>
        <w:divId w:val="1183789264"/>
        <w:rPr>
          <w:rFonts w:eastAsia="Times New Roman"/>
        </w:rPr>
      </w:pPr>
      <w:r>
        <w:rPr>
          <w:rFonts w:eastAsia="Times New Roman"/>
          <w:color w:val="000000"/>
          <w:sz w:val="20"/>
          <w:szCs w:val="20"/>
        </w:rPr>
        <w:t>See Index to Exhibits contained herein.</w:t>
      </w:r>
    </w:p>
    <w:p w:rsidR="00000000" w:rsidRDefault="00473C5F">
      <w:pPr>
        <w:ind w:hanging="360"/>
        <w:divId w:val="595677634"/>
        <w:rPr>
          <w:rFonts w:eastAsia="Times New Roman"/>
        </w:rPr>
      </w:pPr>
      <w:r>
        <w:rPr>
          <w:rFonts w:eastAsia="Times New Roman"/>
          <w:color w:val="000000"/>
          <w:sz w:val="20"/>
          <w:szCs w:val="20"/>
        </w:rPr>
        <w:t>c.Financial Statement Schedules</w:t>
      </w:r>
    </w:p>
    <w:p w:rsidR="00000000" w:rsidRDefault="00473C5F">
      <w:pPr>
        <w:divId w:val="287007983"/>
        <w:rPr>
          <w:rFonts w:eastAsia="Times New Roman"/>
        </w:rPr>
      </w:pPr>
      <w:r>
        <w:rPr>
          <w:rFonts w:eastAsia="Times New Roman"/>
          <w:color w:val="000000"/>
          <w:sz w:val="20"/>
          <w:szCs w:val="20"/>
        </w:rPr>
        <w:t>Not applicable.</w:t>
      </w:r>
    </w:p>
    <w:p w:rsidR="00000000" w:rsidRDefault="00473C5F">
      <w:pPr>
        <w:jc w:val="center"/>
        <w:divId w:val="1197349851"/>
        <w:rPr>
          <w:rFonts w:eastAsia="Times New Roman"/>
        </w:rPr>
      </w:pPr>
      <w:r>
        <w:rPr>
          <w:rFonts w:eastAsia="Times New Roman"/>
          <w:color w:val="000000"/>
          <w:sz w:val="20"/>
          <w:szCs w:val="20"/>
        </w:rPr>
        <w:t>56</w:t>
      </w:r>
    </w:p>
    <w:p w:rsidR="00000000" w:rsidRDefault="00473C5F">
      <w:pPr>
        <w:rPr>
          <w:rFonts w:eastAsia="Times New Roman"/>
        </w:rPr>
      </w:pPr>
      <w:r>
        <w:rPr>
          <w:rFonts w:eastAsia="Times New Roman"/>
        </w:rPr>
        <w:pict>
          <v:rect id="_x0000_i1083" style="width:0;height:1.5pt" o:hralign="center" o:hrstd="t" o:hr="t" fillcolor="#a0a0a0" stroked="f"/>
        </w:pict>
      </w:r>
    </w:p>
    <w:p w:rsidR="00000000" w:rsidRDefault="00473C5F">
      <w:pPr>
        <w:divId w:val="1897430796"/>
        <w:rPr>
          <w:rFonts w:eastAsia="Times New Roman"/>
        </w:rPr>
      </w:pPr>
    </w:p>
    <w:p w:rsidR="00000000" w:rsidRDefault="00473C5F">
      <w:pPr>
        <w:jc w:val="center"/>
        <w:rPr>
          <w:rFonts w:eastAsia="Times New Roman"/>
        </w:rPr>
      </w:pPr>
      <w:r>
        <w:rPr>
          <w:rFonts w:eastAsia="Times New Roman"/>
          <w:color w:val="000000"/>
          <w:sz w:val="20"/>
          <w:szCs w:val="20"/>
        </w:rPr>
        <w:t>PUBLIC STORAGE</w:t>
      </w:r>
    </w:p>
    <w:p w:rsidR="00000000" w:rsidRDefault="00473C5F">
      <w:pPr>
        <w:jc w:val="center"/>
        <w:rPr>
          <w:rFonts w:eastAsia="Times New Roman"/>
        </w:rPr>
      </w:pPr>
      <w:r>
        <w:rPr>
          <w:rFonts w:eastAsia="Times New Roman"/>
          <w:color w:val="000000"/>
          <w:sz w:val="20"/>
          <w:szCs w:val="20"/>
        </w:rPr>
        <w:t>INDEX TO EXHIBITS (1)</w:t>
      </w:r>
    </w:p>
    <w:p w:rsidR="00000000" w:rsidRDefault="00473C5F">
      <w:pPr>
        <w:jc w:val="center"/>
        <w:rPr>
          <w:rFonts w:eastAsia="Times New Roman"/>
        </w:rPr>
      </w:pPr>
      <w:r>
        <w:rPr>
          <w:rFonts w:eastAsia="Times New Roman"/>
          <w:color w:val="000000"/>
          <w:sz w:val="20"/>
          <w:szCs w:val="20"/>
        </w:rPr>
        <w:t>(Items 15(a)(3) and 15(c))</w:t>
      </w:r>
    </w:p>
    <w:tbl>
      <w:tblPr>
        <w:tblW w:w="5000" w:type="pct"/>
        <w:tblCellMar>
          <w:top w:w="15" w:type="dxa"/>
          <w:left w:w="15" w:type="dxa"/>
          <w:bottom w:w="15" w:type="dxa"/>
          <w:right w:w="15" w:type="dxa"/>
        </w:tblCellMar>
        <w:tblLook w:val="04A0" w:firstRow="1" w:lastRow="0" w:firstColumn="1" w:lastColumn="0" w:noHBand="0" w:noVBand="1"/>
      </w:tblPr>
      <w:tblGrid>
        <w:gridCol w:w="68"/>
        <w:gridCol w:w="662"/>
        <w:gridCol w:w="36"/>
        <w:gridCol w:w="69"/>
        <w:gridCol w:w="7433"/>
        <w:gridCol w:w="38"/>
      </w:tblGrid>
      <w:tr w:rsidR="00000000">
        <w:trPr>
          <w:divId w:val="1815293330"/>
        </w:trPr>
        <w:tc>
          <w:tcPr>
            <w:tcW w:w="50" w:type="pct"/>
            <w:vAlign w:val="center"/>
            <w:hideMark/>
          </w:tcPr>
          <w:p w:rsidR="00000000" w:rsidRDefault="00473C5F">
            <w:pPr>
              <w:jc w:val="center"/>
              <w:rPr>
                <w:rFonts w:eastAsia="Times New Roman"/>
              </w:rPr>
            </w:pPr>
          </w:p>
        </w:tc>
        <w:tc>
          <w:tcPr>
            <w:tcW w:w="40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48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5" w:history="1">
              <w:r>
                <w:rPr>
                  <w:rStyle w:val="a3"/>
                  <w:rFonts w:eastAsia="Times New Roman"/>
                  <w:sz w:val="20"/>
                  <w:szCs w:val="20"/>
                </w:rPr>
                <w:t xml:space="preserve">Restated Declaration of Trust of Public Storage, a Maryland real estate investment trust. Filed </w:t>
              </w:r>
            </w:hyperlink>
            <w:hyperlink r:id="rId6" w:history="1">
              <w:r>
                <w:rPr>
                  <w:rStyle w:val="a3"/>
                  <w:rFonts w:eastAsia="Times New Roman"/>
                  <w:sz w:val="20"/>
                  <w:szCs w:val="20"/>
                </w:rPr>
                <w:t>here</w:t>
              </w:r>
            </w:hyperlink>
            <w:hyperlink r:id="rId7" w:history="1">
              <w:r>
                <w:rPr>
                  <w:rStyle w:val="a3"/>
                  <w:rFonts w:eastAsia="Times New Roman"/>
                  <w:sz w:val="20"/>
                  <w:szCs w:val="20"/>
                </w:rPr>
                <w:t>with</w:t>
              </w:r>
            </w:hyperlink>
            <w:hyperlink r:id="rId8" w:history="1">
              <w:r>
                <w:rPr>
                  <w:rStyle w:val="a3"/>
                  <w:rFonts w:eastAsia="Times New Roman"/>
                  <w:sz w:val="20"/>
                  <w:szCs w:val="20"/>
                </w:rPr>
                <w:t>.</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9" w:history="1">
              <w:r>
                <w:rPr>
                  <w:rStyle w:val="a3"/>
                  <w:rFonts w:eastAsia="Times New Roman"/>
                  <w:sz w:val="20"/>
                  <w:szCs w:val="20"/>
                </w:rPr>
                <w:t>Amended and Restated Bylaws of Public Storage. Filed as Exhibit 3.2 to the Company’s Quarterly Report on Form 10-Q for the quarter ended March 31, 2021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10" w:history="1">
              <w:r>
                <w:rPr>
                  <w:rStyle w:val="a3"/>
                  <w:rFonts w:eastAsia="Times New Roman"/>
                  <w:sz w:val="20"/>
                  <w:szCs w:val="20"/>
                </w:rPr>
                <w:t>Articles Supplementary for Public Storage 5.150% Cumulative Preferred Shares, Series F. Filed as Exhibit 3.1 to the Company’s Current Report on Form 8-K dated May 23, 2017 and incorporated herein by referen</w:t>
              </w:r>
              <w:r>
                <w:rPr>
                  <w:rStyle w:val="a3"/>
                  <w:rFonts w:eastAsia="Times New Roman"/>
                  <w:sz w:val="20"/>
                  <w:szCs w:val="20"/>
                </w:rPr>
                <w:t>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11" w:history="1">
              <w:r>
                <w:rPr>
                  <w:rStyle w:val="a3"/>
                  <w:rFonts w:eastAsia="Times New Roman"/>
                  <w:sz w:val="20"/>
                  <w:szCs w:val="20"/>
                </w:rPr>
                <w:t>Articles Supplementary for Public Storage 5.050% Cumulative Preferred Shares, Series G. Filed as Exhibit 3.1 to the Company’s Current Report on Form 8-K dated July 31, 2017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12" w:history="1">
              <w:r>
                <w:rPr>
                  <w:rStyle w:val="a3"/>
                  <w:rFonts w:eastAsia="Times New Roman"/>
                  <w:sz w:val="20"/>
                  <w:szCs w:val="20"/>
                </w:rPr>
                <w:t>Articles Supplementary for Public Storage 5.600% Cumulative Preferred Shares, Series H. Filed as Exhibit 3.1 to the Company’s Current Report on Form 8-K dated February 28, 2019 and incor</w:t>
              </w:r>
              <w:r>
                <w:rPr>
                  <w:rStyle w:val="a3"/>
                  <w:rFonts w:eastAsia="Times New Roman"/>
                  <w:sz w:val="20"/>
                  <w:szCs w:val="20"/>
                </w:rPr>
                <w:t>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3.6</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13" w:history="1">
              <w:r>
                <w:rPr>
                  <w:rStyle w:val="a3"/>
                  <w:rFonts w:eastAsia="Times New Roman"/>
                  <w:sz w:val="20"/>
                  <w:szCs w:val="20"/>
                </w:rPr>
                <w:t>Articles Supplementary for Public Storage 4.875% Cumulative Preferred Shares, Series I. Filed as Exhibit 3.1 to the Company’s Current Report on Form 8-K dated September 5, 2019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3.7</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14" w:history="1">
              <w:r>
                <w:rPr>
                  <w:rStyle w:val="a3"/>
                  <w:rFonts w:eastAsia="Times New Roman"/>
                  <w:sz w:val="20"/>
                  <w:szCs w:val="20"/>
                </w:rPr>
                <w:t>Articles Supplementary for Public Storage 4.700% Cumulative Preferred Shares, Series J. Filed as Exhibit 3.1 to the Company’s Current Report on Form 8-K date</w:t>
              </w:r>
              <w:r>
                <w:rPr>
                  <w:rStyle w:val="a3"/>
                  <w:rFonts w:eastAsia="Times New Roman"/>
                  <w:sz w:val="20"/>
                  <w:szCs w:val="20"/>
                </w:rPr>
                <w:t>d November 5, 2019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3.8</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15" w:history="1">
              <w:r>
                <w:rPr>
                  <w:rStyle w:val="a3"/>
                  <w:rFonts w:eastAsia="Times New Roman"/>
                  <w:sz w:val="20"/>
                  <w:szCs w:val="20"/>
                </w:rPr>
                <w:t>Articles Supplementary for Public Storage 4.750% Cumulative Preferred Shares, Series</w:t>
              </w:r>
              <w:r>
                <w:rPr>
                  <w:rStyle w:val="a3"/>
                  <w:rFonts w:eastAsia="Times New Roman"/>
                  <w:sz w:val="20"/>
                  <w:szCs w:val="20"/>
                </w:rPr>
                <w:t xml:space="preserve"> K. Filed as Exhibit 3.1 to the Company’s Current Report on Form 8-K dated December 11, 2019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3.9</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16" w:history="1">
              <w:r>
                <w:rPr>
                  <w:rStyle w:val="a3"/>
                  <w:rFonts w:eastAsia="Times New Roman"/>
                  <w:sz w:val="20"/>
                  <w:szCs w:val="20"/>
                </w:rPr>
                <w:t>Articles Supplementary for Public Storage 4.625% Cumulative Preferred Shares, Series L. Filed as Exhibit 3.1 to the Company’s Current Report on Form 8-K dat</w:t>
              </w:r>
              <w:r>
                <w:rPr>
                  <w:rStyle w:val="a3"/>
                  <w:rFonts w:eastAsia="Times New Roman"/>
                  <w:sz w:val="20"/>
                  <w:szCs w:val="20"/>
                </w:rPr>
                <w:t>ed June 8, 2020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3.10</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17" w:history="1">
              <w:r>
                <w:rPr>
                  <w:rStyle w:val="a3"/>
                  <w:rFonts w:eastAsia="Times New Roman"/>
                  <w:sz w:val="20"/>
                  <w:szCs w:val="20"/>
                </w:rPr>
                <w:t xml:space="preserve">Articles Supplementary for Public Storage 4.125 % Cumulative Preferred Shares, Series </w:t>
              </w:r>
              <w:r>
                <w:rPr>
                  <w:rStyle w:val="a3"/>
                  <w:rFonts w:eastAsia="Times New Roman"/>
                  <w:sz w:val="20"/>
                  <w:szCs w:val="20"/>
                </w:rPr>
                <w:t>M. Filed as Exhibit 3.1 to the Company’s Current Report on Form 8-K dated August 11, 2020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18" w:history="1">
              <w:r>
                <w:rPr>
                  <w:rStyle w:val="a3"/>
                  <w:rFonts w:eastAsia="Times New Roman"/>
                  <w:sz w:val="20"/>
                  <w:szCs w:val="20"/>
                </w:rPr>
                <w:t>Articles Supplementary for Public Storage 3.875% Cumulative Preferred Shares, Series N. Filed as Exhibit 3.1 to the Company’s Current Report on Form 8-K dat</w:t>
              </w:r>
              <w:r>
                <w:rPr>
                  <w:rStyle w:val="a3"/>
                  <w:rFonts w:eastAsia="Times New Roman"/>
                  <w:sz w:val="20"/>
                  <w:szCs w:val="20"/>
                </w:rPr>
                <w:t>ed September 29, 2020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19" w:history="1">
              <w:r>
                <w:rPr>
                  <w:rStyle w:val="a3"/>
                  <w:rFonts w:eastAsia="Times New Roman"/>
                  <w:sz w:val="20"/>
                  <w:szCs w:val="20"/>
                </w:rPr>
                <w:t>Articles Supplementary for Public Storage 3.900% Cumulative Preferred Shares, Series O. Filed as Exhibit 3.1 to the Company’s Current Report on Form 8-K date</w:t>
              </w:r>
              <w:r>
                <w:rPr>
                  <w:rStyle w:val="a3"/>
                  <w:rFonts w:eastAsia="Times New Roman"/>
                  <w:sz w:val="20"/>
                  <w:szCs w:val="20"/>
                </w:rPr>
                <w:t>d November 9, 2020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3.13</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20" w:history="1">
              <w:r>
                <w:rPr>
                  <w:rStyle w:val="a3"/>
                  <w:rFonts w:eastAsia="Times New Roman"/>
                  <w:sz w:val="20"/>
                  <w:szCs w:val="20"/>
                </w:rPr>
                <w:t>Articles Supplementary for Public Storage 4.000% Cumulative Preferred Shares, Series P. Filed as Exhibit 3.1 to the Company’s Current Report on Form 8-K dat</w:t>
              </w:r>
              <w:r>
                <w:rPr>
                  <w:rStyle w:val="a3"/>
                  <w:rFonts w:eastAsia="Times New Roman"/>
                  <w:sz w:val="20"/>
                  <w:szCs w:val="20"/>
                </w:rPr>
                <w:t>ed June 7, 2021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3.14</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21" w:history="1">
              <w:r>
                <w:rPr>
                  <w:rStyle w:val="a3"/>
                  <w:rFonts w:eastAsia="Times New Roman"/>
                  <w:sz w:val="20"/>
                  <w:szCs w:val="20"/>
                </w:rPr>
                <w:t>Articles Supplementary for Public Storage 3.950% Cumulative Preferred Shares, Series Q. Filed as Exhibit 3.1 to the Company’s Current Report on Form 8-K dat</w:t>
              </w:r>
              <w:r>
                <w:rPr>
                  <w:rStyle w:val="a3"/>
                  <w:rFonts w:eastAsia="Times New Roman"/>
                  <w:sz w:val="20"/>
                  <w:szCs w:val="20"/>
                </w:rPr>
                <w:t>ed August 10, 2021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3.15</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22" w:history="1">
              <w:r>
                <w:rPr>
                  <w:rStyle w:val="a3"/>
                  <w:rFonts w:eastAsia="Times New Roman"/>
                  <w:sz w:val="20"/>
                  <w:szCs w:val="20"/>
                </w:rPr>
                <w:t>Articles Supplementary for Public Storage 4.000% Cumulative Preferred Shares, Seri</w:t>
              </w:r>
              <w:r>
                <w:rPr>
                  <w:rStyle w:val="a3"/>
                  <w:rFonts w:eastAsia="Times New Roman"/>
                  <w:sz w:val="20"/>
                  <w:szCs w:val="20"/>
                </w:rPr>
                <w:t>es R. Filed as Exhibit 3.1 to the Company’s Current Report on Form 8-K dated November 9, 2021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3.16</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23" w:history="1">
              <w:r>
                <w:rPr>
                  <w:rStyle w:val="a3"/>
                  <w:rFonts w:eastAsia="Times New Roman"/>
                  <w:sz w:val="20"/>
                  <w:szCs w:val="20"/>
                </w:rPr>
                <w:t>Articles Supplementary for Public Storage 4.100% Cumulative Preferred Shares, Series S. Filed as Exhibit 3.1 to the Company’s Current Report on Form 8-K dat</w:t>
              </w:r>
              <w:r>
                <w:rPr>
                  <w:rStyle w:val="a3"/>
                  <w:rFonts w:eastAsia="Times New Roman"/>
                  <w:sz w:val="20"/>
                  <w:szCs w:val="20"/>
                </w:rPr>
                <w:t>ed January 4, 2022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24" w:history="1">
              <w:r>
                <w:rPr>
                  <w:rStyle w:val="a3"/>
                  <w:rFonts w:eastAsia="Times New Roman"/>
                  <w:sz w:val="20"/>
                  <w:szCs w:val="20"/>
                </w:rPr>
                <w:t>Description of the Company’s Securities Registered Pursuant to Section 12</w:t>
              </w:r>
            </w:hyperlink>
            <w:hyperlink r:id="rId25" w:history="1">
              <w:r>
                <w:rPr>
                  <w:rStyle w:val="a3"/>
                  <w:rFonts w:eastAsia="Times New Roman"/>
                  <w:sz w:val="20"/>
                  <w:szCs w:val="20"/>
                </w:rPr>
                <w:t xml:space="preserve"> of </w:t>
              </w:r>
            </w:hyperlink>
            <w:hyperlink r:id="rId26" w:history="1">
              <w:r>
                <w:rPr>
                  <w:rStyle w:val="a3"/>
                  <w:rFonts w:eastAsia="Times New Roman"/>
                  <w:sz w:val="20"/>
                  <w:szCs w:val="20"/>
                </w:rPr>
                <w:t>the Securities Exchange Act of 1934.</w:t>
              </w:r>
            </w:hyperlink>
            <w:hyperlink r:id="rId27" w:history="1">
              <w:r>
                <w:rPr>
                  <w:rStyle w:val="a3"/>
                  <w:rFonts w:eastAsia="Times New Roman"/>
                  <w:sz w:val="20"/>
                  <w:szCs w:val="20"/>
                </w:rPr>
                <w:t xml:space="preserve"> Filed </w:t>
              </w:r>
            </w:hyperlink>
            <w:hyperlink r:id="rId28" w:history="1">
              <w:r>
                <w:rPr>
                  <w:rStyle w:val="a3"/>
                  <w:rFonts w:eastAsia="Times New Roman"/>
                  <w:sz w:val="20"/>
                  <w:szCs w:val="20"/>
                </w:rPr>
                <w:t>as Exhibit 4.2 to</w:t>
              </w:r>
            </w:hyperlink>
            <w:hyperlink r:id="rId29" w:history="1">
              <w:r>
                <w:rPr>
                  <w:rStyle w:val="a3"/>
                  <w:rFonts w:eastAsia="Times New Roman"/>
                  <w:sz w:val="20"/>
                  <w:szCs w:val="20"/>
                </w:rPr>
                <w:t xml:space="preserve"> the </w:t>
              </w:r>
            </w:hyperlink>
            <w:hyperlink r:id="rId30" w:history="1">
              <w:r>
                <w:rPr>
                  <w:rStyle w:val="a3"/>
                  <w:rFonts w:eastAsia="Times New Roman"/>
                  <w:sz w:val="20"/>
                  <w:szCs w:val="20"/>
                </w:rPr>
                <w:t>Company’s Annual</w:t>
              </w:r>
            </w:hyperlink>
            <w:hyperlink r:id="rId31" w:history="1">
              <w:r>
                <w:rPr>
                  <w:rStyle w:val="a3"/>
                  <w:rFonts w:eastAsia="Times New Roman"/>
                  <w:sz w:val="20"/>
                  <w:szCs w:val="20"/>
                </w:rPr>
                <w:t xml:space="preserve"> Report on Form </w:t>
              </w:r>
            </w:hyperlink>
            <w:hyperlink r:id="rId32" w:history="1">
              <w:r>
                <w:rPr>
                  <w:rStyle w:val="a3"/>
                  <w:rFonts w:eastAsia="Times New Roman"/>
                  <w:sz w:val="20"/>
                  <w:szCs w:val="20"/>
                </w:rPr>
                <w:t>10-K for the year ended December 31, 2021</w:t>
              </w:r>
            </w:hyperlink>
            <w:hyperlink r:id="rId33" w:history="1">
              <w:r>
                <w:rPr>
                  <w:rStyle w:val="a3"/>
                  <w:rFonts w:eastAsia="Times New Roman"/>
                  <w:sz w:val="20"/>
                  <w:szCs w:val="20"/>
                </w:rPr>
                <w:t xml:space="preserve"> and incorporated </w:t>
              </w:r>
            </w:hyperlink>
            <w:hyperlink r:id="rId34" w:history="1">
              <w:r>
                <w:rPr>
                  <w:rStyle w:val="a3"/>
                  <w:rFonts w:eastAsia="Times New Roman"/>
                  <w:sz w:val="20"/>
                  <w:szCs w:val="20"/>
                </w:rPr>
                <w:t xml:space="preserve">herein </w:t>
              </w:r>
            </w:hyperlink>
            <w:hyperlink r:id="rId35" w:history="1">
              <w:r>
                <w:rPr>
                  <w:rStyle w:val="a3"/>
                  <w:rFonts w:eastAsia="Times New Roman"/>
                  <w:sz w:val="20"/>
                  <w:szCs w:val="20"/>
                </w:rPr>
                <w:t xml:space="preserve">by </w:t>
              </w:r>
            </w:hyperlink>
            <w:hyperlink r:id="rId36" w:history="1">
              <w:r>
                <w:rPr>
                  <w:rStyle w:val="a3"/>
                  <w:rFonts w:eastAsia="Times New Roman"/>
                  <w:sz w:val="20"/>
                  <w:szCs w:val="20"/>
                </w:rPr>
                <w:t>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4.2</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37" w:history="1">
              <w:r>
                <w:rPr>
                  <w:rStyle w:val="a3"/>
                  <w:rFonts w:eastAsia="Times New Roman"/>
                  <w:sz w:val="20"/>
                  <w:szCs w:val="20"/>
                </w:rPr>
                <w:t xml:space="preserve">Master Deposit Agreement, dated as of May 31, 2007. Filed </w:t>
              </w:r>
            </w:hyperlink>
            <w:hyperlink r:id="rId38" w:history="1">
              <w:r>
                <w:rPr>
                  <w:rStyle w:val="a3"/>
                  <w:rFonts w:eastAsia="Times New Roman"/>
                  <w:sz w:val="20"/>
                  <w:szCs w:val="20"/>
                </w:rPr>
                <w:t>as Exhibit 1</w:t>
              </w:r>
              <w:r>
                <w:rPr>
                  <w:rStyle w:val="a3"/>
                  <w:rFonts w:eastAsia="Times New Roman"/>
                  <w:sz w:val="20"/>
                  <w:szCs w:val="20"/>
                </w:rPr>
                <w:t>0.1 to</w:t>
              </w:r>
            </w:hyperlink>
            <w:hyperlink r:id="rId39" w:history="1">
              <w:r>
                <w:rPr>
                  <w:rStyle w:val="a3"/>
                  <w:rFonts w:eastAsia="Times New Roman"/>
                  <w:sz w:val="20"/>
                  <w:szCs w:val="20"/>
                </w:rPr>
                <w:t xml:space="preserve"> the </w:t>
              </w:r>
            </w:hyperlink>
            <w:hyperlink r:id="rId40" w:history="1">
              <w:r>
                <w:rPr>
                  <w:rStyle w:val="a3"/>
                  <w:rFonts w:eastAsia="Times New Roman"/>
                  <w:sz w:val="20"/>
                  <w:szCs w:val="20"/>
                </w:rPr>
                <w:t>Company</w:t>
              </w:r>
            </w:hyperlink>
            <w:hyperlink r:id="rId41" w:history="1">
              <w:r>
                <w:rPr>
                  <w:rStyle w:val="a3"/>
                  <w:rFonts w:eastAsia="Times New Roman"/>
                  <w:sz w:val="20"/>
                  <w:szCs w:val="20"/>
                </w:rPr>
                <w:t>’s Current Report on Form 8-K dated June 6, 2007 and incorporated herein by reference.</w:t>
              </w:r>
            </w:hyperlink>
          </w:p>
        </w:tc>
      </w:tr>
      <w:tr w:rsidR="00000000">
        <w:trPr>
          <w:divId w:val="1815293330"/>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815293330"/>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4.3</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42" w:history="1">
              <w:r>
                <w:rPr>
                  <w:rStyle w:val="a3"/>
                  <w:rFonts w:eastAsia="Times New Roman"/>
                  <w:sz w:val="20"/>
                  <w:szCs w:val="20"/>
                </w:rPr>
                <w:t>Indenture, dated as of September 18, 2017, between Public Storage and Wells Fargo Bank, National Association, as trustee. Filed as Exhibit 4.1 to the Company</w:t>
              </w:r>
              <w:r>
                <w:rPr>
                  <w:rStyle w:val="a3"/>
                  <w:rFonts w:eastAsia="Times New Roman"/>
                  <w:sz w:val="20"/>
                  <w:szCs w:val="20"/>
                </w:rPr>
                <w:t>’s Current Report on Form 8-K dated September 18, 2017 and incorporated herein by reference.</w:t>
              </w:r>
            </w:hyperlink>
          </w:p>
        </w:tc>
      </w:tr>
    </w:tbl>
    <w:p w:rsidR="00000000" w:rsidRDefault="00473C5F">
      <w:pPr>
        <w:jc w:val="center"/>
        <w:divId w:val="1648776029"/>
        <w:rPr>
          <w:rFonts w:eastAsia="Times New Roman"/>
        </w:rPr>
      </w:pPr>
      <w:r>
        <w:rPr>
          <w:rFonts w:eastAsia="Times New Roman"/>
          <w:color w:val="000000"/>
          <w:sz w:val="20"/>
          <w:szCs w:val="20"/>
        </w:rPr>
        <w:t>57</w:t>
      </w:r>
    </w:p>
    <w:p w:rsidR="00000000" w:rsidRDefault="00473C5F">
      <w:pPr>
        <w:rPr>
          <w:rFonts w:eastAsia="Times New Roman"/>
        </w:rPr>
      </w:pPr>
      <w:r>
        <w:rPr>
          <w:rFonts w:eastAsia="Times New Roman"/>
        </w:rPr>
        <w:pict>
          <v:rect id="_x0000_i1084" style="width:0;height:1.5pt" o:hralign="center" o:hrstd="t" o:hr="t" fillcolor="#a0a0a0" stroked="f"/>
        </w:pict>
      </w:r>
    </w:p>
    <w:p w:rsidR="00000000" w:rsidRDefault="00473C5F">
      <w:pPr>
        <w:divId w:val="203615572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62"/>
        <w:gridCol w:w="36"/>
        <w:gridCol w:w="69"/>
        <w:gridCol w:w="7433"/>
        <w:gridCol w:w="37"/>
      </w:tblGrid>
      <w:tr w:rsidR="00000000">
        <w:trPr>
          <w:divId w:val="191262833"/>
        </w:trPr>
        <w:tc>
          <w:tcPr>
            <w:tcW w:w="50" w:type="pct"/>
            <w:vAlign w:val="center"/>
            <w:hideMark/>
          </w:tcPr>
          <w:p w:rsidR="00000000" w:rsidRDefault="00473C5F">
            <w:pPr>
              <w:rPr>
                <w:rFonts w:eastAsia="Times New Roman"/>
              </w:rPr>
            </w:pPr>
          </w:p>
        </w:tc>
        <w:tc>
          <w:tcPr>
            <w:tcW w:w="40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48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912628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4.4</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43" w:history="1">
              <w:r>
                <w:rPr>
                  <w:rStyle w:val="a3"/>
                  <w:rFonts w:eastAsia="Times New Roman"/>
                  <w:sz w:val="20"/>
                  <w:szCs w:val="20"/>
                </w:rPr>
                <w:t>First Supplemental Indenture, dated as of September 18, 2017, between Public Storage and Wells Farg</w:t>
              </w:r>
              <w:r>
                <w:rPr>
                  <w:rStyle w:val="a3"/>
                  <w:rFonts w:eastAsia="Times New Roman"/>
                  <w:sz w:val="20"/>
                  <w:szCs w:val="20"/>
                </w:rPr>
                <w:t>o Bank, National Association, as trustee, including the form of Global Note representing the 2022 Notes and the form of Global Note representing the 2027 Notes. Filed as Exhibit 4.2 to the Company’s Current Report on Form 8-K dated September 18, 2017 and i</w:t>
              </w:r>
              <w:r>
                <w:rPr>
                  <w:rStyle w:val="a3"/>
                  <w:rFonts w:eastAsia="Times New Roman"/>
                  <w:sz w:val="20"/>
                  <w:szCs w:val="20"/>
                </w:rPr>
                <w:t>ncorporated herein by reference.</w:t>
              </w:r>
            </w:hyperlink>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912628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4.5</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44" w:history="1">
              <w:r>
                <w:rPr>
                  <w:rStyle w:val="a3"/>
                  <w:rFonts w:eastAsia="Times New Roman"/>
                  <w:sz w:val="20"/>
                  <w:szCs w:val="20"/>
                </w:rPr>
                <w:t>Second Supplemental Indenture, dated as of April 12, 2019, between Public Storage and Wells Fargo Bank, National Association, as trustee, including the form of Global Note representing the 2029 Notes. Filed as Exhibit 4.2 to the Company’s Current Report on</w:t>
              </w:r>
              <w:r>
                <w:rPr>
                  <w:rStyle w:val="a3"/>
                  <w:rFonts w:eastAsia="Times New Roman"/>
                  <w:sz w:val="20"/>
                  <w:szCs w:val="20"/>
                </w:rPr>
                <w:t xml:space="preserve"> Form 8-K dated April 12, 2019 and incorporated herein by reference.</w:t>
              </w:r>
            </w:hyperlink>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912628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4.6</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45" w:history="1">
              <w:r>
                <w:rPr>
                  <w:rStyle w:val="a3"/>
                  <w:rFonts w:eastAsia="Times New Roman"/>
                  <w:sz w:val="20"/>
                  <w:szCs w:val="20"/>
                </w:rPr>
                <w:t>Third Supplemental Indenture, dated as of January 24, 2020, between Public Storage and Wells Fargo Bank, National Association, as trustee, including the form</w:t>
              </w:r>
              <w:r>
                <w:rPr>
                  <w:rStyle w:val="a3"/>
                  <w:rFonts w:eastAsia="Times New Roman"/>
                  <w:sz w:val="20"/>
                  <w:szCs w:val="20"/>
                </w:rPr>
                <w:t xml:space="preserve"> of Global Note representing the 2032 Notes. Filed as Exhibit 4.2 to the Company’s Current Report on Form 8-K dated January 24, 2020 and incorporated herein by reference.</w:t>
              </w:r>
            </w:hyperlink>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912628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4.7</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46" w:history="1">
              <w:r>
                <w:rPr>
                  <w:rStyle w:val="a3"/>
                  <w:rFonts w:eastAsia="Times New Roman"/>
                  <w:sz w:val="20"/>
                  <w:szCs w:val="20"/>
                </w:rPr>
                <w:t>Fourth Supplemental Indenture, dated as of January 19, 2021, between Public Storage and Wells Fargo Bank, National Association, as trustee, including the form of Global Note representing the 2026 Notes. Filed as Exhibit 4.</w:t>
              </w:r>
              <w:r>
                <w:rPr>
                  <w:rStyle w:val="a3"/>
                  <w:rFonts w:eastAsia="Times New Roman"/>
                  <w:sz w:val="20"/>
                  <w:szCs w:val="20"/>
                </w:rPr>
                <w:t>2 to the Company’s Current Report on Form 8-K dated January 14, 2021 and incorporated herein by reference.</w:t>
              </w:r>
            </w:hyperlink>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912628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4.8</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47" w:history="1">
              <w:r>
                <w:rPr>
                  <w:rStyle w:val="a3"/>
                  <w:rFonts w:eastAsia="Times New Roman"/>
                  <w:sz w:val="20"/>
                  <w:szCs w:val="20"/>
                </w:rPr>
                <w:t xml:space="preserve">Fifth Supplemental Indenture, dated as of April 23, 2021, between Public Storage and Wells Fargo Bank, National Association, as trustee, including the form </w:t>
              </w:r>
              <w:r>
                <w:rPr>
                  <w:rStyle w:val="a3"/>
                  <w:rFonts w:eastAsia="Times New Roman"/>
                  <w:sz w:val="20"/>
                  <w:szCs w:val="20"/>
                </w:rPr>
                <w:t>of Global Note representing the Floating Rate Notes. Filed as Exhibit 4.2 to the Company’s Current Report on Form 8-K dated April 23, 2021 and incorporated herein by reference.</w:t>
              </w:r>
            </w:hyperlink>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912628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4.9</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48" w:history="1">
              <w:r>
                <w:rPr>
                  <w:rStyle w:val="a3"/>
                  <w:rFonts w:eastAsia="Times New Roman"/>
                  <w:sz w:val="20"/>
                  <w:szCs w:val="20"/>
                </w:rPr>
                <w:t>Sixth Supplemental Indenture, dated as of April 23, 2021, between Public Storage and Wells Fargo Bank, National Association, as trustee, including the form of Global Note representing the 2028 Notes. Filed as Exhibit 4.</w:t>
              </w:r>
              <w:r>
                <w:rPr>
                  <w:rStyle w:val="a3"/>
                  <w:rFonts w:eastAsia="Times New Roman"/>
                  <w:sz w:val="20"/>
                  <w:szCs w:val="20"/>
                </w:rPr>
                <w:t>3 to the Company’s Current Report on Form 8-K dated April 23, 2021 and incorporated herein by reference.</w:t>
              </w:r>
            </w:hyperlink>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912628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4.10</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49" w:history="1">
              <w:r>
                <w:rPr>
                  <w:rStyle w:val="a3"/>
                  <w:rFonts w:eastAsia="Times New Roman"/>
                  <w:sz w:val="20"/>
                  <w:szCs w:val="20"/>
                </w:rPr>
                <w:t>Seventh Supplemental Indenture, dated as of April 23, 2021, between Public Storage and Wells Fargo Bank, National Association, as trustee, including the for</w:t>
              </w:r>
              <w:r>
                <w:rPr>
                  <w:rStyle w:val="a3"/>
                  <w:rFonts w:eastAsia="Times New Roman"/>
                  <w:sz w:val="20"/>
                  <w:szCs w:val="20"/>
                </w:rPr>
                <w:t>m of Global Note representing the 2031 Notes. Filed as Exhibit 4.4 to the Company’s Current Report on Form 8-K dated April 23, 2021 and incorporated herein by reference.</w:t>
              </w:r>
            </w:hyperlink>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912628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4.11</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50" w:history="1">
              <w:r>
                <w:rPr>
                  <w:rStyle w:val="a3"/>
                  <w:rFonts w:eastAsia="Times New Roman"/>
                  <w:sz w:val="20"/>
                  <w:szCs w:val="20"/>
                </w:rPr>
                <w:t>Eighth Supplemental Indenture, dated as of September 9, 2021, between Public Storage and Wells Fargo Bank, National Association, as trustee, including the f</w:t>
              </w:r>
              <w:r>
                <w:rPr>
                  <w:rStyle w:val="a3"/>
                  <w:rFonts w:eastAsia="Times New Roman"/>
                  <w:sz w:val="20"/>
                  <w:szCs w:val="20"/>
                </w:rPr>
                <w:t>orm of Global Note representing the 2030 Notes. Filed as Exhibit 4.2 to the Company’s Current Report on Form 8-K dated September 9, 2021 and incorporated herein by reference.</w:t>
              </w:r>
            </w:hyperlink>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912628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4.12</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51" w:history="1">
              <w:r>
                <w:rPr>
                  <w:rStyle w:val="a3"/>
                  <w:rFonts w:eastAsia="Times New Roman"/>
                  <w:sz w:val="20"/>
                  <w:szCs w:val="20"/>
                </w:rPr>
                <w:t xml:space="preserve">Ninth Supplemental Indenture, dated as of November 9, 2021, between Public Storage and Computershare Trust Company, N.A. (as successor to Wells Fargo Bank, National Association), as trustee, including the form of Global </w:t>
              </w:r>
              <w:r>
                <w:rPr>
                  <w:rStyle w:val="a3"/>
                  <w:rFonts w:eastAsia="Times New Roman"/>
                  <w:sz w:val="20"/>
                  <w:szCs w:val="20"/>
                </w:rPr>
                <w:t>Note representing the 2026 Notes. Filed as Exhibit 4.2 to the Company’s Current Report on Form 8-K dated November 9, 2021 and incorporated herein by reference.</w:t>
              </w:r>
            </w:hyperlink>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912628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4.13</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52" w:history="1">
              <w:r>
                <w:rPr>
                  <w:rStyle w:val="a3"/>
                  <w:rFonts w:eastAsia="Times New Roman"/>
                  <w:sz w:val="20"/>
                  <w:szCs w:val="20"/>
                </w:rPr>
                <w:t xml:space="preserve">Tenth Supplemental Indenture, dated as of November 9, 2021, between Public Storage and Computershare Trust Company, N.A. (as successor to Wells Fargo Bank, </w:t>
              </w:r>
              <w:r>
                <w:rPr>
                  <w:rStyle w:val="a3"/>
                  <w:rFonts w:eastAsia="Times New Roman"/>
                  <w:sz w:val="20"/>
                  <w:szCs w:val="20"/>
                </w:rPr>
                <w:t>National Association), as trustee, including the form of Global Note representing the 2028 Notes. Filed as Exhibit 4.3 to the Company’s Current Report on Form 8-K dated November 9, 2021 and incorporated herein by reference.</w:t>
              </w:r>
            </w:hyperlink>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912628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4.14</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53" w:history="1">
              <w:r>
                <w:rPr>
                  <w:rStyle w:val="a3"/>
                  <w:rFonts w:eastAsia="Times New Roman"/>
                  <w:sz w:val="20"/>
                  <w:szCs w:val="20"/>
                </w:rPr>
                <w:t>Eleventh Supplemental Indenture, dated as of November 9, 2021, between Public Storage and Computershare Trust Company, N.A. (as successor to Wells Fargo Bank, National Ass</w:t>
              </w:r>
              <w:r>
                <w:rPr>
                  <w:rStyle w:val="a3"/>
                  <w:rFonts w:eastAsia="Times New Roman"/>
                  <w:sz w:val="20"/>
                  <w:szCs w:val="20"/>
                </w:rPr>
                <w:t>ociation), as trustee, including the form of Global Note representing the 2031 Notes. Filed as Exhibit 4.4 to the Company’s Current Report on Form 8-K dated November 9, 2021 and incorporated herein by reference.</w:t>
              </w:r>
            </w:hyperlink>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912628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54" w:history="1">
              <w:r>
                <w:rPr>
                  <w:rStyle w:val="a3"/>
                  <w:rFonts w:eastAsia="Times New Roman"/>
                  <w:sz w:val="20"/>
                  <w:szCs w:val="20"/>
                </w:rPr>
                <w:t xml:space="preserve">Note Purchase Agreement, dated as of November 3, 2015, by and among Public Storage and the signatories thereto. Filed </w:t>
              </w:r>
            </w:hyperlink>
            <w:hyperlink r:id="rId55" w:history="1">
              <w:r>
                <w:rPr>
                  <w:rStyle w:val="a3"/>
                  <w:rFonts w:eastAsia="Times New Roman"/>
                  <w:sz w:val="20"/>
                  <w:szCs w:val="20"/>
                </w:rPr>
                <w:t xml:space="preserve">as Exhibit 10.1 to the </w:t>
              </w:r>
            </w:hyperlink>
            <w:hyperlink r:id="rId56" w:history="1">
              <w:r>
                <w:rPr>
                  <w:rStyle w:val="a3"/>
                  <w:rFonts w:eastAsia="Times New Roman"/>
                  <w:sz w:val="20"/>
                  <w:szCs w:val="20"/>
                </w:rPr>
                <w:t>Company</w:t>
              </w:r>
            </w:hyperlink>
            <w:hyperlink r:id="rId57" w:history="1">
              <w:r>
                <w:rPr>
                  <w:rStyle w:val="a3"/>
                  <w:rFonts w:eastAsia="Times New Roman"/>
                  <w:sz w:val="20"/>
                  <w:szCs w:val="20"/>
                </w:rPr>
                <w:t>’s Current Report on Form 8-K dated November 3, 2015 and incorporated herein by reference.</w:t>
              </w:r>
            </w:hyperlink>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9126283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58" w:history="1">
              <w:r>
                <w:rPr>
                  <w:rStyle w:val="a3"/>
                  <w:rFonts w:eastAsia="Times New Roman"/>
                  <w:sz w:val="20"/>
                  <w:szCs w:val="20"/>
                </w:rPr>
                <w:t xml:space="preserve">Note Purchase Agreement, dated as of April 12, 2016, by and among Public Storage and the signatories thereto. Filed </w:t>
              </w:r>
            </w:hyperlink>
            <w:hyperlink r:id="rId59" w:history="1">
              <w:r>
                <w:rPr>
                  <w:rStyle w:val="a3"/>
                  <w:rFonts w:eastAsia="Times New Roman"/>
                  <w:sz w:val="20"/>
                  <w:szCs w:val="20"/>
                </w:rPr>
                <w:t>as Exhibit 10.1 to the Company</w:t>
              </w:r>
            </w:hyperlink>
            <w:hyperlink r:id="rId60" w:history="1">
              <w:r>
                <w:rPr>
                  <w:rStyle w:val="a3"/>
                  <w:rFonts w:eastAsia="Times New Roman"/>
                  <w:sz w:val="20"/>
                  <w:szCs w:val="20"/>
                </w:rPr>
                <w:t>’s Current Report on Form 8-K dated April 12, 2016 and incorporated herein by reference.</w:t>
              </w:r>
            </w:hyperlink>
          </w:p>
        </w:tc>
      </w:tr>
      <w:tr w:rsidR="00000000">
        <w:trPr>
          <w:divId w:val="191262833"/>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bl>
    <w:p w:rsidR="00000000" w:rsidRDefault="00473C5F">
      <w:pPr>
        <w:jc w:val="center"/>
        <w:divId w:val="1312519411"/>
        <w:rPr>
          <w:rFonts w:eastAsia="Times New Roman"/>
        </w:rPr>
      </w:pPr>
      <w:r>
        <w:rPr>
          <w:rFonts w:eastAsia="Times New Roman"/>
          <w:color w:val="000000"/>
          <w:sz w:val="20"/>
          <w:szCs w:val="20"/>
        </w:rPr>
        <w:t>58</w:t>
      </w:r>
    </w:p>
    <w:p w:rsidR="00000000" w:rsidRDefault="00473C5F">
      <w:pPr>
        <w:rPr>
          <w:rFonts w:eastAsia="Times New Roman"/>
        </w:rPr>
      </w:pPr>
      <w:r>
        <w:rPr>
          <w:rFonts w:eastAsia="Times New Roman"/>
        </w:rPr>
        <w:pict>
          <v:rect id="_x0000_i1085" style="width:0;height:1.5pt" o:hralign="center" o:hrstd="t" o:hr="t" fillcolor="#a0a0a0" stroked="f"/>
        </w:pict>
      </w:r>
    </w:p>
    <w:p w:rsidR="00000000" w:rsidRDefault="00473C5F">
      <w:pPr>
        <w:divId w:val="152431798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62"/>
        <w:gridCol w:w="36"/>
        <w:gridCol w:w="69"/>
        <w:gridCol w:w="7433"/>
        <w:gridCol w:w="37"/>
      </w:tblGrid>
      <w:tr w:rsidR="00000000">
        <w:trPr>
          <w:divId w:val="1048068455"/>
        </w:trPr>
        <w:tc>
          <w:tcPr>
            <w:tcW w:w="50" w:type="pct"/>
            <w:vAlign w:val="center"/>
            <w:hideMark/>
          </w:tcPr>
          <w:p w:rsidR="00000000" w:rsidRDefault="00473C5F">
            <w:pPr>
              <w:rPr>
                <w:rFonts w:eastAsia="Times New Roman"/>
              </w:rPr>
            </w:pPr>
          </w:p>
        </w:tc>
        <w:tc>
          <w:tcPr>
            <w:tcW w:w="40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48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61" w:history="1">
              <w:r>
                <w:rPr>
                  <w:rStyle w:val="a3"/>
                  <w:rFonts w:eastAsia="Times New Roman"/>
                  <w:sz w:val="20"/>
                  <w:szCs w:val="20"/>
                </w:rPr>
                <w:t>Second Amended and Restated Credit Agreement, dated April 19, 2019, by and among Public Storage, the lenders party thereto, Wells Fargo Bank, National Association, as administrative agent, Wells Fargo Securities LLC and Merrill Lynch, Pierce, Fenner &amp; Smit</w:t>
              </w:r>
              <w:r>
                <w:rPr>
                  <w:rStyle w:val="a3"/>
                  <w:rFonts w:eastAsia="Times New Roman"/>
                  <w:sz w:val="20"/>
                  <w:szCs w:val="20"/>
                </w:rPr>
                <w:t>h Incorporation, as joint lead arrangers and as joint bookrunners, Bank of America, N.A., as syndication agent, and Citibank, N.A., as documentation agent. Filed as Exhibit 10.1 to the Company’s Current Report on Form 8-K dated April 19, 2019 and incorpora</w:t>
              </w:r>
              <w:r>
                <w:rPr>
                  <w:rStyle w:val="a3"/>
                  <w:rFonts w:eastAsia="Times New Roman"/>
                  <w:sz w:val="20"/>
                  <w:szCs w:val="20"/>
                </w:rPr>
                <w:t>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62" w:history="1">
              <w:r>
                <w:rPr>
                  <w:rStyle w:val="a3"/>
                  <w:rFonts w:eastAsia="Times New Roman"/>
                  <w:sz w:val="20"/>
                  <w:szCs w:val="20"/>
                </w:rPr>
                <w:t>Form of Trustee and Officer Indemnification Agreement. Filed as Exhibit 10.19 to the Company’s Annual Report on Form 10-K for the year ended December 31, 2016 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10.5*</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63" w:history="1">
              <w:r>
                <w:rPr>
                  <w:rStyle w:val="a3"/>
                  <w:rFonts w:eastAsia="Times New Roman"/>
                  <w:sz w:val="20"/>
                  <w:szCs w:val="20"/>
                </w:rPr>
                <w:t>Public Storage 2007 Equity and Performance-Based Incentive Compensation Plan, as Amended (2007 Plan). Filed as Exhibit 10.1 to the Company’s Current Report on Form 8-K dated May 1, 2014 a</w:t>
              </w:r>
              <w:r>
                <w:rPr>
                  <w:rStyle w:val="a3"/>
                  <w:rFonts w:eastAsia="Times New Roman"/>
                  <w:sz w:val="20"/>
                  <w:szCs w:val="20"/>
                </w:rPr>
                <w:t>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10.6*</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64" w:history="1">
              <w:r>
                <w:rPr>
                  <w:rStyle w:val="a3"/>
                  <w:rFonts w:eastAsia="Times New Roman"/>
                  <w:sz w:val="20"/>
                  <w:szCs w:val="20"/>
                </w:rPr>
                <w:t>Public Storage 2016 Equity and Performance-Based Incentive Compensation Plan (2016 Plan). Filed herewith.</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10.7*</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65" w:history="1">
              <w:r>
                <w:rPr>
                  <w:rStyle w:val="a3"/>
                  <w:rFonts w:eastAsia="Times New Roman"/>
                  <w:sz w:val="20"/>
                  <w:szCs w:val="20"/>
                </w:rPr>
                <w:t>Public Storage 2021 Equity and Performance-Based Incentive Compensation Plan (2021 Pla</w:t>
              </w:r>
              <w:r>
                <w:rPr>
                  <w:rStyle w:val="a3"/>
                  <w:rFonts w:eastAsia="Times New Roman"/>
                  <w:sz w:val="20"/>
                  <w:szCs w:val="20"/>
                </w:rPr>
                <w:t>n). Filed herewith.</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10.8*</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66" w:history="1">
              <w:r>
                <w:rPr>
                  <w:rStyle w:val="a3"/>
                  <w:rFonts w:eastAsia="Times New Roman"/>
                  <w:sz w:val="20"/>
                  <w:szCs w:val="20"/>
                </w:rPr>
                <w:t>Form of 2007 Plan Restricted Stock Unit Agreement. Filed as Exhibit 10.11 to the Company’s Annual Report on Form 10-K for the year ended December 31, 2015 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10.9*</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67" w:history="1">
              <w:r>
                <w:rPr>
                  <w:rStyle w:val="a3"/>
                  <w:rFonts w:eastAsia="Times New Roman"/>
                  <w:sz w:val="20"/>
                  <w:szCs w:val="20"/>
                </w:rPr>
                <w:t xml:space="preserve">Form of 2007 Plan Restricted Stock Unit Agreement (deferral of receipt of shares). Filed as Exhibit 10.12 to the Company’s Annual Report on Form 10-K for the year ended December 31, 2015 and </w:t>
              </w:r>
              <w:r>
                <w:rPr>
                  <w:rStyle w:val="a3"/>
                  <w:rFonts w:eastAsia="Times New Roman"/>
                  <w:sz w:val="20"/>
                  <w:szCs w:val="20"/>
                </w:rPr>
                <w:t>incorporated herein by reference</w:t>
              </w:r>
            </w:hyperlink>
            <w:r>
              <w:rPr>
                <w:rFonts w:eastAsia="Times New Roman"/>
                <w:color w:val="000000"/>
                <w:sz w:val="20"/>
                <w:szCs w:val="20"/>
              </w:rPr>
              <w:t>.</w:t>
            </w:r>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10.10*</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68" w:history="1">
              <w:r>
                <w:rPr>
                  <w:rStyle w:val="a3"/>
                  <w:rFonts w:eastAsia="Times New Roman"/>
                  <w:sz w:val="20"/>
                  <w:szCs w:val="20"/>
                </w:rPr>
                <w:t xml:space="preserve">Form of 2007 Plan Stock Option Agreement. Filed as Exhibit 10.13 to the Company’s Annual Report on Form 10-K for the year ended December 31, 2015 </w:t>
              </w:r>
              <w:r>
                <w:rPr>
                  <w:rStyle w:val="a3"/>
                  <w:rFonts w:eastAsia="Times New Roman"/>
                  <w:sz w:val="20"/>
                  <w:szCs w:val="20"/>
                </w:rPr>
                <w:t>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10.11*</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69" w:history="1">
              <w:r>
                <w:rPr>
                  <w:rStyle w:val="a3"/>
                  <w:rFonts w:eastAsia="Times New Roman"/>
                  <w:sz w:val="20"/>
                  <w:szCs w:val="20"/>
                </w:rPr>
                <w:t>Form of 2007 Plan Trustee Stock Option Agreement. Filed as Exhibit 10.14 to the Company’s Annual Report on Form 10-K for the year ended December 3</w:t>
              </w:r>
              <w:r>
                <w:rPr>
                  <w:rStyle w:val="a3"/>
                  <w:rFonts w:eastAsia="Times New Roman"/>
                  <w:sz w:val="20"/>
                  <w:szCs w:val="20"/>
                </w:rPr>
                <w:t>1, 2015 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10.12*</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70" w:history="1">
              <w:r>
                <w:rPr>
                  <w:rStyle w:val="a3"/>
                  <w:rFonts w:eastAsia="Times New Roman"/>
                  <w:sz w:val="20"/>
                  <w:szCs w:val="20"/>
                </w:rPr>
                <w:t>Form of 2016 Plan Restricted Stock Unit Agreement (deferral of receipt of shares). F</w:t>
              </w:r>
              <w:r>
                <w:rPr>
                  <w:rStyle w:val="a3"/>
                  <w:rFonts w:eastAsia="Times New Roman"/>
                  <w:sz w:val="20"/>
                  <w:szCs w:val="20"/>
                </w:rPr>
                <w:t>iled as Exhibit 10.16 to the Company’s Annual Report on Form 10-K for the year ended December 31, 2016 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10.13*</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71" w:history="1">
              <w:r>
                <w:rPr>
                  <w:rStyle w:val="a3"/>
                  <w:rFonts w:eastAsia="Times New Roman"/>
                  <w:sz w:val="20"/>
                  <w:szCs w:val="20"/>
                </w:rPr>
                <w:t>Form of 2016 Plan Trustee Non-Qualified Stock Option Agreement. Filed as Exhibit 10.18 to the Company’s Annual Report on Form 10-K for the year ended</w:t>
              </w:r>
              <w:r>
                <w:rPr>
                  <w:rStyle w:val="a3"/>
                  <w:rFonts w:eastAsia="Times New Roman"/>
                  <w:sz w:val="20"/>
                  <w:szCs w:val="20"/>
                </w:rPr>
                <w:t xml:space="preserve"> December 31, 2016 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10.14*</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72" w:history="1">
              <w:r>
                <w:rPr>
                  <w:rStyle w:val="a3"/>
                  <w:rFonts w:eastAsia="Times New Roman"/>
                  <w:sz w:val="20"/>
                  <w:szCs w:val="20"/>
                </w:rPr>
                <w:t>Form of 2016 Plan Restricted Stock Unit Agreement (deferral of receipt of</w:t>
              </w:r>
              <w:r>
                <w:rPr>
                  <w:rStyle w:val="a3"/>
                  <w:rFonts w:eastAsia="Times New Roman"/>
                  <w:sz w:val="20"/>
                  <w:szCs w:val="20"/>
                </w:rPr>
                <w:t xml:space="preserve"> shares) (2018). Filed as Exhibit 10.26 to the Company’s Annual Report on Form 10-K for the year ended December 31, 2018 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10.15*</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73" w:history="1">
              <w:r>
                <w:rPr>
                  <w:rStyle w:val="a3"/>
                  <w:rFonts w:eastAsia="Times New Roman"/>
                  <w:sz w:val="20"/>
                  <w:szCs w:val="20"/>
                </w:rPr>
                <w:t>Form of 2016 Plan Trustee Deferred Stock Unit Agreement (2018). Filed as Exhibit 10.29 to the Company’s Annual Report on Form 10-K for the year ended</w:t>
              </w:r>
              <w:r>
                <w:rPr>
                  <w:rStyle w:val="a3"/>
                  <w:rFonts w:eastAsia="Times New Roman"/>
                  <w:sz w:val="20"/>
                  <w:szCs w:val="20"/>
                </w:rPr>
                <w:t xml:space="preserve"> December 31, 2018 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10.16*</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74" w:history="1">
              <w:r>
                <w:rPr>
                  <w:rStyle w:val="a3"/>
                  <w:rFonts w:eastAsia="Times New Roman"/>
                  <w:sz w:val="20"/>
                  <w:szCs w:val="20"/>
                </w:rPr>
                <w:t>Form of 2016 Plan Executive Restricted Stock Unit Agreement (2018). Filed as Exhibit 10.30 to the Company’s Annual Report on Form 10-K for the year e</w:t>
              </w:r>
              <w:r>
                <w:rPr>
                  <w:rStyle w:val="a3"/>
                  <w:rFonts w:eastAsia="Times New Roman"/>
                  <w:sz w:val="20"/>
                  <w:szCs w:val="20"/>
                </w:rPr>
                <w:t>nded December 31, 2018 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10.17*</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75" w:history="1">
              <w:r>
                <w:rPr>
                  <w:rStyle w:val="a3"/>
                  <w:rFonts w:eastAsia="Times New Roman"/>
                  <w:sz w:val="20"/>
                  <w:szCs w:val="20"/>
                </w:rPr>
                <w:t>Form of 2016 Employee Stock Unit Agreement (2020). Filed as Exhibit 1</w:t>
              </w:r>
              <w:r>
                <w:rPr>
                  <w:rStyle w:val="a3"/>
                  <w:rFonts w:eastAsia="Times New Roman"/>
                  <w:sz w:val="20"/>
                  <w:szCs w:val="20"/>
                </w:rPr>
                <w:t>0.2 to the Company’s Quarterly Report on Form 10-Q for the quarter ended March 31, 2020 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10.18*</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76" w:history="1">
              <w:r>
                <w:rPr>
                  <w:rStyle w:val="a3"/>
                  <w:rFonts w:eastAsia="Times New Roman"/>
                  <w:sz w:val="20"/>
                  <w:szCs w:val="20"/>
                </w:rPr>
                <w:t xml:space="preserve">Form of 2016 Plan Employee Non-Qualified Stock Option Agreement (2020). Filed as Exhibit 10.4 to the Company’s Quarterly Report on Form 10-Q for the </w:t>
              </w:r>
              <w:r>
                <w:rPr>
                  <w:rStyle w:val="a3"/>
                  <w:rFonts w:eastAsia="Times New Roman"/>
                  <w:sz w:val="20"/>
                  <w:szCs w:val="20"/>
                </w:rPr>
                <w:t>quarter ended March 31, 2020 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10.19*</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77" w:history="1">
              <w:r>
                <w:rPr>
                  <w:rStyle w:val="a3"/>
                  <w:rFonts w:eastAsia="Times New Roman"/>
                  <w:sz w:val="20"/>
                  <w:szCs w:val="20"/>
                </w:rPr>
                <w:t xml:space="preserve">Form of 2016 Plan Performance-Based Non-Qualified Stock Option </w:t>
              </w:r>
              <w:r>
                <w:rPr>
                  <w:rStyle w:val="a3"/>
                  <w:rFonts w:eastAsia="Times New Roman"/>
                  <w:sz w:val="20"/>
                  <w:szCs w:val="20"/>
                </w:rPr>
                <w:t>Agreement (2020). Filed as Exhibit 10.5 to the Company’s Quarterly Report on Form 10-Q for the quarter ended March 31, 2020 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10.20*</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78" w:history="1">
              <w:r>
                <w:rPr>
                  <w:rStyle w:val="a3"/>
                  <w:rFonts w:eastAsia="Times New Roman"/>
                  <w:sz w:val="20"/>
                  <w:szCs w:val="20"/>
                </w:rPr>
                <w:t>Form of 2021 Plan Employee Stock Unit Agreement (2021). Filed as Exhibit 10.1 to the Company’s Quarterly Report on Form 10-Q for the quarter ended Ju</w:t>
              </w:r>
              <w:r>
                <w:rPr>
                  <w:rStyle w:val="a3"/>
                  <w:rFonts w:eastAsia="Times New Roman"/>
                  <w:sz w:val="20"/>
                  <w:szCs w:val="20"/>
                </w:rPr>
                <w:t>ne 30, 2021 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048068455"/>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10.21*</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79" w:history="1">
              <w:r>
                <w:rPr>
                  <w:rStyle w:val="a3"/>
                  <w:rFonts w:eastAsia="Times New Roman"/>
                  <w:sz w:val="20"/>
                  <w:szCs w:val="20"/>
                </w:rPr>
                <w:t>Form of 2021 Plan Employee Stock Unit Agreement (2022). Filed as Exhibit 1</w:t>
              </w:r>
              <w:r>
                <w:rPr>
                  <w:rStyle w:val="a3"/>
                  <w:rFonts w:eastAsia="Times New Roman"/>
                  <w:sz w:val="20"/>
                  <w:szCs w:val="20"/>
                </w:rPr>
                <w:t>0.1 to the Company’s Quarterly Report on Form 10-Q for the quarter ended March 31, 2022 and incorporated herein by reference.</w:t>
              </w:r>
            </w:hyperlink>
          </w:p>
        </w:tc>
      </w:tr>
      <w:tr w:rsidR="00000000">
        <w:trPr>
          <w:divId w:val="1048068455"/>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bl>
    <w:p w:rsidR="00000000" w:rsidRDefault="00473C5F">
      <w:pPr>
        <w:jc w:val="center"/>
        <w:divId w:val="574978900"/>
        <w:rPr>
          <w:rFonts w:eastAsia="Times New Roman"/>
        </w:rPr>
      </w:pPr>
      <w:r>
        <w:rPr>
          <w:rFonts w:eastAsia="Times New Roman"/>
          <w:color w:val="000000"/>
          <w:sz w:val="20"/>
          <w:szCs w:val="20"/>
        </w:rPr>
        <w:t>59</w:t>
      </w:r>
    </w:p>
    <w:p w:rsidR="00000000" w:rsidRDefault="00473C5F">
      <w:pPr>
        <w:rPr>
          <w:rFonts w:eastAsia="Times New Roman"/>
        </w:rPr>
      </w:pPr>
      <w:r>
        <w:rPr>
          <w:rFonts w:eastAsia="Times New Roman"/>
        </w:rPr>
        <w:pict>
          <v:rect id="_x0000_i1086" style="width:0;height:1.5pt" o:hralign="center" o:hrstd="t" o:hr="t" fillcolor="#a0a0a0" stroked="f"/>
        </w:pict>
      </w:r>
    </w:p>
    <w:p w:rsidR="00000000" w:rsidRDefault="00473C5F">
      <w:pPr>
        <w:divId w:val="153114581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
        <w:gridCol w:w="732"/>
        <w:gridCol w:w="36"/>
        <w:gridCol w:w="38"/>
        <w:gridCol w:w="7373"/>
        <w:gridCol w:w="37"/>
      </w:tblGrid>
      <w:tr w:rsidR="00000000">
        <w:trPr>
          <w:divId w:val="1128088898"/>
        </w:trPr>
        <w:tc>
          <w:tcPr>
            <w:tcW w:w="50" w:type="pct"/>
            <w:vAlign w:val="center"/>
            <w:hideMark/>
          </w:tcPr>
          <w:p w:rsidR="00000000" w:rsidRDefault="00473C5F">
            <w:pPr>
              <w:rPr>
                <w:rFonts w:eastAsia="Times New Roman"/>
              </w:rPr>
            </w:pPr>
          </w:p>
        </w:tc>
        <w:tc>
          <w:tcPr>
            <w:tcW w:w="40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48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10.22*</w:t>
            </w:r>
          </w:p>
        </w:tc>
        <w:tc>
          <w:tcPr>
            <w:tcW w:w="0" w:type="auto"/>
            <w:gridSpan w:val="3"/>
            <w:tcMar>
              <w:top w:w="30" w:type="dxa"/>
              <w:left w:w="20" w:type="dxa"/>
              <w:bottom w:w="30" w:type="dxa"/>
              <w:right w:w="20" w:type="dxa"/>
            </w:tcMar>
            <w:vAlign w:val="bottom"/>
            <w:hideMark/>
          </w:tcPr>
          <w:p w:rsidR="00000000" w:rsidRDefault="00473C5F">
            <w:pPr>
              <w:spacing w:after="100"/>
              <w:jc w:val="both"/>
              <w:rPr>
                <w:rFonts w:eastAsia="Times New Roman"/>
              </w:rPr>
            </w:pPr>
            <w:hyperlink r:id="rId80" w:history="1">
              <w:r>
                <w:rPr>
                  <w:rStyle w:val="a3"/>
                  <w:rFonts w:eastAsia="Times New Roman"/>
                  <w:sz w:val="20"/>
                  <w:szCs w:val="20"/>
                </w:rPr>
                <w:t>Form of 2021 Plan Trustee Non-Qualified Stock Option Agreement. Filed as Exhibit 10.1 to the Company’s Quarterly Report on Form 10-Q for the qu</w:t>
              </w:r>
              <w:r>
                <w:rPr>
                  <w:rStyle w:val="a3"/>
                  <w:rFonts w:eastAsia="Times New Roman"/>
                  <w:sz w:val="20"/>
                  <w:szCs w:val="20"/>
                </w:rPr>
                <w:t>arter ended June 30, 2022 and incorporated herein by reference.</w:t>
              </w:r>
            </w:hyperlink>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10.23*</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81" w:history="1">
              <w:r>
                <w:rPr>
                  <w:rStyle w:val="a3"/>
                  <w:rFonts w:eastAsia="Times New Roman"/>
                  <w:sz w:val="20"/>
                  <w:szCs w:val="20"/>
                </w:rPr>
                <w:t>Form of 2021 Plan Performance-Based Non-Qualified Stock Option Agreement (2022). Filed as Exhibit 10.2 to the Company’s Quarterly Report on For</w:t>
              </w:r>
              <w:r>
                <w:rPr>
                  <w:rStyle w:val="a3"/>
                  <w:rFonts w:eastAsia="Times New Roman"/>
                  <w:sz w:val="20"/>
                  <w:szCs w:val="20"/>
                </w:rPr>
                <w:t>m 10-Q for the quarter ended June 30, 2022 and incorporated herein by reference.</w:t>
              </w:r>
            </w:hyperlink>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10.24*</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82" w:history="1">
              <w:r>
                <w:rPr>
                  <w:rStyle w:val="a3"/>
                  <w:rFonts w:eastAsia="Times New Roman"/>
                  <w:sz w:val="20"/>
                  <w:szCs w:val="20"/>
                </w:rPr>
                <w:t>Form of 2021 Plan Performance-Based Stock Unit Agreement (2022). Filed as Exhibit 10.3 to the Company’s Quarterly Report on Form 10-Q for the q</w:t>
              </w:r>
              <w:r>
                <w:rPr>
                  <w:rStyle w:val="a3"/>
                  <w:rFonts w:eastAsia="Times New Roman"/>
                  <w:sz w:val="20"/>
                  <w:szCs w:val="20"/>
                </w:rPr>
                <w:t>uarter ended June 30, 2022 and incorporated herein by reference.</w:t>
              </w:r>
            </w:hyperlink>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83" w:history="1">
              <w:r>
                <w:rPr>
                  <w:rStyle w:val="a3"/>
                  <w:rFonts w:eastAsia="Times New Roman"/>
                  <w:sz w:val="20"/>
                  <w:szCs w:val="20"/>
                </w:rPr>
                <w:t>Listing of Subsidiaries. Filed herewith.</w:t>
              </w:r>
            </w:hyperlink>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23.1</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84" w:history="1">
              <w:r>
                <w:rPr>
                  <w:rStyle w:val="a3"/>
                  <w:rFonts w:eastAsia="Times New Roman"/>
                  <w:sz w:val="20"/>
                  <w:szCs w:val="20"/>
                </w:rPr>
                <w:t xml:space="preserve">Consent of Ernst &amp; </w:t>
              </w:r>
              <w:r>
                <w:rPr>
                  <w:rStyle w:val="a3"/>
                  <w:rFonts w:eastAsia="Times New Roman"/>
                  <w:sz w:val="20"/>
                  <w:szCs w:val="20"/>
                </w:rPr>
                <w:t>Young LLP. Filed herewith.</w:t>
              </w:r>
            </w:hyperlink>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85" w:history="1">
              <w:r>
                <w:rPr>
                  <w:rStyle w:val="a3"/>
                  <w:rFonts w:eastAsia="Times New Roman"/>
                  <w:sz w:val="20"/>
                  <w:szCs w:val="20"/>
                </w:rPr>
                <w:t>Rule 13a – 14(a) Certification. Filed herewith.</w:t>
              </w:r>
            </w:hyperlink>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86" w:history="1">
              <w:r>
                <w:rPr>
                  <w:rStyle w:val="a3"/>
                  <w:rFonts w:eastAsia="Times New Roman"/>
                  <w:sz w:val="20"/>
                  <w:szCs w:val="20"/>
                </w:rPr>
                <w:t xml:space="preserve">Rule 13a – </w:t>
              </w:r>
              <w:r>
                <w:rPr>
                  <w:rStyle w:val="a3"/>
                  <w:rFonts w:eastAsia="Times New Roman"/>
                  <w:sz w:val="20"/>
                  <w:szCs w:val="20"/>
                </w:rPr>
                <w:t>14(a) Certification. Filed herewith.</w:t>
              </w:r>
            </w:hyperlink>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r:id="rId87" w:history="1">
              <w:r>
                <w:rPr>
                  <w:rStyle w:val="a3"/>
                  <w:rFonts w:eastAsia="Times New Roman"/>
                  <w:sz w:val="20"/>
                  <w:szCs w:val="20"/>
                </w:rPr>
                <w:t>Section 1350 Certifications. Filed herewith.</w:t>
              </w:r>
            </w:hyperlink>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 .INS</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Inline XBRL Instance Document (the instance document does not appear in the Interactive Data File because its XBRL tags are embedded within the Inline XBRL document)</w:t>
            </w:r>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 .SCH</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Inline XBRL Taxonomy Extension Schema. Filed herewith.</w:t>
            </w:r>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 .CAL</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Inline XBRL Taxonomy Extension Calculation Linkbase. Filed herewith.</w:t>
            </w:r>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 .DEF</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Inline XBRL Taxonomy Extension Definition Linkbase. Filed herewith.</w:t>
            </w:r>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 .LAB</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Inline XBRL Taxonomy Extension Label Linkbase. Filed herewith.</w:t>
            </w:r>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101 .PRE</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Inline XBRL Taxonomy Extension Presentation Link. Filed herewith.</w:t>
            </w:r>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Cover Page Interactive Data File (formatted as inline XBRL and contained in Exhibit 101)</w:t>
            </w:r>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_ (1)</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SEC File No. 001-33519 unless otherwise indicated.</w:t>
            </w:r>
          </w:p>
        </w:tc>
      </w:tr>
      <w:tr w:rsidR="00000000">
        <w:trPr>
          <w:divId w:val="1128088898"/>
          <w:trHeight w:val="120"/>
        </w:trPr>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128088898"/>
        </w:trPr>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Denotes management compensatory plan agreement or arrangement.</w:t>
            </w:r>
          </w:p>
        </w:tc>
      </w:tr>
    </w:tbl>
    <w:p w:rsidR="00000000" w:rsidRDefault="00473C5F">
      <w:pPr>
        <w:divId w:val="20979268"/>
        <w:rPr>
          <w:rFonts w:eastAsia="Times New Roman"/>
        </w:rPr>
      </w:pPr>
    </w:p>
    <w:p w:rsidR="00000000" w:rsidRDefault="00473C5F">
      <w:pPr>
        <w:jc w:val="center"/>
        <w:divId w:val="837814311"/>
        <w:rPr>
          <w:rFonts w:eastAsia="Times New Roman"/>
        </w:rPr>
      </w:pPr>
      <w:r>
        <w:rPr>
          <w:rFonts w:eastAsia="Times New Roman"/>
          <w:color w:val="000000"/>
          <w:sz w:val="20"/>
          <w:szCs w:val="20"/>
        </w:rPr>
        <w:t>60</w:t>
      </w:r>
    </w:p>
    <w:p w:rsidR="00000000" w:rsidRDefault="00473C5F">
      <w:pPr>
        <w:rPr>
          <w:rFonts w:eastAsia="Times New Roman"/>
        </w:rPr>
      </w:pPr>
      <w:r>
        <w:rPr>
          <w:rFonts w:eastAsia="Times New Roman"/>
        </w:rPr>
        <w:pict>
          <v:rect id="_x0000_i1087" style="width:0;height:1.5pt" o:hralign="center" o:hrstd="t" o:hr="t" fillcolor="#a0a0a0" stroked="f"/>
        </w:pict>
      </w:r>
    </w:p>
    <w:p w:rsidR="00000000" w:rsidRDefault="00473C5F">
      <w:pPr>
        <w:divId w:val="411591023"/>
        <w:rPr>
          <w:rFonts w:eastAsia="Times New Roman"/>
        </w:rPr>
      </w:pPr>
    </w:p>
    <w:p w:rsidR="00000000" w:rsidRDefault="00473C5F">
      <w:pPr>
        <w:jc w:val="center"/>
        <w:divId w:val="1930649713"/>
        <w:rPr>
          <w:rFonts w:eastAsia="Times New Roman"/>
        </w:rPr>
      </w:pPr>
      <w:r>
        <w:rPr>
          <w:rFonts w:eastAsia="Times New Roman"/>
          <w:color w:val="000000"/>
          <w:sz w:val="20"/>
          <w:szCs w:val="20"/>
          <w:u w:val="single"/>
        </w:rPr>
        <w:t>SIGNATURES</w:t>
      </w:r>
    </w:p>
    <w:p w:rsidR="00000000" w:rsidRDefault="00473C5F">
      <w:pPr>
        <w:ind w:firstLine="720"/>
        <w:jc w:val="both"/>
        <w:divId w:val="1770269199"/>
        <w:rPr>
          <w:rFonts w:eastAsia="Times New Roman"/>
        </w:rPr>
      </w:pPr>
      <w:r>
        <w:rPr>
          <w:rFonts w:eastAsia="Times New Roman"/>
          <w:color w:val="000000"/>
          <w:sz w:val="20"/>
          <w:szCs w:val="20"/>
        </w:rPr>
        <w:t>Pursuant to the requirements of Section 13 or 15(d) of the Securities Exchange Act of 1934, as amended, the Registrant has duly caused this report to be signed on its behalf by the undersigned, thereunto dul</w:t>
      </w:r>
      <w:r>
        <w:rPr>
          <w:rFonts w:eastAsia="Times New Roman"/>
          <w:color w:val="000000"/>
          <w:sz w:val="20"/>
          <w:szCs w:val="20"/>
        </w:rPr>
        <w:t>y authorized.</w:t>
      </w:r>
    </w:p>
    <w:tbl>
      <w:tblPr>
        <w:tblW w:w="5000" w:type="pct"/>
        <w:tblCellMar>
          <w:top w:w="15" w:type="dxa"/>
          <w:left w:w="15" w:type="dxa"/>
          <w:bottom w:w="15" w:type="dxa"/>
          <w:right w:w="15" w:type="dxa"/>
        </w:tblCellMar>
        <w:tblLook w:val="04A0" w:firstRow="1" w:lastRow="0" w:firstColumn="1" w:lastColumn="0" w:noHBand="0" w:noVBand="1"/>
      </w:tblPr>
      <w:tblGrid>
        <w:gridCol w:w="69"/>
        <w:gridCol w:w="4699"/>
        <w:gridCol w:w="36"/>
        <w:gridCol w:w="78"/>
        <w:gridCol w:w="244"/>
        <w:gridCol w:w="36"/>
        <w:gridCol w:w="63"/>
        <w:gridCol w:w="3045"/>
        <w:gridCol w:w="36"/>
      </w:tblGrid>
      <w:tr w:rsidR="00000000">
        <w:trPr>
          <w:divId w:val="1237007586"/>
        </w:trPr>
        <w:tc>
          <w:tcPr>
            <w:tcW w:w="50" w:type="pct"/>
            <w:vAlign w:val="center"/>
            <w:hideMark/>
          </w:tcPr>
          <w:p w:rsidR="00000000" w:rsidRDefault="00473C5F">
            <w:pPr>
              <w:ind w:firstLine="720"/>
              <w:jc w:val="both"/>
              <w:rPr>
                <w:rFonts w:eastAsia="Times New Roman"/>
              </w:rPr>
            </w:pPr>
          </w:p>
        </w:tc>
        <w:tc>
          <w:tcPr>
            <w:tcW w:w="283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5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84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237007586"/>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color w:val="000000"/>
                <w:sz w:val="20"/>
                <w:szCs w:val="20"/>
              </w:rPr>
              <w:t>PUBLIC STORAGE</w:t>
            </w:r>
          </w:p>
        </w:tc>
      </w:tr>
      <w:tr w:rsidR="00000000">
        <w:trPr>
          <w:divId w:val="1237007586"/>
          <w:trHeight w:val="30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237007586"/>
        </w:trPr>
        <w:tc>
          <w:tcPr>
            <w:tcW w:w="0" w:type="auto"/>
            <w:gridSpan w:val="3"/>
            <w:tcMar>
              <w:top w:w="30" w:type="dxa"/>
              <w:left w:w="20" w:type="dxa"/>
              <w:bottom w:w="30" w:type="dxa"/>
              <w:right w:w="20" w:type="dxa"/>
            </w:tcMar>
            <w:hideMark/>
          </w:tcPr>
          <w:p w:rsidR="00000000" w:rsidRDefault="00473C5F">
            <w:pPr>
              <w:spacing w:after="100"/>
              <w:divId w:val="143546954"/>
              <w:rPr>
                <w:rFonts w:eastAsia="Times New Roman"/>
              </w:rPr>
            </w:pPr>
            <w:r>
              <w:rPr>
                <w:rFonts w:eastAsia="Times New Roman"/>
                <w:color w:val="000000"/>
                <w:sz w:val="20"/>
                <w:szCs w:val="20"/>
              </w:rPr>
              <w:t>Date: February 21, 2023</w:t>
            </w: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 Joseph D. Russell, Jr.</w:t>
            </w:r>
          </w:p>
        </w:tc>
      </w:tr>
      <w:tr w:rsidR="00000000">
        <w:trPr>
          <w:divId w:val="1237007586"/>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Joseph D. Russell, Jr.,</w:t>
            </w:r>
            <w:r>
              <w:rPr>
                <w:rFonts w:eastAsia="Times New Roman"/>
                <w:color w:val="000000"/>
                <w:sz w:val="20"/>
                <w:szCs w:val="20"/>
              </w:rPr>
              <w:br/>
              <w:t>Chief Executive Officer, President and Trustee</w:t>
            </w:r>
          </w:p>
        </w:tc>
      </w:tr>
    </w:tbl>
    <w:p w:rsidR="00000000" w:rsidRDefault="00473C5F">
      <w:pPr>
        <w:ind w:firstLine="720"/>
        <w:jc w:val="both"/>
        <w:divId w:val="914778619"/>
        <w:rPr>
          <w:rFonts w:eastAsia="Times New Roman"/>
        </w:rPr>
      </w:pPr>
      <w:r>
        <w:rPr>
          <w:rFonts w:eastAsia="Times New Roman"/>
          <w:color w:val="000000"/>
          <w:sz w:val="20"/>
          <w:szCs w:val="20"/>
        </w:rPr>
        <w:t>Pursuant to the requirements of Section 13 or 15(d) of the Securities Exchange Act of 1934, this report has been signed below by the following persons on behalf of the Registrant and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69"/>
        <w:gridCol w:w="2654"/>
        <w:gridCol w:w="37"/>
        <w:gridCol w:w="69"/>
        <w:gridCol w:w="2667"/>
        <w:gridCol w:w="37"/>
        <w:gridCol w:w="69"/>
        <w:gridCol w:w="2668"/>
        <w:gridCol w:w="36"/>
      </w:tblGrid>
      <w:tr w:rsidR="00000000">
        <w:trPr>
          <w:divId w:val="420026429"/>
        </w:trPr>
        <w:tc>
          <w:tcPr>
            <w:tcW w:w="50" w:type="pct"/>
            <w:vAlign w:val="center"/>
            <w:hideMark/>
          </w:tcPr>
          <w:p w:rsidR="00000000" w:rsidRDefault="00473C5F">
            <w:pPr>
              <w:ind w:firstLine="720"/>
              <w:jc w:val="both"/>
              <w:rPr>
                <w:rFonts w:eastAsia="Times New Roman"/>
              </w:rPr>
            </w:pPr>
          </w:p>
        </w:tc>
        <w:tc>
          <w:tcPr>
            <w:tcW w:w="160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61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61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420026429"/>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Signature</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Title</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Date</w:t>
            </w:r>
          </w:p>
        </w:tc>
      </w:tr>
      <w:tr w:rsidR="00000000">
        <w:trPr>
          <w:divId w:val="420026429"/>
          <w:trHeight w:val="2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Joseph D. Russell, Jr.</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Chief Executive Officer, President and Trustee (principal executive officer)</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42002642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Joseph D. Russell, Jr.</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Height w:val="2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H. Thomas Boyle</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Chief Financial Officer and Chief Investment Officer (principal financial officer)</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42002642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H. Thomas Boyle</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Height w:val="2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Ronald L. Havner, Jr.</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Chairman of the Board</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42002642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Ronald L. Havner, Jr.</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Height w:val="2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Tamara Hughes Gustavson</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42002642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Tamara Hughes Gustavson</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Height w:val="2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Leslie Stone Heisz</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42002642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Leslie Stone Heisz</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Height w:val="2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Michelle Millstone-Shroff</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42002642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Michelle Millstone-Shroff</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Height w:val="2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Shankh S. Mitra</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42002642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Shankh S. Mitra</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Height w:val="2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David J. Neithercut</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42002642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David J. Neithercut</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Height w:val="2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Rebecca Owen</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42002642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Rebecca Owen</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Height w:val="2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Kristy M. Pipes</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42002642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Kristy M. Pipes</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Height w:val="2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20026429"/>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Avedick B. Poladian</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42002642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Avedick B. Poladian</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bl>
    <w:p w:rsidR="00000000" w:rsidRDefault="00473C5F">
      <w:pPr>
        <w:jc w:val="center"/>
        <w:divId w:val="1845247404"/>
        <w:rPr>
          <w:rFonts w:eastAsia="Times New Roman"/>
        </w:rPr>
      </w:pPr>
      <w:r>
        <w:rPr>
          <w:rFonts w:eastAsia="Times New Roman"/>
          <w:color w:val="000000"/>
          <w:sz w:val="20"/>
          <w:szCs w:val="20"/>
        </w:rPr>
        <w:t>61</w:t>
      </w:r>
    </w:p>
    <w:p w:rsidR="00000000" w:rsidRDefault="00473C5F">
      <w:pPr>
        <w:rPr>
          <w:rFonts w:eastAsia="Times New Roman"/>
        </w:rPr>
      </w:pPr>
      <w:r>
        <w:rPr>
          <w:rFonts w:eastAsia="Times New Roman"/>
        </w:rPr>
        <w:pict>
          <v:rect id="_x0000_i1088" style="width:0;height:1.5pt" o:hralign="center" o:hrstd="t" o:hr="t" fillcolor="#a0a0a0" stroked="f"/>
        </w:pict>
      </w:r>
    </w:p>
    <w:p w:rsidR="00000000" w:rsidRDefault="00473C5F">
      <w:pPr>
        <w:divId w:val="183391306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654"/>
        <w:gridCol w:w="36"/>
        <w:gridCol w:w="69"/>
        <w:gridCol w:w="2668"/>
        <w:gridCol w:w="36"/>
        <w:gridCol w:w="70"/>
        <w:gridCol w:w="2668"/>
        <w:gridCol w:w="36"/>
      </w:tblGrid>
      <w:tr w:rsidR="00000000">
        <w:trPr>
          <w:divId w:val="883907465"/>
        </w:trPr>
        <w:tc>
          <w:tcPr>
            <w:tcW w:w="50" w:type="pct"/>
            <w:vAlign w:val="center"/>
            <w:hideMark/>
          </w:tcPr>
          <w:p w:rsidR="00000000" w:rsidRDefault="00473C5F">
            <w:pPr>
              <w:rPr>
                <w:rFonts w:eastAsia="Times New Roman"/>
              </w:rPr>
            </w:pPr>
          </w:p>
        </w:tc>
        <w:tc>
          <w:tcPr>
            <w:tcW w:w="160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61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61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883907465"/>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Signature</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Title</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Date</w:t>
            </w:r>
          </w:p>
        </w:tc>
      </w:tr>
      <w:tr w:rsidR="00000000">
        <w:trPr>
          <w:divId w:val="883907465"/>
          <w:trHeight w:val="30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883907465"/>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John Reyes</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88390746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John Reyes</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883907465"/>
          <w:trHeight w:val="30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883907465"/>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Tariq M. Shaukat</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88390746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Tariq M. Shaukat</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883907465"/>
          <w:trHeight w:val="30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883907465"/>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Ronald P. Spogli</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88390746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Ronald P. Spogli</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883907465"/>
          <w:trHeight w:val="30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883907465"/>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/s/ Paul S. Williams</w:t>
            </w:r>
          </w:p>
        </w:tc>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February 21, 2023</w:t>
            </w:r>
          </w:p>
        </w:tc>
      </w:tr>
      <w:tr w:rsidR="00000000">
        <w:trPr>
          <w:divId w:val="88390746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Paul S. Williams</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bl>
    <w:p w:rsidR="00000000" w:rsidRDefault="00473C5F">
      <w:pPr>
        <w:jc w:val="center"/>
        <w:divId w:val="813642476"/>
        <w:rPr>
          <w:rFonts w:eastAsia="Times New Roman"/>
        </w:rPr>
      </w:pPr>
      <w:r>
        <w:rPr>
          <w:rFonts w:eastAsia="Times New Roman"/>
          <w:color w:val="000000"/>
          <w:sz w:val="20"/>
          <w:szCs w:val="20"/>
        </w:rPr>
        <w:t>62</w:t>
      </w:r>
    </w:p>
    <w:p w:rsidR="00000000" w:rsidRDefault="00473C5F">
      <w:pPr>
        <w:rPr>
          <w:rFonts w:eastAsia="Times New Roman"/>
        </w:rPr>
      </w:pPr>
      <w:r>
        <w:rPr>
          <w:rFonts w:eastAsia="Times New Roman"/>
        </w:rPr>
        <w:pict>
          <v:rect id="_x0000_i1089" style="width:0;height:1.5pt" o:hralign="center" o:hrstd="t" o:hr="t" fillcolor="#a0a0a0" stroked="f"/>
        </w:pict>
      </w:r>
    </w:p>
    <w:p w:rsidR="00000000" w:rsidRDefault="00473C5F">
      <w:pPr>
        <w:divId w:val="1591889004"/>
        <w:rPr>
          <w:rFonts w:eastAsia="Times New Roman"/>
        </w:rPr>
      </w:pPr>
    </w:p>
    <w:p w:rsidR="00000000" w:rsidRDefault="00473C5F">
      <w:pPr>
        <w:jc w:val="center"/>
        <w:divId w:val="1722972693"/>
        <w:rPr>
          <w:rFonts w:eastAsia="Times New Roman"/>
        </w:rPr>
      </w:pPr>
      <w:r>
        <w:rPr>
          <w:rFonts w:eastAsia="Times New Roman"/>
          <w:color w:val="000000"/>
          <w:sz w:val="20"/>
          <w:szCs w:val="20"/>
        </w:rPr>
        <w:t>PUBLIC STORAGE</w:t>
      </w:r>
    </w:p>
    <w:p w:rsidR="00000000" w:rsidRDefault="00473C5F">
      <w:pPr>
        <w:jc w:val="center"/>
        <w:rPr>
          <w:rFonts w:eastAsia="Times New Roman"/>
        </w:rPr>
      </w:pPr>
      <w:r>
        <w:rPr>
          <w:rFonts w:eastAsia="Times New Roman"/>
          <w:color w:val="000000"/>
          <w:sz w:val="20"/>
          <w:szCs w:val="20"/>
        </w:rPr>
        <w:t>INDEX TO CONSOLIDATED FINANCIAL STATEMENTS</w:t>
      </w:r>
    </w:p>
    <w:p w:rsidR="00000000" w:rsidRDefault="00473C5F">
      <w:pPr>
        <w:jc w:val="center"/>
        <w:rPr>
          <w:rFonts w:eastAsia="Times New Roman"/>
        </w:rPr>
      </w:pPr>
      <w:r>
        <w:rPr>
          <w:rFonts w:eastAsia="Times New Roman"/>
          <w:color w:val="000000"/>
          <w:sz w:val="20"/>
          <w:szCs w:val="20"/>
        </w:rPr>
        <w:t>AND SCHEDULES</w:t>
      </w:r>
    </w:p>
    <w:p w:rsidR="00000000" w:rsidRDefault="00473C5F">
      <w:pPr>
        <w:jc w:val="center"/>
        <w:divId w:val="360936557"/>
        <w:rPr>
          <w:rFonts w:eastAsia="Times New Roman"/>
        </w:rPr>
      </w:pPr>
      <w:r>
        <w:rPr>
          <w:rFonts w:eastAsia="Times New Roman"/>
          <w:color w:val="000000"/>
          <w:sz w:val="20"/>
          <w:szCs w:val="20"/>
        </w:rPr>
        <w:t>(Item 15 (a))</w:t>
      </w:r>
    </w:p>
    <w:tbl>
      <w:tblPr>
        <w:tblW w:w="5000" w:type="pct"/>
        <w:tblCellMar>
          <w:top w:w="15" w:type="dxa"/>
          <w:left w:w="15" w:type="dxa"/>
          <w:bottom w:w="15" w:type="dxa"/>
          <w:right w:w="15" w:type="dxa"/>
        </w:tblCellMar>
        <w:tblLook w:val="04A0" w:firstRow="1" w:lastRow="0" w:firstColumn="1" w:lastColumn="0" w:noHBand="0" w:noVBand="1"/>
      </w:tblPr>
      <w:tblGrid>
        <w:gridCol w:w="68"/>
        <w:gridCol w:w="6840"/>
        <w:gridCol w:w="38"/>
        <w:gridCol w:w="69"/>
        <w:gridCol w:w="1255"/>
        <w:gridCol w:w="36"/>
      </w:tblGrid>
      <w:tr w:rsidR="00000000">
        <w:trPr>
          <w:divId w:val="2117360426"/>
        </w:trPr>
        <w:tc>
          <w:tcPr>
            <w:tcW w:w="50" w:type="pct"/>
            <w:vAlign w:val="center"/>
            <w:hideMark/>
          </w:tcPr>
          <w:p w:rsidR="00000000" w:rsidRDefault="00473C5F">
            <w:pPr>
              <w:jc w:val="center"/>
              <w:rPr>
                <w:rFonts w:eastAsia="Times New Roman"/>
              </w:rPr>
            </w:pPr>
          </w:p>
        </w:tc>
        <w:tc>
          <w:tcPr>
            <w:tcW w:w="412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6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2117360426"/>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color w:val="000000"/>
                <w:sz w:val="20"/>
                <w:szCs w:val="20"/>
              </w:rPr>
              <w:t>Page References</w:t>
            </w:r>
          </w:p>
        </w:tc>
      </w:tr>
      <w:tr w:rsidR="00000000">
        <w:trPr>
          <w:divId w:val="2117360426"/>
          <w:trHeight w:val="30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117360426"/>
        </w:trPr>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w:anchor="idcbceb955cc148bc8844018cabe9b51f_250" w:history="1">
              <w:r>
                <w:rPr>
                  <w:rStyle w:val="a3"/>
                  <w:rFonts w:eastAsia="Times New Roman"/>
                  <w:color w:val="000000"/>
                  <w:sz w:val="20"/>
                  <w:szCs w:val="20"/>
                  <w:u w:val="none"/>
                </w:rPr>
                <w:t>Report of Independent Registered Public Accounting Firm</w:t>
              </w:r>
            </w:hyperlink>
          </w:p>
          <w:p w:rsidR="00000000" w:rsidRDefault="00473C5F">
            <w:pPr>
              <w:spacing w:after="100"/>
              <w:ind w:firstLine="180"/>
              <w:jc w:val="both"/>
              <w:rPr>
                <w:rFonts w:eastAsia="Times New Roman"/>
              </w:rPr>
            </w:pPr>
            <w:r>
              <w:rPr>
                <w:rFonts w:eastAsia="Times New Roman"/>
                <w:color w:val="000000"/>
                <w:sz w:val="20"/>
                <w:szCs w:val="20"/>
              </w:rPr>
              <w:t>Auditor name: Ernst &amp; Young LLP; Firm ID: (42); Auditor location: Los Angeles, California</w:t>
            </w:r>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50" w:history="1">
              <w:r>
                <w:rPr>
                  <w:rStyle w:val="a3"/>
                  <w:rFonts w:eastAsia="Times New Roman"/>
                  <w:sz w:val="20"/>
                  <w:szCs w:val="20"/>
                </w:rPr>
                <w:t>F-</w:t>
              </w:r>
            </w:hyperlink>
            <w:hyperlink w:anchor="idcbceb955cc148bc8844018cabe9b51f_250" w:history="1">
              <w:r>
                <w:rPr>
                  <w:rStyle w:val="a3"/>
                  <w:rFonts w:eastAsia="Times New Roman"/>
                  <w:sz w:val="20"/>
                  <w:szCs w:val="20"/>
                </w:rPr>
                <w:t>1</w:t>
              </w:r>
            </w:hyperlink>
            <w:r>
              <w:rPr>
                <w:rFonts w:eastAsia="Times New Roman"/>
                <w:color w:val="000000"/>
                <w:sz w:val="20"/>
                <w:szCs w:val="20"/>
              </w:rPr>
              <w:t xml:space="preserve"> - F-2</w:t>
            </w:r>
          </w:p>
        </w:tc>
      </w:tr>
      <w:tr w:rsidR="00000000">
        <w:trPr>
          <w:divId w:val="2117360426"/>
          <w:trHeight w:val="30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117360426"/>
        </w:trPr>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 xml:space="preserve">Consolidated </w:t>
            </w:r>
            <w:hyperlink w:anchor="idcbceb955cc148bc8844018cabe9b51f_16" w:history="1">
              <w:r>
                <w:rPr>
                  <w:rStyle w:val="a3"/>
                  <w:rFonts w:eastAsia="Times New Roman"/>
                  <w:color w:val="000000"/>
                  <w:sz w:val="20"/>
                  <w:szCs w:val="20"/>
                  <w:u w:val="none"/>
                </w:rPr>
                <w:t xml:space="preserve">Balance sheets as of </w:t>
              </w:r>
            </w:hyperlink>
            <w:r>
              <w:rPr>
                <w:rFonts w:eastAsia="Times New Roman"/>
                <w:color w:val="000000"/>
                <w:sz w:val="20"/>
                <w:szCs w:val="20"/>
              </w:rPr>
              <w:t>December 31, 2022</w:t>
            </w:r>
            <w:hyperlink w:anchor="idcbceb955cc148bc8844018cabe9b51f_16" w:history="1">
              <w:r>
                <w:rPr>
                  <w:rStyle w:val="a3"/>
                  <w:rFonts w:eastAsia="Times New Roman"/>
                  <w:color w:val="000000"/>
                  <w:sz w:val="20"/>
                  <w:szCs w:val="20"/>
                  <w:u w:val="none"/>
                </w:rPr>
                <w:t xml:space="preserve"> and </w:t>
              </w:r>
            </w:hyperlink>
            <w:r>
              <w:rPr>
                <w:rFonts w:eastAsia="Times New Roman"/>
                <w:color w:val="000000"/>
                <w:sz w:val="20"/>
                <w:szCs w:val="20"/>
              </w:rPr>
              <w:t>2021</w:t>
            </w:r>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16" w:history="1">
              <w:r>
                <w:rPr>
                  <w:rStyle w:val="a3"/>
                  <w:rFonts w:eastAsia="Times New Roman"/>
                  <w:sz w:val="20"/>
                  <w:szCs w:val="20"/>
                </w:rPr>
                <w:t>F-</w:t>
              </w:r>
            </w:hyperlink>
            <w:hyperlink w:anchor="idcbceb955cc148bc8844018cabe9b51f_16" w:history="1">
              <w:r>
                <w:rPr>
                  <w:rStyle w:val="a3"/>
                  <w:rFonts w:eastAsia="Times New Roman"/>
                  <w:sz w:val="20"/>
                  <w:szCs w:val="20"/>
                </w:rPr>
                <w:t>3</w:t>
              </w:r>
            </w:hyperlink>
          </w:p>
        </w:tc>
      </w:tr>
      <w:tr w:rsidR="00000000">
        <w:trPr>
          <w:divId w:val="2117360426"/>
          <w:trHeight w:val="30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117360426"/>
        </w:trPr>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For the years ended December 31, 2022, 2021, and 2020:</w:t>
            </w:r>
          </w:p>
        </w:tc>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r>
      <w:tr w:rsidR="00000000">
        <w:trPr>
          <w:divId w:val="2117360426"/>
          <w:trHeight w:val="30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117360426"/>
        </w:trPr>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 xml:space="preserve">Consolidated </w:t>
            </w:r>
            <w:hyperlink w:anchor="idcbceb955cc148bc8844018cabe9b51f_19" w:history="1">
              <w:r>
                <w:rPr>
                  <w:rStyle w:val="a3"/>
                  <w:rFonts w:eastAsia="Times New Roman"/>
                  <w:color w:val="000000"/>
                  <w:sz w:val="20"/>
                  <w:szCs w:val="20"/>
                  <w:u w:val="none"/>
                </w:rPr>
                <w:t>Statements of income</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19" w:history="1">
              <w:r>
                <w:rPr>
                  <w:rStyle w:val="a3"/>
                  <w:rFonts w:eastAsia="Times New Roman"/>
                  <w:sz w:val="20"/>
                  <w:szCs w:val="20"/>
                </w:rPr>
                <w:t>F-</w:t>
              </w:r>
            </w:hyperlink>
            <w:hyperlink w:anchor="idcbceb955cc148bc8844018cabe9b51f_19" w:history="1">
              <w:r>
                <w:rPr>
                  <w:rStyle w:val="a3"/>
                  <w:rFonts w:eastAsia="Times New Roman"/>
                  <w:sz w:val="20"/>
                  <w:szCs w:val="20"/>
                </w:rPr>
                <w:t>4</w:t>
              </w:r>
            </w:hyperlink>
          </w:p>
        </w:tc>
      </w:tr>
      <w:tr w:rsidR="00000000">
        <w:trPr>
          <w:divId w:val="2117360426"/>
          <w:trHeight w:val="30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117360426"/>
        </w:trPr>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 xml:space="preserve">Consolidated </w:t>
            </w:r>
            <w:hyperlink w:anchor="idcbceb955cc148bc8844018cabe9b51f_22" w:history="1">
              <w:r>
                <w:rPr>
                  <w:rStyle w:val="a3"/>
                  <w:rFonts w:eastAsia="Times New Roman"/>
                  <w:color w:val="000000"/>
                  <w:sz w:val="20"/>
                  <w:szCs w:val="20"/>
                  <w:u w:val="none"/>
                </w:rPr>
                <w:t>Statements of comprehensive income</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2" w:history="1">
              <w:r>
                <w:rPr>
                  <w:rStyle w:val="a3"/>
                  <w:rFonts w:eastAsia="Times New Roman"/>
                  <w:sz w:val="20"/>
                  <w:szCs w:val="20"/>
                </w:rPr>
                <w:t>F-</w:t>
              </w:r>
            </w:hyperlink>
            <w:hyperlink w:anchor="idcbceb955cc148bc8844018cabe9b51f_22" w:history="1">
              <w:r>
                <w:rPr>
                  <w:rStyle w:val="a3"/>
                  <w:rFonts w:eastAsia="Times New Roman"/>
                  <w:sz w:val="20"/>
                  <w:szCs w:val="20"/>
                </w:rPr>
                <w:t>5</w:t>
              </w:r>
            </w:hyperlink>
          </w:p>
        </w:tc>
      </w:tr>
      <w:tr w:rsidR="00000000">
        <w:trPr>
          <w:divId w:val="2117360426"/>
          <w:trHeight w:val="30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117360426"/>
        </w:trPr>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 xml:space="preserve">Consolidated </w:t>
            </w:r>
            <w:hyperlink w:anchor="idcbceb955cc148bc8844018cabe9b51f_253" w:history="1">
              <w:r>
                <w:rPr>
                  <w:rStyle w:val="a3"/>
                  <w:rFonts w:eastAsia="Times New Roman"/>
                  <w:color w:val="000000"/>
                  <w:sz w:val="20"/>
                  <w:szCs w:val="20"/>
                  <w:u w:val="none"/>
                </w:rPr>
                <w:t>Statements of equity and redeemable noncontrolling interests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53" w:history="1">
              <w:r>
                <w:rPr>
                  <w:rStyle w:val="a3"/>
                  <w:rFonts w:eastAsia="Times New Roman"/>
                  <w:sz w:val="20"/>
                  <w:szCs w:val="20"/>
                </w:rPr>
                <w:t>F-</w:t>
              </w:r>
            </w:hyperlink>
            <w:hyperlink w:anchor="idcbceb955cc148bc8844018cabe9b51f_253" w:history="1">
              <w:r>
                <w:rPr>
                  <w:rStyle w:val="a3"/>
                  <w:rFonts w:eastAsia="Times New Roman"/>
                  <w:sz w:val="20"/>
                  <w:szCs w:val="20"/>
                </w:rPr>
                <w:t>6</w:t>
              </w:r>
            </w:hyperlink>
            <w:r>
              <w:rPr>
                <w:rFonts w:eastAsia="Times New Roman"/>
                <w:color w:val="000000"/>
                <w:sz w:val="20"/>
                <w:szCs w:val="20"/>
              </w:rPr>
              <w:t xml:space="preserve"> - F-7</w:t>
            </w:r>
          </w:p>
        </w:tc>
      </w:tr>
      <w:tr w:rsidR="00000000">
        <w:trPr>
          <w:divId w:val="2117360426"/>
          <w:trHeight w:val="30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117360426"/>
        </w:trPr>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color w:val="000000"/>
                <w:sz w:val="20"/>
                <w:szCs w:val="20"/>
              </w:rPr>
              <w:t xml:space="preserve">Consolidated </w:t>
            </w:r>
            <w:hyperlink w:anchor="idcbceb955cc148bc8844018cabe9b51f_28" w:history="1">
              <w:r>
                <w:rPr>
                  <w:rStyle w:val="a3"/>
                  <w:rFonts w:eastAsia="Times New Roman"/>
                  <w:color w:val="000000"/>
                  <w:sz w:val="20"/>
                  <w:szCs w:val="20"/>
                  <w:u w:val="none"/>
                </w:rPr>
                <w:t>Statements of cash flows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8" w:history="1">
              <w:r>
                <w:rPr>
                  <w:rStyle w:val="a3"/>
                  <w:rFonts w:eastAsia="Times New Roman"/>
                  <w:sz w:val="20"/>
                  <w:szCs w:val="20"/>
                </w:rPr>
                <w:t>F-</w:t>
              </w:r>
            </w:hyperlink>
            <w:hyperlink w:anchor="idcbceb955cc148bc8844018cabe9b51f_28" w:history="1">
              <w:r>
                <w:rPr>
                  <w:rStyle w:val="a3"/>
                  <w:rFonts w:eastAsia="Times New Roman"/>
                  <w:sz w:val="20"/>
                  <w:szCs w:val="20"/>
                </w:rPr>
                <w:t>8</w:t>
              </w:r>
            </w:hyperlink>
            <w:r>
              <w:rPr>
                <w:rFonts w:eastAsia="Times New Roman"/>
                <w:color w:val="000000"/>
                <w:sz w:val="20"/>
                <w:szCs w:val="20"/>
              </w:rPr>
              <w:t xml:space="preserve"> - F-9</w:t>
            </w:r>
          </w:p>
        </w:tc>
      </w:tr>
      <w:tr w:rsidR="00000000">
        <w:trPr>
          <w:divId w:val="2117360426"/>
          <w:trHeight w:val="30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117360426"/>
        </w:trPr>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w:anchor="idcbceb955cc148bc8844018cabe9b51f_31" w:history="1">
              <w:r>
                <w:rPr>
                  <w:rStyle w:val="a3"/>
                  <w:rFonts w:eastAsia="Times New Roman"/>
                  <w:color w:val="000000"/>
                  <w:sz w:val="20"/>
                  <w:szCs w:val="20"/>
                  <w:u w:val="none"/>
                </w:rPr>
                <w:t xml:space="preserve">Notes to </w:t>
              </w:r>
            </w:hyperlink>
            <w:r>
              <w:rPr>
                <w:rFonts w:eastAsia="Times New Roman"/>
                <w:color w:val="000000"/>
                <w:sz w:val="20"/>
                <w:szCs w:val="20"/>
              </w:rPr>
              <w:t>consolidated</w:t>
            </w:r>
            <w:hyperlink w:anchor="idcbceb955cc148bc8844018cabe9b51f_31" w:history="1">
              <w:r>
                <w:rPr>
                  <w:rStyle w:val="a3"/>
                  <w:rFonts w:eastAsia="Times New Roman"/>
                  <w:color w:val="000000"/>
                  <w:sz w:val="20"/>
                  <w:szCs w:val="20"/>
                  <w:u w:val="none"/>
                </w:rPr>
                <w:t xml:space="preserve"> financial statements</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31" w:history="1">
              <w:r>
                <w:rPr>
                  <w:rStyle w:val="a3"/>
                  <w:rFonts w:eastAsia="Times New Roman"/>
                  <w:sz w:val="20"/>
                  <w:szCs w:val="20"/>
                </w:rPr>
                <w:t>F-</w:t>
              </w:r>
            </w:hyperlink>
            <w:hyperlink w:anchor="idcbceb955cc148bc8844018cabe9b51f_31" w:history="1">
              <w:r>
                <w:rPr>
                  <w:rStyle w:val="a3"/>
                  <w:rFonts w:eastAsia="Times New Roman"/>
                  <w:sz w:val="20"/>
                  <w:szCs w:val="20"/>
                </w:rPr>
                <w:t>10</w:t>
              </w:r>
            </w:hyperlink>
            <w:r>
              <w:rPr>
                <w:rFonts w:eastAsia="Times New Roman"/>
                <w:color w:val="000000"/>
                <w:sz w:val="20"/>
                <w:szCs w:val="20"/>
              </w:rPr>
              <w:t xml:space="preserve"> - F-31</w:t>
            </w:r>
          </w:p>
        </w:tc>
      </w:tr>
      <w:tr w:rsidR="00000000">
        <w:trPr>
          <w:divId w:val="2117360426"/>
          <w:trHeight w:val="30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117360426"/>
        </w:trPr>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r>
              <w:rPr>
                <w:rFonts w:eastAsia="Times New Roman"/>
                <w:b/>
                <w:bCs/>
                <w:color w:val="000000"/>
                <w:sz w:val="20"/>
                <w:szCs w:val="20"/>
              </w:rPr>
              <w:t>Schedule:</w:t>
            </w:r>
          </w:p>
        </w:tc>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r>
      <w:tr w:rsidR="00000000">
        <w:trPr>
          <w:divId w:val="2117360426"/>
          <w:trHeight w:val="30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117360426"/>
        </w:trPr>
        <w:tc>
          <w:tcPr>
            <w:tcW w:w="0" w:type="auto"/>
            <w:gridSpan w:val="3"/>
            <w:tcMar>
              <w:top w:w="30" w:type="dxa"/>
              <w:left w:w="20" w:type="dxa"/>
              <w:bottom w:w="30" w:type="dxa"/>
              <w:right w:w="20" w:type="dxa"/>
            </w:tcMar>
            <w:hideMark/>
          </w:tcPr>
          <w:p w:rsidR="00000000" w:rsidRDefault="00473C5F">
            <w:pPr>
              <w:spacing w:after="100"/>
              <w:jc w:val="both"/>
              <w:rPr>
                <w:rFonts w:eastAsia="Times New Roman"/>
              </w:rPr>
            </w:pPr>
            <w:hyperlink w:anchor="idcbceb955cc148bc8844018cabe9b51f_280" w:history="1">
              <w:r>
                <w:rPr>
                  <w:rStyle w:val="a3"/>
                  <w:rFonts w:eastAsia="Times New Roman"/>
                  <w:color w:val="000000"/>
                  <w:sz w:val="20"/>
                  <w:szCs w:val="20"/>
                  <w:u w:val="none"/>
                </w:rPr>
                <w:t>III – Real estate and accumulated depreciation</w:t>
              </w:r>
            </w:hyperlink>
          </w:p>
        </w:tc>
        <w:tc>
          <w:tcPr>
            <w:tcW w:w="0" w:type="auto"/>
            <w:gridSpan w:val="3"/>
            <w:tcMar>
              <w:top w:w="30" w:type="dxa"/>
              <w:left w:w="20" w:type="dxa"/>
              <w:bottom w:w="30" w:type="dxa"/>
              <w:right w:w="20" w:type="dxa"/>
            </w:tcMar>
            <w:hideMark/>
          </w:tcPr>
          <w:p w:rsidR="00000000" w:rsidRDefault="00473C5F">
            <w:pPr>
              <w:spacing w:after="100"/>
              <w:jc w:val="center"/>
              <w:rPr>
                <w:rFonts w:eastAsia="Times New Roman"/>
              </w:rPr>
            </w:pPr>
            <w:hyperlink w:anchor="idcbceb955cc148bc8844018cabe9b51f_280" w:history="1">
              <w:r>
                <w:rPr>
                  <w:rStyle w:val="a3"/>
                  <w:rFonts w:eastAsia="Times New Roman"/>
                  <w:sz w:val="20"/>
                  <w:szCs w:val="20"/>
                </w:rPr>
                <w:t>F-</w:t>
              </w:r>
            </w:hyperlink>
            <w:hyperlink w:anchor="idcbceb955cc148bc8844018cabe9b51f_280" w:history="1">
              <w:r>
                <w:rPr>
                  <w:rStyle w:val="a3"/>
                  <w:rFonts w:eastAsia="Times New Roman"/>
                  <w:sz w:val="20"/>
                  <w:szCs w:val="20"/>
                </w:rPr>
                <w:t>32</w:t>
              </w:r>
            </w:hyperlink>
            <w:r>
              <w:rPr>
                <w:rFonts w:eastAsia="Times New Roman"/>
                <w:color w:val="000000"/>
                <w:sz w:val="20"/>
                <w:szCs w:val="20"/>
              </w:rPr>
              <w:t xml:space="preserve"> - F-34</w:t>
            </w:r>
          </w:p>
        </w:tc>
      </w:tr>
    </w:tbl>
    <w:p w:rsidR="00000000" w:rsidRDefault="00473C5F">
      <w:pPr>
        <w:jc w:val="both"/>
        <w:divId w:val="115609123"/>
        <w:rPr>
          <w:rFonts w:eastAsia="Times New Roman"/>
        </w:rPr>
      </w:pPr>
      <w:r>
        <w:rPr>
          <w:rFonts w:eastAsia="Times New Roman"/>
          <w:color w:val="000000"/>
          <w:sz w:val="20"/>
          <w:szCs w:val="20"/>
        </w:rPr>
        <w:t>All other schedules have been omitted since the required information is not present or not present in amounts sufficient to require submission of the schedule, or because the information required is included in the consolidated financial statements or note</w:t>
      </w:r>
      <w:r>
        <w:rPr>
          <w:rFonts w:eastAsia="Times New Roman"/>
          <w:color w:val="000000"/>
          <w:sz w:val="20"/>
          <w:szCs w:val="20"/>
        </w:rPr>
        <w:t>s thereto.</w:t>
      </w:r>
    </w:p>
    <w:p w:rsidR="00000000" w:rsidRDefault="00473C5F">
      <w:pPr>
        <w:jc w:val="center"/>
        <w:divId w:val="1860002963"/>
        <w:rPr>
          <w:rFonts w:eastAsia="Times New Roman"/>
        </w:rPr>
      </w:pPr>
      <w:r>
        <w:rPr>
          <w:rFonts w:eastAsia="Times New Roman"/>
          <w:color w:val="000000"/>
          <w:sz w:val="20"/>
          <w:szCs w:val="20"/>
        </w:rPr>
        <w:t>63</w:t>
      </w:r>
    </w:p>
    <w:p w:rsidR="00000000" w:rsidRDefault="00473C5F">
      <w:pPr>
        <w:rPr>
          <w:rFonts w:eastAsia="Times New Roman"/>
        </w:rPr>
      </w:pPr>
      <w:r>
        <w:rPr>
          <w:rFonts w:eastAsia="Times New Roman"/>
        </w:rPr>
        <w:pict>
          <v:rect id="_x0000_i1090" style="width:0;height:1.5pt" o:hralign="center" o:hrstd="t" o:hr="t" fillcolor="#a0a0a0" stroked="f"/>
        </w:pict>
      </w:r>
    </w:p>
    <w:p w:rsidR="00000000" w:rsidRDefault="00473C5F">
      <w:pPr>
        <w:divId w:val="543753831"/>
        <w:rPr>
          <w:rFonts w:eastAsia="Times New Roman"/>
        </w:rPr>
      </w:pPr>
    </w:p>
    <w:p w:rsidR="00000000" w:rsidRDefault="00473C5F">
      <w:pPr>
        <w:jc w:val="center"/>
        <w:divId w:val="1983652928"/>
        <w:rPr>
          <w:rFonts w:eastAsia="Times New Roman"/>
        </w:rPr>
      </w:pPr>
      <w:r>
        <w:rPr>
          <w:rFonts w:eastAsia="Times New Roman"/>
          <w:b/>
          <w:bCs/>
          <w:color w:val="000000"/>
          <w:sz w:val="20"/>
          <w:szCs w:val="20"/>
        </w:rPr>
        <w:t>Report of Independent Registered Public Accounting Firm</w:t>
      </w:r>
    </w:p>
    <w:p w:rsidR="00000000" w:rsidRDefault="00473C5F">
      <w:pPr>
        <w:divId w:val="1117791706"/>
        <w:rPr>
          <w:rFonts w:eastAsia="Times New Roman"/>
        </w:rPr>
      </w:pPr>
      <w:r>
        <w:rPr>
          <w:rFonts w:eastAsia="Times New Roman"/>
          <w:b/>
          <w:bCs/>
          <w:color w:val="000000"/>
          <w:sz w:val="20"/>
          <w:szCs w:val="20"/>
        </w:rPr>
        <w:t>To the Shareholders and the Board of Trustees of Public Storage</w:t>
      </w:r>
    </w:p>
    <w:p w:rsidR="00000000" w:rsidRDefault="00473C5F">
      <w:pPr>
        <w:divId w:val="1090466834"/>
        <w:rPr>
          <w:rFonts w:eastAsia="Times New Roman"/>
        </w:rPr>
      </w:pPr>
      <w:r>
        <w:rPr>
          <w:rFonts w:eastAsia="Times New Roman"/>
          <w:b/>
          <w:bCs/>
          <w:color w:val="000000"/>
          <w:sz w:val="20"/>
          <w:szCs w:val="20"/>
        </w:rPr>
        <w:t>Opinion on the Financial Statements</w:t>
      </w:r>
    </w:p>
    <w:p w:rsidR="00000000" w:rsidRDefault="00473C5F">
      <w:pPr>
        <w:divId w:val="981037226"/>
        <w:rPr>
          <w:rFonts w:eastAsia="Times New Roman"/>
        </w:rPr>
      </w:pPr>
      <w:r>
        <w:rPr>
          <w:rFonts w:eastAsia="Times New Roman"/>
          <w:color w:val="000000"/>
          <w:sz w:val="20"/>
          <w:szCs w:val="20"/>
        </w:rPr>
        <w:t>We have audited the accompanying consolidated balance sheets o</w:t>
      </w:r>
      <w:r>
        <w:rPr>
          <w:rFonts w:eastAsia="Times New Roman"/>
          <w:color w:val="000000"/>
          <w:sz w:val="20"/>
          <w:szCs w:val="20"/>
        </w:rPr>
        <w:t>f Public Storage (the Company) as of December 31, 2022 and 2021, the related consolidated statements of income, comprehensive income, equity and redeemable noncontrolling interests and cash flows for each of the three years in the period ended December 31,</w:t>
      </w:r>
      <w:r>
        <w:rPr>
          <w:rFonts w:eastAsia="Times New Roman"/>
          <w:color w:val="000000"/>
          <w:sz w:val="20"/>
          <w:szCs w:val="20"/>
        </w:rPr>
        <w:t xml:space="preserve"> 2022, and the related notes and financial statement schedule listed in the Index at Item 15(a) (collectively referred to as the “consolidated financial statements”). In our opinion, the consolidated financial statements present fairly, in all material res</w:t>
      </w:r>
      <w:r>
        <w:rPr>
          <w:rFonts w:eastAsia="Times New Roman"/>
          <w:color w:val="000000"/>
          <w:sz w:val="20"/>
          <w:szCs w:val="20"/>
        </w:rPr>
        <w:t xml:space="preserve">pects, the consolidated financial position of the Company at December 31, 2022 and 2021, and the consolidated results of its operations and its cash flows for each of the three years in the period ended December 31, 2022, in conformity with U.S. generally </w:t>
      </w:r>
      <w:r>
        <w:rPr>
          <w:rFonts w:eastAsia="Times New Roman"/>
          <w:color w:val="000000"/>
          <w:sz w:val="20"/>
          <w:szCs w:val="20"/>
        </w:rPr>
        <w:t xml:space="preserve">accepted accounting principles. </w:t>
      </w:r>
    </w:p>
    <w:p w:rsidR="00000000" w:rsidRDefault="00473C5F">
      <w:pPr>
        <w:divId w:val="1273628555"/>
        <w:rPr>
          <w:rFonts w:eastAsia="Times New Roman"/>
        </w:rPr>
      </w:pPr>
      <w:r>
        <w:rPr>
          <w:rFonts w:eastAsia="Times New Roman"/>
          <w:color w:val="000000"/>
          <w:sz w:val="20"/>
          <w:szCs w:val="20"/>
        </w:rPr>
        <w:t>We also have audited, in accordance with the standards of the Public Company Accounting Oversight Board (United States) (PCAOB), the Company’s internal control over financial reporting as of December 31, 2022, based on crit</w:t>
      </w:r>
      <w:r>
        <w:rPr>
          <w:rFonts w:eastAsia="Times New Roman"/>
          <w:color w:val="000000"/>
          <w:sz w:val="20"/>
          <w:szCs w:val="20"/>
        </w:rPr>
        <w:t>eria established in Internal Control-Integrated Framework issued by the Committee of Sponsoring Organizations of the Treadway Commission (2013 framework), and our report dated February 21, 2023 expressed an unqualified opinion thereon.</w:t>
      </w:r>
    </w:p>
    <w:p w:rsidR="00000000" w:rsidRDefault="00473C5F">
      <w:pPr>
        <w:divId w:val="1731659804"/>
        <w:rPr>
          <w:rFonts w:eastAsia="Times New Roman"/>
        </w:rPr>
      </w:pPr>
      <w:r>
        <w:rPr>
          <w:rFonts w:eastAsia="Times New Roman"/>
          <w:b/>
          <w:bCs/>
          <w:color w:val="000000"/>
          <w:sz w:val="20"/>
          <w:szCs w:val="20"/>
        </w:rPr>
        <w:t>Basis for Opinion</w:t>
      </w:r>
    </w:p>
    <w:p w:rsidR="00000000" w:rsidRDefault="00473C5F">
      <w:pPr>
        <w:divId w:val="491220961"/>
        <w:rPr>
          <w:rFonts w:eastAsia="Times New Roman"/>
        </w:rPr>
      </w:pPr>
      <w:r>
        <w:rPr>
          <w:rFonts w:eastAsia="Times New Roman"/>
          <w:color w:val="000000"/>
          <w:sz w:val="20"/>
          <w:szCs w:val="20"/>
        </w:rPr>
        <w:t>Th</w:t>
      </w:r>
      <w:r>
        <w:rPr>
          <w:rFonts w:eastAsia="Times New Roman"/>
          <w:color w:val="000000"/>
          <w:sz w:val="20"/>
          <w:szCs w:val="20"/>
        </w:rPr>
        <w:t>ese financial statements are the responsibility of the Company's management. Our responsibility is to express an opinion on the Company’s financial statements based on our audits. We are a public accounting firm registered with the PCAOB and are required t</w:t>
      </w:r>
      <w:r>
        <w:rPr>
          <w:rFonts w:eastAsia="Times New Roman"/>
          <w:color w:val="000000"/>
          <w:sz w:val="20"/>
          <w:szCs w:val="20"/>
        </w:rPr>
        <w:t xml:space="preserve">o be independent with respect to the Company in accordance with the U.S. federal securities laws and the applicable rules and regulations of the Securities and Exchange Commission and the PCAOB. </w:t>
      </w:r>
    </w:p>
    <w:p w:rsidR="00000000" w:rsidRDefault="00473C5F">
      <w:pPr>
        <w:divId w:val="1141001413"/>
        <w:rPr>
          <w:rFonts w:eastAsia="Times New Roman"/>
        </w:rPr>
      </w:pPr>
      <w:r>
        <w:rPr>
          <w:rFonts w:eastAsia="Times New Roman"/>
          <w:color w:val="000000"/>
          <w:sz w:val="20"/>
          <w:szCs w:val="20"/>
        </w:rPr>
        <w:t xml:space="preserve">We conducted our audits in accordance with the standards of </w:t>
      </w:r>
      <w:r>
        <w:rPr>
          <w:rFonts w:eastAsia="Times New Roman"/>
          <w:color w:val="000000"/>
          <w:sz w:val="20"/>
          <w:szCs w:val="20"/>
        </w:rPr>
        <w:t>the PCAOB. Those standards require that we plan and perform the audit to obtain reasonable assurance about whether the financial statements are free of material misstatement, whether due to error or fraud. Our audits included performing procedures to asses</w:t>
      </w:r>
      <w:r>
        <w:rPr>
          <w:rFonts w:eastAsia="Times New Roman"/>
          <w:color w:val="000000"/>
          <w:sz w:val="20"/>
          <w:szCs w:val="20"/>
        </w:rPr>
        <w:t>s the risks of material misstatement of the financial statements, whether due to error or fraud, and performing procedures that respond to those risks. Such procedures include examining, on a test basis, evidence regarding the amounts and disclosures in th</w:t>
      </w:r>
      <w:r>
        <w:rPr>
          <w:rFonts w:eastAsia="Times New Roman"/>
          <w:color w:val="000000"/>
          <w:sz w:val="20"/>
          <w:szCs w:val="20"/>
        </w:rPr>
        <w:t>e financial statements. Our audits also included evaluating the accounting principles used and significant estimates made by management, as well as evaluating the overall presentation of the financial statements. We believe that our audits provide a reason</w:t>
      </w:r>
      <w:r>
        <w:rPr>
          <w:rFonts w:eastAsia="Times New Roman"/>
          <w:color w:val="000000"/>
          <w:sz w:val="20"/>
          <w:szCs w:val="20"/>
        </w:rPr>
        <w:t>able basis for our opinion.</w:t>
      </w:r>
    </w:p>
    <w:p w:rsidR="00000000" w:rsidRDefault="00473C5F">
      <w:pPr>
        <w:divId w:val="1328360652"/>
        <w:rPr>
          <w:rFonts w:eastAsia="Times New Roman"/>
        </w:rPr>
      </w:pPr>
      <w:r>
        <w:rPr>
          <w:rFonts w:eastAsia="Times New Roman"/>
          <w:b/>
          <w:bCs/>
          <w:color w:val="000000"/>
          <w:sz w:val="20"/>
          <w:szCs w:val="20"/>
        </w:rPr>
        <w:t>Critical Audit Matter</w:t>
      </w:r>
    </w:p>
    <w:p w:rsidR="00000000" w:rsidRDefault="00473C5F">
      <w:pPr>
        <w:divId w:val="739720260"/>
        <w:rPr>
          <w:rFonts w:eastAsia="Times New Roman"/>
        </w:rPr>
      </w:pPr>
      <w:r>
        <w:rPr>
          <w:rFonts w:eastAsia="Times New Roman"/>
          <w:color w:val="000000"/>
          <w:sz w:val="20"/>
          <w:szCs w:val="20"/>
        </w:rPr>
        <w:t>The critical audit matter communicated below is a matter arising from the current period audit of the financial statements that was communicated or required to be communicated to the audit committee and tha</w:t>
      </w:r>
      <w:r>
        <w:rPr>
          <w:rFonts w:eastAsia="Times New Roman"/>
          <w:color w:val="000000"/>
          <w:sz w:val="20"/>
          <w:szCs w:val="20"/>
        </w:rPr>
        <w:t>t: (1) relates to accounts or disclosures that are material to the financial statements and (2) involved our especially challenging, subjective or complex judgments. The communication of the critical audit matter does not alter in any way our opinion on th</w:t>
      </w:r>
      <w:r>
        <w:rPr>
          <w:rFonts w:eastAsia="Times New Roman"/>
          <w:color w:val="000000"/>
          <w:sz w:val="20"/>
          <w:szCs w:val="20"/>
        </w:rPr>
        <w:t>e consolidated financial statements, taken as a whole, and we are not, by communicating the critical audit matter below, providing a separate opinion on the critical audit matter or on the accounts or disclosures to which it relates.</w:t>
      </w:r>
    </w:p>
    <w:p w:rsidR="00000000" w:rsidRDefault="00473C5F">
      <w:pPr>
        <w:jc w:val="center"/>
        <w:divId w:val="207496897"/>
        <w:rPr>
          <w:rFonts w:eastAsia="Times New Roman"/>
        </w:rPr>
      </w:pPr>
      <w:r>
        <w:rPr>
          <w:rFonts w:eastAsia="Times New Roman"/>
          <w:color w:val="000000"/>
          <w:sz w:val="20"/>
          <w:szCs w:val="20"/>
        </w:rPr>
        <w:t>F-1</w:t>
      </w:r>
    </w:p>
    <w:p w:rsidR="00000000" w:rsidRDefault="00473C5F">
      <w:pPr>
        <w:rPr>
          <w:rFonts w:eastAsia="Times New Roman"/>
        </w:rPr>
      </w:pPr>
      <w:r>
        <w:rPr>
          <w:rFonts w:eastAsia="Times New Roman"/>
        </w:rPr>
        <w:pict>
          <v:rect id="_x0000_i1091" style="width:0;height:1.5pt" o:hralign="center" o:hrstd="t" o:hr="t" fillcolor="#a0a0a0" stroked="f"/>
        </w:pict>
      </w:r>
    </w:p>
    <w:p w:rsidR="00000000" w:rsidRDefault="00473C5F">
      <w:pPr>
        <w:divId w:val="24453744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1209"/>
        <w:gridCol w:w="36"/>
        <w:gridCol w:w="69"/>
        <w:gridCol w:w="247"/>
        <w:gridCol w:w="36"/>
        <w:gridCol w:w="69"/>
        <w:gridCol w:w="6534"/>
        <w:gridCol w:w="38"/>
      </w:tblGrid>
      <w:tr w:rsidR="00000000">
        <w:trPr>
          <w:divId w:val="413622963"/>
        </w:trPr>
        <w:tc>
          <w:tcPr>
            <w:tcW w:w="50" w:type="pct"/>
            <w:vAlign w:val="center"/>
            <w:hideMark/>
          </w:tcPr>
          <w:p w:rsidR="00000000" w:rsidRDefault="00473C5F">
            <w:pPr>
              <w:rPr>
                <w:rFonts w:eastAsia="Times New Roman"/>
              </w:rPr>
            </w:pPr>
          </w:p>
        </w:tc>
        <w:tc>
          <w:tcPr>
            <w:tcW w:w="73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5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94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413622963"/>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b/>
                <w:bCs/>
                <w:i/>
                <w:iCs/>
                <w:color w:val="000000"/>
                <w:sz w:val="20"/>
                <w:szCs w:val="20"/>
              </w:rPr>
              <w:t>Purchase Price Allocation</w:t>
            </w:r>
          </w:p>
        </w:tc>
      </w:tr>
      <w:tr w:rsidR="00000000">
        <w:trPr>
          <w:divId w:val="413622963"/>
          <w:trHeight w:val="30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1362296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i/>
                <w:iCs/>
                <w:color w:val="000000"/>
                <w:sz w:val="20"/>
                <w:szCs w:val="20"/>
              </w:rPr>
              <w:t>Description of the Matter</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hideMark/>
          </w:tcPr>
          <w:p w:rsidR="00000000" w:rsidRDefault="00473C5F">
            <w:pPr>
              <w:spacing w:after="100"/>
              <w:divId w:val="398407835"/>
              <w:rPr>
                <w:rFonts w:eastAsia="Times New Roman"/>
              </w:rPr>
            </w:pPr>
            <w:r>
              <w:rPr>
                <w:rFonts w:eastAsia="Times New Roman"/>
                <w:color w:val="000000"/>
                <w:sz w:val="20"/>
                <w:szCs w:val="20"/>
              </w:rPr>
              <w:t>For the year ended December 31, 2022, the Company completed the acquisition of 74 self-storage facilities for a total purchase price of $730.5 million. As further discussed in Notes 2 and 3 of the consolidated financial statements, the transactions were ac</w:t>
            </w:r>
            <w:r>
              <w:rPr>
                <w:rFonts w:eastAsia="Times New Roman"/>
                <w:color w:val="000000"/>
                <w:sz w:val="20"/>
                <w:szCs w:val="20"/>
              </w:rPr>
              <w:t>counted for as asset acquisitions, and the purchase price was allocated based on a relative fair value of assets acquired and liabilities assumed, which consisted principally of land and buildings.</w:t>
            </w:r>
          </w:p>
          <w:p w:rsidR="00000000" w:rsidRDefault="00473C5F">
            <w:pPr>
              <w:spacing w:after="100"/>
              <w:divId w:val="510726798"/>
              <w:rPr>
                <w:rFonts w:eastAsia="Times New Roman"/>
              </w:rPr>
            </w:pPr>
            <w:r>
              <w:rPr>
                <w:rFonts w:eastAsia="Times New Roman"/>
                <w:color w:val="000000"/>
                <w:sz w:val="20"/>
                <w:szCs w:val="20"/>
              </w:rPr>
              <w:t>Auditing the accounting for the Company’s 2022 acquisition</w:t>
            </w:r>
            <w:r>
              <w:rPr>
                <w:rFonts w:eastAsia="Times New Roman"/>
                <w:color w:val="000000"/>
                <w:sz w:val="20"/>
                <w:szCs w:val="20"/>
              </w:rPr>
              <w:t>s of self-storage facilities was subjective because the Company, with the assistance of its external valuation specialist, must exercise a high level of management judgment in determining the estimated fair value of acquired land and buildings. Determining</w:t>
            </w:r>
            <w:r>
              <w:rPr>
                <w:rFonts w:eastAsia="Times New Roman"/>
                <w:color w:val="000000"/>
                <w:sz w:val="20"/>
                <w:szCs w:val="20"/>
              </w:rPr>
              <w:t xml:space="preserve"> the fair value of acquired land was difficult due to the lack of available directly comparable land market information. The estimated fair value of the acquired buildings was based upon (i) the income approach, which included estimating the fair value of </w:t>
            </w:r>
            <w:r>
              <w:rPr>
                <w:rFonts w:eastAsia="Times New Roman"/>
                <w:color w:val="000000"/>
                <w:sz w:val="20"/>
                <w:szCs w:val="20"/>
              </w:rPr>
              <w:t>hypothetical vacant acquired buildings and adjusting for the estimated fair value of land or (ii) estimated replacement costs, which were calculated by estimating the cost of building similar facilities in comparable markets and adjusting those costs for t</w:t>
            </w:r>
            <w:r>
              <w:rPr>
                <w:rFonts w:eastAsia="Times New Roman"/>
                <w:color w:val="000000"/>
                <w:sz w:val="20"/>
                <w:szCs w:val="20"/>
              </w:rPr>
              <w:t>he age, quality, and configuration associated with the acquired facilities. Determining the fair value of the acquired buildings was challenging due to the judgment utilized by management in determining the assumptions utilized in, or the adjustments appli</w:t>
            </w:r>
            <w:r>
              <w:rPr>
                <w:rFonts w:eastAsia="Times New Roman"/>
                <w:color w:val="000000"/>
                <w:sz w:val="20"/>
                <w:szCs w:val="20"/>
              </w:rPr>
              <w:t>ed to, the valuation of each building.</w:t>
            </w:r>
          </w:p>
        </w:tc>
      </w:tr>
      <w:tr w:rsidR="00000000">
        <w:trPr>
          <w:divId w:val="413622963"/>
          <w:trHeight w:val="30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413622963"/>
        </w:trPr>
        <w:tc>
          <w:tcPr>
            <w:tcW w:w="0" w:type="auto"/>
            <w:gridSpan w:val="3"/>
            <w:tcMar>
              <w:top w:w="30" w:type="dxa"/>
              <w:left w:w="20" w:type="dxa"/>
              <w:bottom w:w="30" w:type="dxa"/>
              <w:right w:w="20" w:type="dxa"/>
            </w:tcMar>
            <w:hideMark/>
          </w:tcPr>
          <w:p w:rsidR="00000000" w:rsidRDefault="00473C5F">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hideMark/>
          </w:tcPr>
          <w:p w:rsidR="00000000" w:rsidRDefault="00473C5F">
            <w:pPr>
              <w:spacing w:after="100"/>
              <w:divId w:val="1831486657"/>
              <w:rPr>
                <w:rFonts w:eastAsia="Times New Roman"/>
              </w:rPr>
            </w:pPr>
            <w:r>
              <w:rPr>
                <w:rFonts w:eastAsia="Times New Roman"/>
                <w:color w:val="000000"/>
                <w:sz w:val="20"/>
                <w:szCs w:val="20"/>
              </w:rPr>
              <w:t>We obtained an understanding, evaluated the design, and tested the operating effectiveness of controls over management’s accounting for acquired self-storage facilities, including controls over the review of assumptions underlying the purchase price alloca</w:t>
            </w:r>
            <w:r>
              <w:rPr>
                <w:rFonts w:eastAsia="Times New Roman"/>
                <w:color w:val="000000"/>
                <w:sz w:val="20"/>
                <w:szCs w:val="20"/>
              </w:rPr>
              <w:t>tion and accuracy of the underlying data used. For example, we tested controls over the determination of the fair value of the land and building assets, including the controls over the review of the valuation models and the underlying assumptions used to d</w:t>
            </w:r>
            <w:r>
              <w:rPr>
                <w:rFonts w:eastAsia="Times New Roman"/>
                <w:color w:val="000000"/>
                <w:sz w:val="20"/>
                <w:szCs w:val="20"/>
              </w:rPr>
              <w:t>evelop such estimates.</w:t>
            </w:r>
          </w:p>
          <w:p w:rsidR="00000000" w:rsidRDefault="00473C5F">
            <w:pPr>
              <w:spacing w:after="100"/>
              <w:divId w:val="737824672"/>
              <w:rPr>
                <w:rFonts w:eastAsia="Times New Roman"/>
              </w:rPr>
            </w:pPr>
            <w:r>
              <w:rPr>
                <w:rFonts w:eastAsia="Times New Roman"/>
                <w:color w:val="000000"/>
                <w:sz w:val="20"/>
                <w:szCs w:val="20"/>
              </w:rPr>
              <w:t>For the 2022 acquisitions of self-storage facilities described above, our procedures included, but were not limited to, evaluating the sensitivity of changes in significant assumptions on the purchase price allocation. We performed a</w:t>
            </w:r>
            <w:r>
              <w:rPr>
                <w:rFonts w:eastAsia="Times New Roman"/>
                <w:color w:val="000000"/>
                <w:sz w:val="20"/>
                <w:szCs w:val="20"/>
              </w:rPr>
              <w:t xml:space="preserve"> sensitivity analysis to evaluate the impact on the Company’s financial statements resulting from changes in allocated land and building values. For certain of these asset acquisitions, we also read the purchase agreements, evaluated whether the Company ha</w:t>
            </w:r>
            <w:r>
              <w:rPr>
                <w:rFonts w:eastAsia="Times New Roman"/>
                <w:color w:val="000000"/>
                <w:sz w:val="20"/>
                <w:szCs w:val="20"/>
              </w:rPr>
              <w:t>d appropriately determined whether the transaction was a business combination or asset acquisition, evaluated the methods and significant assumptions used by the Company, and tested the completeness and accuracy of the underlying data supporting the signif</w:t>
            </w:r>
            <w:r>
              <w:rPr>
                <w:rFonts w:eastAsia="Times New Roman"/>
                <w:color w:val="000000"/>
                <w:sz w:val="20"/>
                <w:szCs w:val="20"/>
              </w:rPr>
              <w:t>icant assumptions and estimates. Additionally, for certain of these asset acquisitions, we involved our valuation specialists to assist in the assessment of the methodology utilized by the Company, in addition to performing corroborative analyses to assess</w:t>
            </w:r>
            <w:r>
              <w:rPr>
                <w:rFonts w:eastAsia="Times New Roman"/>
                <w:color w:val="000000"/>
                <w:sz w:val="20"/>
                <w:szCs w:val="20"/>
              </w:rPr>
              <w:t xml:space="preserve"> whether the conclusions in the valuation were supported by observable market data. For example, our valuation specialists used independently identified data sources to evaluate management’s selected comparable land sales, income approach assumptions, and </w:t>
            </w:r>
            <w:r>
              <w:rPr>
                <w:rFonts w:eastAsia="Times New Roman"/>
                <w:color w:val="000000"/>
                <w:sz w:val="20"/>
                <w:szCs w:val="20"/>
              </w:rPr>
              <w:t>replacement cost assumptions.</w:t>
            </w:r>
          </w:p>
        </w:tc>
      </w:tr>
    </w:tbl>
    <w:p w:rsidR="00000000" w:rsidRDefault="00473C5F">
      <w:pPr>
        <w:divId w:val="629483867"/>
        <w:rPr>
          <w:rFonts w:eastAsia="Times New Roman"/>
        </w:rPr>
      </w:pPr>
      <w:r>
        <w:rPr>
          <w:rFonts w:eastAsia="Times New Roman"/>
          <w:color w:val="000000"/>
          <w:sz w:val="20"/>
          <w:szCs w:val="20"/>
        </w:rPr>
        <w:t>/s/ Ernst &amp; Young LLP</w:t>
      </w:r>
    </w:p>
    <w:p w:rsidR="00000000" w:rsidRDefault="00473C5F">
      <w:pPr>
        <w:divId w:val="780224158"/>
        <w:rPr>
          <w:rFonts w:eastAsia="Times New Roman"/>
        </w:rPr>
      </w:pPr>
      <w:r>
        <w:rPr>
          <w:rFonts w:eastAsia="Times New Roman"/>
          <w:color w:val="000000"/>
          <w:sz w:val="20"/>
          <w:szCs w:val="20"/>
        </w:rPr>
        <w:t>We have served as the Company's auditor since 1980.</w:t>
      </w:r>
    </w:p>
    <w:p w:rsidR="00000000" w:rsidRDefault="00473C5F">
      <w:pPr>
        <w:divId w:val="777212492"/>
        <w:rPr>
          <w:rFonts w:eastAsia="Times New Roman"/>
        </w:rPr>
      </w:pPr>
      <w:r>
        <w:rPr>
          <w:rFonts w:eastAsia="Times New Roman"/>
          <w:color w:val="000000"/>
          <w:sz w:val="20"/>
          <w:szCs w:val="20"/>
        </w:rPr>
        <w:t>Los Angeles, California</w:t>
      </w:r>
    </w:p>
    <w:p w:rsidR="00000000" w:rsidRDefault="00473C5F">
      <w:pPr>
        <w:divId w:val="1244142542"/>
        <w:rPr>
          <w:rFonts w:eastAsia="Times New Roman"/>
        </w:rPr>
      </w:pPr>
      <w:r>
        <w:rPr>
          <w:rFonts w:eastAsia="Times New Roman"/>
          <w:color w:val="000000"/>
          <w:sz w:val="20"/>
          <w:szCs w:val="20"/>
        </w:rPr>
        <w:t>February 21, 2023</w:t>
      </w:r>
    </w:p>
    <w:p w:rsidR="00000000" w:rsidRDefault="00473C5F">
      <w:pPr>
        <w:jc w:val="center"/>
        <w:divId w:val="1211186614"/>
        <w:rPr>
          <w:rFonts w:eastAsia="Times New Roman"/>
        </w:rPr>
      </w:pPr>
      <w:r>
        <w:rPr>
          <w:rFonts w:eastAsia="Times New Roman"/>
          <w:color w:val="000000"/>
          <w:sz w:val="20"/>
          <w:szCs w:val="20"/>
        </w:rPr>
        <w:t>F-2</w:t>
      </w:r>
    </w:p>
    <w:p w:rsidR="00000000" w:rsidRDefault="00473C5F">
      <w:pPr>
        <w:rPr>
          <w:rFonts w:eastAsia="Times New Roman"/>
        </w:rPr>
      </w:pPr>
      <w:r>
        <w:rPr>
          <w:rFonts w:eastAsia="Times New Roman"/>
        </w:rPr>
        <w:pict>
          <v:rect id="_x0000_i1092" style="width:0;height:1.5pt" o:hralign="center" o:hrstd="t" o:hr="t" fillcolor="#a0a0a0" stroked="f"/>
        </w:pict>
      </w:r>
    </w:p>
    <w:p w:rsidR="00000000" w:rsidRDefault="00473C5F">
      <w:pPr>
        <w:divId w:val="381558143"/>
        <w:rPr>
          <w:rFonts w:eastAsia="Times New Roman"/>
        </w:rPr>
      </w:pPr>
    </w:p>
    <w:p w:rsidR="00000000" w:rsidRDefault="00473C5F">
      <w:pPr>
        <w:divId w:val="1217163158"/>
        <w:rPr>
          <w:rFonts w:eastAsia="Times New Roman"/>
        </w:rPr>
      </w:pPr>
    </w:p>
    <w:p w:rsidR="00000000" w:rsidRDefault="00473C5F">
      <w:pPr>
        <w:divId w:val="1798333814"/>
        <w:rPr>
          <w:rFonts w:eastAsia="Times New Roman"/>
        </w:rPr>
      </w:pPr>
    </w:p>
    <w:p w:rsidR="00000000" w:rsidRDefault="00473C5F">
      <w:pPr>
        <w:jc w:val="center"/>
        <w:rPr>
          <w:rFonts w:eastAsia="Times New Roman"/>
        </w:rPr>
      </w:pPr>
      <w:r>
        <w:rPr>
          <w:rFonts w:eastAsia="Times New Roman"/>
          <w:b/>
          <w:bCs/>
          <w:color w:val="000000"/>
          <w:sz w:val="20"/>
          <w:szCs w:val="20"/>
        </w:rPr>
        <w:t>PUBLIC STORAGE</w:t>
      </w:r>
    </w:p>
    <w:p w:rsidR="00000000" w:rsidRDefault="00473C5F">
      <w:pPr>
        <w:jc w:val="center"/>
        <w:rPr>
          <w:rFonts w:eastAsia="Times New Roman"/>
        </w:rPr>
      </w:pPr>
      <w:r>
        <w:rPr>
          <w:rFonts w:eastAsia="Times New Roman"/>
          <w:b/>
          <w:bCs/>
          <w:color w:val="000000"/>
          <w:sz w:val="20"/>
          <w:szCs w:val="20"/>
        </w:rPr>
        <w:t>CONSOLIDATED BALANCE SHEETS</w:t>
      </w:r>
    </w:p>
    <w:p w:rsidR="00000000" w:rsidRDefault="00473C5F">
      <w:pPr>
        <w:jc w:val="center"/>
        <w:rPr>
          <w:rFonts w:eastAsia="Times New Roman"/>
        </w:rPr>
      </w:pPr>
      <w:r>
        <w:rPr>
          <w:rFonts w:eastAsia="Times New Roman"/>
          <w:b/>
          <w:bCs/>
          <w:color w:val="000000"/>
          <w:sz w:val="20"/>
          <w:szCs w:val="20"/>
        </w:rPr>
        <w:t>(Amounts in thousands, except share data)</w:t>
      </w:r>
    </w:p>
    <w:p w:rsidR="00000000" w:rsidRDefault="00473C5F">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5596"/>
        <w:gridCol w:w="42"/>
        <w:gridCol w:w="110"/>
        <w:gridCol w:w="1127"/>
        <w:gridCol w:w="36"/>
        <w:gridCol w:w="36"/>
        <w:gridCol w:w="36"/>
        <w:gridCol w:w="36"/>
        <w:gridCol w:w="110"/>
        <w:gridCol w:w="1097"/>
        <w:gridCol w:w="36"/>
      </w:tblGrid>
      <w:tr w:rsidR="00000000">
        <w:trPr>
          <w:divId w:val="224267685"/>
        </w:trPr>
        <w:tc>
          <w:tcPr>
            <w:tcW w:w="50" w:type="pct"/>
            <w:vAlign w:val="center"/>
            <w:hideMark/>
          </w:tcPr>
          <w:p w:rsidR="00000000" w:rsidRDefault="00473C5F">
            <w:pPr>
              <w:jc w:val="center"/>
              <w:rPr>
                <w:rFonts w:eastAsia="Times New Roman"/>
              </w:rPr>
            </w:pPr>
          </w:p>
        </w:tc>
        <w:tc>
          <w:tcPr>
            <w:tcW w:w="339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0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0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2021</w:t>
            </w:r>
          </w:p>
        </w:tc>
      </w:tr>
      <w:tr w:rsidR="00000000">
        <w:trPr>
          <w:divId w:val="224267685"/>
        </w:trPr>
        <w:tc>
          <w:tcPr>
            <w:tcW w:w="0" w:type="auto"/>
            <w:gridSpan w:val="3"/>
            <w:vAlign w:val="center"/>
            <w:hideMark/>
          </w:tcPr>
          <w:p w:rsidR="00000000" w:rsidRDefault="00473C5F">
            <w:pPr>
              <w:spacing w:after="100"/>
              <w:jc w:val="center"/>
              <w:rPr>
                <w:rFonts w:eastAsia="Times New Roman"/>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r>
      <w:tr w:rsidR="00000000">
        <w:trPr>
          <w:divId w:val="224267685"/>
          <w:trHeight w:val="2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b/>
                <w:bCs/>
                <w:color w:val="000000"/>
                <w:sz w:val="18"/>
                <w:szCs w:val="18"/>
                <w:u w:val="single"/>
              </w:rPr>
              <w:t>ASSETS</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  </w:t>
            </w:r>
          </w:p>
        </w:tc>
      </w:tr>
      <w:tr w:rsidR="00000000">
        <w:trPr>
          <w:divId w:val="224267685"/>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Cash and equivalents</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775,253 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734,599 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Real estate facilities, at cost: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24267685"/>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Land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5,273,073 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5,134,060 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Buildings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18,946,053 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17,673,773 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24,219,126 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22,807,833 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Accumulated depreciation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(8,554,155)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(7,773,308)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15,664,971 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15,034,525 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Construction in process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372,992 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272,471 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16,037,963 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15,306,996 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Height w:val="180"/>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Investments in unconsolidated real estate entities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275,752 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828,763 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Goodwill and other intangible assets, net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232,517 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302,894 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Other assets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230,822 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207,656 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93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Total assets </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17,552,307 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17,380,908 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r>
      <w:tr w:rsidR="00000000">
        <w:trPr>
          <w:divId w:val="224267685"/>
        </w:trPr>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b/>
                <w:bCs/>
                <w:color w:val="000000"/>
                <w:sz w:val="18"/>
                <w:szCs w:val="18"/>
                <w:u w:val="single"/>
              </w:rPr>
              <w:t>LIABILITIES AND EQUITY</w:t>
            </w: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r>
      <w:tr w:rsidR="00000000">
        <w:trPr>
          <w:divId w:val="224267685"/>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payable</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6,870,826 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7,475,279 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vAlign w:val="center"/>
            <w:hideMark/>
          </w:tcPr>
          <w:p w:rsidR="00000000" w:rsidRDefault="00473C5F">
            <w:pPr>
              <w:spacing w:after="100"/>
              <w:jc w:val="right"/>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Accrued and other liabilities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514,680 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482,091 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7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7,385,506 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7,957,370 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Commitments and contingencies (Note 14)</w:t>
            </w:r>
          </w:p>
        </w:tc>
        <w:tc>
          <w:tcPr>
            <w:tcW w:w="0" w:type="auto"/>
            <w:gridSpan w:val="3"/>
            <w:tcMar>
              <w:top w:w="30" w:type="dxa"/>
              <w:left w:w="20" w:type="dxa"/>
              <w:bottom w:w="30" w:type="dxa"/>
              <w:right w:w="20" w:type="dxa"/>
            </w:tcMar>
            <w:vAlign w:val="bottom"/>
            <w:hideMark/>
          </w:tcPr>
          <w:p w:rsidR="00000000" w:rsidRDefault="00473C5F">
            <w:pPr>
              <w:spacing w:after="100"/>
              <w:divId w:val="321012174"/>
              <w:rPr>
                <w:rFonts w:eastAsia="Times New Roman"/>
              </w:rPr>
            </w:pPr>
            <w:r>
              <w:rPr>
                <w:rFonts w:eastAsia="Times New Roman"/>
                <w:color w:val="000000"/>
                <w:sz w:val="18"/>
                <w:szCs w:val="18"/>
              </w:rPr>
              <w:t> </w:t>
            </w: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divId w:val="316498478"/>
              <w:rPr>
                <w:rFonts w:eastAsia="Times New Roman"/>
              </w:rPr>
            </w:pPr>
            <w:r>
              <w:rPr>
                <w:rFonts w:eastAsia="Times New Roman"/>
                <w:color w:val="000000"/>
                <w:sz w:val="18"/>
                <w:szCs w:val="18"/>
              </w:rPr>
              <w:t> </w:t>
            </w:r>
            <w:r>
              <w:rPr>
                <w:rFonts w:eastAsia="Times New Roman"/>
                <w:color w:val="000000"/>
                <w:sz w:val="20"/>
                <w:szCs w:val="20"/>
              </w:rPr>
              <w:t> </w:t>
            </w:r>
          </w:p>
        </w:tc>
      </w:tr>
      <w:tr w:rsidR="00000000">
        <w:trPr>
          <w:divId w:val="224267685"/>
          <w:trHeight w:val="1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Redeemable noncontrolling interests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68,249 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Equity:</w:t>
            </w: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r>
      <w:tr w:rsidR="00000000">
        <w:trPr>
          <w:divId w:val="224267685"/>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Public Storage shareholders’ equity:</w:t>
            </w: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ind w:hanging="307"/>
              <w:divId w:val="593320123"/>
              <w:rPr>
                <w:rFonts w:eastAsia="Times New Roman"/>
              </w:rPr>
            </w:pPr>
            <w:r>
              <w:rPr>
                <w:rFonts w:eastAsia="Times New Roman"/>
                <w:color w:val="000000"/>
                <w:sz w:val="18"/>
                <w:szCs w:val="18"/>
              </w:rPr>
              <w:t>Preferred Shares, $0.01 par value, 100,000,000 shares authorized, 174,000 shares issued (in series) and outstanding, (164,000 at December 31, 2021) at liquidation preference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4,350,000 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4,100,000 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20" w:type="dxa"/>
              <w:bottom w:w="30" w:type="dxa"/>
              <w:right w:w="20" w:type="dxa"/>
            </w:tcMar>
            <w:vAlign w:val="bottom"/>
            <w:hideMark/>
          </w:tcPr>
          <w:p w:rsidR="00000000" w:rsidRDefault="00473C5F">
            <w:pPr>
              <w:spacing w:after="100"/>
              <w:ind w:hanging="307"/>
              <w:divId w:val="474688467"/>
              <w:rPr>
                <w:rFonts w:eastAsia="Times New Roman"/>
              </w:rPr>
            </w:pPr>
            <w:r>
              <w:rPr>
                <w:rFonts w:eastAsia="Times New Roman"/>
                <w:color w:val="000000"/>
                <w:sz w:val="18"/>
                <w:szCs w:val="18"/>
              </w:rPr>
              <w:t xml:space="preserve">Common Shares, $0.10 par value, </w:t>
            </w:r>
            <w:r>
              <w:rPr>
                <w:rFonts w:eastAsia="Times New Roman"/>
                <w:color w:val="000000"/>
                <w:sz w:val="18"/>
                <w:szCs w:val="18"/>
              </w:rPr>
              <w:t>650,000,000 shares authorized, 175,265,668 shares issued and outstanding (175,134,455 shares at December 31, 2021)</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17,527 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17,513 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Paid-in capital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5,896,423 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5,821,667 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Accumulated deficit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(110,231)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(550,416)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Accumulated other comprehensive loss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(80,317)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(53,587)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57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Total Public Storage shareholders’ equity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10,073,402 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9,335,177 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Noncontrolling interests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93,399 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20,112 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74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Total equity</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10,166,801 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9,355,289 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24267685"/>
        </w:trPr>
        <w:tc>
          <w:tcPr>
            <w:tcW w:w="0" w:type="auto"/>
            <w:gridSpan w:val="3"/>
            <w:tcMar>
              <w:top w:w="30" w:type="dxa"/>
              <w:left w:w="93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Total liabilities, redeemable noncontrolling interests and equity</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17,552,307 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17,380,908 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divId w:val="1962296572"/>
        <w:rPr>
          <w:rFonts w:eastAsia="Times New Roman"/>
        </w:rPr>
      </w:pPr>
    </w:p>
    <w:p w:rsidR="00000000" w:rsidRDefault="00473C5F">
      <w:pPr>
        <w:jc w:val="center"/>
        <w:divId w:val="48653294"/>
        <w:rPr>
          <w:rFonts w:eastAsia="Times New Roman"/>
        </w:rPr>
      </w:pPr>
      <w:r>
        <w:rPr>
          <w:rFonts w:eastAsia="Times New Roman"/>
          <w:color w:val="000000"/>
          <w:sz w:val="20"/>
          <w:szCs w:val="20"/>
        </w:rPr>
        <w:t>See accompanying notes.</w:t>
      </w:r>
    </w:p>
    <w:p w:rsidR="00000000" w:rsidRDefault="00473C5F">
      <w:pPr>
        <w:jc w:val="center"/>
        <w:divId w:val="48653294"/>
        <w:rPr>
          <w:rFonts w:eastAsia="Times New Roman"/>
        </w:rPr>
      </w:pPr>
      <w:r>
        <w:rPr>
          <w:rFonts w:eastAsia="Times New Roman"/>
          <w:color w:val="000000"/>
          <w:sz w:val="20"/>
          <w:szCs w:val="20"/>
        </w:rPr>
        <w:t>F-3</w:t>
      </w:r>
    </w:p>
    <w:p w:rsidR="00000000" w:rsidRDefault="00473C5F">
      <w:pPr>
        <w:rPr>
          <w:rFonts w:eastAsia="Times New Roman"/>
        </w:rPr>
      </w:pPr>
      <w:r>
        <w:rPr>
          <w:rFonts w:eastAsia="Times New Roman"/>
        </w:rPr>
        <w:pict>
          <v:rect id="_x0000_i1093" style="width:0;height:1.5pt" o:hralign="center" o:hrstd="t" o:hr="t" fillcolor="#a0a0a0" stroked="f"/>
        </w:pict>
      </w:r>
    </w:p>
    <w:p w:rsidR="00000000" w:rsidRDefault="00473C5F">
      <w:pPr>
        <w:divId w:val="1610895806"/>
        <w:rPr>
          <w:rFonts w:eastAsia="Times New Roman"/>
        </w:rPr>
      </w:pPr>
    </w:p>
    <w:p w:rsidR="00000000" w:rsidRDefault="00473C5F">
      <w:pPr>
        <w:jc w:val="center"/>
        <w:rPr>
          <w:rFonts w:eastAsia="Times New Roman"/>
        </w:rPr>
      </w:pPr>
      <w:r>
        <w:rPr>
          <w:rFonts w:eastAsia="Times New Roman"/>
          <w:b/>
          <w:bCs/>
          <w:color w:val="000000"/>
          <w:sz w:val="20"/>
          <w:szCs w:val="20"/>
        </w:rPr>
        <w:t>PUBLIC STORAGE</w:t>
      </w:r>
    </w:p>
    <w:p w:rsidR="00000000" w:rsidRDefault="00473C5F">
      <w:pPr>
        <w:jc w:val="center"/>
        <w:rPr>
          <w:rFonts w:eastAsia="Times New Roman"/>
        </w:rPr>
      </w:pPr>
      <w:r>
        <w:rPr>
          <w:rFonts w:eastAsia="Times New Roman"/>
          <w:b/>
          <w:bCs/>
          <w:color w:val="000000"/>
          <w:sz w:val="20"/>
          <w:szCs w:val="20"/>
        </w:rPr>
        <w:t>CONSOLIDATED STATEMENTS OF INCOME</w:t>
      </w:r>
    </w:p>
    <w:p w:rsidR="00000000" w:rsidRDefault="00473C5F">
      <w:pPr>
        <w:jc w:val="center"/>
        <w:divId w:val="840312500"/>
        <w:rPr>
          <w:rFonts w:eastAsia="Times New Roman"/>
        </w:rPr>
      </w:pPr>
      <w:r>
        <w:rPr>
          <w:rFonts w:eastAsia="Times New Roman"/>
          <w:b/>
          <w:bCs/>
          <w:color w:val="000000"/>
          <w:sz w:val="20"/>
          <w:szCs w:val="20"/>
        </w:rPr>
        <w:t>(Amounts in thousands, except per share amounts)</w:t>
      </w:r>
    </w:p>
    <w:p w:rsidR="00000000" w:rsidRDefault="00473C5F">
      <w:pPr>
        <w:jc w:val="center"/>
        <w:divId w:val="1460611459"/>
        <w:rPr>
          <w:rFonts w:eastAsia="Times New Roman"/>
        </w:rPr>
      </w:pPr>
    </w:p>
    <w:p w:rsidR="00000000" w:rsidRDefault="00473C5F">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4585"/>
        <w:gridCol w:w="39"/>
        <w:gridCol w:w="36"/>
        <w:gridCol w:w="36"/>
        <w:gridCol w:w="36"/>
        <w:gridCol w:w="36"/>
        <w:gridCol w:w="36"/>
        <w:gridCol w:w="36"/>
        <w:gridCol w:w="110"/>
        <w:gridCol w:w="945"/>
        <w:gridCol w:w="36"/>
        <w:gridCol w:w="36"/>
        <w:gridCol w:w="36"/>
        <w:gridCol w:w="36"/>
        <w:gridCol w:w="110"/>
        <w:gridCol w:w="907"/>
        <w:gridCol w:w="36"/>
        <w:gridCol w:w="36"/>
        <w:gridCol w:w="36"/>
        <w:gridCol w:w="36"/>
        <w:gridCol w:w="110"/>
        <w:gridCol w:w="907"/>
        <w:gridCol w:w="36"/>
      </w:tblGrid>
      <w:tr w:rsidR="00000000">
        <w:trPr>
          <w:jc w:val="center"/>
        </w:trPr>
        <w:tc>
          <w:tcPr>
            <w:tcW w:w="50" w:type="pct"/>
            <w:vAlign w:val="center"/>
            <w:hideMark/>
          </w:tcPr>
          <w:p w:rsidR="00000000" w:rsidRDefault="00473C5F">
            <w:pPr>
              <w:jc w:val="center"/>
              <w:rPr>
                <w:rFonts w:eastAsia="Times New Roman"/>
              </w:rPr>
            </w:pPr>
          </w:p>
        </w:tc>
        <w:tc>
          <w:tcPr>
            <w:tcW w:w="286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For the Years Ended December 31,</w:t>
            </w:r>
          </w:p>
        </w:tc>
      </w:tr>
      <w:tr w:rsidR="00000000">
        <w:trPr>
          <w:jc w:val="center"/>
        </w:trPr>
        <w:tc>
          <w:tcPr>
            <w:tcW w:w="0" w:type="auto"/>
            <w:gridSpan w:val="3"/>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2020</w:t>
            </w: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Revenues: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Self-storage facilities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3,946,028 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3,203,566 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2,721,630 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Ancillary operations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236,135 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212,258 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193,438 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4,182,163 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3,415,824 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2,915,068 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Expenses: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Self-storage cost of operations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980,209 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852,030 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807,543 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Ancillary cost of operations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72,698 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68,568 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59,919 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Depreciation and amortization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888,146 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713,428 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553,257 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General and administrative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114,742 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101,254 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83,199 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Interest expense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136,319 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90,774 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56,283 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2,192,114 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1,826,054 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1,560,201 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Other increases (decreases) to net income: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Interest and other income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40,567 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12,306 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22,323 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Equity in earnings of unconsolidated real estate entities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106,981 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232,093 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80,497 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Foreign currency exchange gain (loss)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98,314 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111,787 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(97,953)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vAlign w:val="center"/>
            <w:hideMark/>
          </w:tcPr>
          <w:p w:rsidR="00000000" w:rsidRDefault="00473C5F">
            <w:pPr>
              <w:spacing w:after="100"/>
              <w:jc w:val="right"/>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Gain on sale of real estate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Gain on sale of equity investment in PS Business Parks, Inc.</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2,128,860 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Net income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4,366,274 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1,959,639 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1,361,227 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Allocation to noncontrolling interests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(17,127)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(6,376)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(4,014)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Net income allocable to Public Storage shareholders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4,349,147 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1,953,263 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1,357,213 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Allocation of net income to:</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Preferred shareholders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(194,390)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(186,579)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(207,068)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Preferred shareholders - redemptions (Note 9)</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(28,914)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(48,265)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Restricted share units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(12,469)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(5,326)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(3,545)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Net income allocable to common shareholders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4,142,288 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1,732,444 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1,098,335 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Net income per common share: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Basic</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Diluted</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23.50 </w:t>
            </w:r>
          </w:p>
        </w:tc>
        <w:tc>
          <w:tcPr>
            <w:tcW w:w="0" w:type="auto"/>
            <w:tcBorders>
              <w:top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9.87 </w:t>
            </w:r>
          </w:p>
        </w:tc>
        <w:tc>
          <w:tcPr>
            <w:tcW w:w="0" w:type="auto"/>
            <w:tcBorders>
              <w:top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6.29 </w:t>
            </w:r>
          </w:p>
        </w:tc>
        <w:tc>
          <w:tcPr>
            <w:tcW w:w="0" w:type="auto"/>
            <w:tcBorders>
              <w:top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Basic weighted average common shares outstanding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175,257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174,858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174,494</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Diluted weighted average common shares outstanding</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176,280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175,568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174,642</w:t>
            </w:r>
          </w:p>
        </w:tc>
      </w:tr>
    </w:tbl>
    <w:p w:rsidR="00000000" w:rsidRDefault="00473C5F">
      <w:pPr>
        <w:divId w:val="1408380984"/>
        <w:rPr>
          <w:rFonts w:eastAsia="Times New Roman"/>
        </w:rPr>
      </w:pPr>
    </w:p>
    <w:p w:rsidR="00000000" w:rsidRDefault="00473C5F">
      <w:pPr>
        <w:jc w:val="center"/>
        <w:divId w:val="2047874966"/>
        <w:rPr>
          <w:rFonts w:eastAsia="Times New Roman"/>
        </w:rPr>
      </w:pPr>
      <w:r>
        <w:rPr>
          <w:rFonts w:eastAsia="Times New Roman"/>
          <w:color w:val="000000"/>
          <w:sz w:val="20"/>
          <w:szCs w:val="20"/>
        </w:rPr>
        <w:t>See accompanying notes.</w:t>
      </w:r>
    </w:p>
    <w:p w:rsidR="00000000" w:rsidRDefault="00473C5F">
      <w:pPr>
        <w:jc w:val="center"/>
        <w:divId w:val="2047874966"/>
        <w:rPr>
          <w:rFonts w:eastAsia="Times New Roman"/>
        </w:rPr>
      </w:pPr>
      <w:r>
        <w:rPr>
          <w:rFonts w:eastAsia="Times New Roman"/>
          <w:color w:val="000000"/>
          <w:sz w:val="20"/>
          <w:szCs w:val="20"/>
        </w:rPr>
        <w:t>F-4</w:t>
      </w:r>
    </w:p>
    <w:p w:rsidR="00000000" w:rsidRDefault="00473C5F">
      <w:pPr>
        <w:rPr>
          <w:rFonts w:eastAsia="Times New Roman"/>
        </w:rPr>
      </w:pPr>
      <w:r>
        <w:rPr>
          <w:rFonts w:eastAsia="Times New Roman"/>
        </w:rPr>
        <w:pict>
          <v:rect id="_x0000_i1094" style="width:0;height:1.5pt" o:hralign="center" o:hrstd="t" o:hr="t" fillcolor="#a0a0a0" stroked="f"/>
        </w:pict>
      </w:r>
    </w:p>
    <w:p w:rsidR="00000000" w:rsidRDefault="00473C5F">
      <w:pPr>
        <w:divId w:val="170918175"/>
        <w:rPr>
          <w:rFonts w:eastAsia="Times New Roman"/>
        </w:rPr>
      </w:pPr>
    </w:p>
    <w:p w:rsidR="00000000" w:rsidRDefault="00473C5F">
      <w:pPr>
        <w:jc w:val="center"/>
        <w:rPr>
          <w:rFonts w:eastAsia="Times New Roman"/>
        </w:rPr>
      </w:pPr>
      <w:r>
        <w:rPr>
          <w:rFonts w:eastAsia="Times New Roman"/>
          <w:b/>
          <w:bCs/>
          <w:color w:val="000000"/>
          <w:sz w:val="20"/>
          <w:szCs w:val="20"/>
        </w:rPr>
        <w:t>PUBLIC STORAGE</w:t>
      </w:r>
    </w:p>
    <w:p w:rsidR="00000000" w:rsidRDefault="00473C5F">
      <w:pPr>
        <w:jc w:val="center"/>
        <w:rPr>
          <w:rFonts w:eastAsia="Times New Roman"/>
        </w:rPr>
      </w:pPr>
      <w:r>
        <w:rPr>
          <w:rFonts w:eastAsia="Times New Roman"/>
          <w:b/>
          <w:bCs/>
          <w:color w:val="000000"/>
          <w:sz w:val="20"/>
          <w:szCs w:val="20"/>
        </w:rPr>
        <w:t>CONSOLIDATED STATEMENTS OF COMPREHENSIVE INCOME</w:t>
      </w:r>
    </w:p>
    <w:p w:rsidR="00000000" w:rsidRDefault="00473C5F">
      <w:pPr>
        <w:jc w:val="center"/>
        <w:divId w:val="277182710"/>
        <w:rPr>
          <w:rFonts w:eastAsia="Times New Roman"/>
        </w:rPr>
      </w:pPr>
      <w:r>
        <w:rPr>
          <w:rFonts w:eastAsia="Times New Roman"/>
          <w:b/>
          <w:bCs/>
          <w:color w:val="000000"/>
          <w:sz w:val="20"/>
          <w:szCs w:val="20"/>
        </w:rPr>
        <w:t>(Amounts in thousands)</w:t>
      </w:r>
    </w:p>
    <w:p w:rsidR="00000000" w:rsidRDefault="00473C5F">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4582"/>
        <w:gridCol w:w="37"/>
        <w:gridCol w:w="36"/>
        <w:gridCol w:w="36"/>
        <w:gridCol w:w="36"/>
        <w:gridCol w:w="36"/>
        <w:gridCol w:w="36"/>
        <w:gridCol w:w="36"/>
        <w:gridCol w:w="110"/>
        <w:gridCol w:w="950"/>
        <w:gridCol w:w="36"/>
        <w:gridCol w:w="36"/>
        <w:gridCol w:w="36"/>
        <w:gridCol w:w="36"/>
        <w:gridCol w:w="110"/>
        <w:gridCol w:w="907"/>
        <w:gridCol w:w="36"/>
        <w:gridCol w:w="36"/>
        <w:gridCol w:w="36"/>
        <w:gridCol w:w="36"/>
        <w:gridCol w:w="110"/>
        <w:gridCol w:w="908"/>
        <w:gridCol w:w="36"/>
      </w:tblGrid>
      <w:tr w:rsidR="00000000">
        <w:trPr>
          <w:jc w:val="center"/>
        </w:trPr>
        <w:tc>
          <w:tcPr>
            <w:tcW w:w="50" w:type="pct"/>
            <w:vAlign w:val="center"/>
            <w:hideMark/>
          </w:tcPr>
          <w:p w:rsidR="00000000" w:rsidRDefault="00473C5F">
            <w:pPr>
              <w:jc w:val="center"/>
              <w:rPr>
                <w:rFonts w:eastAsia="Times New Roman"/>
              </w:rPr>
            </w:pPr>
          </w:p>
        </w:tc>
        <w:tc>
          <w:tcPr>
            <w:tcW w:w="283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For the Years Ended December 31,</w:t>
            </w:r>
          </w:p>
        </w:tc>
      </w:tr>
      <w:tr w:rsidR="00000000">
        <w:trPr>
          <w:jc w:val="center"/>
        </w:trPr>
        <w:tc>
          <w:tcPr>
            <w:tcW w:w="0" w:type="auto"/>
            <w:gridSpan w:val="3"/>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2020</w:t>
            </w: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Net income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4,366,274 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1,959,639 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1,361,227 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Foreign currency exchange (loss) gain on investment in Shurgard</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(26,730)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(10,186)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21,489 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Total comprehensive income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4,339,544 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1,949,453 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1,382,716 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Allocation to noncontrolling interests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(17,127)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(6,376)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(4,014)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Comprehensive income allocable to Public Storage shareholders</w:t>
            </w:r>
          </w:p>
        </w:tc>
        <w:tc>
          <w:tcPr>
            <w:tcW w:w="0" w:type="auto"/>
            <w:vAlign w:val="center"/>
            <w:hideMark/>
          </w:tcPr>
          <w:p w:rsidR="00000000" w:rsidRDefault="00473C5F">
            <w:pPr>
              <w:spacing w:after="100"/>
              <w:ind w:hanging="9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4,322,417 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1,943,077 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1,378,702 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divId w:val="1622373092"/>
        <w:rPr>
          <w:rFonts w:eastAsia="Times New Roman"/>
        </w:rPr>
      </w:pPr>
    </w:p>
    <w:p w:rsidR="00000000" w:rsidRDefault="00473C5F">
      <w:pPr>
        <w:jc w:val="center"/>
        <w:divId w:val="1063405063"/>
        <w:rPr>
          <w:rFonts w:eastAsia="Times New Roman"/>
        </w:rPr>
      </w:pPr>
      <w:r>
        <w:rPr>
          <w:rFonts w:eastAsia="Times New Roman"/>
          <w:color w:val="000000"/>
          <w:sz w:val="20"/>
          <w:szCs w:val="20"/>
        </w:rPr>
        <w:t>See accompanying notes.</w:t>
      </w:r>
    </w:p>
    <w:p w:rsidR="00000000" w:rsidRDefault="00473C5F">
      <w:pPr>
        <w:jc w:val="center"/>
        <w:divId w:val="1063405063"/>
        <w:rPr>
          <w:rFonts w:eastAsia="Times New Roman"/>
        </w:rPr>
      </w:pPr>
      <w:r>
        <w:rPr>
          <w:rFonts w:eastAsia="Times New Roman"/>
          <w:color w:val="000000"/>
          <w:sz w:val="20"/>
          <w:szCs w:val="20"/>
        </w:rPr>
        <w:t>F-5</w:t>
      </w:r>
    </w:p>
    <w:p w:rsidR="00000000" w:rsidRDefault="00473C5F">
      <w:pPr>
        <w:rPr>
          <w:rFonts w:eastAsia="Times New Roman"/>
        </w:rPr>
      </w:pPr>
      <w:r>
        <w:rPr>
          <w:rFonts w:eastAsia="Times New Roman"/>
        </w:rPr>
        <w:pict>
          <v:rect id="_x0000_i1095" style="width:0;height:1.5pt" o:hralign="center" o:hrstd="t" o:hr="t" fillcolor="#a0a0a0" stroked="f"/>
        </w:pict>
      </w:r>
    </w:p>
    <w:p w:rsidR="00000000" w:rsidRDefault="00473C5F">
      <w:pPr>
        <w:divId w:val="220167687"/>
        <w:rPr>
          <w:rFonts w:eastAsia="Times New Roman"/>
        </w:rPr>
      </w:pPr>
    </w:p>
    <w:p w:rsidR="00000000" w:rsidRDefault="00473C5F">
      <w:pPr>
        <w:jc w:val="center"/>
        <w:rPr>
          <w:rFonts w:eastAsia="Times New Roman"/>
        </w:rPr>
      </w:pPr>
      <w:r>
        <w:rPr>
          <w:rFonts w:eastAsia="Times New Roman"/>
          <w:b/>
          <w:bCs/>
          <w:color w:val="000000"/>
          <w:sz w:val="20"/>
          <w:szCs w:val="20"/>
        </w:rPr>
        <w:t>PUBLIC STORAGE</w:t>
      </w:r>
    </w:p>
    <w:p w:rsidR="00000000" w:rsidRDefault="00473C5F">
      <w:pPr>
        <w:jc w:val="center"/>
        <w:rPr>
          <w:rFonts w:eastAsia="Times New Roman"/>
        </w:rPr>
      </w:pPr>
      <w:r>
        <w:rPr>
          <w:rFonts w:eastAsia="Times New Roman"/>
          <w:b/>
          <w:bCs/>
          <w:color w:val="000000"/>
          <w:sz w:val="20"/>
          <w:szCs w:val="20"/>
        </w:rPr>
        <w:t>CONSOLIDATED STATEMENTS OF EQUITY AND REDEEMABLE NONCONTROLLING INTERESTS</w:t>
      </w:r>
    </w:p>
    <w:p w:rsidR="00000000" w:rsidRDefault="00473C5F">
      <w:pPr>
        <w:jc w:val="center"/>
        <w:rPr>
          <w:rFonts w:eastAsia="Times New Roman"/>
        </w:rPr>
      </w:pPr>
      <w:r>
        <w:rPr>
          <w:rFonts w:eastAsia="Times New Roman"/>
          <w:b/>
          <w:bCs/>
          <w:color w:val="000000"/>
          <w:sz w:val="20"/>
          <w:szCs w:val="20"/>
        </w:rPr>
        <w:t>(Amounts in thousands, except share and per share amounts)</w:t>
      </w:r>
    </w:p>
    <w:p w:rsidR="00000000" w:rsidRDefault="00473C5F">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175"/>
        <w:gridCol w:w="38"/>
        <w:gridCol w:w="110"/>
        <w:gridCol w:w="765"/>
        <w:gridCol w:w="36"/>
        <w:gridCol w:w="36"/>
        <w:gridCol w:w="36"/>
        <w:gridCol w:w="36"/>
        <w:gridCol w:w="110"/>
        <w:gridCol w:w="540"/>
        <w:gridCol w:w="36"/>
        <w:gridCol w:w="36"/>
        <w:gridCol w:w="36"/>
        <w:gridCol w:w="36"/>
        <w:gridCol w:w="110"/>
        <w:gridCol w:w="765"/>
        <w:gridCol w:w="36"/>
        <w:gridCol w:w="36"/>
        <w:gridCol w:w="36"/>
        <w:gridCol w:w="36"/>
        <w:gridCol w:w="112"/>
        <w:gridCol w:w="770"/>
        <w:gridCol w:w="36"/>
        <w:gridCol w:w="36"/>
        <w:gridCol w:w="36"/>
        <w:gridCol w:w="36"/>
        <w:gridCol w:w="131"/>
        <w:gridCol w:w="901"/>
        <w:gridCol w:w="36"/>
        <w:gridCol w:w="36"/>
        <w:gridCol w:w="36"/>
        <w:gridCol w:w="36"/>
        <w:gridCol w:w="110"/>
        <w:gridCol w:w="765"/>
        <w:gridCol w:w="36"/>
        <w:gridCol w:w="36"/>
        <w:gridCol w:w="36"/>
        <w:gridCol w:w="36"/>
        <w:gridCol w:w="127"/>
        <w:gridCol w:w="879"/>
        <w:gridCol w:w="36"/>
        <w:gridCol w:w="36"/>
        <w:gridCol w:w="36"/>
        <w:gridCol w:w="36"/>
        <w:gridCol w:w="110"/>
        <w:gridCol w:w="765"/>
        <w:gridCol w:w="36"/>
        <w:gridCol w:w="36"/>
        <w:gridCol w:w="36"/>
        <w:gridCol w:w="36"/>
        <w:gridCol w:w="127"/>
        <w:gridCol w:w="879"/>
        <w:gridCol w:w="36"/>
      </w:tblGrid>
      <w:tr w:rsidR="00000000">
        <w:trPr>
          <w:jc w:val="center"/>
        </w:trPr>
        <w:tc>
          <w:tcPr>
            <w:tcW w:w="50" w:type="pct"/>
            <w:vAlign w:val="center"/>
            <w:hideMark/>
          </w:tcPr>
          <w:p w:rsidR="00000000" w:rsidRDefault="00473C5F">
            <w:pPr>
              <w:jc w:val="center"/>
              <w:rPr>
                <w:rFonts w:eastAsia="Times New Roman"/>
              </w:rPr>
            </w:pPr>
          </w:p>
        </w:tc>
        <w:tc>
          <w:tcPr>
            <w:tcW w:w="116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Redeemable Noncontrolling Interests</w:t>
            </w: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divId w:val="1655404100"/>
              <w:rPr>
                <w:rFonts w:eastAsia="Times New Roman"/>
              </w:rPr>
            </w:pPr>
            <w:r>
              <w:rPr>
                <w:rFonts w:eastAsia="Times New Roman"/>
                <w:b/>
                <w:bCs/>
                <w:color w:val="000000"/>
                <w:sz w:val="18"/>
                <w:szCs w:val="18"/>
              </w:rPr>
              <w:t>Balances at December 31, 2019</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4,065,000 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17,442 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5,710,934 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(665,575)</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(64,890)</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9,062,911 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16,756 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9,079,667 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915163197"/>
              <w:rPr>
                <w:rFonts w:eastAsia="Times New Roman"/>
              </w:rPr>
            </w:pPr>
            <w:r>
              <w:rPr>
                <w:rFonts w:eastAsia="Times New Roman"/>
                <w:color w:val="000000"/>
                <w:sz w:val="18"/>
                <w:szCs w:val="18"/>
              </w:rPr>
              <w:t xml:space="preserve">Issuance of 49,900 </w:t>
            </w:r>
            <w:r>
              <w:rPr>
                <w:rFonts w:eastAsia="Times New Roman"/>
                <w:color w:val="000000"/>
                <w:sz w:val="18"/>
                <w:szCs w:val="18"/>
              </w:rPr>
              <w:t xml:space="preserve">preferred shares (Note 9)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1,247,500 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(39,294)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1,208,206 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1,208,206 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ind w:hanging="90"/>
              <w:divId w:val="1933514176"/>
              <w:rPr>
                <w:rFonts w:eastAsia="Times New Roman"/>
              </w:rPr>
            </w:pPr>
            <w:r>
              <w:rPr>
                <w:rFonts w:eastAsia="Times New Roman"/>
                <w:color w:val="000000"/>
                <w:sz w:val="18"/>
                <w:szCs w:val="18"/>
              </w:rPr>
              <w:t>Redemption and shares called for redemption of 60,800 preferred shares (Note 9)</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(1,520,000)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(1,520,000)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(1,520,000)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ind w:hanging="90"/>
              <w:divId w:val="1656641473"/>
              <w:rPr>
                <w:rFonts w:eastAsia="Times New Roman"/>
              </w:rPr>
            </w:pPr>
            <w:r>
              <w:rPr>
                <w:rFonts w:eastAsia="Times New Roman"/>
                <w:color w:val="000000"/>
                <w:sz w:val="18"/>
                <w:szCs w:val="18"/>
              </w:rPr>
              <w:t>Issuance of common shares in connection with share-based compensation (163,127 shares) (Note 11)</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12,648 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12,664 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12,664 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Share-based compensation expense, net of cash paid in lieu of common shares (Note 11)</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22,845 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22,845 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22,845 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Acquisition of noncontrolling interests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Net income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1,361,227 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1,361,227 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1,361,227 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Net income allocated to noncontrolling interests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(4,014)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(4,014)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Preferred shareholders (Note 9)</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(207,068)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(207,068)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(207,068)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Noncontrolling interests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(5,366)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(5,366)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ind w:hanging="90"/>
              <w:divId w:val="654529040"/>
              <w:rPr>
                <w:rFonts w:eastAsia="Times New Roman"/>
              </w:rPr>
            </w:pPr>
            <w:r>
              <w:rPr>
                <w:rFonts w:eastAsia="Times New Roman"/>
                <w:color w:val="000000"/>
                <w:sz w:val="18"/>
                <w:szCs w:val="18"/>
              </w:rPr>
              <w:t>Common shareholders and restricted share unitholders ($8.00 per share)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(1,399,361)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(1,399,361)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(1,399,361)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Other comprehensive income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21,489 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21,489 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21,489 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divId w:val="1437024793"/>
              <w:rPr>
                <w:rFonts w:eastAsia="Times New Roman"/>
              </w:rPr>
            </w:pPr>
            <w:r>
              <w:rPr>
                <w:rFonts w:eastAsia="Times New Roman"/>
                <w:b/>
                <w:bCs/>
                <w:color w:val="000000"/>
                <w:sz w:val="18"/>
                <w:szCs w:val="18"/>
              </w:rPr>
              <w:t>Balances at December 31, 2020</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3,792,500 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17,458 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5,707,101 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(914,791)</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(43,401)</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8,558,867 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18,032 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8,576,899 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451588453"/>
              <w:rPr>
                <w:rFonts w:eastAsia="Times New Roman"/>
              </w:rPr>
            </w:pPr>
            <w:r>
              <w:rPr>
                <w:rFonts w:eastAsia="Times New Roman"/>
                <w:color w:val="000000"/>
                <w:sz w:val="18"/>
                <w:szCs w:val="18"/>
              </w:rPr>
              <w:t xml:space="preserve">Issuance of 47,300 </w:t>
            </w:r>
            <w:r>
              <w:rPr>
                <w:rFonts w:eastAsia="Times New Roman"/>
                <w:color w:val="000000"/>
                <w:sz w:val="18"/>
                <w:szCs w:val="18"/>
              </w:rPr>
              <w:t xml:space="preserve">preferred shares (Note 9)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1,182,500 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(35,045)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1,147,455 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1,147,455 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ind w:hanging="90"/>
              <w:divId w:val="281152106"/>
              <w:rPr>
                <w:rFonts w:eastAsia="Times New Roman"/>
              </w:rPr>
            </w:pPr>
            <w:r>
              <w:rPr>
                <w:rFonts w:eastAsia="Times New Roman"/>
                <w:color w:val="000000"/>
                <w:sz w:val="18"/>
                <w:szCs w:val="18"/>
              </w:rPr>
              <w:t xml:space="preserve">Redemption of 35,000 preferred shares (Note 9)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(875,000)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(875,000)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w:t>
            </w:r>
            <w:r>
              <w:rPr>
                <w:rFonts w:eastAsia="Times New Roman"/>
                <w:color w:val="000000"/>
                <w:sz w:val="18"/>
                <w:szCs w:val="18"/>
              </w:rPr>
              <w:t>875,000)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ind w:hanging="90"/>
              <w:divId w:val="115410716"/>
              <w:rPr>
                <w:rFonts w:eastAsia="Times New Roman"/>
              </w:rPr>
            </w:pPr>
            <w:r>
              <w:rPr>
                <w:rFonts w:eastAsia="Times New Roman"/>
                <w:color w:val="000000"/>
                <w:sz w:val="18"/>
                <w:szCs w:val="18"/>
              </w:rPr>
              <w:t>Issuance of common shares in connection with share-based compensation (552,713 shares) (Note 11)</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95,805 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95,860 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95,860 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Share-based compensation expense, net of cash paid in lieu of common shares (Note 11)</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54,492 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54,492 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54,492 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Acquisition of noncontrolling interests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(686)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(686)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(692)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68,170 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Net income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1,959,639 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1,959,639 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1,959,639 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jc w:val="center"/>
        <w:rPr>
          <w:rFonts w:eastAsia="Times New Roman"/>
        </w:rPr>
      </w:pPr>
    </w:p>
    <w:p w:rsidR="00000000" w:rsidRDefault="00473C5F">
      <w:pPr>
        <w:jc w:val="center"/>
        <w:rPr>
          <w:rFonts w:eastAsia="Times New Roman"/>
        </w:rPr>
      </w:pPr>
    </w:p>
    <w:p w:rsidR="00000000" w:rsidRDefault="00473C5F">
      <w:pPr>
        <w:jc w:val="center"/>
        <w:rPr>
          <w:rFonts w:eastAsia="Times New Roman"/>
        </w:rPr>
      </w:pPr>
    </w:p>
    <w:p w:rsidR="00000000" w:rsidRDefault="00473C5F">
      <w:pPr>
        <w:jc w:val="center"/>
        <w:divId w:val="1281062674"/>
        <w:rPr>
          <w:rFonts w:eastAsia="Times New Roman"/>
        </w:rPr>
      </w:pPr>
      <w:r>
        <w:rPr>
          <w:rFonts w:eastAsia="Times New Roman"/>
          <w:color w:val="000000"/>
          <w:sz w:val="20"/>
          <w:szCs w:val="20"/>
        </w:rPr>
        <w:t>See accompanying notes.</w:t>
      </w:r>
    </w:p>
    <w:p w:rsidR="00000000" w:rsidRDefault="00473C5F">
      <w:pPr>
        <w:jc w:val="center"/>
        <w:divId w:val="1281062674"/>
        <w:rPr>
          <w:rFonts w:eastAsia="Times New Roman"/>
        </w:rPr>
      </w:pPr>
      <w:r>
        <w:rPr>
          <w:rFonts w:eastAsia="Times New Roman"/>
          <w:color w:val="000000"/>
          <w:sz w:val="20"/>
          <w:szCs w:val="20"/>
        </w:rPr>
        <w:t>F-6</w:t>
      </w:r>
    </w:p>
    <w:p w:rsidR="00000000" w:rsidRDefault="00473C5F">
      <w:pPr>
        <w:rPr>
          <w:rFonts w:eastAsia="Times New Roman"/>
        </w:rPr>
      </w:pPr>
      <w:r>
        <w:rPr>
          <w:rFonts w:eastAsia="Times New Roman"/>
        </w:rPr>
        <w:pict>
          <v:rect id="_x0000_i1096" style="width:0;height:1.5pt" o:hralign="center" o:hrstd="t" o:hr="t" fillcolor="#a0a0a0" stroked="f"/>
        </w:pict>
      </w:r>
    </w:p>
    <w:p w:rsidR="00000000" w:rsidRDefault="00473C5F">
      <w:pPr>
        <w:divId w:val="1629628544"/>
        <w:rPr>
          <w:rFonts w:eastAsia="Times New Roman"/>
        </w:rPr>
      </w:pPr>
    </w:p>
    <w:p w:rsidR="00000000" w:rsidRDefault="00473C5F">
      <w:pPr>
        <w:jc w:val="center"/>
        <w:rPr>
          <w:rFonts w:eastAsia="Times New Roman"/>
        </w:rPr>
      </w:pPr>
      <w:r>
        <w:rPr>
          <w:rFonts w:eastAsia="Times New Roman"/>
          <w:b/>
          <w:bCs/>
          <w:color w:val="000000"/>
          <w:sz w:val="20"/>
          <w:szCs w:val="20"/>
        </w:rPr>
        <w:t>PUBLIC STORAGE</w:t>
      </w:r>
    </w:p>
    <w:p w:rsidR="00000000" w:rsidRDefault="00473C5F">
      <w:pPr>
        <w:jc w:val="center"/>
        <w:rPr>
          <w:rFonts w:eastAsia="Times New Roman"/>
        </w:rPr>
      </w:pPr>
      <w:r>
        <w:rPr>
          <w:rFonts w:eastAsia="Times New Roman"/>
          <w:b/>
          <w:bCs/>
          <w:color w:val="000000"/>
          <w:sz w:val="20"/>
          <w:szCs w:val="20"/>
        </w:rPr>
        <w:t>CONSOLIDATED STATEMENTS OF EQUITY AND REDEEMABLE NONCONTROLLING INTERESTS</w:t>
      </w:r>
    </w:p>
    <w:p w:rsidR="00000000" w:rsidRDefault="00473C5F">
      <w:pPr>
        <w:jc w:val="center"/>
        <w:rPr>
          <w:rFonts w:eastAsia="Times New Roman"/>
        </w:rPr>
      </w:pPr>
      <w:r>
        <w:rPr>
          <w:rFonts w:eastAsia="Times New Roman"/>
          <w:b/>
          <w:bCs/>
          <w:color w:val="000000"/>
          <w:sz w:val="20"/>
          <w:szCs w:val="20"/>
        </w:rPr>
        <w:t>(Amounts in thousands, except share and per share amounts)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137"/>
        <w:gridCol w:w="36"/>
        <w:gridCol w:w="110"/>
        <w:gridCol w:w="765"/>
        <w:gridCol w:w="36"/>
        <w:gridCol w:w="36"/>
        <w:gridCol w:w="36"/>
        <w:gridCol w:w="36"/>
        <w:gridCol w:w="110"/>
        <w:gridCol w:w="540"/>
        <w:gridCol w:w="36"/>
        <w:gridCol w:w="36"/>
        <w:gridCol w:w="36"/>
        <w:gridCol w:w="36"/>
        <w:gridCol w:w="110"/>
        <w:gridCol w:w="765"/>
        <w:gridCol w:w="36"/>
        <w:gridCol w:w="36"/>
        <w:gridCol w:w="36"/>
        <w:gridCol w:w="36"/>
        <w:gridCol w:w="112"/>
        <w:gridCol w:w="770"/>
        <w:gridCol w:w="36"/>
        <w:gridCol w:w="36"/>
        <w:gridCol w:w="36"/>
        <w:gridCol w:w="36"/>
        <w:gridCol w:w="131"/>
        <w:gridCol w:w="901"/>
        <w:gridCol w:w="36"/>
        <w:gridCol w:w="36"/>
        <w:gridCol w:w="36"/>
        <w:gridCol w:w="36"/>
        <w:gridCol w:w="110"/>
        <w:gridCol w:w="855"/>
        <w:gridCol w:w="36"/>
        <w:gridCol w:w="36"/>
        <w:gridCol w:w="36"/>
        <w:gridCol w:w="36"/>
        <w:gridCol w:w="127"/>
        <w:gridCol w:w="879"/>
        <w:gridCol w:w="36"/>
        <w:gridCol w:w="36"/>
        <w:gridCol w:w="36"/>
        <w:gridCol w:w="36"/>
        <w:gridCol w:w="110"/>
        <w:gridCol w:w="855"/>
        <w:gridCol w:w="36"/>
        <w:gridCol w:w="36"/>
        <w:gridCol w:w="36"/>
        <w:gridCol w:w="36"/>
        <w:gridCol w:w="127"/>
        <w:gridCol w:w="879"/>
        <w:gridCol w:w="36"/>
      </w:tblGrid>
      <w:tr w:rsidR="00000000">
        <w:trPr>
          <w:jc w:val="center"/>
        </w:trPr>
        <w:tc>
          <w:tcPr>
            <w:tcW w:w="50" w:type="pct"/>
            <w:vAlign w:val="center"/>
            <w:hideMark/>
          </w:tcPr>
          <w:p w:rsidR="00000000" w:rsidRDefault="00473C5F">
            <w:pPr>
              <w:jc w:val="center"/>
              <w:rPr>
                <w:rFonts w:eastAsia="Times New Roman"/>
              </w:rPr>
            </w:pPr>
          </w:p>
        </w:tc>
        <w:tc>
          <w:tcPr>
            <w:tcW w:w="116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4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6"/>
                <w:szCs w:val="16"/>
              </w:rPr>
              <w:t>Redeemable Noncontrolling Interests</w:t>
            </w: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Net income allocated to noncontrolling interests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(6,376)</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(6,376)</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5,906 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(470)</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473C5F">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Preferred shareholders (Note 9)</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(186,579)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(186,579)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(186,579)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Noncontrolling interests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(6,271)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(6,271)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(391)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ind w:hanging="90"/>
              <w:divId w:val="840463164"/>
              <w:rPr>
                <w:rFonts w:eastAsia="Times New Roman"/>
              </w:rPr>
            </w:pPr>
            <w:r>
              <w:rPr>
                <w:rFonts w:eastAsia="Times New Roman"/>
                <w:color w:val="000000"/>
                <w:sz w:val="18"/>
                <w:szCs w:val="18"/>
              </w:rPr>
              <w:t>Common shareholders and restricted share unitholders ($8.00 per share)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(1,402,309)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(1,402,309)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(1,402,309)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Other comprehensive loss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(10,186)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(10,186)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(10,186)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divId w:val="1824614180"/>
              <w:rPr>
                <w:rFonts w:eastAsia="Times New Roman"/>
              </w:rPr>
            </w:pPr>
            <w:r>
              <w:rPr>
                <w:rFonts w:eastAsia="Times New Roman"/>
                <w:b/>
                <w:bCs/>
                <w:color w:val="000000"/>
                <w:sz w:val="18"/>
                <w:szCs w:val="18"/>
              </w:rPr>
              <w:t>Balances at December 31, 2021</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4,100,000 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17,513 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5,821,667 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(550,416)</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(53,587)</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9,335,177 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20,112 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9,355,289 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68,249 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1913546349"/>
              <w:rPr>
                <w:rFonts w:eastAsia="Times New Roman"/>
              </w:rPr>
            </w:pPr>
            <w:r>
              <w:rPr>
                <w:rFonts w:eastAsia="Times New Roman"/>
                <w:color w:val="000000"/>
                <w:sz w:val="18"/>
                <w:szCs w:val="18"/>
              </w:rPr>
              <w:t xml:space="preserve">Issuance of 10,000 </w:t>
            </w:r>
            <w:r>
              <w:rPr>
                <w:rFonts w:eastAsia="Times New Roman"/>
                <w:color w:val="000000"/>
                <w:sz w:val="18"/>
                <w:szCs w:val="18"/>
              </w:rPr>
              <w:t xml:space="preserve">preferred shares (Note 9)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(7,168)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242,832 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242,832 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vAlign w:val="center"/>
            <w:hideMark/>
          </w:tcPr>
          <w:p w:rsidR="00000000" w:rsidRDefault="00473C5F">
            <w:pPr>
              <w:spacing w:after="100"/>
              <w:jc w:val="right"/>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ind w:hanging="90"/>
              <w:divId w:val="409036861"/>
              <w:rPr>
                <w:rFonts w:eastAsia="Times New Roman"/>
              </w:rPr>
            </w:pPr>
            <w:r>
              <w:rPr>
                <w:rFonts w:eastAsia="Times New Roman"/>
                <w:color w:val="000000"/>
                <w:sz w:val="18"/>
                <w:szCs w:val="18"/>
              </w:rPr>
              <w:t>Issuance of common shares in connection with share-based compensation (283,190 shares) (Note 11)</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35,376 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35,405 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35,405 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ind w:hanging="90"/>
              <w:divId w:val="85003256"/>
              <w:rPr>
                <w:rFonts w:eastAsia="Times New Roman"/>
              </w:rPr>
            </w:pPr>
            <w:r>
              <w:rPr>
                <w:rFonts w:eastAsia="Times New Roman"/>
                <w:color w:val="000000"/>
                <w:sz w:val="18"/>
                <w:szCs w:val="18"/>
              </w:rPr>
              <w:t>Retirement of common shares (151,977 shares)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Taxes paid upon net share settlement of restricted share units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(16,827)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(16,827)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(16,827)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Share-based compensation expense (Note 11)</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63,360 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63,360 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63,360 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vAlign w:val="center"/>
            <w:hideMark/>
          </w:tcPr>
          <w:p w:rsidR="00000000" w:rsidRDefault="00473C5F">
            <w:pPr>
              <w:spacing w:after="100"/>
              <w:jc w:val="right"/>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6,708 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6,708 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15,426 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Reclassification from redeemable noncontrolling interests to noncontrolling interests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83,826 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83,826 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(83,826)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4,366,274 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4,366,274 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4,366,274 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(17,127)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(17,127)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16,467 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(660)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473C5F">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Preferred shareholders (Note 9)</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(194,390)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(194,390)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(194,390)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(33,714)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(33,714)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(509)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ind w:hanging="90"/>
              <w:divId w:val="1172910752"/>
              <w:rPr>
                <w:rFonts w:eastAsia="Times New Roman"/>
              </w:rPr>
            </w:pPr>
            <w:r>
              <w:rPr>
                <w:rFonts w:eastAsia="Times New Roman"/>
                <w:color w:val="000000"/>
                <w:sz w:val="18"/>
                <w:szCs w:val="18"/>
              </w:rPr>
              <w:t>Common shareholders and restricted share unitholders ($21.15 per share)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(3,714,572)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(3,714,572)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(3,714,572)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Other comprehensive loss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(26,730)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w:t>
            </w:r>
            <w:r>
              <w:rPr>
                <w:rFonts w:eastAsia="Times New Roman"/>
                <w:color w:val="000000"/>
                <w:sz w:val="18"/>
                <w:szCs w:val="18"/>
              </w:rPr>
              <w:t>26,730)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(26,730)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divId w:val="870924687"/>
              <w:rPr>
                <w:rFonts w:eastAsia="Times New Roman"/>
              </w:rPr>
            </w:pPr>
            <w:r>
              <w:rPr>
                <w:rFonts w:eastAsia="Times New Roman"/>
                <w:b/>
                <w:bCs/>
                <w:color w:val="000000"/>
                <w:sz w:val="18"/>
                <w:szCs w:val="18"/>
              </w:rPr>
              <w:t>Balances at December 31, 2022</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4,350,000 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17,527 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5,896,423 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(110,231)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(80,317)</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10,073,402 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93,399 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10,166,801 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divId w:val="1133602109"/>
        <w:rPr>
          <w:rFonts w:eastAsia="Times New Roman"/>
        </w:rPr>
      </w:pPr>
    </w:p>
    <w:p w:rsidR="00000000" w:rsidRDefault="00473C5F">
      <w:pPr>
        <w:jc w:val="center"/>
        <w:divId w:val="2066833302"/>
        <w:rPr>
          <w:rFonts w:eastAsia="Times New Roman"/>
        </w:rPr>
      </w:pPr>
      <w:r>
        <w:rPr>
          <w:rFonts w:eastAsia="Times New Roman"/>
          <w:color w:val="000000"/>
          <w:sz w:val="20"/>
          <w:szCs w:val="20"/>
        </w:rPr>
        <w:t>See accompanying notes.</w:t>
      </w:r>
    </w:p>
    <w:p w:rsidR="00000000" w:rsidRDefault="00473C5F">
      <w:pPr>
        <w:jc w:val="center"/>
        <w:divId w:val="2066833302"/>
        <w:rPr>
          <w:rFonts w:eastAsia="Times New Roman"/>
        </w:rPr>
      </w:pPr>
      <w:r>
        <w:rPr>
          <w:rFonts w:eastAsia="Times New Roman"/>
          <w:color w:val="000000"/>
          <w:sz w:val="20"/>
          <w:szCs w:val="20"/>
        </w:rPr>
        <w:t>F-7</w:t>
      </w:r>
    </w:p>
    <w:p w:rsidR="00000000" w:rsidRDefault="00473C5F">
      <w:pPr>
        <w:rPr>
          <w:rFonts w:eastAsia="Times New Roman"/>
        </w:rPr>
      </w:pPr>
      <w:r>
        <w:rPr>
          <w:rFonts w:eastAsia="Times New Roman"/>
        </w:rPr>
        <w:pict>
          <v:rect id="_x0000_i1097" style="width:0;height:1.5pt" o:hralign="center" o:hrstd="t" o:hr="t" fillcolor="#a0a0a0" stroked="f"/>
        </w:pict>
      </w:r>
    </w:p>
    <w:p w:rsidR="00000000" w:rsidRDefault="00473C5F">
      <w:pPr>
        <w:divId w:val="557864272"/>
        <w:rPr>
          <w:rFonts w:eastAsia="Times New Roman"/>
        </w:rPr>
      </w:pPr>
    </w:p>
    <w:p w:rsidR="00000000" w:rsidRDefault="00473C5F">
      <w:pPr>
        <w:jc w:val="center"/>
        <w:rPr>
          <w:rFonts w:eastAsia="Times New Roman"/>
        </w:rPr>
      </w:pPr>
      <w:r>
        <w:rPr>
          <w:rFonts w:eastAsia="Times New Roman"/>
          <w:b/>
          <w:bCs/>
          <w:color w:val="000000"/>
          <w:sz w:val="20"/>
          <w:szCs w:val="20"/>
        </w:rPr>
        <w:t>PUBLIC STORAGE</w:t>
      </w:r>
    </w:p>
    <w:p w:rsidR="00000000" w:rsidRDefault="00473C5F">
      <w:pPr>
        <w:jc w:val="center"/>
        <w:rPr>
          <w:rFonts w:eastAsia="Times New Roman"/>
        </w:rPr>
      </w:pPr>
      <w:r>
        <w:rPr>
          <w:rFonts w:eastAsia="Times New Roman"/>
          <w:b/>
          <w:bCs/>
          <w:color w:val="000000"/>
          <w:sz w:val="20"/>
          <w:szCs w:val="20"/>
        </w:rPr>
        <w:t>CONSOLIDATED STATEMENTS OF CASH FLOWS</w:t>
      </w:r>
    </w:p>
    <w:p w:rsidR="00000000" w:rsidRDefault="00473C5F">
      <w:pPr>
        <w:jc w:val="center"/>
        <w:rPr>
          <w:rFonts w:eastAsia="Times New Roman"/>
        </w:rPr>
      </w:pPr>
      <w:r>
        <w:rPr>
          <w:rFonts w:eastAsia="Times New Roman"/>
          <w:b/>
          <w:bCs/>
          <w:color w:val="000000"/>
          <w:sz w:val="20"/>
          <w:szCs w:val="20"/>
        </w:rPr>
        <w:t>(Amounts in thousands)</w:t>
      </w:r>
    </w:p>
    <w:p w:rsidR="00000000" w:rsidRDefault="00473C5F">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4711"/>
        <w:gridCol w:w="40"/>
        <w:gridCol w:w="110"/>
        <w:gridCol w:w="971"/>
        <w:gridCol w:w="36"/>
        <w:gridCol w:w="36"/>
        <w:gridCol w:w="36"/>
        <w:gridCol w:w="36"/>
        <w:gridCol w:w="110"/>
        <w:gridCol w:w="938"/>
        <w:gridCol w:w="36"/>
        <w:gridCol w:w="36"/>
        <w:gridCol w:w="36"/>
        <w:gridCol w:w="36"/>
        <w:gridCol w:w="110"/>
        <w:gridCol w:w="938"/>
        <w:gridCol w:w="36"/>
      </w:tblGrid>
      <w:tr w:rsidR="00000000">
        <w:trPr>
          <w:jc w:val="center"/>
        </w:trPr>
        <w:tc>
          <w:tcPr>
            <w:tcW w:w="50" w:type="pct"/>
            <w:vAlign w:val="center"/>
            <w:hideMark/>
          </w:tcPr>
          <w:p w:rsidR="00000000" w:rsidRDefault="00473C5F">
            <w:pPr>
              <w:jc w:val="center"/>
              <w:rPr>
                <w:rFonts w:eastAsia="Times New Roman"/>
              </w:rPr>
            </w:pPr>
          </w:p>
        </w:tc>
        <w:tc>
          <w:tcPr>
            <w:tcW w:w="286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For the Years Ended December 31,</w:t>
            </w:r>
          </w:p>
        </w:tc>
      </w:tr>
      <w:tr w:rsidR="00000000">
        <w:trPr>
          <w:jc w:val="center"/>
        </w:trPr>
        <w:tc>
          <w:tcPr>
            <w:tcW w:w="0" w:type="auto"/>
            <w:gridSpan w:val="3"/>
            <w:vAlign w:val="center"/>
            <w:hideMark/>
          </w:tcPr>
          <w:p w:rsidR="00000000" w:rsidRDefault="00473C5F">
            <w:pPr>
              <w:spacing w:after="100"/>
              <w:jc w:val="center"/>
              <w:rPr>
                <w:rFonts w:eastAsia="Times New Roman"/>
              </w:rPr>
            </w:pPr>
          </w:p>
        </w:tc>
        <w:tc>
          <w:tcPr>
            <w:tcW w:w="0" w:type="auto"/>
            <w:gridSpan w:val="3"/>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2020</w:t>
            </w: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Cash flows from operating activities: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Net income </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4,366,274 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1,959,639 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1,361,227 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3"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Adjustments to reconcile net income to net cash flows from operating activities:</w:t>
            </w:r>
          </w:p>
        </w:tc>
        <w:tc>
          <w:tcPr>
            <w:tcW w:w="0" w:type="auto"/>
            <w:gridSpan w:val="3"/>
            <w:tcMar>
              <w:top w:w="0" w:type="dxa"/>
              <w:left w:w="20" w:type="dxa"/>
              <w:bottom w:w="0" w:type="dxa"/>
              <w:right w:w="20" w:type="dxa"/>
            </w:tcMar>
            <w:vAlign w:val="center"/>
            <w:hideMark/>
          </w:tcPr>
          <w:p w:rsidR="00000000" w:rsidRDefault="00473C5F">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Gain on sale of equity investment in PS Business Parks, Inc.</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(2,128,860)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Gain on sale of real estate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(1,503)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(13,683)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w:t>
            </w:r>
            <w:r>
              <w:rPr>
                <w:rFonts w:eastAsia="Times New Roman"/>
                <w:color w:val="000000"/>
                <w:sz w:val="18"/>
                <w:szCs w:val="18"/>
              </w:rPr>
              <w:t>1,493)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888,146 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713,428 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553,257 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Equity in earnings of unconsolidated real estate entities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(106,981)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(232,093)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(80,497)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Distributions from cumulative equity in earnings of unconsolidated real estate entities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134,769 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150,488 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72,098 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Unrealized foreign currency exchange (gain) loss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(97,563)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(111,787)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97,953 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Share-based compensation expense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56,703 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59,815 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33,363 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Other </w:t>
            </w:r>
          </w:p>
        </w:tc>
        <w:tc>
          <w:tcPr>
            <w:tcW w:w="0" w:type="auto"/>
            <w:gridSpan w:val="2"/>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6,156 </w:t>
            </w:r>
          </w:p>
        </w:tc>
        <w:tc>
          <w:tcPr>
            <w:tcW w:w="0" w:type="auto"/>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17,748 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6,994 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56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Total adjustments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(1,249,133)</w:t>
            </w:r>
          </w:p>
        </w:tc>
        <w:tc>
          <w:tcPr>
            <w:tcW w:w="0" w:type="auto"/>
            <w:tcBorders>
              <w:top w:val="single" w:sz="8" w:space="0" w:color="000000"/>
            </w:tcBorders>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583,916 </w:t>
            </w:r>
          </w:p>
        </w:tc>
        <w:tc>
          <w:tcPr>
            <w:tcW w:w="0" w:type="auto"/>
            <w:tcBorders>
              <w:top w:val="single" w:sz="8" w:space="0" w:color="000000"/>
            </w:tcBorders>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681,675 </w:t>
            </w:r>
          </w:p>
        </w:tc>
        <w:tc>
          <w:tcPr>
            <w:tcW w:w="0" w:type="auto"/>
            <w:tcBorders>
              <w:top w:val="single" w:sz="8" w:space="0" w:color="000000"/>
            </w:tcBorders>
            <w:tcMar>
              <w:top w:w="30" w:type="dxa"/>
              <w:left w:w="0" w:type="dxa"/>
              <w:bottom w:w="30" w:type="dxa"/>
              <w:right w:w="20" w:type="dxa"/>
            </w:tcMar>
            <w:vAlign w:val="center"/>
            <w:hideMark/>
          </w:tcPr>
          <w:p w:rsidR="00000000" w:rsidRDefault="00473C5F">
            <w:pPr>
              <w:spacing w:after="100"/>
              <w:jc w:val="right"/>
              <w:rPr>
                <w:rFonts w:eastAsia="Times New Roman"/>
              </w:rPr>
            </w:pPr>
          </w:p>
        </w:tc>
      </w:tr>
      <w:tr w:rsidR="00000000">
        <w:trPr>
          <w:jc w:val="center"/>
        </w:trPr>
        <w:tc>
          <w:tcPr>
            <w:tcW w:w="0" w:type="auto"/>
            <w:gridSpan w:val="3"/>
            <w:tcMar>
              <w:top w:w="30" w:type="dxa"/>
              <w:left w:w="44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Net cash flows from operating activities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3,117,141 </w:t>
            </w:r>
          </w:p>
        </w:tc>
        <w:tc>
          <w:tcPr>
            <w:tcW w:w="0" w:type="auto"/>
            <w:tcBorders>
              <w:top w:val="single" w:sz="8" w:space="0" w:color="000000"/>
            </w:tcBorders>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2,543,555 </w:t>
            </w:r>
          </w:p>
        </w:tc>
        <w:tc>
          <w:tcPr>
            <w:tcW w:w="0" w:type="auto"/>
            <w:tcBorders>
              <w:top w:val="single" w:sz="8" w:space="0" w:color="000000"/>
            </w:tcBorders>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2,042,902 </w:t>
            </w:r>
          </w:p>
        </w:tc>
        <w:tc>
          <w:tcPr>
            <w:tcW w:w="0" w:type="auto"/>
            <w:tcBorders>
              <w:top w:val="single" w:sz="8" w:space="0" w:color="000000"/>
            </w:tcBorders>
            <w:tcMar>
              <w:top w:w="30" w:type="dxa"/>
              <w:left w:w="0" w:type="dxa"/>
              <w:bottom w:w="30" w:type="dxa"/>
              <w:right w:w="20" w:type="dxa"/>
            </w:tcMar>
            <w:vAlign w:val="center"/>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Cash flows from investing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Capital expenditures to maintain real estate facilities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(459,773)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(270,238)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(169,998)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Development and expansion of real estate facilities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(313,511)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(281,981)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(189,413)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Acquisition of real estate facilities and intangible assets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(757,944)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(5,047,106)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(792,266)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443"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Distributions in excess of cumulative equity in earnings from unconsolidated real estate entities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13,670 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19,518 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24,658 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Repayment of note receivable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7,509 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Proceeds from sale of real estate investments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16,296 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Proceeds from sale of equity investment in PS Business Parks, Inc.</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2,636,011 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473C5F">
            <w:pPr>
              <w:spacing w:after="100"/>
              <w:jc w:val="right"/>
              <w:rPr>
                <w:rFonts w:eastAsia="Times New Roman"/>
              </w:rPr>
            </w:pPr>
          </w:p>
        </w:tc>
      </w:tr>
      <w:tr w:rsidR="00000000">
        <w:trPr>
          <w:jc w:val="center"/>
        </w:trPr>
        <w:tc>
          <w:tcPr>
            <w:tcW w:w="0" w:type="auto"/>
            <w:gridSpan w:val="3"/>
            <w:tcMar>
              <w:top w:w="30" w:type="dxa"/>
              <w:left w:w="44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Net cash flows from (used in) investing activities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1,119,996 </w:t>
            </w:r>
          </w:p>
        </w:tc>
        <w:tc>
          <w:tcPr>
            <w:tcW w:w="0" w:type="auto"/>
            <w:tcBorders>
              <w:top w:val="single" w:sz="8" w:space="0" w:color="000000"/>
            </w:tcBorders>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(5,563,511)</w:t>
            </w:r>
          </w:p>
        </w:tc>
        <w:tc>
          <w:tcPr>
            <w:tcW w:w="0" w:type="auto"/>
            <w:tcBorders>
              <w:top w:val="single" w:sz="8" w:space="0" w:color="000000"/>
            </w:tcBorders>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(1,117,714)</w:t>
            </w:r>
          </w:p>
        </w:tc>
        <w:tc>
          <w:tcPr>
            <w:tcW w:w="0" w:type="auto"/>
            <w:tcBorders>
              <w:top w:val="single" w:sz="8" w:space="0" w:color="000000"/>
            </w:tcBorders>
            <w:tcMar>
              <w:top w:w="30" w:type="dxa"/>
              <w:left w:w="0" w:type="dxa"/>
              <w:bottom w:w="30" w:type="dxa"/>
              <w:right w:w="20" w:type="dxa"/>
            </w:tcMar>
            <w:vAlign w:val="center"/>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Cash flows from financing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Repayments on notes payable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(513,495)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(2,218)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(2,020)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Issuance of notes payable, net of issuance costs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5,038,904 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545,151 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Issuance of preferred shares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242,832 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1,147,455 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1,208,206 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Issuance of common shares in connection with share-based compensation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35,271 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95,860 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12,664 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Redemption of preferred shares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(1,175,000)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(1,220,000)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Taxes paid upon net share settlement of restricted share units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(16,827)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(13,069)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(10,518)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Acquisition of noncontrolling interests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(692)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Contributions by noncontrolling interests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1,669 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Distributions paid to preferred shareholders, common shareholders and restricted share unitholders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(3,908,497)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(1,588,888)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(1,606,429)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Distributions paid to noncontrolling interests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(34,223)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(6,662)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(5,366)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44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Net cash flows (used in) from financing activities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(4,193,270)</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3,498,141 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(1,075,716)</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Net cash flows from operating, investing, and financing activities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43,867 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478,185 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(150,528)</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Net effect of foreign exchange impact on cash and equivalents, including restricted cash</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(426)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Increase (decrease) in cash and equivalents, including restricted cash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43,867 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478,690 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(150,954)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jc w:val="center"/>
        <w:divId w:val="659769438"/>
        <w:rPr>
          <w:rFonts w:eastAsia="Times New Roman"/>
        </w:rPr>
      </w:pPr>
      <w:r>
        <w:rPr>
          <w:rFonts w:eastAsia="Times New Roman"/>
          <w:color w:val="000000"/>
          <w:sz w:val="20"/>
          <w:szCs w:val="20"/>
        </w:rPr>
        <w:t>See accompanying notes.</w:t>
      </w:r>
    </w:p>
    <w:p w:rsidR="00000000" w:rsidRDefault="00473C5F">
      <w:pPr>
        <w:jc w:val="center"/>
        <w:divId w:val="659769438"/>
        <w:rPr>
          <w:rFonts w:eastAsia="Times New Roman"/>
        </w:rPr>
      </w:pPr>
      <w:r>
        <w:rPr>
          <w:rFonts w:eastAsia="Times New Roman"/>
          <w:color w:val="000000"/>
          <w:sz w:val="20"/>
          <w:szCs w:val="20"/>
        </w:rPr>
        <w:t>F-8</w:t>
      </w:r>
    </w:p>
    <w:p w:rsidR="00000000" w:rsidRDefault="00473C5F">
      <w:pPr>
        <w:rPr>
          <w:rFonts w:eastAsia="Times New Roman"/>
        </w:rPr>
      </w:pPr>
      <w:r>
        <w:rPr>
          <w:rFonts w:eastAsia="Times New Roman"/>
        </w:rPr>
        <w:pict>
          <v:rect id="_x0000_i1098" style="width:0;height:1.5pt" o:hralign="center" o:hrstd="t" o:hr="t" fillcolor="#a0a0a0" stroked="f"/>
        </w:pict>
      </w:r>
    </w:p>
    <w:p w:rsidR="00000000" w:rsidRDefault="00473C5F">
      <w:pPr>
        <w:divId w:val="1561212854"/>
        <w:rPr>
          <w:rFonts w:eastAsia="Times New Roman"/>
        </w:rPr>
      </w:pPr>
    </w:p>
    <w:p w:rsidR="00000000" w:rsidRDefault="00473C5F">
      <w:pPr>
        <w:jc w:val="center"/>
        <w:rPr>
          <w:rFonts w:eastAsia="Times New Roman"/>
        </w:rPr>
      </w:pPr>
      <w:r>
        <w:rPr>
          <w:rFonts w:eastAsia="Times New Roman"/>
          <w:b/>
          <w:bCs/>
          <w:color w:val="000000"/>
          <w:sz w:val="20"/>
          <w:szCs w:val="20"/>
        </w:rPr>
        <w:t>PUBLIC STORAGE</w:t>
      </w:r>
    </w:p>
    <w:p w:rsidR="00000000" w:rsidRDefault="00473C5F">
      <w:pPr>
        <w:jc w:val="center"/>
        <w:rPr>
          <w:rFonts w:eastAsia="Times New Roman"/>
        </w:rPr>
      </w:pPr>
      <w:r>
        <w:rPr>
          <w:rFonts w:eastAsia="Times New Roman"/>
          <w:b/>
          <w:bCs/>
          <w:color w:val="000000"/>
          <w:sz w:val="20"/>
          <w:szCs w:val="20"/>
        </w:rPr>
        <w:t>CONSOLIDATED STATEMENTS OF CASH FLOWS</w:t>
      </w:r>
    </w:p>
    <w:p w:rsidR="00000000" w:rsidRDefault="00473C5F">
      <w:pPr>
        <w:jc w:val="center"/>
        <w:rPr>
          <w:rFonts w:eastAsia="Times New Roman"/>
        </w:rPr>
      </w:pPr>
      <w:r>
        <w:rPr>
          <w:rFonts w:eastAsia="Times New Roman"/>
          <w:b/>
          <w:bCs/>
          <w:color w:val="000000"/>
          <w:sz w:val="20"/>
          <w:szCs w:val="20"/>
        </w:rPr>
        <w:t>(Amounts in thousands)</w:t>
      </w:r>
    </w:p>
    <w:p w:rsidR="00000000" w:rsidRDefault="00473C5F">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26"/>
        <w:gridCol w:w="38"/>
        <w:gridCol w:w="110"/>
        <w:gridCol w:w="972"/>
        <w:gridCol w:w="36"/>
        <w:gridCol w:w="36"/>
        <w:gridCol w:w="36"/>
        <w:gridCol w:w="36"/>
        <w:gridCol w:w="110"/>
        <w:gridCol w:w="938"/>
        <w:gridCol w:w="36"/>
        <w:gridCol w:w="36"/>
        <w:gridCol w:w="36"/>
        <w:gridCol w:w="36"/>
        <w:gridCol w:w="110"/>
        <w:gridCol w:w="938"/>
        <w:gridCol w:w="36"/>
      </w:tblGrid>
      <w:tr w:rsidR="00000000">
        <w:trPr>
          <w:jc w:val="center"/>
        </w:trPr>
        <w:tc>
          <w:tcPr>
            <w:tcW w:w="50" w:type="pct"/>
            <w:vAlign w:val="center"/>
            <w:hideMark/>
          </w:tcPr>
          <w:p w:rsidR="00000000" w:rsidRDefault="00473C5F">
            <w:pPr>
              <w:jc w:val="center"/>
              <w:rPr>
                <w:rFonts w:eastAsia="Times New Roman"/>
              </w:rPr>
            </w:pPr>
          </w:p>
        </w:tc>
        <w:tc>
          <w:tcPr>
            <w:tcW w:w="286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For the Years Ended December 31,</w:t>
            </w:r>
          </w:p>
        </w:tc>
      </w:tr>
      <w:tr w:rsidR="00000000">
        <w:trPr>
          <w:jc w:val="center"/>
        </w:trPr>
        <w:tc>
          <w:tcPr>
            <w:tcW w:w="0" w:type="auto"/>
            <w:gridSpan w:val="3"/>
            <w:vAlign w:val="center"/>
            <w:hideMark/>
          </w:tcPr>
          <w:p w:rsidR="00000000" w:rsidRDefault="00473C5F">
            <w:pPr>
              <w:spacing w:after="100"/>
              <w:jc w:val="center"/>
              <w:rPr>
                <w:rFonts w:eastAsia="Times New Roman"/>
              </w:rPr>
            </w:pPr>
          </w:p>
        </w:tc>
        <w:tc>
          <w:tcPr>
            <w:tcW w:w="0" w:type="auto"/>
            <w:gridSpan w:val="3"/>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18"/>
                <w:szCs w:val="18"/>
              </w:rPr>
              <w:t>2020</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Cash and equivalents, including restricted cash at beginning of the period: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Cash and equivalents </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734,599 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257,560 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409,743 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Restricted cash included in other assets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26,691 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25,040 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23,811 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761,290 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282,600 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433,554 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Cash and equivalents, including restricted cash at end of the period: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Cash and equivalents </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775,253 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734,599 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257,560 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Restricted cash included in other assets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29,904 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26,691 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25,040 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805,157 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761,290 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282,600 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color w:val="000000"/>
                <w:sz w:val="18"/>
                <w:szCs w:val="18"/>
              </w:rPr>
              <w:t>Supplemental schedule of non-cash investing and financing activities:</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Costs incurred during the period remaining unpaid at period end for:</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Capital expenditures to maintain real estate facilities </w:t>
            </w:r>
          </w:p>
        </w:tc>
        <w:tc>
          <w:tcPr>
            <w:tcW w:w="0" w:type="auto"/>
            <w:tcMar>
              <w:top w:w="30" w:type="dxa"/>
              <w:left w:w="20" w:type="dxa"/>
              <w:bottom w:w="30" w:type="dxa"/>
              <w:right w:w="0" w:type="dxa"/>
            </w:tcMar>
            <w:vAlign w:val="center"/>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(15,260)</w:t>
            </w:r>
          </w:p>
        </w:tc>
        <w:tc>
          <w:tcPr>
            <w:tcW w:w="0" w:type="auto"/>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(23,398)</w:t>
            </w:r>
          </w:p>
        </w:tc>
        <w:tc>
          <w:tcPr>
            <w:tcW w:w="0" w:type="auto"/>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(10,359)</w:t>
            </w:r>
          </w:p>
        </w:tc>
        <w:tc>
          <w:tcPr>
            <w:tcW w:w="0" w:type="auto"/>
            <w:tcMar>
              <w:top w:w="30" w:type="dxa"/>
              <w:left w:w="0" w:type="dxa"/>
              <w:bottom w:w="30" w:type="dxa"/>
              <w:right w:w="20" w:type="dxa"/>
            </w:tcMar>
            <w:vAlign w:val="center"/>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12"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Construction or expansion of real estate facilities</w:t>
            </w:r>
          </w:p>
        </w:tc>
        <w:tc>
          <w:tcPr>
            <w:tcW w:w="0" w:type="auto"/>
            <w:gridSpan w:val="2"/>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(65,650)</w:t>
            </w:r>
          </w:p>
        </w:tc>
        <w:tc>
          <w:tcPr>
            <w:tcW w:w="0" w:type="auto"/>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(50,051)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(32,349)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Real estate acquired in exchange for noncontrolling interests</w:t>
            </w:r>
          </w:p>
        </w:tc>
        <w:tc>
          <w:tcPr>
            <w:tcW w:w="0" w:type="auto"/>
            <w:gridSpan w:val="2"/>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(19,865)</w:t>
            </w:r>
          </w:p>
        </w:tc>
        <w:tc>
          <w:tcPr>
            <w:tcW w:w="0" w:type="auto"/>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(68,170)</w:t>
            </w:r>
          </w:p>
        </w:tc>
        <w:tc>
          <w:tcPr>
            <w:tcW w:w="0" w:type="auto"/>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Real estate acquired in exchange for consideration payable</w:t>
            </w:r>
          </w:p>
        </w:tc>
        <w:tc>
          <w:tcPr>
            <w:tcW w:w="0" w:type="auto"/>
            <w:gridSpan w:val="2"/>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473C5F">
            <w:pPr>
              <w:spacing w:after="100"/>
              <w:jc w:val="right"/>
              <w:rPr>
                <w:rFonts w:eastAsia="Times New Roman"/>
              </w:rPr>
            </w:pPr>
            <w:r>
              <w:rPr>
                <w:rFonts w:eastAsia="Times New Roman"/>
                <w:color w:val="000000"/>
                <w:sz w:val="18"/>
                <w:szCs w:val="18"/>
              </w:rPr>
              <w:t>(3,799)</w:t>
            </w:r>
          </w:p>
        </w:tc>
        <w:tc>
          <w:tcPr>
            <w:tcW w:w="0" w:type="auto"/>
            <w:tcMar>
              <w:top w:w="30" w:type="dxa"/>
              <w:left w:w="0" w:type="dxa"/>
              <w:bottom w:w="30" w:type="dxa"/>
              <w:right w:w="20" w:type="dxa"/>
            </w:tcMar>
            <w:vAlign w:val="center"/>
            <w:hideMark/>
          </w:tcPr>
          <w:p w:rsidR="00000000" w:rsidRDefault="00473C5F">
            <w:pPr>
              <w:spacing w:after="100"/>
              <w:jc w:val="right"/>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Preferred shares called for redemption and reclassified to liabilities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300,000 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bl>
    <w:p w:rsidR="00000000" w:rsidRDefault="00473C5F">
      <w:pPr>
        <w:divId w:val="613749039"/>
        <w:rPr>
          <w:rFonts w:eastAsia="Times New Roman"/>
        </w:rPr>
      </w:pPr>
    </w:p>
    <w:p w:rsidR="00000000" w:rsidRDefault="00473C5F">
      <w:pPr>
        <w:jc w:val="center"/>
        <w:divId w:val="865098590"/>
        <w:rPr>
          <w:rFonts w:eastAsia="Times New Roman"/>
        </w:rPr>
      </w:pPr>
      <w:r>
        <w:rPr>
          <w:rFonts w:eastAsia="Times New Roman"/>
          <w:color w:val="000000"/>
          <w:sz w:val="20"/>
          <w:szCs w:val="20"/>
        </w:rPr>
        <w:t>See accompanying notes.</w:t>
      </w:r>
    </w:p>
    <w:p w:rsidR="00000000" w:rsidRDefault="00473C5F">
      <w:pPr>
        <w:jc w:val="center"/>
        <w:divId w:val="865098590"/>
        <w:rPr>
          <w:rFonts w:eastAsia="Times New Roman"/>
        </w:rPr>
      </w:pPr>
      <w:r>
        <w:rPr>
          <w:rFonts w:eastAsia="Times New Roman"/>
          <w:color w:val="000000"/>
          <w:sz w:val="20"/>
          <w:szCs w:val="20"/>
        </w:rPr>
        <w:t>F-9</w:t>
      </w:r>
    </w:p>
    <w:p w:rsidR="00000000" w:rsidRDefault="00473C5F">
      <w:pPr>
        <w:rPr>
          <w:rFonts w:eastAsia="Times New Roman"/>
        </w:rPr>
      </w:pPr>
      <w:r>
        <w:rPr>
          <w:rFonts w:eastAsia="Times New Roman"/>
        </w:rPr>
        <w:pict>
          <v:rect id="_x0000_i1099" style="width:0;height:1.5pt" o:hralign="center" o:hrstd="t" o:hr="t" fillcolor="#a0a0a0" stroked="f"/>
        </w:pict>
      </w:r>
    </w:p>
    <w:p w:rsidR="00000000" w:rsidRDefault="00473C5F">
      <w:pPr>
        <w:jc w:val="center"/>
        <w:divId w:val="1172795306"/>
        <w:rPr>
          <w:rFonts w:eastAsia="Times New Roman"/>
        </w:rPr>
      </w:pPr>
    </w:p>
    <w:p w:rsidR="00000000" w:rsidRDefault="00473C5F">
      <w:pPr>
        <w:jc w:val="center"/>
        <w:divId w:val="1172795306"/>
        <w:rPr>
          <w:rFonts w:eastAsia="Times New Roman"/>
        </w:rPr>
      </w:pPr>
      <w:r>
        <w:rPr>
          <w:rFonts w:eastAsia="Times New Roman"/>
          <w:b/>
          <w:bCs/>
          <w:color w:val="000000"/>
          <w:sz w:val="20"/>
          <w:szCs w:val="20"/>
        </w:rPr>
        <w:t>PUBLIC STORAGE</w:t>
      </w:r>
    </w:p>
    <w:p w:rsidR="00000000" w:rsidRDefault="00473C5F">
      <w:pPr>
        <w:jc w:val="center"/>
        <w:divId w:val="1172795306"/>
        <w:rPr>
          <w:rFonts w:eastAsia="Times New Roman"/>
        </w:rPr>
      </w:pPr>
      <w:r>
        <w:rPr>
          <w:rFonts w:eastAsia="Times New Roman"/>
          <w:b/>
          <w:bCs/>
          <w:color w:val="000000"/>
          <w:sz w:val="20"/>
          <w:szCs w:val="20"/>
        </w:rPr>
        <w:t>NOTES TO CONSOLIDATED FINANCIAL STATEMENTS</w:t>
      </w:r>
    </w:p>
    <w:p w:rsidR="00000000" w:rsidRDefault="00473C5F">
      <w:pPr>
        <w:jc w:val="center"/>
        <w:divId w:val="1172795306"/>
        <w:rPr>
          <w:rFonts w:eastAsia="Times New Roman"/>
        </w:rPr>
      </w:pPr>
      <w:r>
        <w:rPr>
          <w:rFonts w:eastAsia="Times New Roman"/>
          <w:b/>
          <w:bCs/>
          <w:color w:val="000000"/>
          <w:sz w:val="20"/>
          <w:szCs w:val="20"/>
        </w:rPr>
        <w:t>December 31, 2022</w:t>
      </w:r>
    </w:p>
    <w:p w:rsidR="00000000" w:rsidRDefault="00473C5F">
      <w:pPr>
        <w:jc w:val="center"/>
        <w:divId w:val="1172795306"/>
        <w:rPr>
          <w:rFonts w:eastAsia="Times New Roman"/>
        </w:rPr>
      </w:pPr>
    </w:p>
    <w:p w:rsidR="00000000" w:rsidRDefault="00473C5F">
      <w:pPr>
        <w:divId w:val="1722367249"/>
        <w:rPr>
          <w:rFonts w:eastAsia="Times New Roman"/>
        </w:rPr>
      </w:pPr>
    </w:p>
    <w:p w:rsidR="00000000" w:rsidRDefault="00473C5F">
      <w:pPr>
        <w:ind w:hanging="360"/>
        <w:divId w:val="1441484518"/>
        <w:rPr>
          <w:rFonts w:eastAsia="Times New Roman"/>
        </w:rPr>
      </w:pPr>
      <w:r>
        <w:rPr>
          <w:rFonts w:eastAsia="Times New Roman"/>
          <w:color w:val="000000"/>
          <w:sz w:val="20"/>
          <w:szCs w:val="20"/>
        </w:rPr>
        <w:t>1.</w:t>
      </w:r>
      <w:r>
        <w:rPr>
          <w:rFonts w:eastAsia="Times New Roman"/>
          <w:color w:val="000000"/>
          <w:sz w:val="20"/>
          <w:szCs w:val="20"/>
          <w:u w:val="single"/>
        </w:rPr>
        <w:t>Description of the Business</w:t>
      </w:r>
    </w:p>
    <w:p w:rsidR="00000000" w:rsidRDefault="00473C5F">
      <w:pPr>
        <w:ind w:firstLine="720"/>
        <w:jc w:val="both"/>
        <w:divId w:val="1578906577"/>
        <w:rPr>
          <w:rFonts w:eastAsia="Times New Roman"/>
        </w:rPr>
      </w:pPr>
      <w:r>
        <w:rPr>
          <w:rFonts w:eastAsia="Times New Roman"/>
          <w:color w:val="000000"/>
          <w:sz w:val="20"/>
          <w:szCs w:val="20"/>
        </w:rPr>
        <w:t>Public Storage (referred to herein as “the Company,” “we,” “us,” or “our”), a Maryland real estate investmen</w:t>
      </w:r>
      <w:r>
        <w:rPr>
          <w:rFonts w:eastAsia="Times New Roman"/>
          <w:color w:val="000000"/>
          <w:sz w:val="20"/>
          <w:szCs w:val="20"/>
        </w:rPr>
        <w:t>t trust that has elected to be taxed as a real estate investment trust (“REIT”), was organized in 1980. Our principal business activities include the ownership and operation of self-storage facilities that offer storage spaces for lease, generally on a mon</w:t>
      </w:r>
      <w:r>
        <w:rPr>
          <w:rFonts w:eastAsia="Times New Roman"/>
          <w:color w:val="000000"/>
          <w:sz w:val="20"/>
          <w:szCs w:val="20"/>
        </w:rPr>
        <w:t xml:space="preserve">th-to-month basis, for personal and business use, ancillary activities such as tenant reinsurance, merchandise sales, and third party management, as well as the acquisition and development of additional self-storage space. </w:t>
      </w:r>
    </w:p>
    <w:p w:rsidR="00000000" w:rsidRDefault="00473C5F">
      <w:pPr>
        <w:ind w:firstLine="720"/>
        <w:jc w:val="both"/>
        <w:divId w:val="11349402"/>
        <w:rPr>
          <w:rFonts w:eastAsia="Times New Roman"/>
        </w:rPr>
      </w:pPr>
      <w:r>
        <w:rPr>
          <w:rFonts w:eastAsia="Times New Roman"/>
          <w:color w:val="000000"/>
          <w:sz w:val="20"/>
          <w:szCs w:val="20"/>
        </w:rPr>
        <w:t>At December 31, 2022, we had dir</w:t>
      </w:r>
      <w:r>
        <w:rPr>
          <w:rFonts w:eastAsia="Times New Roman"/>
          <w:color w:val="000000"/>
          <w:sz w:val="20"/>
          <w:szCs w:val="20"/>
        </w:rPr>
        <w:t xml:space="preserve">ect and indirect equity interests in 2,869 self-storage facilities (with approximately 204.2 million net rentable square feet) located in 40 states in the United States (“U.S.”) operating under the Public Storage® name, and 1.2 million net rentable square </w:t>
      </w:r>
      <w:r>
        <w:rPr>
          <w:rFonts w:eastAsia="Times New Roman"/>
          <w:color w:val="000000"/>
          <w:sz w:val="20"/>
          <w:szCs w:val="20"/>
        </w:rPr>
        <w:t xml:space="preserve">feet of commercial and retail space. </w:t>
      </w:r>
    </w:p>
    <w:p w:rsidR="00000000" w:rsidRDefault="00473C5F">
      <w:pPr>
        <w:ind w:firstLine="720"/>
        <w:jc w:val="both"/>
        <w:divId w:val="347024189"/>
        <w:rPr>
          <w:rFonts w:eastAsia="Times New Roman"/>
        </w:rPr>
      </w:pPr>
      <w:r>
        <w:rPr>
          <w:rFonts w:eastAsia="Times New Roman"/>
          <w:color w:val="000000"/>
          <w:sz w:val="20"/>
          <w:szCs w:val="20"/>
        </w:rPr>
        <w:t>At December 31, 2022, we owned a 35% common equity interest in Shurgard Self Storage Limited (“Shurgard”), a public company traded on the Euronext Brussels under the “SHUR” symbol, which owned 266 self-storage faciliti</w:t>
      </w:r>
      <w:r>
        <w:rPr>
          <w:rFonts w:eastAsia="Times New Roman"/>
          <w:color w:val="000000"/>
          <w:sz w:val="20"/>
          <w:szCs w:val="20"/>
        </w:rPr>
        <w:t xml:space="preserve">es (with approximately 15 million net rentable square feet) located in seven Western European countries, all operating under the Shurgard® name. </w:t>
      </w:r>
    </w:p>
    <w:p w:rsidR="00000000" w:rsidRDefault="00473C5F">
      <w:pPr>
        <w:ind w:firstLine="720"/>
        <w:jc w:val="both"/>
        <w:divId w:val="1685135943"/>
        <w:rPr>
          <w:rFonts w:eastAsia="Times New Roman"/>
        </w:rPr>
      </w:pPr>
      <w:r>
        <w:rPr>
          <w:rFonts w:eastAsia="Times New Roman"/>
          <w:color w:val="000000"/>
          <w:sz w:val="20"/>
          <w:szCs w:val="20"/>
        </w:rPr>
        <w:t>On July 20, 2022, in connection with the closing of the merger of PS Business Parks, Inc. (“PSB”) with affilia</w:t>
      </w:r>
      <w:r>
        <w:rPr>
          <w:rFonts w:eastAsia="Times New Roman"/>
          <w:color w:val="000000"/>
          <w:sz w:val="20"/>
          <w:szCs w:val="20"/>
        </w:rPr>
        <w:t>tes of Blackstone Real Estate (“Blackstone”), we completed the sale of our 41% common equity interest in PSB in its entirety. Prior to the merger transaction, PSB was a REIT traded on the New York Stock Exchange under the “PSB” symbol, which owned commerci</w:t>
      </w:r>
      <w:r>
        <w:rPr>
          <w:rFonts w:eastAsia="Times New Roman"/>
          <w:color w:val="000000"/>
          <w:sz w:val="20"/>
          <w:szCs w:val="20"/>
        </w:rPr>
        <w:t>al properties, primarily multi-tenant industrial, flex, and office space. Refer to Note 4. Investments in Unconsolidated Real Estate Entities for transaction information and our accounting treatment of the sale.</w:t>
      </w:r>
    </w:p>
    <w:p w:rsidR="00000000" w:rsidRDefault="00473C5F">
      <w:pPr>
        <w:ind w:hanging="360"/>
        <w:divId w:val="269163419"/>
        <w:rPr>
          <w:rFonts w:eastAsia="Times New Roman"/>
        </w:rPr>
      </w:pPr>
      <w:r>
        <w:rPr>
          <w:rFonts w:eastAsia="Times New Roman"/>
          <w:color w:val="000000"/>
          <w:sz w:val="20"/>
          <w:szCs w:val="20"/>
        </w:rPr>
        <w:t>2.</w:t>
      </w:r>
      <w:r>
        <w:rPr>
          <w:rFonts w:eastAsia="Times New Roman"/>
          <w:color w:val="000000"/>
          <w:sz w:val="20"/>
          <w:szCs w:val="20"/>
          <w:u w:val="single"/>
        </w:rPr>
        <w:t>Basis of Presentation and Summary of Signi</w:t>
      </w:r>
      <w:r>
        <w:rPr>
          <w:rFonts w:eastAsia="Times New Roman"/>
          <w:color w:val="000000"/>
          <w:sz w:val="20"/>
          <w:szCs w:val="20"/>
          <w:u w:val="single"/>
        </w:rPr>
        <w:t>ficant Accounting Policies</w:t>
      </w:r>
    </w:p>
    <w:p w:rsidR="00000000" w:rsidRDefault="00473C5F">
      <w:pPr>
        <w:jc w:val="both"/>
        <w:divId w:val="404228719"/>
        <w:rPr>
          <w:rFonts w:eastAsia="Times New Roman"/>
        </w:rPr>
      </w:pPr>
      <w:r>
        <w:rPr>
          <w:rFonts w:eastAsia="Times New Roman"/>
          <w:color w:val="000000"/>
          <w:sz w:val="20"/>
          <w:szCs w:val="20"/>
          <w:u w:val="single"/>
        </w:rPr>
        <w:t>Basis of Presentation</w:t>
      </w:r>
    </w:p>
    <w:p w:rsidR="00000000" w:rsidRDefault="00473C5F">
      <w:pPr>
        <w:ind w:firstLine="720"/>
        <w:jc w:val="both"/>
        <w:divId w:val="1267735564"/>
        <w:rPr>
          <w:rFonts w:eastAsia="Times New Roman"/>
        </w:rPr>
      </w:pPr>
      <w:r>
        <w:rPr>
          <w:rFonts w:eastAsia="Times New Roman"/>
          <w:color w:val="000000"/>
          <w:sz w:val="20"/>
          <w:szCs w:val="20"/>
        </w:rPr>
        <w:t xml:space="preserve">The consolidated financial statements are presented on an accrual basis in accordance with U.S. generally accepted accounting principles (“GAAP”) as set forth in the Accounting Standards Codification of the </w:t>
      </w:r>
      <w:r>
        <w:rPr>
          <w:rFonts w:eastAsia="Times New Roman"/>
          <w:color w:val="000000"/>
          <w:sz w:val="20"/>
          <w:szCs w:val="20"/>
        </w:rPr>
        <w:t>Financial Accounting Standards Board (“FASB”), and in conformity with the rules and regulations of the Securities and Exchange Commission (“SEC”).</w:t>
      </w:r>
    </w:p>
    <w:p w:rsidR="00000000" w:rsidRDefault="00473C5F">
      <w:pPr>
        <w:ind w:firstLine="720"/>
        <w:jc w:val="both"/>
        <w:divId w:val="441993211"/>
        <w:rPr>
          <w:rFonts w:eastAsia="Times New Roman"/>
        </w:rPr>
      </w:pPr>
      <w:r>
        <w:rPr>
          <w:rFonts w:eastAsia="Times New Roman"/>
          <w:color w:val="000000"/>
          <w:sz w:val="20"/>
          <w:szCs w:val="20"/>
        </w:rPr>
        <w:t>Disclosures of the number and square footage of facilities, as well as the number and coverage of tenant reinsurance policies (Note 14) are unaudited and outside the scope of our independent registered public accounting firm’s audit of our financial statem</w:t>
      </w:r>
      <w:r>
        <w:rPr>
          <w:rFonts w:eastAsia="Times New Roman"/>
          <w:color w:val="000000"/>
          <w:sz w:val="20"/>
          <w:szCs w:val="20"/>
        </w:rPr>
        <w:t xml:space="preserve">ents in accordance with the standards of the Public Company Accounting Oversight Board (U.S.). </w:t>
      </w:r>
    </w:p>
    <w:p w:rsidR="00000000" w:rsidRDefault="00473C5F">
      <w:pPr>
        <w:jc w:val="both"/>
        <w:divId w:val="1946229585"/>
        <w:rPr>
          <w:rFonts w:eastAsia="Times New Roman"/>
        </w:rPr>
      </w:pPr>
      <w:r>
        <w:rPr>
          <w:rFonts w:eastAsia="Times New Roman"/>
          <w:color w:val="000000"/>
          <w:sz w:val="20"/>
          <w:szCs w:val="20"/>
          <w:u w:val="single"/>
        </w:rPr>
        <w:t>Summary of Significant Accounting Policies</w:t>
      </w:r>
    </w:p>
    <w:p w:rsidR="00000000" w:rsidRDefault="00473C5F">
      <w:pPr>
        <w:jc w:val="both"/>
        <w:divId w:val="44985266"/>
        <w:rPr>
          <w:rFonts w:eastAsia="Times New Roman"/>
        </w:rPr>
      </w:pPr>
      <w:r>
        <w:rPr>
          <w:rFonts w:eastAsia="Times New Roman"/>
          <w:color w:val="000000"/>
          <w:sz w:val="20"/>
          <w:szCs w:val="20"/>
          <w:u w:val="single"/>
        </w:rPr>
        <w:t>Consolidation and Equity Method of Accounting</w:t>
      </w:r>
    </w:p>
    <w:p w:rsidR="00000000" w:rsidRDefault="00473C5F">
      <w:pPr>
        <w:ind w:firstLine="720"/>
        <w:jc w:val="both"/>
        <w:divId w:val="1041704955"/>
        <w:rPr>
          <w:rFonts w:eastAsia="Times New Roman"/>
        </w:rPr>
      </w:pPr>
      <w:r>
        <w:rPr>
          <w:rFonts w:eastAsia="Times New Roman"/>
          <w:color w:val="000000"/>
          <w:sz w:val="20"/>
          <w:szCs w:val="20"/>
        </w:rPr>
        <w:t>We consider entities to be Variable Interest Entities (“VIEs”) when the</w:t>
      </w:r>
      <w:r>
        <w:rPr>
          <w:rFonts w:eastAsia="Times New Roman"/>
          <w:color w:val="000000"/>
          <w:sz w:val="20"/>
          <w:szCs w:val="20"/>
        </w:rPr>
        <w:t>y have insufficient equity to finance their activities without additional subordinated financial support provided by other parties, or the equity holders as a group do not have a controlling financial interest. In addition, we have general partner interest</w:t>
      </w:r>
      <w:r>
        <w:rPr>
          <w:rFonts w:eastAsia="Times New Roman"/>
          <w:color w:val="000000"/>
          <w:sz w:val="20"/>
          <w:szCs w:val="20"/>
        </w:rPr>
        <w:t xml:space="preserve">s in limited partnerships along with third-party investors to develop, construct or operate self-storage facilities. As the general partner, we consider the limited partnerships to be VIEs if the limited partners lack both substantive participating rights </w:t>
      </w:r>
      <w:r>
        <w:rPr>
          <w:rFonts w:eastAsia="Times New Roman"/>
          <w:color w:val="000000"/>
          <w:sz w:val="20"/>
          <w:szCs w:val="20"/>
        </w:rPr>
        <w:t>and substantive kick-out rights. We consolidate VIEs when we have (i) the power to direct the activities most significantly impacting economic performance, and (ii) either the obligation to absorb losses or the right to receive benefits from the VIE. The t</w:t>
      </w:r>
      <w:r>
        <w:rPr>
          <w:rFonts w:eastAsia="Times New Roman"/>
          <w:color w:val="000000"/>
          <w:sz w:val="20"/>
          <w:szCs w:val="20"/>
        </w:rPr>
        <w:t>otal assets, primarily real estate assets, and the total liabilities of our consolidated VIEs are not material as of December 31, 2022. We consolidate all other entities when we control them through voting shares or contractual rights. We refer to the enti</w:t>
      </w:r>
      <w:r>
        <w:rPr>
          <w:rFonts w:eastAsia="Times New Roman"/>
          <w:color w:val="000000"/>
          <w:sz w:val="20"/>
          <w:szCs w:val="20"/>
        </w:rPr>
        <w:t xml:space="preserve">ties we consolidate, for the period in which the reference applies, collectively as the “Subsidiaries,” and we eliminate intercompany transactions and balances. </w:t>
      </w:r>
    </w:p>
    <w:p w:rsidR="00000000" w:rsidRDefault="00473C5F">
      <w:pPr>
        <w:jc w:val="center"/>
        <w:divId w:val="1453205391"/>
        <w:rPr>
          <w:rFonts w:eastAsia="Times New Roman"/>
        </w:rPr>
      </w:pPr>
      <w:r>
        <w:rPr>
          <w:rFonts w:eastAsia="Times New Roman"/>
          <w:color w:val="000000"/>
          <w:sz w:val="20"/>
          <w:szCs w:val="20"/>
        </w:rPr>
        <w:t>F-10</w:t>
      </w:r>
    </w:p>
    <w:p w:rsidR="00000000" w:rsidRDefault="00473C5F">
      <w:pPr>
        <w:rPr>
          <w:rFonts w:eastAsia="Times New Roman"/>
        </w:rPr>
      </w:pPr>
      <w:r>
        <w:rPr>
          <w:rFonts w:eastAsia="Times New Roman"/>
        </w:rPr>
        <w:pict>
          <v:rect id="_x0000_i1100" style="width:0;height:1.5pt" o:hralign="center" o:hrstd="t" o:hr="t" fillcolor="#a0a0a0" stroked="f"/>
        </w:pict>
      </w:r>
    </w:p>
    <w:p w:rsidR="00000000" w:rsidRDefault="00473C5F">
      <w:pPr>
        <w:jc w:val="center"/>
        <w:divId w:val="636298591"/>
        <w:rPr>
          <w:rFonts w:eastAsia="Times New Roman"/>
        </w:rPr>
      </w:pPr>
    </w:p>
    <w:p w:rsidR="00000000" w:rsidRDefault="00473C5F">
      <w:pPr>
        <w:jc w:val="center"/>
        <w:divId w:val="636298591"/>
        <w:rPr>
          <w:rFonts w:eastAsia="Times New Roman"/>
        </w:rPr>
      </w:pPr>
      <w:r>
        <w:rPr>
          <w:rFonts w:eastAsia="Times New Roman"/>
          <w:b/>
          <w:bCs/>
          <w:color w:val="000000"/>
          <w:sz w:val="20"/>
          <w:szCs w:val="20"/>
        </w:rPr>
        <w:t>PUBLIC STORAGE</w:t>
      </w:r>
    </w:p>
    <w:p w:rsidR="00000000" w:rsidRDefault="00473C5F">
      <w:pPr>
        <w:jc w:val="center"/>
        <w:divId w:val="636298591"/>
        <w:rPr>
          <w:rFonts w:eastAsia="Times New Roman"/>
        </w:rPr>
      </w:pPr>
      <w:r>
        <w:rPr>
          <w:rFonts w:eastAsia="Times New Roman"/>
          <w:b/>
          <w:bCs/>
          <w:color w:val="000000"/>
          <w:sz w:val="20"/>
          <w:szCs w:val="20"/>
        </w:rPr>
        <w:t>NOTES TO CONSOLIDATED FINANCIAL STA</w:t>
      </w:r>
      <w:r>
        <w:rPr>
          <w:rFonts w:eastAsia="Times New Roman"/>
          <w:b/>
          <w:bCs/>
          <w:color w:val="000000"/>
          <w:sz w:val="20"/>
          <w:szCs w:val="20"/>
        </w:rPr>
        <w:t>TEMENTS</w:t>
      </w:r>
    </w:p>
    <w:p w:rsidR="00000000" w:rsidRDefault="00473C5F">
      <w:pPr>
        <w:jc w:val="center"/>
        <w:divId w:val="636298591"/>
        <w:rPr>
          <w:rFonts w:eastAsia="Times New Roman"/>
        </w:rPr>
      </w:pPr>
      <w:r>
        <w:rPr>
          <w:rFonts w:eastAsia="Times New Roman"/>
          <w:b/>
          <w:bCs/>
          <w:color w:val="000000"/>
          <w:sz w:val="20"/>
          <w:szCs w:val="20"/>
        </w:rPr>
        <w:t>December 31, 2022</w:t>
      </w:r>
    </w:p>
    <w:p w:rsidR="00000000" w:rsidRDefault="00473C5F">
      <w:pPr>
        <w:jc w:val="center"/>
        <w:divId w:val="636298591"/>
        <w:rPr>
          <w:rFonts w:eastAsia="Times New Roman"/>
        </w:rPr>
      </w:pPr>
    </w:p>
    <w:p w:rsidR="00000000" w:rsidRDefault="00473C5F">
      <w:pPr>
        <w:ind w:firstLine="720"/>
        <w:jc w:val="both"/>
        <w:divId w:val="1224679542"/>
        <w:rPr>
          <w:rFonts w:eastAsia="Times New Roman"/>
        </w:rPr>
      </w:pPr>
      <w:r>
        <w:rPr>
          <w:rFonts w:eastAsia="Times New Roman"/>
          <w:color w:val="000000"/>
          <w:sz w:val="20"/>
          <w:szCs w:val="20"/>
        </w:rPr>
        <w:t>We account for our investments in entities that we do not consolidate but over which we have significant influence using the equity method of accounting. We refer to these entities, for the periods in which the reference applies</w:t>
      </w:r>
      <w:r>
        <w:rPr>
          <w:rFonts w:eastAsia="Times New Roman"/>
          <w:color w:val="000000"/>
          <w:sz w:val="20"/>
          <w:szCs w:val="20"/>
        </w:rPr>
        <w:t>, collectively as the “Unconsolidated Real Estate Entities,” and we eliminate intra-entity profits and losses and amortize any differences between the cost of our investment and the underlying equity in net assets against equity in earnings as if the Uncon</w:t>
      </w:r>
      <w:r>
        <w:rPr>
          <w:rFonts w:eastAsia="Times New Roman"/>
          <w:color w:val="000000"/>
          <w:sz w:val="20"/>
          <w:szCs w:val="20"/>
        </w:rPr>
        <w:t xml:space="preserve">solidated Real Estate Entity were a consolidated subsidiary. </w:t>
      </w:r>
    </w:p>
    <w:p w:rsidR="00000000" w:rsidRDefault="00473C5F">
      <w:pPr>
        <w:ind w:firstLine="720"/>
        <w:jc w:val="both"/>
        <w:divId w:val="1556818773"/>
        <w:rPr>
          <w:rFonts w:eastAsia="Times New Roman"/>
        </w:rPr>
      </w:pPr>
      <w:r>
        <w:rPr>
          <w:rFonts w:eastAsia="Times New Roman"/>
          <w:color w:val="000000"/>
          <w:sz w:val="20"/>
          <w:szCs w:val="20"/>
        </w:rPr>
        <w:t>Equity in earnings of unconsolidated real estate entities presented on our income statements represents our pro-rata share of the earnings of the Unconsolidated Real Estate Entities. The dividen</w:t>
      </w:r>
      <w:r>
        <w:rPr>
          <w:rFonts w:eastAsia="Times New Roman"/>
          <w:color w:val="000000"/>
          <w:sz w:val="20"/>
          <w:szCs w:val="20"/>
        </w:rPr>
        <w:t>ds we receive from the Unconsolidated Real Estate Entities are reflected on our consolidated statements of cash flows as “distributions from cumulative equity in earnings of unconsolidated real estate entities” to the extent of our cumulative equity in ear</w:t>
      </w:r>
      <w:r>
        <w:rPr>
          <w:rFonts w:eastAsia="Times New Roman"/>
          <w:color w:val="000000"/>
          <w:sz w:val="20"/>
          <w:szCs w:val="20"/>
        </w:rPr>
        <w:t xml:space="preserve">nings, with any excess classified as “distributions in excess of cumulative equity in earnings from unconsolidated real estate entities.” </w:t>
      </w:r>
    </w:p>
    <w:p w:rsidR="00000000" w:rsidRDefault="00473C5F">
      <w:pPr>
        <w:divId w:val="1698312219"/>
        <w:rPr>
          <w:rFonts w:eastAsia="Times New Roman"/>
        </w:rPr>
      </w:pPr>
      <w:r>
        <w:rPr>
          <w:rFonts w:eastAsia="Times New Roman"/>
          <w:color w:val="000000"/>
          <w:sz w:val="20"/>
          <w:szCs w:val="20"/>
          <w:u w:val="single"/>
        </w:rPr>
        <w:t>Use of Estimates</w:t>
      </w:r>
    </w:p>
    <w:p w:rsidR="00000000" w:rsidRDefault="00473C5F">
      <w:pPr>
        <w:ind w:firstLine="720"/>
        <w:jc w:val="both"/>
        <w:divId w:val="478209"/>
        <w:rPr>
          <w:rFonts w:eastAsia="Times New Roman"/>
        </w:rPr>
      </w:pPr>
      <w:r>
        <w:rPr>
          <w:rFonts w:eastAsia="Times New Roman"/>
          <w:color w:val="000000"/>
          <w:sz w:val="20"/>
          <w:szCs w:val="20"/>
        </w:rPr>
        <w:t xml:space="preserve">The preparation of consolidated financial statements and accompanying notes in conformity with GAAP </w:t>
      </w:r>
      <w:r>
        <w:rPr>
          <w:rFonts w:eastAsia="Times New Roman"/>
          <w:color w:val="000000"/>
          <w:sz w:val="20"/>
          <w:szCs w:val="20"/>
        </w:rPr>
        <w:t>requires us to make estimates and assumptions that affect the amounts reported. Actual results could differ from those estimates and assumptions.</w:t>
      </w:r>
    </w:p>
    <w:p w:rsidR="00000000" w:rsidRDefault="00473C5F">
      <w:pPr>
        <w:divId w:val="1594435766"/>
        <w:rPr>
          <w:rFonts w:eastAsia="Times New Roman"/>
        </w:rPr>
      </w:pPr>
      <w:r>
        <w:rPr>
          <w:rFonts w:eastAsia="Times New Roman"/>
          <w:color w:val="000000"/>
          <w:sz w:val="20"/>
          <w:szCs w:val="20"/>
          <w:u w:val="single"/>
        </w:rPr>
        <w:t>Cash Equivalents and Restricted Cash</w:t>
      </w:r>
    </w:p>
    <w:p w:rsidR="00000000" w:rsidRDefault="00473C5F">
      <w:pPr>
        <w:ind w:firstLine="720"/>
        <w:jc w:val="both"/>
        <w:divId w:val="1462570694"/>
        <w:rPr>
          <w:rFonts w:eastAsia="Times New Roman"/>
        </w:rPr>
      </w:pPr>
      <w:r>
        <w:rPr>
          <w:rFonts w:eastAsia="Times New Roman"/>
          <w:color w:val="000000"/>
          <w:sz w:val="20"/>
          <w:szCs w:val="20"/>
        </w:rPr>
        <w:t>Cash equivalents represent highly liquid financial instruments that matur</w:t>
      </w:r>
      <w:r>
        <w:rPr>
          <w:rFonts w:eastAsia="Times New Roman"/>
          <w:color w:val="000000"/>
          <w:sz w:val="20"/>
          <w:szCs w:val="20"/>
        </w:rPr>
        <w:t>e within three months of acquisition such as money market funds with a rating of at least AAA by Standard &amp; Poor's, commercial paper that is rated A1 by Standard &amp; Poor's or deposits with highly rated commercial banks. Restricted cash, which represent amou</w:t>
      </w:r>
      <w:r>
        <w:rPr>
          <w:rFonts w:eastAsia="Times New Roman"/>
          <w:color w:val="000000"/>
          <w:sz w:val="20"/>
          <w:szCs w:val="20"/>
        </w:rPr>
        <w:t>nts used to collateralize our insurance obligations and are restricted from general corporate use, are included in other assets.</w:t>
      </w:r>
    </w:p>
    <w:p w:rsidR="00000000" w:rsidRDefault="00473C5F">
      <w:pPr>
        <w:divId w:val="1389835786"/>
        <w:rPr>
          <w:rFonts w:eastAsia="Times New Roman"/>
        </w:rPr>
      </w:pPr>
      <w:r>
        <w:rPr>
          <w:rFonts w:eastAsia="Times New Roman"/>
          <w:color w:val="000000"/>
          <w:sz w:val="20"/>
          <w:szCs w:val="20"/>
          <w:u w:val="single"/>
        </w:rPr>
        <w:t>Fair Value</w:t>
      </w:r>
    </w:p>
    <w:p w:rsidR="00000000" w:rsidRDefault="00473C5F">
      <w:pPr>
        <w:ind w:firstLine="720"/>
        <w:jc w:val="both"/>
        <w:divId w:val="1145465164"/>
        <w:rPr>
          <w:rFonts w:eastAsia="Times New Roman"/>
        </w:rPr>
      </w:pPr>
      <w:r>
        <w:rPr>
          <w:rFonts w:eastAsia="Times New Roman"/>
          <w:color w:val="000000"/>
          <w:sz w:val="20"/>
          <w:szCs w:val="20"/>
        </w:rPr>
        <w:t>As used herein, the term “fair value” is the price that would be received to sell an asset or paid to transfer a lia</w:t>
      </w:r>
      <w:r>
        <w:rPr>
          <w:rFonts w:eastAsia="Times New Roman"/>
          <w:color w:val="000000"/>
          <w:sz w:val="20"/>
          <w:szCs w:val="20"/>
        </w:rPr>
        <w:t xml:space="preserve">bility in an orderly transaction between market participants. In the absence of active markets for identical assets or liabilities, such measurements involve developing assumptions based on market observable data and, in the absence of such data, internal </w:t>
      </w:r>
      <w:r>
        <w:rPr>
          <w:rFonts w:eastAsia="Times New Roman"/>
          <w:color w:val="000000"/>
          <w:sz w:val="20"/>
          <w:szCs w:val="20"/>
        </w:rPr>
        <w:t xml:space="preserve">information that is consistent with what market participants would use in a hypothetical transaction that occurs at the balance sheet date. </w:t>
      </w:r>
    </w:p>
    <w:p w:rsidR="00000000" w:rsidRDefault="00473C5F">
      <w:pPr>
        <w:ind w:firstLine="720"/>
        <w:jc w:val="both"/>
        <w:divId w:val="703362878"/>
        <w:rPr>
          <w:rFonts w:eastAsia="Times New Roman"/>
        </w:rPr>
      </w:pPr>
      <w:r>
        <w:rPr>
          <w:rFonts w:eastAsia="Times New Roman"/>
          <w:color w:val="000000"/>
          <w:sz w:val="20"/>
          <w:szCs w:val="20"/>
        </w:rPr>
        <w:t>Assets and liabilities recorded at fair value are measured and classified in accordance with a three-tier fair valu</w:t>
      </w:r>
      <w:r>
        <w:rPr>
          <w:rFonts w:eastAsia="Times New Roman"/>
          <w:color w:val="000000"/>
          <w:sz w:val="20"/>
          <w:szCs w:val="20"/>
        </w:rPr>
        <w:t>e hierarchy based on the observability of the inputs available in the market used to measure fair value:</w:t>
      </w:r>
    </w:p>
    <w:p w:rsidR="00000000" w:rsidRDefault="00473C5F">
      <w:pPr>
        <w:ind w:firstLine="720"/>
        <w:jc w:val="both"/>
        <w:divId w:val="753741354"/>
        <w:rPr>
          <w:rFonts w:eastAsia="Times New Roman"/>
        </w:rPr>
      </w:pPr>
      <w:r>
        <w:rPr>
          <w:rFonts w:eastAsia="Times New Roman"/>
          <w:color w:val="000000"/>
          <w:sz w:val="20"/>
          <w:szCs w:val="20"/>
        </w:rPr>
        <w:t xml:space="preserve">Level 1 Quoted prices in active markets for identical assets or liabilities at the measurement date. </w:t>
      </w:r>
    </w:p>
    <w:p w:rsidR="00000000" w:rsidRDefault="00473C5F">
      <w:pPr>
        <w:ind w:firstLine="720"/>
        <w:jc w:val="both"/>
        <w:divId w:val="175776488"/>
        <w:rPr>
          <w:rFonts w:eastAsia="Times New Roman"/>
        </w:rPr>
      </w:pPr>
      <w:r>
        <w:rPr>
          <w:rFonts w:eastAsia="Times New Roman"/>
          <w:color w:val="000000"/>
          <w:sz w:val="20"/>
          <w:szCs w:val="20"/>
        </w:rPr>
        <w:t xml:space="preserve">Level 2 Significant observable inputs other than Level 1, that are observable for the asset or liability, either directly or indirectly through corroboration with observable market data. </w:t>
      </w:r>
    </w:p>
    <w:p w:rsidR="00000000" w:rsidRDefault="00473C5F">
      <w:pPr>
        <w:ind w:firstLine="720"/>
        <w:jc w:val="both"/>
        <w:divId w:val="690103677"/>
        <w:rPr>
          <w:rFonts w:eastAsia="Times New Roman"/>
        </w:rPr>
      </w:pPr>
      <w:r>
        <w:rPr>
          <w:rFonts w:eastAsia="Times New Roman"/>
          <w:color w:val="000000"/>
          <w:sz w:val="20"/>
          <w:szCs w:val="20"/>
        </w:rPr>
        <w:t>Level 3 Unobservable inputs that are supported by little or no marke</w:t>
      </w:r>
      <w:r>
        <w:rPr>
          <w:rFonts w:eastAsia="Times New Roman"/>
          <w:color w:val="000000"/>
          <w:sz w:val="20"/>
          <w:szCs w:val="20"/>
        </w:rPr>
        <w:t xml:space="preserve">t data for the related assets or liabilities. </w:t>
      </w:r>
    </w:p>
    <w:p w:rsidR="00000000" w:rsidRDefault="00473C5F">
      <w:pPr>
        <w:ind w:firstLine="720"/>
        <w:jc w:val="both"/>
        <w:divId w:val="942540393"/>
        <w:rPr>
          <w:rFonts w:eastAsia="Times New Roman"/>
        </w:rPr>
      </w:pPr>
      <w:r>
        <w:rPr>
          <w:rFonts w:eastAsia="Times New Roman"/>
          <w:color w:val="000000"/>
          <w:sz w:val="20"/>
          <w:szCs w:val="20"/>
        </w:rPr>
        <w:t>The categorization of a financial instrument within the valuation hierarchy is based upon the lowest level of input that is significant to the fair value measurement.</w:t>
      </w:r>
    </w:p>
    <w:p w:rsidR="00000000" w:rsidRDefault="00473C5F">
      <w:pPr>
        <w:ind w:firstLine="720"/>
        <w:jc w:val="both"/>
        <w:divId w:val="1740899813"/>
        <w:rPr>
          <w:rFonts w:eastAsia="Times New Roman"/>
        </w:rPr>
      </w:pPr>
      <w:r>
        <w:rPr>
          <w:rFonts w:eastAsia="Times New Roman"/>
          <w:color w:val="000000"/>
          <w:sz w:val="20"/>
          <w:szCs w:val="20"/>
        </w:rPr>
        <w:t xml:space="preserve">Our financial instruments consist of cash </w:t>
      </w:r>
      <w:r>
        <w:rPr>
          <w:rFonts w:eastAsia="Times New Roman"/>
          <w:color w:val="000000"/>
          <w:sz w:val="20"/>
          <w:szCs w:val="20"/>
        </w:rPr>
        <w:t>and cash equivalents, restricted cash, other assets, other liabilities, and notes payable. Cash equivalents, restricted cash, other assets and other liabilities are stated at book value, which approximates fair value as of the balance sheet date due to the</w:t>
      </w:r>
      <w:r>
        <w:rPr>
          <w:rFonts w:eastAsia="Times New Roman"/>
          <w:color w:val="000000"/>
          <w:sz w:val="20"/>
          <w:szCs w:val="20"/>
        </w:rPr>
        <w:t xml:space="preserve"> short time period to maturity. </w:t>
      </w:r>
    </w:p>
    <w:p w:rsidR="00000000" w:rsidRDefault="00473C5F">
      <w:pPr>
        <w:ind w:firstLine="720"/>
        <w:jc w:val="both"/>
        <w:divId w:val="492070395"/>
        <w:rPr>
          <w:rFonts w:eastAsia="Times New Roman"/>
        </w:rPr>
      </w:pPr>
      <w:r>
        <w:rPr>
          <w:rFonts w:eastAsia="Times New Roman"/>
          <w:color w:val="000000"/>
          <w:sz w:val="20"/>
          <w:szCs w:val="20"/>
        </w:rPr>
        <w:t>We estimate and disclose the fair value of our notes payable using Level 2 inputs by discounting the related future cash flows at a rate based upon quoted interest rates for securities that have similar characteristics such</w:t>
      </w:r>
      <w:r>
        <w:rPr>
          <w:rFonts w:eastAsia="Times New Roman"/>
          <w:color w:val="000000"/>
          <w:sz w:val="20"/>
          <w:szCs w:val="20"/>
        </w:rPr>
        <w:t xml:space="preserve"> as credit quality and time to maturity.</w:t>
      </w:r>
    </w:p>
    <w:p w:rsidR="00000000" w:rsidRDefault="00473C5F">
      <w:pPr>
        <w:jc w:val="center"/>
        <w:divId w:val="1872500282"/>
        <w:rPr>
          <w:rFonts w:eastAsia="Times New Roman"/>
        </w:rPr>
      </w:pPr>
      <w:r>
        <w:rPr>
          <w:rFonts w:eastAsia="Times New Roman"/>
          <w:color w:val="000000"/>
          <w:sz w:val="20"/>
          <w:szCs w:val="20"/>
        </w:rPr>
        <w:t>F-11</w:t>
      </w:r>
    </w:p>
    <w:p w:rsidR="00000000" w:rsidRDefault="00473C5F">
      <w:pPr>
        <w:rPr>
          <w:rFonts w:eastAsia="Times New Roman"/>
        </w:rPr>
      </w:pPr>
      <w:r>
        <w:rPr>
          <w:rFonts w:eastAsia="Times New Roman"/>
        </w:rPr>
        <w:pict>
          <v:rect id="_x0000_i1101" style="width:0;height:1.5pt" o:hralign="center" o:hrstd="t" o:hr="t" fillcolor="#a0a0a0" stroked="f"/>
        </w:pict>
      </w:r>
    </w:p>
    <w:p w:rsidR="00000000" w:rsidRDefault="00473C5F">
      <w:pPr>
        <w:jc w:val="center"/>
        <w:divId w:val="2056811573"/>
        <w:rPr>
          <w:rFonts w:eastAsia="Times New Roman"/>
        </w:rPr>
      </w:pPr>
    </w:p>
    <w:p w:rsidR="00000000" w:rsidRDefault="00473C5F">
      <w:pPr>
        <w:jc w:val="center"/>
        <w:divId w:val="2056811573"/>
        <w:rPr>
          <w:rFonts w:eastAsia="Times New Roman"/>
        </w:rPr>
      </w:pPr>
      <w:r>
        <w:rPr>
          <w:rFonts w:eastAsia="Times New Roman"/>
          <w:b/>
          <w:bCs/>
          <w:color w:val="000000"/>
          <w:sz w:val="20"/>
          <w:szCs w:val="20"/>
        </w:rPr>
        <w:t>PUBLIC STORAGE</w:t>
      </w:r>
    </w:p>
    <w:p w:rsidR="00000000" w:rsidRDefault="00473C5F">
      <w:pPr>
        <w:jc w:val="center"/>
        <w:divId w:val="2056811573"/>
        <w:rPr>
          <w:rFonts w:eastAsia="Times New Roman"/>
        </w:rPr>
      </w:pPr>
      <w:r>
        <w:rPr>
          <w:rFonts w:eastAsia="Times New Roman"/>
          <w:b/>
          <w:bCs/>
          <w:color w:val="000000"/>
          <w:sz w:val="20"/>
          <w:szCs w:val="20"/>
        </w:rPr>
        <w:t>NOTES TO CONSOLIDATED FINANCIAL STATEMENTS</w:t>
      </w:r>
    </w:p>
    <w:p w:rsidR="00000000" w:rsidRDefault="00473C5F">
      <w:pPr>
        <w:jc w:val="center"/>
        <w:divId w:val="2056811573"/>
        <w:rPr>
          <w:rFonts w:eastAsia="Times New Roman"/>
        </w:rPr>
      </w:pPr>
      <w:r>
        <w:rPr>
          <w:rFonts w:eastAsia="Times New Roman"/>
          <w:b/>
          <w:bCs/>
          <w:color w:val="000000"/>
          <w:sz w:val="20"/>
          <w:szCs w:val="20"/>
        </w:rPr>
        <w:t>December 31, 2022</w:t>
      </w:r>
    </w:p>
    <w:p w:rsidR="00000000" w:rsidRDefault="00473C5F">
      <w:pPr>
        <w:jc w:val="center"/>
        <w:divId w:val="2056811573"/>
        <w:rPr>
          <w:rFonts w:eastAsia="Times New Roman"/>
        </w:rPr>
      </w:pPr>
    </w:p>
    <w:p w:rsidR="00000000" w:rsidRDefault="00473C5F">
      <w:pPr>
        <w:ind w:firstLine="720"/>
        <w:jc w:val="both"/>
        <w:divId w:val="1354647557"/>
        <w:rPr>
          <w:rFonts w:eastAsia="Times New Roman"/>
        </w:rPr>
      </w:pPr>
      <w:r>
        <w:rPr>
          <w:rFonts w:eastAsia="Times New Roman"/>
          <w:color w:val="000000"/>
          <w:sz w:val="20"/>
          <w:szCs w:val="20"/>
        </w:rPr>
        <w:t>We use significant judgment to estimate fair values of real estate facilities, goodwill, and other intangible assets for the purposes of pur</w:t>
      </w:r>
      <w:r>
        <w:rPr>
          <w:rFonts w:eastAsia="Times New Roman"/>
          <w:color w:val="000000"/>
          <w:sz w:val="20"/>
          <w:szCs w:val="20"/>
        </w:rPr>
        <w:t>chase price allocation or impairment analysis. In estimating their values, we consider Level 3 inputs such as market prices of land, market capitalization rates, expected returns, earnings multiples, projected levels of earnings, costs of construction, and</w:t>
      </w:r>
      <w:r>
        <w:rPr>
          <w:rFonts w:eastAsia="Times New Roman"/>
          <w:color w:val="000000"/>
          <w:sz w:val="20"/>
          <w:szCs w:val="20"/>
        </w:rPr>
        <w:t xml:space="preserve"> functional depreciation. </w:t>
      </w:r>
    </w:p>
    <w:p w:rsidR="00000000" w:rsidRDefault="00473C5F">
      <w:pPr>
        <w:jc w:val="both"/>
        <w:divId w:val="260995438"/>
        <w:rPr>
          <w:rFonts w:eastAsia="Times New Roman"/>
        </w:rPr>
      </w:pPr>
      <w:r>
        <w:rPr>
          <w:rFonts w:eastAsia="Times New Roman"/>
          <w:color w:val="000000"/>
          <w:sz w:val="20"/>
          <w:szCs w:val="20"/>
          <w:u w:val="single"/>
        </w:rPr>
        <w:t>Real Estate Facilities</w:t>
      </w:r>
    </w:p>
    <w:p w:rsidR="00000000" w:rsidRDefault="00473C5F">
      <w:pPr>
        <w:ind w:firstLine="720"/>
        <w:jc w:val="both"/>
        <w:divId w:val="262494080"/>
        <w:rPr>
          <w:rFonts w:eastAsia="Times New Roman"/>
        </w:rPr>
      </w:pPr>
      <w:r>
        <w:rPr>
          <w:rFonts w:eastAsia="Times New Roman"/>
          <w:color w:val="000000"/>
          <w:sz w:val="20"/>
          <w:szCs w:val="20"/>
        </w:rPr>
        <w:t>We record real estate facilities at cost. We capitalize all costs incurred to acquire, develop, construct, renovate and improve facilities as part of major repair and maintenance programs, including interes</w:t>
      </w:r>
      <w:r>
        <w:rPr>
          <w:rFonts w:eastAsia="Times New Roman"/>
          <w:color w:val="000000"/>
          <w:sz w:val="20"/>
          <w:szCs w:val="20"/>
        </w:rPr>
        <w:t>t and property taxes incurred during the construction period. We expense the costs of demolition of existing facilities associated with a renovation as incurred. We allocate the net acquisition cost of acquired real estate facilities to the underlying land</w:t>
      </w:r>
      <w:r>
        <w:rPr>
          <w:rFonts w:eastAsia="Times New Roman"/>
          <w:color w:val="000000"/>
          <w:sz w:val="20"/>
          <w:szCs w:val="20"/>
        </w:rPr>
        <w:t xml:space="preserve">, buildings, and identified intangible assets based upon their respective individual estimated fair values. </w:t>
      </w:r>
    </w:p>
    <w:p w:rsidR="00000000" w:rsidRDefault="00473C5F">
      <w:pPr>
        <w:ind w:firstLine="720"/>
        <w:jc w:val="both"/>
        <w:divId w:val="2082363847"/>
        <w:rPr>
          <w:rFonts w:eastAsia="Times New Roman"/>
        </w:rPr>
      </w:pPr>
      <w:r>
        <w:rPr>
          <w:rFonts w:eastAsia="Times New Roman"/>
          <w:color w:val="000000"/>
          <w:sz w:val="20"/>
          <w:szCs w:val="20"/>
        </w:rPr>
        <w:t>We expense costs associated with dispositions of real estate, as well as routine repairs and maintenance costs, as incurred. We depreciate building</w:t>
      </w:r>
      <w:r>
        <w:rPr>
          <w:rFonts w:eastAsia="Times New Roman"/>
          <w:color w:val="000000"/>
          <w:sz w:val="20"/>
          <w:szCs w:val="20"/>
        </w:rPr>
        <w:t>s and improvements on a straight-line basis over estimated useful lives ranging generally between 5 to 25 years.</w:t>
      </w:r>
    </w:p>
    <w:p w:rsidR="00000000" w:rsidRDefault="00473C5F">
      <w:pPr>
        <w:ind w:firstLine="720"/>
        <w:jc w:val="both"/>
        <w:divId w:val="1097825492"/>
        <w:rPr>
          <w:rFonts w:eastAsia="Times New Roman"/>
        </w:rPr>
      </w:pPr>
      <w:r>
        <w:rPr>
          <w:rFonts w:eastAsia="Times New Roman"/>
          <w:color w:val="000000"/>
          <w:sz w:val="20"/>
          <w:szCs w:val="20"/>
        </w:rPr>
        <w:t xml:space="preserve">When we sell a full or partial interest in a real estate facility without retaining a controlling interest following sale, we recognize a gain </w:t>
      </w:r>
      <w:r>
        <w:rPr>
          <w:rFonts w:eastAsia="Times New Roman"/>
          <w:color w:val="000000"/>
          <w:sz w:val="20"/>
          <w:szCs w:val="20"/>
        </w:rPr>
        <w:t>or loss on sale as if 100% of the property was sold at fair value. If we retain a controlling interest following the sale, we record a noncontrolling interest for the book value of the partial interest sold, and recognize additional paid-in capital for the</w:t>
      </w:r>
      <w:r>
        <w:rPr>
          <w:rFonts w:eastAsia="Times New Roman"/>
          <w:color w:val="000000"/>
          <w:sz w:val="20"/>
          <w:szCs w:val="20"/>
        </w:rPr>
        <w:t xml:space="preserve"> difference between the consideration received and the partial interest at book value.</w:t>
      </w:r>
    </w:p>
    <w:p w:rsidR="00000000" w:rsidRDefault="00473C5F">
      <w:pPr>
        <w:jc w:val="both"/>
        <w:divId w:val="2115245561"/>
        <w:rPr>
          <w:rFonts w:eastAsia="Times New Roman"/>
        </w:rPr>
      </w:pPr>
      <w:r>
        <w:rPr>
          <w:rFonts w:eastAsia="Times New Roman"/>
          <w:color w:val="000000"/>
          <w:sz w:val="20"/>
          <w:szCs w:val="20"/>
          <w:u w:val="single"/>
        </w:rPr>
        <w:t>Goodwill and Other Intangible Assets</w:t>
      </w:r>
    </w:p>
    <w:p w:rsidR="00000000" w:rsidRDefault="00473C5F">
      <w:pPr>
        <w:ind w:firstLine="720"/>
        <w:jc w:val="both"/>
        <w:divId w:val="2122218313"/>
        <w:rPr>
          <w:rFonts w:eastAsia="Times New Roman"/>
        </w:rPr>
      </w:pPr>
      <w:r>
        <w:rPr>
          <w:rFonts w:eastAsia="Times New Roman"/>
          <w:color w:val="000000"/>
          <w:sz w:val="20"/>
          <w:szCs w:val="20"/>
        </w:rPr>
        <w:t>Intangible assets consist of goodwill, the Shurgard® trade name, which Shurgard uses pursuant to a fee-based licensing agreement, an</w:t>
      </w:r>
      <w:r>
        <w:rPr>
          <w:rFonts w:eastAsia="Times New Roman"/>
          <w:color w:val="000000"/>
          <w:sz w:val="20"/>
          <w:szCs w:val="20"/>
        </w:rPr>
        <w:t>d finite-lived assets. Goodwill and the Shurgard® trade name have indefinite lives and are not amortized. Our finite-lived assets consist primarily of (i) acquired customers in place amortized relative to the benefit of the customers in place, with such am</w:t>
      </w:r>
      <w:r>
        <w:rPr>
          <w:rFonts w:eastAsia="Times New Roman"/>
          <w:color w:val="000000"/>
          <w:sz w:val="20"/>
          <w:szCs w:val="20"/>
        </w:rPr>
        <w:t>ortization reflected as depreciation and amortization expense on our income statement and (ii) property tax abatements acquired and amortized relative to the reduction in property tax paid, with such amortization reflected as self-storage cost of operation</w:t>
      </w:r>
      <w:r>
        <w:rPr>
          <w:rFonts w:eastAsia="Times New Roman"/>
          <w:color w:val="000000"/>
          <w:sz w:val="20"/>
          <w:szCs w:val="20"/>
        </w:rPr>
        <w:t>s on our income statement.</w:t>
      </w:r>
    </w:p>
    <w:p w:rsidR="00000000" w:rsidRDefault="00473C5F">
      <w:pPr>
        <w:jc w:val="both"/>
        <w:divId w:val="1589997515"/>
        <w:rPr>
          <w:rFonts w:eastAsia="Times New Roman"/>
        </w:rPr>
      </w:pPr>
      <w:r>
        <w:rPr>
          <w:rFonts w:eastAsia="Times New Roman"/>
          <w:color w:val="000000"/>
          <w:sz w:val="20"/>
          <w:szCs w:val="20"/>
          <w:u w:val="single"/>
        </w:rPr>
        <w:t>Evaluation of Asset Impairment</w:t>
      </w:r>
    </w:p>
    <w:p w:rsidR="00000000" w:rsidRDefault="00473C5F">
      <w:pPr>
        <w:ind w:firstLine="720"/>
        <w:jc w:val="both"/>
        <w:divId w:val="1803840553"/>
        <w:rPr>
          <w:rFonts w:eastAsia="Times New Roman"/>
        </w:rPr>
      </w:pPr>
      <w:r>
        <w:rPr>
          <w:rFonts w:eastAsia="Times New Roman"/>
          <w:color w:val="000000"/>
          <w:sz w:val="20"/>
          <w:szCs w:val="20"/>
        </w:rPr>
        <w:t>We evaluate our real estate and finite-lived intangible assets for impairment each quarter. If there are indicators of impairment and we determine that the asset is not recoverable from future undis</w:t>
      </w:r>
      <w:r>
        <w:rPr>
          <w:rFonts w:eastAsia="Times New Roman"/>
          <w:color w:val="000000"/>
          <w:sz w:val="20"/>
          <w:szCs w:val="20"/>
        </w:rPr>
        <w:t>counted cash flows to be received through the asset’s remaining life (or, if earlier, the expected disposal date), we record an impairment charge to the extent the carrying amount exceeds the asset’s estimated fair value or net proceeds from expected dispo</w:t>
      </w:r>
      <w:r>
        <w:rPr>
          <w:rFonts w:eastAsia="Times New Roman"/>
          <w:color w:val="000000"/>
          <w:sz w:val="20"/>
          <w:szCs w:val="20"/>
        </w:rPr>
        <w:t xml:space="preserve">sal. </w:t>
      </w:r>
    </w:p>
    <w:p w:rsidR="00000000" w:rsidRDefault="00473C5F">
      <w:pPr>
        <w:ind w:firstLine="720"/>
        <w:jc w:val="both"/>
        <w:divId w:val="78066595"/>
        <w:rPr>
          <w:rFonts w:eastAsia="Times New Roman"/>
        </w:rPr>
      </w:pPr>
      <w:r>
        <w:rPr>
          <w:rFonts w:eastAsia="Times New Roman"/>
          <w:color w:val="000000"/>
          <w:sz w:val="20"/>
          <w:szCs w:val="20"/>
        </w:rPr>
        <w:t xml:space="preserve">We evaluate our investments in unconsolidated real estate entities for impairment quarterly. We record an impairment charge to the extent the carrying amount exceeds estimated fair value, when we believe any such shortfall is other than temporary. </w:t>
      </w:r>
    </w:p>
    <w:p w:rsidR="00000000" w:rsidRDefault="00473C5F">
      <w:pPr>
        <w:ind w:firstLine="720"/>
        <w:jc w:val="both"/>
        <w:divId w:val="271283847"/>
        <w:rPr>
          <w:rFonts w:eastAsia="Times New Roman"/>
        </w:rPr>
      </w:pPr>
      <w:r>
        <w:rPr>
          <w:rFonts w:eastAsia="Times New Roman"/>
          <w:color w:val="000000"/>
          <w:sz w:val="20"/>
          <w:szCs w:val="20"/>
        </w:rPr>
        <w:t>W</w:t>
      </w:r>
      <w:r>
        <w:rPr>
          <w:rFonts w:eastAsia="Times New Roman"/>
          <w:color w:val="000000"/>
          <w:sz w:val="20"/>
          <w:szCs w:val="20"/>
        </w:rPr>
        <w:t>e evaluate goodwill for impairment annually and whenever relevant events, circumstances, and other related factors indicate that it is more likely than not that the fair value of the related reporting unit is less than the carrying amount. When we conclude</w:t>
      </w:r>
      <w:r>
        <w:rPr>
          <w:rFonts w:eastAsia="Times New Roman"/>
          <w:color w:val="000000"/>
          <w:sz w:val="20"/>
          <w:szCs w:val="20"/>
        </w:rPr>
        <w:t xml:space="preserve"> that it is not more likely than not that the fair value of the reporting unit is less than the aggregate carrying amount, no impairment charge is recorded and no further analysis is performed. Otherwise, we record an impairment charge to the extent the ca</w:t>
      </w:r>
      <w:r>
        <w:rPr>
          <w:rFonts w:eastAsia="Times New Roman"/>
          <w:color w:val="000000"/>
          <w:sz w:val="20"/>
          <w:szCs w:val="20"/>
        </w:rPr>
        <w:t xml:space="preserve">rrying amount of the goodwill exceeds the amount that would be allocated to goodwill if the reporting unit were acquired for estimated fair value. </w:t>
      </w:r>
    </w:p>
    <w:p w:rsidR="00000000" w:rsidRDefault="00473C5F">
      <w:pPr>
        <w:ind w:firstLine="720"/>
        <w:jc w:val="both"/>
        <w:divId w:val="1433624103"/>
        <w:rPr>
          <w:rFonts w:eastAsia="Times New Roman"/>
        </w:rPr>
      </w:pPr>
      <w:r>
        <w:rPr>
          <w:rFonts w:eastAsia="Times New Roman"/>
          <w:color w:val="000000"/>
          <w:sz w:val="20"/>
          <w:szCs w:val="20"/>
        </w:rPr>
        <w:t>We evaluate other indefinite-lived intangible assets, such as the Shurgard® trade name for impairment at lea</w:t>
      </w:r>
      <w:r>
        <w:rPr>
          <w:rFonts w:eastAsia="Times New Roman"/>
          <w:color w:val="000000"/>
          <w:sz w:val="20"/>
          <w:szCs w:val="20"/>
        </w:rPr>
        <w:t>st annually and whenever relevant events, circumstances and other related factors indicate that it is more likely than not that the asset is impaired. When we conclude that it is not more likely than not that the asset is impaired, we do not record an impa</w:t>
      </w:r>
      <w:r>
        <w:rPr>
          <w:rFonts w:eastAsia="Times New Roman"/>
          <w:color w:val="000000"/>
          <w:sz w:val="20"/>
          <w:szCs w:val="20"/>
        </w:rPr>
        <w:t xml:space="preserve">irment charge and no further analysis is performed. Otherwise, we record an impairment charge to the extent the carrying amount exceeds the asset’s estimated fair value. </w:t>
      </w:r>
    </w:p>
    <w:p w:rsidR="00000000" w:rsidRDefault="00473C5F">
      <w:pPr>
        <w:jc w:val="center"/>
        <w:divId w:val="738138143"/>
        <w:rPr>
          <w:rFonts w:eastAsia="Times New Roman"/>
        </w:rPr>
      </w:pPr>
      <w:r>
        <w:rPr>
          <w:rFonts w:eastAsia="Times New Roman"/>
          <w:color w:val="000000"/>
          <w:sz w:val="20"/>
          <w:szCs w:val="20"/>
        </w:rPr>
        <w:t>F-12</w:t>
      </w:r>
    </w:p>
    <w:p w:rsidR="00000000" w:rsidRDefault="00473C5F">
      <w:pPr>
        <w:rPr>
          <w:rFonts w:eastAsia="Times New Roman"/>
        </w:rPr>
      </w:pPr>
      <w:r>
        <w:rPr>
          <w:rFonts w:eastAsia="Times New Roman"/>
        </w:rPr>
        <w:pict>
          <v:rect id="_x0000_i1102" style="width:0;height:1.5pt" o:hralign="center" o:hrstd="t" o:hr="t" fillcolor="#a0a0a0" stroked="f"/>
        </w:pict>
      </w:r>
    </w:p>
    <w:p w:rsidR="00000000" w:rsidRDefault="00473C5F">
      <w:pPr>
        <w:jc w:val="center"/>
        <w:divId w:val="795484099"/>
        <w:rPr>
          <w:rFonts w:eastAsia="Times New Roman"/>
        </w:rPr>
      </w:pPr>
    </w:p>
    <w:p w:rsidR="00000000" w:rsidRDefault="00473C5F">
      <w:pPr>
        <w:jc w:val="center"/>
        <w:divId w:val="795484099"/>
        <w:rPr>
          <w:rFonts w:eastAsia="Times New Roman"/>
        </w:rPr>
      </w:pPr>
      <w:r>
        <w:rPr>
          <w:rFonts w:eastAsia="Times New Roman"/>
          <w:b/>
          <w:bCs/>
          <w:color w:val="000000"/>
          <w:sz w:val="20"/>
          <w:szCs w:val="20"/>
        </w:rPr>
        <w:t>PUBLIC STORAGE</w:t>
      </w:r>
    </w:p>
    <w:p w:rsidR="00000000" w:rsidRDefault="00473C5F">
      <w:pPr>
        <w:jc w:val="center"/>
        <w:divId w:val="795484099"/>
        <w:rPr>
          <w:rFonts w:eastAsia="Times New Roman"/>
        </w:rPr>
      </w:pPr>
      <w:r>
        <w:rPr>
          <w:rFonts w:eastAsia="Times New Roman"/>
          <w:b/>
          <w:bCs/>
          <w:color w:val="000000"/>
          <w:sz w:val="20"/>
          <w:szCs w:val="20"/>
        </w:rPr>
        <w:t>NOTES TO CONSOLIDATED FINAN</w:t>
      </w:r>
      <w:r>
        <w:rPr>
          <w:rFonts w:eastAsia="Times New Roman"/>
          <w:b/>
          <w:bCs/>
          <w:color w:val="000000"/>
          <w:sz w:val="20"/>
          <w:szCs w:val="20"/>
        </w:rPr>
        <w:t>CIAL STATEMENTS</w:t>
      </w:r>
    </w:p>
    <w:p w:rsidR="00000000" w:rsidRDefault="00473C5F">
      <w:pPr>
        <w:jc w:val="center"/>
        <w:divId w:val="795484099"/>
        <w:rPr>
          <w:rFonts w:eastAsia="Times New Roman"/>
        </w:rPr>
      </w:pPr>
      <w:r>
        <w:rPr>
          <w:rFonts w:eastAsia="Times New Roman"/>
          <w:b/>
          <w:bCs/>
          <w:color w:val="000000"/>
          <w:sz w:val="20"/>
          <w:szCs w:val="20"/>
        </w:rPr>
        <w:t>December 31, 2022</w:t>
      </w:r>
    </w:p>
    <w:p w:rsidR="00000000" w:rsidRDefault="00473C5F">
      <w:pPr>
        <w:jc w:val="center"/>
        <w:divId w:val="795484099"/>
        <w:rPr>
          <w:rFonts w:eastAsia="Times New Roman"/>
        </w:rPr>
      </w:pPr>
    </w:p>
    <w:p w:rsidR="00000000" w:rsidRDefault="00473C5F">
      <w:pPr>
        <w:ind w:firstLine="720"/>
        <w:jc w:val="both"/>
        <w:divId w:val="188109034"/>
        <w:rPr>
          <w:rFonts w:eastAsia="Times New Roman"/>
        </w:rPr>
      </w:pPr>
      <w:r>
        <w:rPr>
          <w:rFonts w:eastAsia="Times New Roman"/>
          <w:color w:val="000000"/>
          <w:sz w:val="20"/>
          <w:szCs w:val="20"/>
        </w:rPr>
        <w:t>No impairments were recorded in any of our evaluations for any period presented herein.</w:t>
      </w:r>
    </w:p>
    <w:p w:rsidR="00000000" w:rsidRDefault="00473C5F">
      <w:pPr>
        <w:jc w:val="both"/>
        <w:divId w:val="884098779"/>
        <w:rPr>
          <w:rFonts w:eastAsia="Times New Roman"/>
        </w:rPr>
      </w:pPr>
      <w:r>
        <w:rPr>
          <w:rFonts w:eastAsia="Times New Roman"/>
          <w:color w:val="000000"/>
          <w:sz w:val="20"/>
          <w:szCs w:val="20"/>
          <w:u w:val="single"/>
        </w:rPr>
        <w:t>Revenue and Expense Recognition</w:t>
      </w:r>
    </w:p>
    <w:p w:rsidR="00000000" w:rsidRDefault="00473C5F">
      <w:pPr>
        <w:ind w:firstLine="720"/>
        <w:jc w:val="both"/>
        <w:divId w:val="1853448985"/>
        <w:rPr>
          <w:rFonts w:eastAsia="Times New Roman"/>
        </w:rPr>
      </w:pPr>
      <w:r>
        <w:rPr>
          <w:rFonts w:eastAsia="Times New Roman"/>
          <w:color w:val="000000"/>
          <w:sz w:val="20"/>
          <w:szCs w:val="20"/>
        </w:rPr>
        <w:t xml:space="preserve">We recognize revenues from self-storage facilities, which primarily comprise rental income earned pursuant to month-to-month leases, as well as associated late charges and administrative fees, as earned. Promotional discounts reduce rental income over the </w:t>
      </w:r>
      <w:r>
        <w:rPr>
          <w:rFonts w:eastAsia="Times New Roman"/>
          <w:color w:val="000000"/>
          <w:sz w:val="20"/>
          <w:szCs w:val="20"/>
        </w:rPr>
        <w:t xml:space="preserve">promotional period, which is generally one month. We recognize ancillary revenues when earned. </w:t>
      </w:r>
    </w:p>
    <w:p w:rsidR="00000000" w:rsidRDefault="00473C5F">
      <w:pPr>
        <w:ind w:firstLine="720"/>
        <w:jc w:val="both"/>
        <w:divId w:val="1450007202"/>
        <w:rPr>
          <w:rFonts w:eastAsia="Times New Roman"/>
        </w:rPr>
      </w:pPr>
      <w:r>
        <w:rPr>
          <w:rFonts w:eastAsia="Times New Roman"/>
          <w:color w:val="000000"/>
          <w:sz w:val="20"/>
          <w:szCs w:val="20"/>
        </w:rPr>
        <w:t xml:space="preserve">We accrue for property tax expense based upon actual amounts billed and, in some circumstances, estimates when bills or assessments have not been received from </w:t>
      </w:r>
      <w:r>
        <w:rPr>
          <w:rFonts w:eastAsia="Times New Roman"/>
          <w:color w:val="000000"/>
          <w:sz w:val="20"/>
          <w:szCs w:val="20"/>
        </w:rPr>
        <w:t>the taxing authorities. If these estimates are incorrect, the timing and amount of expense recognition could be incorrect. We expense cost of operations (including advertising expenditures), general and administrative expense, and interest expense as incur</w:t>
      </w:r>
      <w:r>
        <w:rPr>
          <w:rFonts w:eastAsia="Times New Roman"/>
          <w:color w:val="000000"/>
          <w:sz w:val="20"/>
          <w:szCs w:val="20"/>
        </w:rPr>
        <w:t xml:space="preserve">red. </w:t>
      </w:r>
    </w:p>
    <w:p w:rsidR="00000000" w:rsidRDefault="00473C5F">
      <w:pPr>
        <w:jc w:val="both"/>
        <w:divId w:val="276182070"/>
        <w:rPr>
          <w:rFonts w:eastAsia="Times New Roman"/>
        </w:rPr>
      </w:pPr>
      <w:r>
        <w:rPr>
          <w:rFonts w:eastAsia="Times New Roman"/>
          <w:color w:val="000000"/>
          <w:sz w:val="20"/>
          <w:szCs w:val="20"/>
          <w:u w:val="single"/>
        </w:rPr>
        <w:t>Foreign Currency Exchange Translation</w:t>
      </w:r>
    </w:p>
    <w:p w:rsidR="00000000" w:rsidRDefault="00473C5F">
      <w:pPr>
        <w:ind w:firstLine="720"/>
        <w:jc w:val="both"/>
        <w:divId w:val="239873825"/>
        <w:rPr>
          <w:rFonts w:eastAsia="Times New Roman"/>
        </w:rPr>
      </w:pPr>
      <w:r>
        <w:rPr>
          <w:rFonts w:eastAsia="Times New Roman"/>
          <w:color w:val="000000"/>
          <w:sz w:val="20"/>
          <w:szCs w:val="20"/>
        </w:rPr>
        <w:t>The local currency (primarily the Euro) is the functional currency for our interests in foreign operations. The related balance sheet amounts are translated into U.S. Dollars at the exchange rates at the respecti</w:t>
      </w:r>
      <w:r>
        <w:rPr>
          <w:rFonts w:eastAsia="Times New Roman"/>
          <w:color w:val="000000"/>
          <w:sz w:val="20"/>
          <w:szCs w:val="20"/>
        </w:rPr>
        <w:t>ve financial statement date, while amounts on our consolidated statements of income are translated at the average exchange rates during the respective period. Cumulative translation adjustments, to the extent not included in cumulative net income, are incl</w:t>
      </w:r>
      <w:r>
        <w:rPr>
          <w:rFonts w:eastAsia="Times New Roman"/>
          <w:color w:val="000000"/>
          <w:sz w:val="20"/>
          <w:szCs w:val="20"/>
        </w:rPr>
        <w:t>uded in equity as a component of accumulated other comprehensive income (loss).</w:t>
      </w:r>
    </w:p>
    <w:p w:rsidR="00000000" w:rsidRDefault="00473C5F">
      <w:pPr>
        <w:ind w:firstLine="720"/>
        <w:jc w:val="both"/>
        <w:divId w:val="363753532"/>
        <w:rPr>
          <w:rFonts w:eastAsia="Times New Roman"/>
        </w:rPr>
      </w:pPr>
      <w:r>
        <w:rPr>
          <w:rFonts w:eastAsia="Times New Roman"/>
          <w:color w:val="000000"/>
          <w:sz w:val="20"/>
          <w:szCs w:val="20"/>
        </w:rPr>
        <w:t xml:space="preserve">When financial instruments denominated in a currency other than the U.S. Dollar are expected to be settled in cash in the foreseeable future, the impact of changes in the U.S. </w:t>
      </w:r>
      <w:r>
        <w:rPr>
          <w:rFonts w:eastAsia="Times New Roman"/>
          <w:color w:val="000000"/>
          <w:sz w:val="20"/>
          <w:szCs w:val="20"/>
        </w:rPr>
        <w:t>Dollar equivalent are reflected in current earnings.</w:t>
      </w:r>
    </w:p>
    <w:p w:rsidR="00000000" w:rsidRDefault="00473C5F">
      <w:pPr>
        <w:ind w:firstLine="720"/>
        <w:jc w:val="both"/>
        <w:divId w:val="1684818247"/>
        <w:rPr>
          <w:rFonts w:eastAsia="Times New Roman"/>
        </w:rPr>
      </w:pPr>
      <w:r>
        <w:rPr>
          <w:rFonts w:eastAsia="Times New Roman"/>
          <w:color w:val="000000"/>
          <w:sz w:val="20"/>
          <w:szCs w:val="20"/>
        </w:rPr>
        <w:t>At December 31, 2022, due primarily to our investment in Shurgard (Note 4) and our notes payable denominated in Euros (Note 7), our operating results and financial position are affected by fluctuations i</w:t>
      </w:r>
      <w:r>
        <w:rPr>
          <w:rFonts w:eastAsia="Times New Roman"/>
          <w:color w:val="000000"/>
          <w:sz w:val="20"/>
          <w:szCs w:val="20"/>
        </w:rPr>
        <w:t>n currency exchange rates between the Euro, and to a lesser extent, other European currencies, against the U.S. Dollar. The Euro was translated at exchange rates of approximately 1.070 U.S. Dollars per Euro at December 31, 2022 (1.134 at December 31, 2021)</w:t>
      </w:r>
      <w:r>
        <w:rPr>
          <w:rFonts w:eastAsia="Times New Roman"/>
          <w:color w:val="000000"/>
          <w:sz w:val="20"/>
          <w:szCs w:val="20"/>
        </w:rPr>
        <w:t xml:space="preserve">, and average exchange rates of 1.054, 1.183 and 1.141 for the years ended December 31, 2022, 2021, and 2020, respectively. </w:t>
      </w:r>
    </w:p>
    <w:p w:rsidR="00000000" w:rsidRDefault="00473C5F">
      <w:pPr>
        <w:jc w:val="both"/>
        <w:divId w:val="1059670537"/>
        <w:rPr>
          <w:rFonts w:eastAsia="Times New Roman"/>
        </w:rPr>
      </w:pPr>
      <w:r>
        <w:rPr>
          <w:rFonts w:eastAsia="Times New Roman"/>
          <w:color w:val="000000"/>
          <w:sz w:val="20"/>
          <w:szCs w:val="20"/>
          <w:u w:val="single"/>
        </w:rPr>
        <w:t>Income Taxes</w:t>
      </w:r>
    </w:p>
    <w:p w:rsidR="00000000" w:rsidRDefault="00473C5F">
      <w:pPr>
        <w:ind w:firstLine="720"/>
        <w:jc w:val="both"/>
        <w:divId w:val="1736197014"/>
        <w:rPr>
          <w:rFonts w:eastAsia="Times New Roman"/>
        </w:rPr>
      </w:pPr>
      <w:r>
        <w:rPr>
          <w:rFonts w:eastAsia="Times New Roman"/>
          <w:color w:val="000000"/>
          <w:sz w:val="20"/>
          <w:szCs w:val="20"/>
        </w:rPr>
        <w:t>We have elected to be treated as a REIT, as defined in the Internal Revenue Code of 1986, as amended (the “Code”). For</w:t>
      </w:r>
      <w:r>
        <w:rPr>
          <w:rFonts w:eastAsia="Times New Roman"/>
          <w:color w:val="000000"/>
          <w:sz w:val="20"/>
          <w:szCs w:val="20"/>
        </w:rPr>
        <w:t xml:space="preserve"> each taxable year in which we qualify for taxation as a REIT, we will not be subject to U.S. federal corporate income tax on our “REIT taxable income” (generally, taxable income subject to specified adjustments, including a deduction for dividends paid an</w:t>
      </w:r>
      <w:r>
        <w:rPr>
          <w:rFonts w:eastAsia="Times New Roman"/>
          <w:color w:val="000000"/>
          <w:sz w:val="20"/>
          <w:szCs w:val="20"/>
        </w:rPr>
        <w:t>d excluding our net capital gain) that is distributed to our shareholders. We believe we have met these REIT requirements for all periods presented herein. Accordingly, we have recorded no U.S. federal corporate income tax expense related to our REIT taxab</w:t>
      </w:r>
      <w:r>
        <w:rPr>
          <w:rFonts w:eastAsia="Times New Roman"/>
          <w:color w:val="000000"/>
          <w:sz w:val="20"/>
          <w:szCs w:val="20"/>
        </w:rPr>
        <w:t xml:space="preserve">le income. </w:t>
      </w:r>
    </w:p>
    <w:p w:rsidR="00000000" w:rsidRDefault="00473C5F">
      <w:pPr>
        <w:ind w:firstLine="720"/>
        <w:jc w:val="both"/>
        <w:divId w:val="1591159439"/>
        <w:rPr>
          <w:rFonts w:eastAsia="Times New Roman"/>
        </w:rPr>
      </w:pPr>
      <w:r>
        <w:rPr>
          <w:rFonts w:eastAsia="Times New Roman"/>
          <w:color w:val="000000"/>
          <w:sz w:val="20"/>
          <w:szCs w:val="20"/>
        </w:rPr>
        <w:t>Our tenant reinsurance, merchandise, and third party management operations are subject to corporate income tax and such taxes are included in general and administrative expenses. We also incur income and other taxes in certain states, which are</w:t>
      </w:r>
      <w:r>
        <w:rPr>
          <w:rFonts w:eastAsia="Times New Roman"/>
          <w:color w:val="000000"/>
          <w:sz w:val="20"/>
          <w:szCs w:val="20"/>
        </w:rPr>
        <w:t xml:space="preserve"> included in general and administrative expense. </w:t>
      </w:r>
    </w:p>
    <w:p w:rsidR="00000000" w:rsidRDefault="00473C5F">
      <w:pPr>
        <w:ind w:firstLine="720"/>
        <w:jc w:val="both"/>
        <w:divId w:val="1133909041"/>
        <w:rPr>
          <w:rFonts w:eastAsia="Times New Roman"/>
        </w:rPr>
      </w:pPr>
      <w:r>
        <w:rPr>
          <w:rFonts w:eastAsia="Times New Roman"/>
          <w:color w:val="000000"/>
          <w:sz w:val="20"/>
          <w:szCs w:val="20"/>
        </w:rPr>
        <w:t>We recognize tax benefits of uncertain income tax positions that are subject to audit only if we believe it is more likely than not that the position would ultimately be sustained assuming the relevant taxi</w:t>
      </w:r>
      <w:r>
        <w:rPr>
          <w:rFonts w:eastAsia="Times New Roman"/>
          <w:color w:val="000000"/>
          <w:sz w:val="20"/>
          <w:szCs w:val="20"/>
        </w:rPr>
        <w:t>ng authorities had full knowledge of the relevant facts and circumstances of our positions. As of December 31, 2022, we had no tax benefits that were not recognized.</w:t>
      </w:r>
    </w:p>
    <w:p w:rsidR="00000000" w:rsidRDefault="00473C5F">
      <w:pPr>
        <w:ind w:firstLine="360"/>
        <w:jc w:val="both"/>
        <w:divId w:val="1012340616"/>
        <w:rPr>
          <w:rFonts w:eastAsia="Times New Roman"/>
        </w:rPr>
      </w:pPr>
      <w:r>
        <w:rPr>
          <w:rFonts w:eastAsia="Times New Roman"/>
          <w:color w:val="000000"/>
          <w:sz w:val="20"/>
          <w:szCs w:val="20"/>
          <w:u w:val="single"/>
        </w:rPr>
        <w:t>Share-Based Compensation</w:t>
      </w:r>
    </w:p>
    <w:p w:rsidR="00000000" w:rsidRDefault="00473C5F">
      <w:pPr>
        <w:ind w:firstLine="720"/>
        <w:jc w:val="both"/>
        <w:divId w:val="1445030499"/>
        <w:rPr>
          <w:rFonts w:eastAsia="Times New Roman"/>
        </w:rPr>
      </w:pPr>
      <w:r>
        <w:rPr>
          <w:rFonts w:eastAsia="Times New Roman"/>
          <w:color w:val="000000"/>
          <w:sz w:val="20"/>
          <w:szCs w:val="20"/>
        </w:rPr>
        <w:t>We generally estimate the fair value of share-based payment awards on the date of grant. We determine the fair value of restricted share units (“RSUs”) with no market conditions based on the closing market price of the Company’s common shares on the date o</w:t>
      </w:r>
      <w:r>
        <w:rPr>
          <w:rFonts w:eastAsia="Times New Roman"/>
          <w:color w:val="000000"/>
          <w:sz w:val="20"/>
          <w:szCs w:val="20"/>
        </w:rPr>
        <w:t xml:space="preserve">f grant. We value stock options with no market conditions at the grant date using the Black-Scholes option-pricing model. We value stock options and RSUs with market conditions at the grant </w:t>
      </w:r>
    </w:p>
    <w:p w:rsidR="00000000" w:rsidRDefault="00473C5F">
      <w:pPr>
        <w:jc w:val="center"/>
        <w:divId w:val="1875463219"/>
        <w:rPr>
          <w:rFonts w:eastAsia="Times New Roman"/>
        </w:rPr>
      </w:pPr>
      <w:r>
        <w:rPr>
          <w:rFonts w:eastAsia="Times New Roman"/>
          <w:color w:val="000000"/>
          <w:sz w:val="20"/>
          <w:szCs w:val="20"/>
        </w:rPr>
        <w:t>F-13</w:t>
      </w:r>
    </w:p>
    <w:p w:rsidR="00000000" w:rsidRDefault="00473C5F">
      <w:pPr>
        <w:rPr>
          <w:rFonts w:eastAsia="Times New Roman"/>
        </w:rPr>
      </w:pPr>
      <w:r>
        <w:rPr>
          <w:rFonts w:eastAsia="Times New Roman"/>
        </w:rPr>
        <w:pict>
          <v:rect id="_x0000_i1103" style="width:0;height:1.5pt" o:hralign="center" o:hrstd="t" o:hr="t" fillcolor="#a0a0a0" stroked="f"/>
        </w:pict>
      </w:r>
    </w:p>
    <w:p w:rsidR="00000000" w:rsidRDefault="00473C5F">
      <w:pPr>
        <w:jc w:val="center"/>
        <w:divId w:val="894899836"/>
        <w:rPr>
          <w:rFonts w:eastAsia="Times New Roman"/>
        </w:rPr>
      </w:pPr>
    </w:p>
    <w:p w:rsidR="00000000" w:rsidRDefault="00473C5F">
      <w:pPr>
        <w:jc w:val="center"/>
        <w:divId w:val="894899836"/>
        <w:rPr>
          <w:rFonts w:eastAsia="Times New Roman"/>
        </w:rPr>
      </w:pPr>
      <w:r>
        <w:rPr>
          <w:rFonts w:eastAsia="Times New Roman"/>
          <w:b/>
          <w:bCs/>
          <w:color w:val="000000"/>
          <w:sz w:val="20"/>
          <w:szCs w:val="20"/>
        </w:rPr>
        <w:t>PUBLIC STORAGE</w:t>
      </w:r>
    </w:p>
    <w:p w:rsidR="00000000" w:rsidRDefault="00473C5F">
      <w:pPr>
        <w:jc w:val="center"/>
        <w:divId w:val="894899836"/>
        <w:rPr>
          <w:rFonts w:eastAsia="Times New Roman"/>
        </w:rPr>
      </w:pPr>
      <w:r>
        <w:rPr>
          <w:rFonts w:eastAsia="Times New Roman"/>
          <w:b/>
          <w:bCs/>
          <w:color w:val="000000"/>
          <w:sz w:val="20"/>
          <w:szCs w:val="20"/>
        </w:rPr>
        <w:t>NOTES T</w:t>
      </w:r>
      <w:r>
        <w:rPr>
          <w:rFonts w:eastAsia="Times New Roman"/>
          <w:b/>
          <w:bCs/>
          <w:color w:val="000000"/>
          <w:sz w:val="20"/>
          <w:szCs w:val="20"/>
        </w:rPr>
        <w:t>O CONSOLIDATED FINANCIAL STATEMENTS</w:t>
      </w:r>
    </w:p>
    <w:p w:rsidR="00000000" w:rsidRDefault="00473C5F">
      <w:pPr>
        <w:jc w:val="center"/>
        <w:divId w:val="894899836"/>
        <w:rPr>
          <w:rFonts w:eastAsia="Times New Roman"/>
        </w:rPr>
      </w:pPr>
      <w:r>
        <w:rPr>
          <w:rFonts w:eastAsia="Times New Roman"/>
          <w:b/>
          <w:bCs/>
          <w:color w:val="000000"/>
          <w:sz w:val="20"/>
          <w:szCs w:val="20"/>
        </w:rPr>
        <w:t>December 31, 2022</w:t>
      </w:r>
    </w:p>
    <w:p w:rsidR="00000000" w:rsidRDefault="00473C5F">
      <w:pPr>
        <w:jc w:val="center"/>
        <w:divId w:val="894899836"/>
        <w:rPr>
          <w:rFonts w:eastAsia="Times New Roman"/>
        </w:rPr>
      </w:pPr>
    </w:p>
    <w:p w:rsidR="00000000" w:rsidRDefault="00473C5F">
      <w:pPr>
        <w:jc w:val="both"/>
        <w:divId w:val="881329941"/>
        <w:rPr>
          <w:rFonts w:eastAsia="Times New Roman"/>
        </w:rPr>
      </w:pPr>
      <w:r>
        <w:rPr>
          <w:rFonts w:eastAsia="Times New Roman"/>
          <w:color w:val="000000"/>
          <w:sz w:val="20"/>
          <w:szCs w:val="20"/>
        </w:rPr>
        <w:t xml:space="preserve">date using a Monte-Carlo valuation simulation. Our determination of the fair value of share-based payment awards on the date of grant using an option-pricing model or Monte-Carlo valuation simulation </w:t>
      </w:r>
      <w:r>
        <w:rPr>
          <w:rFonts w:eastAsia="Times New Roman"/>
          <w:color w:val="000000"/>
          <w:sz w:val="20"/>
          <w:szCs w:val="20"/>
        </w:rPr>
        <w:t>is affected by our stock price as well as assumptions regarding a number of subjective and complex variables. These variables include, but are not limited to, our expected stock price volatility over the expected term of the awards. For stock options, vari</w:t>
      </w:r>
      <w:r>
        <w:rPr>
          <w:rFonts w:eastAsia="Times New Roman"/>
          <w:color w:val="000000"/>
          <w:sz w:val="20"/>
          <w:szCs w:val="20"/>
        </w:rPr>
        <w:t xml:space="preserve">ables also include actual and projected stock option exercise behaviors. For restricted share units and stock options with performance conditions, we adjust compensation cost each quarter as needed for any changes in the assessment of the probability that </w:t>
      </w:r>
      <w:r>
        <w:rPr>
          <w:rFonts w:eastAsia="Times New Roman"/>
          <w:color w:val="000000"/>
          <w:sz w:val="20"/>
          <w:szCs w:val="20"/>
        </w:rPr>
        <w:t>the specified performance criteria will be achieved.</w:t>
      </w:r>
    </w:p>
    <w:p w:rsidR="00000000" w:rsidRDefault="00473C5F">
      <w:pPr>
        <w:ind w:firstLine="720"/>
        <w:jc w:val="both"/>
        <w:divId w:val="1212234294"/>
        <w:rPr>
          <w:rFonts w:eastAsia="Times New Roman"/>
        </w:rPr>
      </w:pPr>
      <w:r>
        <w:rPr>
          <w:rFonts w:eastAsia="Times New Roman"/>
          <w:color w:val="000000"/>
          <w:sz w:val="20"/>
          <w:szCs w:val="20"/>
        </w:rPr>
        <w:t>We amortize the grant-date fair value of awards as compensation expense over the service period, which begins on the grant date and ends on the expected vesting date. For awards that are earned solely up</w:t>
      </w:r>
      <w:r>
        <w:rPr>
          <w:rFonts w:eastAsia="Times New Roman"/>
          <w:color w:val="000000"/>
          <w:sz w:val="20"/>
          <w:szCs w:val="20"/>
        </w:rPr>
        <w:t>on the passage of time and continued service, the entire cost of the award is amortized on a straight-line basis over the service period. For awards with market and/or performance conditions, the individual cost of each vesting is amortized separately over</w:t>
      </w:r>
      <w:r>
        <w:rPr>
          <w:rFonts w:eastAsia="Times New Roman"/>
          <w:color w:val="000000"/>
          <w:sz w:val="20"/>
          <w:szCs w:val="20"/>
        </w:rPr>
        <w:t xml:space="preserve"> each individual service period (the “accelerated attribution” method). For awards with performance conditions, the estimated number of stock awards that will ultimately vest requires judgment, and to the extent actual results or updated estimates differ f</w:t>
      </w:r>
      <w:r>
        <w:rPr>
          <w:rFonts w:eastAsia="Times New Roman"/>
          <w:color w:val="000000"/>
          <w:sz w:val="20"/>
          <w:szCs w:val="20"/>
        </w:rPr>
        <w:t>rom our current estimates, such amounts will be recorded as a cumulative adjustment in the period estimates are revised. In amortizing share-based compensation expense, we do not estimate future forfeitures. Instead, we reverse previously amortized share-b</w:t>
      </w:r>
      <w:r>
        <w:rPr>
          <w:rFonts w:eastAsia="Times New Roman"/>
          <w:color w:val="000000"/>
          <w:sz w:val="20"/>
          <w:szCs w:val="20"/>
        </w:rPr>
        <w:t>ased compensation expense with respect to grants that are forfeited in the period the employee terminates employment.</w:t>
      </w:r>
    </w:p>
    <w:p w:rsidR="00000000" w:rsidRDefault="00473C5F">
      <w:pPr>
        <w:ind w:firstLine="720"/>
        <w:jc w:val="both"/>
        <w:divId w:val="1294674878"/>
        <w:rPr>
          <w:rFonts w:eastAsia="Times New Roman"/>
        </w:rPr>
      </w:pPr>
      <w:r>
        <w:rPr>
          <w:rFonts w:eastAsia="Times New Roman"/>
          <w:color w:val="000000"/>
          <w:sz w:val="20"/>
          <w:szCs w:val="20"/>
        </w:rPr>
        <w:t>In July 2020, we modified our share-based compensation plans to allow immediate vesting upon retirement (“Retirement Acceleration”), and t</w:t>
      </w:r>
      <w:r>
        <w:rPr>
          <w:rFonts w:eastAsia="Times New Roman"/>
          <w:color w:val="000000"/>
          <w:sz w:val="20"/>
          <w:szCs w:val="20"/>
        </w:rPr>
        <w:t>o extend the exercisability of outstanding stock options up to a year after retirement, for currently outstanding and future grants. Prior to the modification, unvested awards were forfeited, and outstanding vested stock options were cancelled, upon retire</w:t>
      </w:r>
      <w:r>
        <w:rPr>
          <w:rFonts w:eastAsia="Times New Roman"/>
          <w:color w:val="000000"/>
          <w:sz w:val="20"/>
          <w:szCs w:val="20"/>
        </w:rPr>
        <w:t xml:space="preserve">ment. Employees are eligible for Retirement Acceleration if they meet certain conditions including length of service, age, notice of intent to retire, and facilitation of succession for their role. This modification results in accelerating amortization of </w:t>
      </w:r>
      <w:r>
        <w:rPr>
          <w:rFonts w:eastAsia="Times New Roman"/>
          <w:color w:val="000000"/>
          <w:sz w:val="20"/>
          <w:szCs w:val="20"/>
        </w:rPr>
        <w:t>compensation expense for each grant by changing the end of the service period from the original vesting date to the date an employee is expected to be eligible for Retirement Acceleration, if earlier.</w:t>
      </w:r>
    </w:p>
    <w:p w:rsidR="00000000" w:rsidRDefault="00473C5F">
      <w:pPr>
        <w:jc w:val="center"/>
        <w:divId w:val="460616335"/>
        <w:rPr>
          <w:rFonts w:eastAsia="Times New Roman"/>
        </w:rPr>
      </w:pPr>
      <w:r>
        <w:rPr>
          <w:rFonts w:eastAsia="Times New Roman"/>
          <w:color w:val="000000"/>
          <w:sz w:val="20"/>
          <w:szCs w:val="20"/>
        </w:rPr>
        <w:t>F-14</w:t>
      </w:r>
    </w:p>
    <w:p w:rsidR="00000000" w:rsidRDefault="00473C5F">
      <w:pPr>
        <w:rPr>
          <w:rFonts w:eastAsia="Times New Roman"/>
        </w:rPr>
      </w:pPr>
      <w:r>
        <w:rPr>
          <w:rFonts w:eastAsia="Times New Roman"/>
        </w:rPr>
        <w:pict>
          <v:rect id="_x0000_i1104" style="width:0;height:1.5pt" o:hralign="center" o:hrstd="t" o:hr="t" fillcolor="#a0a0a0" stroked="f"/>
        </w:pict>
      </w:r>
    </w:p>
    <w:p w:rsidR="00000000" w:rsidRDefault="00473C5F">
      <w:pPr>
        <w:jc w:val="center"/>
        <w:divId w:val="1018585088"/>
        <w:rPr>
          <w:rFonts w:eastAsia="Times New Roman"/>
        </w:rPr>
      </w:pPr>
    </w:p>
    <w:p w:rsidR="00000000" w:rsidRDefault="00473C5F">
      <w:pPr>
        <w:jc w:val="center"/>
        <w:divId w:val="1018585088"/>
        <w:rPr>
          <w:rFonts w:eastAsia="Times New Roman"/>
        </w:rPr>
      </w:pPr>
      <w:r>
        <w:rPr>
          <w:rFonts w:eastAsia="Times New Roman"/>
          <w:b/>
          <w:bCs/>
          <w:color w:val="000000"/>
          <w:sz w:val="20"/>
          <w:szCs w:val="20"/>
        </w:rPr>
        <w:t>PUBLIC STORA</w:t>
      </w:r>
      <w:r>
        <w:rPr>
          <w:rFonts w:eastAsia="Times New Roman"/>
          <w:b/>
          <w:bCs/>
          <w:color w:val="000000"/>
          <w:sz w:val="20"/>
          <w:szCs w:val="20"/>
        </w:rPr>
        <w:t>GE</w:t>
      </w:r>
    </w:p>
    <w:p w:rsidR="00000000" w:rsidRDefault="00473C5F">
      <w:pPr>
        <w:jc w:val="center"/>
        <w:divId w:val="1018585088"/>
        <w:rPr>
          <w:rFonts w:eastAsia="Times New Roman"/>
        </w:rPr>
      </w:pPr>
      <w:r>
        <w:rPr>
          <w:rFonts w:eastAsia="Times New Roman"/>
          <w:b/>
          <w:bCs/>
          <w:color w:val="000000"/>
          <w:sz w:val="20"/>
          <w:szCs w:val="20"/>
        </w:rPr>
        <w:t>NOTES TO CONSOLIDATED FINANCIAL STATEMENTS</w:t>
      </w:r>
    </w:p>
    <w:p w:rsidR="00000000" w:rsidRDefault="00473C5F">
      <w:pPr>
        <w:jc w:val="center"/>
        <w:divId w:val="1018585088"/>
        <w:rPr>
          <w:rFonts w:eastAsia="Times New Roman"/>
        </w:rPr>
      </w:pPr>
      <w:r>
        <w:rPr>
          <w:rFonts w:eastAsia="Times New Roman"/>
          <w:b/>
          <w:bCs/>
          <w:color w:val="000000"/>
          <w:sz w:val="20"/>
          <w:szCs w:val="20"/>
        </w:rPr>
        <w:t>December 31, 2022</w:t>
      </w:r>
    </w:p>
    <w:p w:rsidR="00000000" w:rsidRDefault="00473C5F">
      <w:pPr>
        <w:jc w:val="center"/>
        <w:divId w:val="1018585088"/>
        <w:rPr>
          <w:rFonts w:eastAsia="Times New Roman"/>
        </w:rPr>
      </w:pPr>
    </w:p>
    <w:p w:rsidR="00000000" w:rsidRDefault="00473C5F">
      <w:pPr>
        <w:ind w:hanging="360"/>
        <w:divId w:val="215941401"/>
        <w:rPr>
          <w:rFonts w:eastAsia="Times New Roman"/>
        </w:rPr>
      </w:pPr>
      <w:r>
        <w:rPr>
          <w:rFonts w:eastAsia="Times New Roman"/>
          <w:color w:val="000000"/>
          <w:sz w:val="20"/>
          <w:szCs w:val="20"/>
        </w:rPr>
        <w:t>3.</w:t>
      </w:r>
      <w:r>
        <w:rPr>
          <w:rFonts w:eastAsia="Times New Roman"/>
          <w:color w:val="000000"/>
          <w:sz w:val="20"/>
          <w:szCs w:val="20"/>
          <w:u w:val="single"/>
        </w:rPr>
        <w:t>Real Estate Facilities</w:t>
      </w:r>
    </w:p>
    <w:p w:rsidR="00000000" w:rsidRDefault="00473C5F">
      <w:pPr>
        <w:divId w:val="748581284"/>
        <w:rPr>
          <w:rFonts w:eastAsia="Times New Roman"/>
        </w:rPr>
      </w:pPr>
    </w:p>
    <w:p w:rsidR="00000000" w:rsidRDefault="00473C5F">
      <w:pPr>
        <w:ind w:firstLine="720"/>
        <w:divId w:val="1134909293"/>
        <w:rPr>
          <w:rFonts w:eastAsia="Times New Roman"/>
        </w:rPr>
      </w:pPr>
      <w:r>
        <w:rPr>
          <w:rFonts w:eastAsia="Times New Roman"/>
          <w:color w:val="000000"/>
          <w:sz w:val="20"/>
          <w:szCs w:val="20"/>
        </w:rPr>
        <w:t>Activity in real estate facilities during 2022, 2021, and 2020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695"/>
        <w:gridCol w:w="38"/>
        <w:gridCol w:w="120"/>
        <w:gridCol w:w="950"/>
        <w:gridCol w:w="36"/>
        <w:gridCol w:w="36"/>
        <w:gridCol w:w="36"/>
        <w:gridCol w:w="36"/>
        <w:gridCol w:w="120"/>
        <w:gridCol w:w="950"/>
        <w:gridCol w:w="36"/>
        <w:gridCol w:w="36"/>
        <w:gridCol w:w="36"/>
        <w:gridCol w:w="36"/>
        <w:gridCol w:w="120"/>
        <w:gridCol w:w="950"/>
        <w:gridCol w:w="36"/>
      </w:tblGrid>
      <w:tr w:rsidR="00000000">
        <w:trPr>
          <w:jc w:val="center"/>
        </w:trPr>
        <w:tc>
          <w:tcPr>
            <w:tcW w:w="50" w:type="pct"/>
            <w:vAlign w:val="center"/>
            <w:hideMark/>
          </w:tcPr>
          <w:p w:rsidR="00000000" w:rsidRDefault="00473C5F">
            <w:pPr>
              <w:ind w:firstLine="720"/>
              <w:rPr>
                <w:rFonts w:eastAsia="Times New Roman"/>
              </w:rPr>
            </w:pPr>
          </w:p>
        </w:tc>
        <w:tc>
          <w:tcPr>
            <w:tcW w:w="288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For the Years Ended December 31,</w:t>
            </w: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2020</w:t>
            </w: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jc w:val="both"/>
              <w:rPr>
                <w:rFonts w:eastAsia="Times New Roman"/>
              </w:rPr>
            </w:pPr>
            <w:r>
              <w:rPr>
                <w:rFonts w:eastAsia="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(Amounts in thousands)</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Operating facilities, at cost:</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Beginning balance </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22,807,833 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17,372,627 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16,289,146 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Capital expenditures to maintain real estate facilities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452,316 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284,200 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163,834 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Acquisitions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733,442 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4,940,413 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781,219 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Dispositions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(1,704)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(7,408)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(303)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or expanded facilities opened for operation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227,239 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218,001 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138,731 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24,219,126 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22,807,833 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17,372,627 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Accumulated depreciation: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Beginning balance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(7,773,308)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w:t>
            </w:r>
            <w:r>
              <w:rPr>
                <w:rFonts w:eastAsia="Times New Roman"/>
                <w:color w:val="000000"/>
                <w:sz w:val="20"/>
                <w:szCs w:val="20"/>
              </w:rPr>
              <w:t>7,152,135)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(6,623,475)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Depreciation expense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(781,931)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(625,968)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(528,660)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Dispositions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4,795 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(8,554,155)</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(7,773,308)</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(7,152,135)</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Construction in process: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Beginning balance </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272,471 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188,079 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141,934 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Costs incurred to develop and expand real estate facilities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336,948 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302,393 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188,102 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Write-off of cancelled projects and transfer to other assets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(9,188)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(3,226)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Developed or expanded facilities opened for operation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(227,239)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(218,001)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(138,731)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372,992 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272,471 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188,079 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divId w:val="342978477"/>
              <w:rPr>
                <w:rFonts w:eastAsia="Times New Roman"/>
              </w:rPr>
            </w:pPr>
            <w:r>
              <w:rPr>
                <w:rFonts w:eastAsia="Times New Roman"/>
                <w:color w:val="000000"/>
                <w:sz w:val="20"/>
                <w:szCs w:val="20"/>
              </w:rPr>
              <w:t>Total real estate facilities at December 31,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16,037,963 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15,306,996 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10,408,571 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ind w:firstLine="720"/>
        <w:jc w:val="both"/>
        <w:divId w:val="315308818"/>
        <w:rPr>
          <w:rFonts w:eastAsia="Times New Roman"/>
        </w:rPr>
      </w:pPr>
      <w:r>
        <w:rPr>
          <w:rFonts w:eastAsia="Times New Roman"/>
          <w:color w:val="000000"/>
          <w:sz w:val="20"/>
          <w:szCs w:val="20"/>
        </w:rPr>
        <w:t>During 2022, we acquired 74 self-storage facilities (4.7 million net rentable square feet of storage space), for a total cost of $730.5 million, consisting of $710.6 million in cash and $19.9 million in partnership units in one of our subsidiari</w:t>
      </w:r>
      <w:r>
        <w:rPr>
          <w:rFonts w:eastAsia="Times New Roman"/>
          <w:color w:val="000000"/>
          <w:sz w:val="20"/>
          <w:szCs w:val="20"/>
        </w:rPr>
        <w:t xml:space="preserve">es. Approximately $24.1 million of the total cost was allocated to intangible assets. We completed development and redevelopment activities costing $227.2 million during 2022, adding 1.4 million net rentable square feet of self-storage space. Construction </w:t>
      </w:r>
      <w:r>
        <w:rPr>
          <w:rFonts w:eastAsia="Times New Roman"/>
          <w:color w:val="000000"/>
          <w:sz w:val="20"/>
          <w:szCs w:val="20"/>
        </w:rPr>
        <w:t>in process at December 31, 2022 consisted of projects to develop new self-storage facilities and expand existing self-storage facilities. During 2022, we wrote off $7.0 million of accumulated development costs for cancelled development and redevelopment pr</w:t>
      </w:r>
      <w:r>
        <w:rPr>
          <w:rFonts w:eastAsia="Times New Roman"/>
          <w:color w:val="000000"/>
          <w:sz w:val="20"/>
          <w:szCs w:val="20"/>
        </w:rPr>
        <w:t>ojects in construction in process as general and administrative expense. We also transferred $2.2 million of land cost related to a cancelled development project to other assets at December 31, 2022.</w:t>
      </w:r>
    </w:p>
    <w:p w:rsidR="00000000" w:rsidRDefault="00473C5F">
      <w:pPr>
        <w:ind w:firstLine="720"/>
        <w:jc w:val="both"/>
        <w:divId w:val="854998339"/>
        <w:rPr>
          <w:rFonts w:eastAsia="Times New Roman"/>
        </w:rPr>
      </w:pPr>
      <w:r>
        <w:rPr>
          <w:rFonts w:eastAsia="Times New Roman"/>
          <w:color w:val="000000"/>
          <w:sz w:val="20"/>
          <w:szCs w:val="20"/>
        </w:rPr>
        <w:t xml:space="preserve">Additionally, on July 8, 2022, we acquired from PSB the commercial interests in five properties at three sites jointly occupied with certain of our self-storage facilities located in Maryland and Virginia, for $47.3 million. We recognized $27.0 million of </w:t>
      </w:r>
      <w:r>
        <w:rPr>
          <w:rFonts w:eastAsia="Times New Roman"/>
          <w:color w:val="000000"/>
          <w:sz w:val="20"/>
          <w:szCs w:val="20"/>
        </w:rPr>
        <w:t>real estate assets and $0.7 million of intangibles for the properties acquired, representing the cost of these commercial properties that we did not have interest in through our equity investment in PSB. We recognized the remaining $19.6 million as an incr</w:t>
      </w:r>
      <w:r>
        <w:rPr>
          <w:rFonts w:eastAsia="Times New Roman"/>
          <w:color w:val="000000"/>
          <w:sz w:val="20"/>
          <w:szCs w:val="20"/>
        </w:rPr>
        <w:t>ease to our basis in our equity investment in PSB, which represents the elimination of our portion of the gain recorded by PSB.</w:t>
      </w:r>
    </w:p>
    <w:p w:rsidR="00000000" w:rsidRDefault="00473C5F">
      <w:pPr>
        <w:ind w:firstLine="720"/>
        <w:jc w:val="both"/>
        <w:divId w:val="982849481"/>
        <w:rPr>
          <w:rFonts w:eastAsia="Times New Roman"/>
        </w:rPr>
      </w:pPr>
      <w:r>
        <w:rPr>
          <w:rFonts w:eastAsia="Times New Roman"/>
          <w:color w:val="000000"/>
          <w:sz w:val="20"/>
          <w:szCs w:val="20"/>
        </w:rPr>
        <w:t>During 2022, we sold portions of real estate facilities in connection with eminent domain proceedings for $1.5 million in cash p</w:t>
      </w:r>
      <w:r>
        <w:rPr>
          <w:rFonts w:eastAsia="Times New Roman"/>
          <w:color w:val="000000"/>
          <w:sz w:val="20"/>
          <w:szCs w:val="20"/>
        </w:rPr>
        <w:t>roceeds and recorded a related gain on sale of real estate of approximately $1.5 million.</w:t>
      </w:r>
    </w:p>
    <w:p w:rsidR="00000000" w:rsidRDefault="00473C5F">
      <w:pPr>
        <w:ind w:firstLine="720"/>
        <w:jc w:val="both"/>
        <w:divId w:val="2094275525"/>
        <w:rPr>
          <w:rFonts w:eastAsia="Times New Roman"/>
        </w:rPr>
      </w:pPr>
      <w:r>
        <w:rPr>
          <w:rFonts w:eastAsia="Times New Roman"/>
          <w:color w:val="000000"/>
          <w:sz w:val="20"/>
          <w:szCs w:val="20"/>
        </w:rPr>
        <w:t>During 2021, we acquired 232 self-storage facilities (21,830,000 net rentable square feet of storage space), for a total cost of $5.1 billion, consisting of $5.0 bill</w:t>
      </w:r>
      <w:r>
        <w:rPr>
          <w:rFonts w:eastAsia="Times New Roman"/>
          <w:color w:val="000000"/>
          <w:sz w:val="20"/>
          <w:szCs w:val="20"/>
        </w:rPr>
        <w:t xml:space="preserve">ion in cash and $68.2 million in partnership units in one of our subsidiaries. Approximately $174.9 million of the total cost was allocated to intangible assets. We completed </w:t>
      </w:r>
    </w:p>
    <w:p w:rsidR="00000000" w:rsidRDefault="00473C5F">
      <w:pPr>
        <w:jc w:val="center"/>
        <w:divId w:val="1868446132"/>
        <w:rPr>
          <w:rFonts w:eastAsia="Times New Roman"/>
        </w:rPr>
      </w:pPr>
      <w:r>
        <w:rPr>
          <w:rFonts w:eastAsia="Times New Roman"/>
          <w:color w:val="000000"/>
          <w:sz w:val="20"/>
          <w:szCs w:val="20"/>
        </w:rPr>
        <w:t>F-15</w:t>
      </w:r>
    </w:p>
    <w:p w:rsidR="00000000" w:rsidRDefault="00473C5F">
      <w:pPr>
        <w:rPr>
          <w:rFonts w:eastAsia="Times New Roman"/>
        </w:rPr>
      </w:pPr>
      <w:r>
        <w:rPr>
          <w:rFonts w:eastAsia="Times New Roman"/>
        </w:rPr>
        <w:pict>
          <v:rect id="_x0000_i1105" style="width:0;height:1.5pt" o:hralign="center" o:hrstd="t" o:hr="t" fillcolor="#a0a0a0" stroked="f"/>
        </w:pict>
      </w:r>
    </w:p>
    <w:p w:rsidR="00000000" w:rsidRDefault="00473C5F">
      <w:pPr>
        <w:jc w:val="center"/>
        <w:divId w:val="1896117393"/>
        <w:rPr>
          <w:rFonts w:eastAsia="Times New Roman"/>
        </w:rPr>
      </w:pPr>
    </w:p>
    <w:p w:rsidR="00000000" w:rsidRDefault="00473C5F">
      <w:pPr>
        <w:jc w:val="center"/>
        <w:divId w:val="1896117393"/>
        <w:rPr>
          <w:rFonts w:eastAsia="Times New Roman"/>
        </w:rPr>
      </w:pPr>
      <w:r>
        <w:rPr>
          <w:rFonts w:eastAsia="Times New Roman"/>
          <w:b/>
          <w:bCs/>
          <w:color w:val="000000"/>
          <w:sz w:val="20"/>
          <w:szCs w:val="20"/>
        </w:rPr>
        <w:t>PUBLIC STORAGE</w:t>
      </w:r>
    </w:p>
    <w:p w:rsidR="00000000" w:rsidRDefault="00473C5F">
      <w:pPr>
        <w:jc w:val="center"/>
        <w:divId w:val="1896117393"/>
        <w:rPr>
          <w:rFonts w:eastAsia="Times New Roman"/>
        </w:rPr>
      </w:pPr>
      <w:r>
        <w:rPr>
          <w:rFonts w:eastAsia="Times New Roman"/>
          <w:b/>
          <w:bCs/>
          <w:color w:val="000000"/>
          <w:sz w:val="20"/>
          <w:szCs w:val="20"/>
        </w:rPr>
        <w:t>NOTES TO CONSOLIDATED</w:t>
      </w:r>
      <w:r>
        <w:rPr>
          <w:rFonts w:eastAsia="Times New Roman"/>
          <w:b/>
          <w:bCs/>
          <w:color w:val="000000"/>
          <w:sz w:val="20"/>
          <w:szCs w:val="20"/>
        </w:rPr>
        <w:t xml:space="preserve"> FINANCIAL STATEMENTS</w:t>
      </w:r>
    </w:p>
    <w:p w:rsidR="00000000" w:rsidRDefault="00473C5F">
      <w:pPr>
        <w:jc w:val="center"/>
        <w:divId w:val="1896117393"/>
        <w:rPr>
          <w:rFonts w:eastAsia="Times New Roman"/>
        </w:rPr>
      </w:pPr>
      <w:r>
        <w:rPr>
          <w:rFonts w:eastAsia="Times New Roman"/>
          <w:b/>
          <w:bCs/>
          <w:color w:val="000000"/>
          <w:sz w:val="20"/>
          <w:szCs w:val="20"/>
        </w:rPr>
        <w:t>December 31, 2022</w:t>
      </w:r>
    </w:p>
    <w:p w:rsidR="00000000" w:rsidRDefault="00473C5F">
      <w:pPr>
        <w:jc w:val="center"/>
        <w:divId w:val="1896117393"/>
        <w:rPr>
          <w:rFonts w:eastAsia="Times New Roman"/>
        </w:rPr>
      </w:pPr>
    </w:p>
    <w:p w:rsidR="00000000" w:rsidRDefault="00473C5F">
      <w:pPr>
        <w:jc w:val="both"/>
        <w:divId w:val="211162410"/>
        <w:rPr>
          <w:rFonts w:eastAsia="Times New Roman"/>
        </w:rPr>
      </w:pPr>
      <w:r>
        <w:rPr>
          <w:rFonts w:eastAsia="Times New Roman"/>
          <w:color w:val="000000"/>
          <w:sz w:val="20"/>
          <w:szCs w:val="20"/>
        </w:rPr>
        <w:t xml:space="preserve">development and redevelopment activities costing $218.0 million during 2021, adding 1.6 million net rentable square feet of self-storage space. During 2021, we sold portions of real estate facilities in connection </w:t>
      </w:r>
      <w:r>
        <w:rPr>
          <w:rFonts w:eastAsia="Times New Roman"/>
          <w:color w:val="000000"/>
          <w:sz w:val="20"/>
          <w:szCs w:val="20"/>
        </w:rPr>
        <w:t>with eminent domain proceedings for $16.3 million in cash proceeds and recorded a related gain on sale of real estate of approximately $13.7 million.</w:t>
      </w:r>
    </w:p>
    <w:p w:rsidR="00000000" w:rsidRDefault="00473C5F">
      <w:pPr>
        <w:ind w:firstLine="720"/>
        <w:jc w:val="both"/>
        <w:divId w:val="1887254496"/>
        <w:rPr>
          <w:rFonts w:eastAsia="Times New Roman"/>
        </w:rPr>
      </w:pPr>
      <w:r>
        <w:rPr>
          <w:rFonts w:eastAsia="Times New Roman"/>
          <w:color w:val="000000"/>
          <w:sz w:val="20"/>
          <w:szCs w:val="20"/>
        </w:rPr>
        <w:t>During 2020, we acquired 62 self-storage facilities (5.1 million net rentable square feet of storage space</w:t>
      </w:r>
      <w:r>
        <w:rPr>
          <w:rFonts w:eastAsia="Times New Roman"/>
          <w:color w:val="000000"/>
          <w:sz w:val="20"/>
          <w:szCs w:val="20"/>
        </w:rPr>
        <w:t>), for a total cost of $792.3 million, which includes the assumption of a $3.8 million liability. Approximately $14.9 million of the total cost was allocated to intangible assets. We completed development and redevelopment activities costing $138.7 million</w:t>
      </w:r>
      <w:r>
        <w:rPr>
          <w:rFonts w:eastAsia="Times New Roman"/>
          <w:color w:val="000000"/>
          <w:sz w:val="20"/>
          <w:szCs w:val="20"/>
        </w:rPr>
        <w:t xml:space="preserve"> during 2020, adding 1.1 million net rentable square feet of self-storage space. Included in general and administrative expense in 2020 is $3.2 million in development projects that were cancelled.</w:t>
      </w:r>
    </w:p>
    <w:p w:rsidR="00000000" w:rsidRDefault="00473C5F">
      <w:pPr>
        <w:ind w:firstLine="720"/>
        <w:jc w:val="both"/>
        <w:divId w:val="841165742"/>
        <w:rPr>
          <w:rFonts w:eastAsia="Times New Roman"/>
        </w:rPr>
      </w:pPr>
      <w:r>
        <w:rPr>
          <w:rFonts w:eastAsia="Times New Roman"/>
          <w:color w:val="000000"/>
          <w:sz w:val="20"/>
          <w:szCs w:val="20"/>
        </w:rPr>
        <w:t>At December 31, 2022, the adjusted basis of real estate fac</w:t>
      </w:r>
      <w:r>
        <w:rPr>
          <w:rFonts w:eastAsia="Times New Roman"/>
          <w:color w:val="000000"/>
          <w:sz w:val="20"/>
          <w:szCs w:val="20"/>
        </w:rPr>
        <w:t>ilities for U.S. federal tax purposes was approximately $16.5 billion (unaudited).</w:t>
      </w:r>
    </w:p>
    <w:p w:rsidR="00000000" w:rsidRDefault="00473C5F">
      <w:pPr>
        <w:ind w:hanging="360"/>
        <w:divId w:val="902301568"/>
        <w:rPr>
          <w:rFonts w:eastAsia="Times New Roman"/>
        </w:rPr>
      </w:pPr>
      <w:r>
        <w:rPr>
          <w:rFonts w:eastAsia="Times New Roman"/>
          <w:color w:val="000000"/>
          <w:sz w:val="20"/>
          <w:szCs w:val="20"/>
        </w:rPr>
        <w:t>4.</w:t>
      </w:r>
      <w:r>
        <w:rPr>
          <w:rFonts w:eastAsia="Times New Roman"/>
          <w:color w:val="000000"/>
          <w:sz w:val="20"/>
          <w:szCs w:val="20"/>
          <w:u w:val="single"/>
        </w:rPr>
        <w:t>Investments in Unconsolidated Real Estate Entities</w:t>
      </w:r>
    </w:p>
    <w:p w:rsidR="00000000" w:rsidRDefault="00473C5F">
      <w:pPr>
        <w:ind w:firstLine="720"/>
        <w:jc w:val="both"/>
        <w:divId w:val="958687504"/>
        <w:rPr>
          <w:rFonts w:eastAsia="Times New Roman"/>
        </w:rPr>
      </w:pPr>
      <w:r>
        <w:rPr>
          <w:rFonts w:eastAsia="Times New Roman"/>
          <w:color w:val="000000"/>
          <w:sz w:val="20"/>
          <w:szCs w:val="20"/>
        </w:rPr>
        <w:t>The following table sets forth our investments in, and equity in earnings of, the Unconsolidated Real Estate Entities (a</w:t>
      </w:r>
      <w:r>
        <w:rPr>
          <w:rFonts w:eastAsia="Times New Roman"/>
          <w:color w:val="000000"/>
          <w:sz w:val="20"/>
          <w:szCs w:val="20"/>
        </w:rPr>
        <w:t>mounts in thousands):</w:t>
      </w:r>
    </w:p>
    <w:tbl>
      <w:tblPr>
        <w:tblW w:w="4962" w:type="pct"/>
        <w:jc w:val="center"/>
        <w:tblCellMar>
          <w:top w:w="15" w:type="dxa"/>
          <w:left w:w="15" w:type="dxa"/>
          <w:bottom w:w="15" w:type="dxa"/>
          <w:right w:w="15" w:type="dxa"/>
        </w:tblCellMar>
        <w:tblLook w:val="04A0" w:firstRow="1" w:lastRow="0" w:firstColumn="1" w:lastColumn="0" w:noHBand="0" w:noVBand="1"/>
      </w:tblPr>
      <w:tblGrid>
        <w:gridCol w:w="53"/>
        <w:gridCol w:w="1095"/>
        <w:gridCol w:w="36"/>
        <w:gridCol w:w="121"/>
        <w:gridCol w:w="1169"/>
        <w:gridCol w:w="38"/>
        <w:gridCol w:w="37"/>
        <w:gridCol w:w="37"/>
        <w:gridCol w:w="37"/>
        <w:gridCol w:w="121"/>
        <w:gridCol w:w="1169"/>
        <w:gridCol w:w="37"/>
        <w:gridCol w:w="36"/>
        <w:gridCol w:w="36"/>
        <w:gridCol w:w="36"/>
        <w:gridCol w:w="121"/>
        <w:gridCol w:w="1153"/>
        <w:gridCol w:w="39"/>
        <w:gridCol w:w="37"/>
        <w:gridCol w:w="37"/>
        <w:gridCol w:w="37"/>
        <w:gridCol w:w="121"/>
        <w:gridCol w:w="1169"/>
        <w:gridCol w:w="37"/>
        <w:gridCol w:w="36"/>
        <w:gridCol w:w="36"/>
        <w:gridCol w:w="36"/>
        <w:gridCol w:w="120"/>
        <w:gridCol w:w="1169"/>
        <w:gridCol w:w="37"/>
      </w:tblGrid>
      <w:tr w:rsidR="00000000">
        <w:trPr>
          <w:jc w:val="center"/>
        </w:trPr>
        <w:tc>
          <w:tcPr>
            <w:tcW w:w="50" w:type="pct"/>
            <w:vAlign w:val="center"/>
            <w:hideMark/>
          </w:tcPr>
          <w:p w:rsidR="00000000" w:rsidRDefault="00473C5F">
            <w:pPr>
              <w:ind w:firstLine="720"/>
              <w:jc w:val="both"/>
              <w:rPr>
                <w:rFonts w:eastAsia="Times New Roman"/>
              </w:rPr>
            </w:pPr>
          </w:p>
        </w:tc>
        <w:tc>
          <w:tcPr>
            <w:tcW w:w="73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5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5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5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5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5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Investments in Unconsolidated Real Estate Entities at December 31,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Equity in Earnings of Unconsolidated Real Estate for the Year Ended December 31,</w:t>
            </w:r>
          </w:p>
        </w:tc>
      </w:tr>
      <w:tr w:rsidR="00000000">
        <w:trPr>
          <w:jc w:val="center"/>
        </w:trPr>
        <w:tc>
          <w:tcPr>
            <w:tcW w:w="0" w:type="auto"/>
            <w:gridSpan w:val="3"/>
            <w:tcMar>
              <w:top w:w="30" w:type="dxa"/>
              <w:left w:w="20" w:type="dxa"/>
              <w:bottom w:w="30" w:type="dxa"/>
              <w:right w:w="20" w:type="dxa"/>
            </w:tcMar>
            <w:vAlign w:val="center"/>
            <w:hideMark/>
          </w:tcPr>
          <w:p w:rsidR="00000000" w:rsidRDefault="00473C5F">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2020</w:t>
            </w:r>
          </w:p>
        </w:tc>
      </w:tr>
      <w:tr w:rsidR="00000000">
        <w:trPr>
          <w:trHeight w:val="120"/>
          <w:jc w:val="center"/>
        </w:trPr>
        <w:tc>
          <w:tcPr>
            <w:tcW w:w="0" w:type="auto"/>
            <w:gridSpan w:val="12"/>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515,312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80,596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207,722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64,835</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275,752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313,451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26,385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24,371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15,662</w:t>
            </w:r>
          </w:p>
        </w:tc>
      </w:tr>
      <w:tr w:rsidR="00000000">
        <w:trPr>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275,752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828,763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106,981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232,093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80,497</w:t>
            </w:r>
          </w:p>
        </w:tc>
      </w:tr>
    </w:tbl>
    <w:p w:rsidR="00000000" w:rsidRDefault="00473C5F">
      <w:pPr>
        <w:jc w:val="center"/>
        <w:rPr>
          <w:rFonts w:eastAsia="Times New Roman"/>
        </w:rPr>
      </w:pPr>
    </w:p>
    <w:p w:rsidR="00000000" w:rsidRDefault="00473C5F">
      <w:pPr>
        <w:ind w:firstLine="720"/>
        <w:jc w:val="both"/>
        <w:divId w:val="2068843540"/>
        <w:rPr>
          <w:rFonts w:eastAsia="Times New Roman"/>
        </w:rPr>
      </w:pPr>
      <w:r>
        <w:rPr>
          <w:rFonts w:eastAsia="Times New Roman"/>
          <w:color w:val="000000"/>
          <w:sz w:val="20"/>
          <w:szCs w:val="20"/>
        </w:rPr>
        <w:t>The following tables represent summarized financial information for PSB and Shurgard in aggregate derived from their respective reported financi</w:t>
      </w:r>
      <w:r>
        <w:rPr>
          <w:rFonts w:eastAsia="Times New Roman"/>
          <w:color w:val="000000"/>
          <w:sz w:val="20"/>
          <w:szCs w:val="20"/>
        </w:rPr>
        <w:t>al statements prepared under US GAAP before our basis difference adjustments for the years ended December 31, 2022, 2021, and 2020 (amounts in thousands). Due to the complete sale of our equity investment in PSB in July 2022, the summarized financial infor</w:t>
      </w:r>
      <w:r>
        <w:rPr>
          <w:rFonts w:eastAsia="Times New Roman"/>
          <w:color w:val="000000"/>
          <w:sz w:val="20"/>
          <w:szCs w:val="20"/>
        </w:rPr>
        <w:t xml:space="preserve">mation for 2022 includes PSB's financial activities through June 30, 2022, which represents the most practical date of such reported information prior to the transaction. </w:t>
      </w:r>
    </w:p>
    <w:p w:rsidR="00000000" w:rsidRDefault="00473C5F">
      <w:pPr>
        <w:jc w:val="center"/>
        <w:divId w:val="1860124472"/>
        <w:rPr>
          <w:rFonts w:eastAsia="Times New Roman"/>
        </w:rPr>
      </w:pPr>
      <w:r>
        <w:rPr>
          <w:rFonts w:eastAsia="Times New Roman"/>
          <w:color w:val="000000"/>
          <w:sz w:val="20"/>
          <w:szCs w:val="20"/>
        </w:rPr>
        <w:t>F-16</w:t>
      </w:r>
    </w:p>
    <w:p w:rsidR="00000000" w:rsidRDefault="00473C5F">
      <w:pPr>
        <w:rPr>
          <w:rFonts w:eastAsia="Times New Roman"/>
        </w:rPr>
      </w:pPr>
      <w:r>
        <w:rPr>
          <w:rFonts w:eastAsia="Times New Roman"/>
        </w:rPr>
        <w:pict>
          <v:rect id="_x0000_i1106" style="width:0;height:1.5pt" o:hralign="center" o:hrstd="t" o:hr="t" fillcolor="#a0a0a0" stroked="f"/>
        </w:pict>
      </w:r>
    </w:p>
    <w:p w:rsidR="00000000" w:rsidRDefault="00473C5F">
      <w:pPr>
        <w:jc w:val="center"/>
        <w:divId w:val="110974119"/>
        <w:rPr>
          <w:rFonts w:eastAsia="Times New Roman"/>
        </w:rPr>
      </w:pPr>
    </w:p>
    <w:p w:rsidR="00000000" w:rsidRDefault="00473C5F">
      <w:pPr>
        <w:jc w:val="center"/>
        <w:divId w:val="110974119"/>
        <w:rPr>
          <w:rFonts w:eastAsia="Times New Roman"/>
        </w:rPr>
      </w:pPr>
      <w:r>
        <w:rPr>
          <w:rFonts w:eastAsia="Times New Roman"/>
          <w:b/>
          <w:bCs/>
          <w:color w:val="000000"/>
          <w:sz w:val="20"/>
          <w:szCs w:val="20"/>
        </w:rPr>
        <w:t>PUBLIC STORAGE</w:t>
      </w:r>
    </w:p>
    <w:p w:rsidR="00000000" w:rsidRDefault="00473C5F">
      <w:pPr>
        <w:jc w:val="center"/>
        <w:divId w:val="110974119"/>
        <w:rPr>
          <w:rFonts w:eastAsia="Times New Roman"/>
        </w:rPr>
      </w:pPr>
      <w:r>
        <w:rPr>
          <w:rFonts w:eastAsia="Times New Roman"/>
          <w:b/>
          <w:bCs/>
          <w:color w:val="000000"/>
          <w:sz w:val="20"/>
          <w:szCs w:val="20"/>
        </w:rPr>
        <w:t>NOTES TO CONSOLIDATED FINANCIAL STATEMENTS</w:t>
      </w:r>
    </w:p>
    <w:p w:rsidR="00000000" w:rsidRDefault="00473C5F">
      <w:pPr>
        <w:jc w:val="center"/>
        <w:divId w:val="110974119"/>
        <w:rPr>
          <w:rFonts w:eastAsia="Times New Roman"/>
        </w:rPr>
      </w:pPr>
      <w:r>
        <w:rPr>
          <w:rFonts w:eastAsia="Times New Roman"/>
          <w:b/>
          <w:bCs/>
          <w:color w:val="000000"/>
          <w:sz w:val="20"/>
          <w:szCs w:val="20"/>
        </w:rPr>
        <w:t>December 31, 2022</w:t>
      </w:r>
    </w:p>
    <w:p w:rsidR="00000000" w:rsidRDefault="00473C5F">
      <w:pPr>
        <w:jc w:val="center"/>
        <w:divId w:val="110974119"/>
        <w:rPr>
          <w:rFonts w:eastAsia="Times New Roman"/>
        </w:rPr>
      </w:pPr>
    </w:p>
    <w:tbl>
      <w:tblPr>
        <w:tblW w:w="3939" w:type="pct"/>
        <w:tblCellMar>
          <w:top w:w="15" w:type="dxa"/>
          <w:left w:w="15" w:type="dxa"/>
          <w:bottom w:w="15" w:type="dxa"/>
          <w:right w:w="15" w:type="dxa"/>
        </w:tblCellMar>
        <w:tblLook w:val="04A0" w:firstRow="1" w:lastRow="0" w:firstColumn="1" w:lastColumn="0" w:noHBand="0" w:noVBand="1"/>
      </w:tblPr>
      <w:tblGrid>
        <w:gridCol w:w="38"/>
        <w:gridCol w:w="2072"/>
        <w:gridCol w:w="36"/>
        <w:gridCol w:w="36"/>
        <w:gridCol w:w="36"/>
        <w:gridCol w:w="36"/>
        <w:gridCol w:w="122"/>
        <w:gridCol w:w="1217"/>
        <w:gridCol w:w="38"/>
        <w:gridCol w:w="37"/>
        <w:gridCol w:w="37"/>
        <w:gridCol w:w="37"/>
        <w:gridCol w:w="122"/>
        <w:gridCol w:w="1221"/>
        <w:gridCol w:w="37"/>
        <w:gridCol w:w="36"/>
        <w:gridCol w:w="36"/>
        <w:gridCol w:w="36"/>
        <w:gridCol w:w="121"/>
        <w:gridCol w:w="1155"/>
        <w:gridCol w:w="37"/>
      </w:tblGrid>
      <w:tr w:rsidR="00000000">
        <w:tc>
          <w:tcPr>
            <w:tcW w:w="50" w:type="pct"/>
            <w:vAlign w:val="center"/>
            <w:hideMark/>
          </w:tcPr>
          <w:p w:rsidR="00000000" w:rsidRDefault="00473C5F">
            <w:pPr>
              <w:jc w:val="center"/>
              <w:rPr>
                <w:rFonts w:eastAsia="Times New Roman"/>
              </w:rPr>
            </w:pPr>
          </w:p>
        </w:tc>
        <w:tc>
          <w:tcPr>
            <w:tcW w:w="166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7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98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98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98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 xml:space="preserve">Year Ended December 31, </w:t>
            </w:r>
          </w:p>
        </w:tc>
      </w:tr>
      <w:tr w:rsidR="00000000">
        <w:tc>
          <w:tcPr>
            <w:tcW w:w="0" w:type="auto"/>
            <w:gridSpan w:val="3"/>
            <w:tcMar>
              <w:top w:w="30" w:type="dxa"/>
              <w:left w:w="20" w:type="dxa"/>
              <w:bottom w:w="30" w:type="dxa"/>
              <w:right w:w="20" w:type="dxa"/>
            </w:tcMar>
            <w:vAlign w:val="center"/>
            <w:hideMark/>
          </w:tcPr>
          <w:p w:rsidR="00000000" w:rsidRDefault="00473C5F">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473C5F">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2020</w:t>
            </w:r>
          </w:p>
        </w:tc>
      </w:tr>
      <w:tr w:rsidR="00000000">
        <w:trPr>
          <w:trHeight w:val="12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Revenues</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572,192</w:t>
            </w:r>
          </w:p>
        </w:tc>
        <w:tc>
          <w:tcPr>
            <w:tcW w:w="0" w:type="auto"/>
            <w:gridSpan w:val="3"/>
            <w:tcMar>
              <w:top w:w="0" w:type="dxa"/>
              <w:left w:w="20" w:type="dxa"/>
              <w:bottom w:w="0" w:type="dxa"/>
              <w:right w:w="39"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790,461</w:t>
            </w:r>
          </w:p>
        </w:tc>
        <w:tc>
          <w:tcPr>
            <w:tcW w:w="0" w:type="auto"/>
            <w:gridSpan w:val="3"/>
            <w:tcMar>
              <w:top w:w="0" w:type="dxa"/>
              <w:left w:w="20" w:type="dxa"/>
              <w:bottom w:w="0" w:type="dxa"/>
              <w:right w:w="39"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721,393</w:t>
            </w:r>
          </w:p>
        </w:tc>
      </w:tr>
      <w:tr w:rsidR="00000000">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Costs of operations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193,868</w:t>
            </w:r>
          </w:p>
        </w:tc>
        <w:tc>
          <w:tcPr>
            <w:tcW w:w="0" w:type="auto"/>
            <w:gridSpan w:val="3"/>
            <w:tcMar>
              <w:top w:w="0" w:type="dxa"/>
              <w:left w:w="20" w:type="dxa"/>
              <w:bottom w:w="0" w:type="dxa"/>
              <w:right w:w="39"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263,398</w:t>
            </w:r>
          </w:p>
        </w:tc>
        <w:tc>
          <w:tcPr>
            <w:tcW w:w="0" w:type="auto"/>
            <w:gridSpan w:val="3"/>
            <w:tcMar>
              <w:top w:w="0" w:type="dxa"/>
              <w:left w:w="20" w:type="dxa"/>
              <w:bottom w:w="0" w:type="dxa"/>
              <w:right w:w="39"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242,992</w:t>
            </w:r>
          </w:p>
        </w:tc>
      </w:tr>
      <w:tr w:rsidR="00000000">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Operating income</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220,948</w:t>
            </w:r>
          </w:p>
        </w:tc>
        <w:tc>
          <w:tcPr>
            <w:tcW w:w="0" w:type="auto"/>
            <w:gridSpan w:val="3"/>
            <w:tcMar>
              <w:top w:w="0" w:type="dxa"/>
              <w:left w:w="20" w:type="dxa"/>
              <w:bottom w:w="0" w:type="dxa"/>
              <w:right w:w="39"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333,624</w:t>
            </w:r>
          </w:p>
        </w:tc>
        <w:tc>
          <w:tcPr>
            <w:tcW w:w="0" w:type="auto"/>
            <w:gridSpan w:val="3"/>
            <w:tcMar>
              <w:top w:w="0" w:type="dxa"/>
              <w:left w:w="20" w:type="dxa"/>
              <w:bottom w:w="0" w:type="dxa"/>
              <w:right w:w="39"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290,901</w:t>
            </w:r>
          </w:p>
        </w:tc>
      </w:tr>
      <w:tr w:rsidR="00000000">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Gain on sale of real estate</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128,743</w:t>
            </w:r>
          </w:p>
        </w:tc>
        <w:tc>
          <w:tcPr>
            <w:tcW w:w="0" w:type="auto"/>
            <w:gridSpan w:val="3"/>
            <w:tcMar>
              <w:top w:w="0" w:type="dxa"/>
              <w:left w:w="20" w:type="dxa"/>
              <w:bottom w:w="0" w:type="dxa"/>
              <w:right w:w="39"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359,904</w:t>
            </w:r>
          </w:p>
        </w:tc>
        <w:tc>
          <w:tcPr>
            <w:tcW w:w="0" w:type="auto"/>
            <w:gridSpan w:val="3"/>
            <w:tcMar>
              <w:top w:w="0" w:type="dxa"/>
              <w:left w:w="20" w:type="dxa"/>
              <w:bottom w:w="0" w:type="dxa"/>
              <w:right w:w="39"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27,234</w:t>
            </w:r>
          </w:p>
        </w:tc>
      </w:tr>
      <w:tr w:rsidR="00000000">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Net Income</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299,226</w:t>
            </w:r>
          </w:p>
        </w:tc>
        <w:tc>
          <w:tcPr>
            <w:tcW w:w="0" w:type="auto"/>
            <w:gridSpan w:val="3"/>
            <w:tcMar>
              <w:top w:w="0" w:type="dxa"/>
              <w:left w:w="20" w:type="dxa"/>
              <w:bottom w:w="0" w:type="dxa"/>
              <w:right w:w="39"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639,062</w:t>
            </w:r>
          </w:p>
        </w:tc>
        <w:tc>
          <w:tcPr>
            <w:tcW w:w="0" w:type="auto"/>
            <w:gridSpan w:val="3"/>
            <w:tcMar>
              <w:top w:w="0" w:type="dxa"/>
              <w:left w:w="20" w:type="dxa"/>
              <w:bottom w:w="0" w:type="dxa"/>
              <w:right w:w="39"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275,680</w:t>
            </w:r>
          </w:p>
        </w:tc>
      </w:tr>
    </w:tbl>
    <w:p w:rsidR="00000000" w:rsidRDefault="00473C5F">
      <w:pPr>
        <w:ind w:firstLine="720"/>
        <w:jc w:val="both"/>
        <w:rPr>
          <w:rFonts w:eastAsia="Times New Roman"/>
        </w:rPr>
      </w:pPr>
    </w:p>
    <w:tbl>
      <w:tblPr>
        <w:tblW w:w="3946" w:type="pct"/>
        <w:tblCellMar>
          <w:top w:w="15" w:type="dxa"/>
          <w:left w:w="15" w:type="dxa"/>
          <w:bottom w:w="15" w:type="dxa"/>
          <w:right w:w="15" w:type="dxa"/>
        </w:tblCellMar>
        <w:tblLook w:val="04A0" w:firstRow="1" w:lastRow="0" w:firstColumn="1" w:lastColumn="0" w:noHBand="0" w:noVBand="1"/>
      </w:tblPr>
      <w:tblGrid>
        <w:gridCol w:w="39"/>
        <w:gridCol w:w="3334"/>
        <w:gridCol w:w="38"/>
        <w:gridCol w:w="121"/>
        <w:gridCol w:w="1359"/>
        <w:gridCol w:w="37"/>
        <w:gridCol w:w="37"/>
        <w:gridCol w:w="37"/>
        <w:gridCol w:w="37"/>
        <w:gridCol w:w="120"/>
        <w:gridCol w:w="1360"/>
        <w:gridCol w:w="36"/>
      </w:tblGrid>
      <w:tr w:rsidR="00000000">
        <w:tc>
          <w:tcPr>
            <w:tcW w:w="50" w:type="pct"/>
            <w:vAlign w:val="center"/>
            <w:hideMark/>
          </w:tcPr>
          <w:p w:rsidR="00000000" w:rsidRDefault="00473C5F">
            <w:pPr>
              <w:ind w:firstLine="720"/>
              <w:jc w:val="both"/>
              <w:rPr>
                <w:rFonts w:eastAsia="Times New Roman"/>
              </w:rPr>
            </w:pPr>
          </w:p>
        </w:tc>
        <w:tc>
          <w:tcPr>
            <w:tcW w:w="262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08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08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At December 31,</w:t>
            </w:r>
          </w:p>
        </w:tc>
      </w:tr>
      <w:tr w:rsidR="00000000">
        <w:tc>
          <w:tcPr>
            <w:tcW w:w="0" w:type="auto"/>
            <w:gridSpan w:val="3"/>
            <w:tcMar>
              <w:top w:w="30" w:type="dxa"/>
              <w:left w:w="20" w:type="dxa"/>
              <w:bottom w:w="30" w:type="dxa"/>
              <w:right w:w="20" w:type="dxa"/>
            </w:tcMar>
            <w:vAlign w:val="center"/>
            <w:hideMark/>
          </w:tcPr>
          <w:p w:rsidR="00000000" w:rsidRDefault="00473C5F">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r>
      <w:tr w:rsidR="00000000">
        <w:trPr>
          <w:trHeight w:val="120"/>
        </w:trPr>
        <w:tc>
          <w:tcPr>
            <w:tcW w:w="0" w:type="auto"/>
            <w:gridSpan w:val="12"/>
            <w:tcMar>
              <w:top w:w="0" w:type="dxa"/>
              <w:left w:w="20" w:type="dxa"/>
              <w:bottom w:w="0" w:type="dxa"/>
              <w:right w:w="20" w:type="dxa"/>
            </w:tcMar>
            <w:vAlign w:val="center"/>
            <w:hideMark/>
          </w:tcPr>
          <w:p w:rsidR="00000000" w:rsidRDefault="00473C5F">
            <w:pPr>
              <w:spacing w:after="100"/>
              <w:jc w:val="center"/>
              <w:rPr>
                <w:rFonts w:eastAsia="Times New Roman"/>
              </w:rPr>
            </w:pPr>
          </w:p>
        </w:tc>
      </w:tr>
      <w:tr w:rsidR="00000000">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Real estate assets</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1,391,806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3,437,115</w:t>
            </w:r>
          </w:p>
        </w:tc>
      </w:tr>
      <w:tr w:rsidR="00000000">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Other assets</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289,420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481,403</w:t>
            </w:r>
          </w:p>
        </w:tc>
      </w:tr>
      <w:tr w:rsidR="00000000">
        <w:tc>
          <w:tcPr>
            <w:tcW w:w="0" w:type="auto"/>
            <w:gridSpan w:val="3"/>
            <w:tcMar>
              <w:top w:w="30" w:type="dxa"/>
              <w:left w:w="32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Total assets </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1,681,226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3,918,518</w:t>
            </w:r>
          </w:p>
        </w:tc>
      </w:tr>
      <w:tr w:rsidR="00000000">
        <w:trPr>
          <w:trHeight w:val="300"/>
        </w:trPr>
        <w:tc>
          <w:tcPr>
            <w:tcW w:w="0" w:type="auto"/>
            <w:gridSpan w:val="3"/>
            <w:tcMar>
              <w:top w:w="0" w:type="dxa"/>
              <w:left w:w="83"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double" w:sz="6" w:space="0" w:color="000000"/>
            </w:tcBorders>
            <w:tcMar>
              <w:top w:w="0" w:type="dxa"/>
              <w:left w:w="20" w:type="dxa"/>
              <w:bottom w:w="0" w:type="dxa"/>
              <w:right w:w="39"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39" w:type="dxa"/>
            </w:tcMar>
            <w:vAlign w:val="center"/>
            <w:hideMark/>
          </w:tcPr>
          <w:p w:rsidR="00000000" w:rsidRDefault="00473C5F">
            <w:pPr>
              <w:spacing w:after="100"/>
              <w:rPr>
                <w:rFonts w:eastAsia="Times New Roman"/>
                <w:sz w:val="20"/>
                <w:szCs w:val="20"/>
              </w:rPr>
            </w:pPr>
          </w:p>
        </w:tc>
      </w:tr>
      <w:tr w:rsidR="00000000">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Debt </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860,977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943,276</w:t>
            </w:r>
          </w:p>
        </w:tc>
      </w:tr>
      <w:tr w:rsidR="00000000">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Other liabilities </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224,701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298,787</w:t>
            </w:r>
          </w:p>
        </w:tc>
      </w:tr>
      <w:tr w:rsidR="00000000">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Noncontrolling interests </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2,659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262,243</w:t>
            </w:r>
          </w:p>
        </w:tc>
      </w:tr>
      <w:tr w:rsidR="00000000">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Shareholders' equity</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592,889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2,414,212</w:t>
            </w:r>
          </w:p>
        </w:tc>
      </w:tr>
      <w:tr w:rsidR="00000000">
        <w:tc>
          <w:tcPr>
            <w:tcW w:w="0" w:type="auto"/>
            <w:gridSpan w:val="3"/>
            <w:tcMar>
              <w:top w:w="30" w:type="dxa"/>
              <w:left w:w="323"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Total liabilities and equity</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1,681,226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3,918,518</w:t>
            </w:r>
          </w:p>
        </w:tc>
      </w:tr>
    </w:tbl>
    <w:p w:rsidR="00000000" w:rsidRDefault="00473C5F">
      <w:pPr>
        <w:ind w:firstLine="720"/>
        <w:jc w:val="both"/>
        <w:rPr>
          <w:rFonts w:eastAsia="Times New Roman"/>
        </w:rPr>
      </w:pPr>
    </w:p>
    <w:p w:rsidR="00000000" w:rsidRDefault="00473C5F">
      <w:pPr>
        <w:ind w:firstLine="720"/>
        <w:jc w:val="both"/>
        <w:rPr>
          <w:rFonts w:eastAsia="Times New Roman"/>
        </w:rPr>
      </w:pPr>
    </w:p>
    <w:p w:rsidR="00000000" w:rsidRDefault="00473C5F">
      <w:pPr>
        <w:jc w:val="both"/>
        <w:divId w:val="364865305"/>
        <w:rPr>
          <w:rFonts w:eastAsia="Times New Roman"/>
        </w:rPr>
      </w:pPr>
      <w:r>
        <w:rPr>
          <w:rFonts w:eastAsia="Times New Roman"/>
          <w:color w:val="000000"/>
          <w:sz w:val="20"/>
          <w:szCs w:val="20"/>
          <w:u w:val="single"/>
        </w:rPr>
        <w:t>Investment in PSB</w:t>
      </w:r>
    </w:p>
    <w:p w:rsidR="00000000" w:rsidRDefault="00473C5F">
      <w:pPr>
        <w:ind w:firstLine="720"/>
        <w:jc w:val="both"/>
        <w:divId w:val="1054044568"/>
        <w:rPr>
          <w:rFonts w:eastAsia="Times New Roman"/>
        </w:rPr>
      </w:pPr>
      <w:r>
        <w:rPr>
          <w:rFonts w:eastAsia="Times New Roman"/>
          <w:color w:val="000000"/>
          <w:sz w:val="20"/>
          <w:szCs w:val="20"/>
        </w:rPr>
        <w:t>Prior to the sale of our equity investment in PSB in its entirety on July 20, 2022, we owned 7,158,354 shares of PSB’s common stock and 7,305,355 limited partnership units in an operating partnership controlled by PSB, representing a 41% common equity inte</w:t>
      </w:r>
      <w:r>
        <w:rPr>
          <w:rFonts w:eastAsia="Times New Roman"/>
          <w:color w:val="000000"/>
          <w:sz w:val="20"/>
          <w:szCs w:val="20"/>
        </w:rPr>
        <w:t>rest in PSB.</w:t>
      </w:r>
    </w:p>
    <w:p w:rsidR="00000000" w:rsidRDefault="00473C5F">
      <w:pPr>
        <w:ind w:firstLine="720"/>
        <w:jc w:val="both"/>
        <w:divId w:val="1851066162"/>
        <w:rPr>
          <w:rFonts w:eastAsia="Times New Roman"/>
        </w:rPr>
      </w:pPr>
      <w:r>
        <w:rPr>
          <w:rFonts w:eastAsia="Times New Roman"/>
          <w:color w:val="000000"/>
          <w:sz w:val="20"/>
          <w:szCs w:val="20"/>
        </w:rPr>
        <w:t>On April 24, 2022, PSB entered into an Agreement and Plan of Merger whereby affiliates of Blackstone agreed to acquire all outstanding shares of PSB’s common stock for $187.50 per share in cash. On July 20, 2022, PSB announced that it complete</w:t>
      </w:r>
      <w:r>
        <w:rPr>
          <w:rFonts w:eastAsia="Times New Roman"/>
          <w:color w:val="000000"/>
          <w:sz w:val="20"/>
          <w:szCs w:val="20"/>
        </w:rPr>
        <w:t>d the merger transaction with Blackstone. Each share of PSB common stock and each common unit of partnership interest we held in PSB were converted into the right to receive the merger consideration of $187.50 per share or unit, including a $5.25 closing c</w:t>
      </w:r>
      <w:r>
        <w:rPr>
          <w:rFonts w:eastAsia="Times New Roman"/>
          <w:color w:val="000000"/>
          <w:sz w:val="20"/>
          <w:szCs w:val="20"/>
        </w:rPr>
        <w:t xml:space="preserve">ash dividend per share or unit, and a $0.22 prorated quarterly cash dividend per share or unit, for a total of $187.72 per share or unit. At the close of the merger transaction, we received a total of $2.7 billion of cash proceeds and recognized a gain of </w:t>
      </w:r>
      <w:r>
        <w:rPr>
          <w:rFonts w:eastAsia="Times New Roman"/>
          <w:color w:val="000000"/>
          <w:sz w:val="20"/>
          <w:szCs w:val="20"/>
        </w:rPr>
        <w:t>$2.1 billion, which was classified within gain on sale of equity investment in PS Business Parks, Inc. in the Consolidated Statement of Income.</w:t>
      </w:r>
    </w:p>
    <w:p w:rsidR="00000000" w:rsidRDefault="00473C5F">
      <w:pPr>
        <w:ind w:firstLine="720"/>
        <w:jc w:val="both"/>
        <w:divId w:val="60763064"/>
        <w:rPr>
          <w:rFonts w:eastAsia="Times New Roman"/>
        </w:rPr>
      </w:pPr>
      <w:r>
        <w:rPr>
          <w:rFonts w:eastAsia="Times New Roman"/>
          <w:color w:val="000000"/>
          <w:sz w:val="20"/>
          <w:szCs w:val="20"/>
        </w:rPr>
        <w:t>We classified $2.6 billion of the proceeds from the merger consideration, or $182.25 per share or unit within ca</w:t>
      </w:r>
      <w:r>
        <w:rPr>
          <w:rFonts w:eastAsia="Times New Roman"/>
          <w:color w:val="000000"/>
          <w:sz w:val="20"/>
          <w:szCs w:val="20"/>
        </w:rPr>
        <w:t>sh flows from investing activities in the Consolidated Statements of Cash Flows for 2022. During 2022, 2021 and 2020, we received cash distributions from PSB totaling $109.5 million (including the aforementioned $5.25 closing cash dividend per share or uni</w:t>
      </w:r>
      <w:r>
        <w:rPr>
          <w:rFonts w:eastAsia="Times New Roman"/>
          <w:color w:val="000000"/>
          <w:sz w:val="20"/>
          <w:szCs w:val="20"/>
        </w:rPr>
        <w:t>t and the $0.22 prorated quarterly cash dividend per share or unit from the merger transaction), $127.3 million and $60.7 million, respectively, which were classified within cash flows from operating activities in the Consolidated Statements of Cash Flows.</w:t>
      </w:r>
    </w:p>
    <w:p w:rsidR="00000000" w:rsidRDefault="00473C5F">
      <w:pPr>
        <w:jc w:val="both"/>
        <w:divId w:val="1362322832"/>
        <w:rPr>
          <w:rFonts w:eastAsia="Times New Roman"/>
        </w:rPr>
      </w:pPr>
      <w:r>
        <w:rPr>
          <w:rFonts w:eastAsia="Times New Roman"/>
          <w:color w:val="000000"/>
          <w:sz w:val="20"/>
          <w:szCs w:val="20"/>
          <w:u w:val="single"/>
        </w:rPr>
        <w:t>Investment in Shurgard</w:t>
      </w:r>
    </w:p>
    <w:p w:rsidR="00000000" w:rsidRDefault="00473C5F">
      <w:pPr>
        <w:ind w:firstLine="720"/>
        <w:jc w:val="both"/>
        <w:divId w:val="1778984350"/>
        <w:rPr>
          <w:rFonts w:eastAsia="Times New Roman"/>
        </w:rPr>
      </w:pPr>
      <w:r>
        <w:rPr>
          <w:rFonts w:eastAsia="Times New Roman"/>
          <w:color w:val="000000"/>
          <w:sz w:val="20"/>
          <w:szCs w:val="20"/>
        </w:rPr>
        <w:t xml:space="preserve">Throughout all periods presented, we effectively owned, directly and indirectly 31,268,459 Shurgard common shares, representing a 35% equity interest in Shurgard. </w:t>
      </w:r>
    </w:p>
    <w:p w:rsidR="00000000" w:rsidRDefault="00473C5F">
      <w:pPr>
        <w:ind w:firstLine="720"/>
        <w:jc w:val="both"/>
        <w:divId w:val="912664929"/>
        <w:rPr>
          <w:rFonts w:eastAsia="Times New Roman"/>
        </w:rPr>
      </w:pPr>
      <w:r>
        <w:rPr>
          <w:rFonts w:eastAsia="Times New Roman"/>
          <w:color w:val="000000"/>
          <w:sz w:val="20"/>
          <w:szCs w:val="20"/>
        </w:rPr>
        <w:t xml:space="preserve">Based upon the closing price at December 31, 2022 (€42.85 per share of Shurgard common stock, at 1.070 exchange rate of U.S. Dollars to the Euro), the shares we owned had a market value of approximately $1.4 billion. </w:t>
      </w:r>
    </w:p>
    <w:p w:rsidR="00000000" w:rsidRDefault="00473C5F">
      <w:pPr>
        <w:jc w:val="center"/>
        <w:divId w:val="2044746726"/>
        <w:rPr>
          <w:rFonts w:eastAsia="Times New Roman"/>
        </w:rPr>
      </w:pPr>
      <w:r>
        <w:rPr>
          <w:rFonts w:eastAsia="Times New Roman"/>
          <w:color w:val="000000"/>
          <w:sz w:val="20"/>
          <w:szCs w:val="20"/>
        </w:rPr>
        <w:t>F-17</w:t>
      </w:r>
    </w:p>
    <w:p w:rsidR="00000000" w:rsidRDefault="00473C5F">
      <w:pPr>
        <w:rPr>
          <w:rFonts w:eastAsia="Times New Roman"/>
        </w:rPr>
      </w:pPr>
      <w:r>
        <w:rPr>
          <w:rFonts w:eastAsia="Times New Roman"/>
        </w:rPr>
        <w:pict>
          <v:rect id="_x0000_i1107" style="width:0;height:1.5pt" o:hralign="center" o:hrstd="t" o:hr="t" fillcolor="#a0a0a0" stroked="f"/>
        </w:pict>
      </w:r>
    </w:p>
    <w:p w:rsidR="00000000" w:rsidRDefault="00473C5F">
      <w:pPr>
        <w:jc w:val="center"/>
        <w:divId w:val="390887369"/>
        <w:rPr>
          <w:rFonts w:eastAsia="Times New Roman"/>
        </w:rPr>
      </w:pPr>
    </w:p>
    <w:p w:rsidR="00000000" w:rsidRDefault="00473C5F">
      <w:pPr>
        <w:jc w:val="center"/>
        <w:divId w:val="390887369"/>
        <w:rPr>
          <w:rFonts w:eastAsia="Times New Roman"/>
        </w:rPr>
      </w:pPr>
      <w:r>
        <w:rPr>
          <w:rFonts w:eastAsia="Times New Roman"/>
          <w:b/>
          <w:bCs/>
          <w:color w:val="000000"/>
          <w:sz w:val="20"/>
          <w:szCs w:val="20"/>
        </w:rPr>
        <w:t>PUBLIC STORAGE</w:t>
      </w:r>
    </w:p>
    <w:p w:rsidR="00000000" w:rsidRDefault="00473C5F">
      <w:pPr>
        <w:jc w:val="center"/>
        <w:divId w:val="390887369"/>
        <w:rPr>
          <w:rFonts w:eastAsia="Times New Roman"/>
        </w:rPr>
      </w:pPr>
      <w:r>
        <w:rPr>
          <w:rFonts w:eastAsia="Times New Roman"/>
          <w:b/>
          <w:bCs/>
          <w:color w:val="000000"/>
          <w:sz w:val="20"/>
          <w:szCs w:val="20"/>
        </w:rPr>
        <w:t>NOTES TO CONSOLIDATED FINANCIAL STATEMENTS</w:t>
      </w:r>
    </w:p>
    <w:p w:rsidR="00000000" w:rsidRDefault="00473C5F">
      <w:pPr>
        <w:jc w:val="center"/>
        <w:divId w:val="390887369"/>
        <w:rPr>
          <w:rFonts w:eastAsia="Times New Roman"/>
        </w:rPr>
      </w:pPr>
      <w:r>
        <w:rPr>
          <w:rFonts w:eastAsia="Times New Roman"/>
          <w:b/>
          <w:bCs/>
          <w:color w:val="000000"/>
          <w:sz w:val="20"/>
          <w:szCs w:val="20"/>
        </w:rPr>
        <w:t>December 31, 2022</w:t>
      </w:r>
    </w:p>
    <w:p w:rsidR="00000000" w:rsidRDefault="00473C5F">
      <w:pPr>
        <w:jc w:val="center"/>
        <w:divId w:val="390887369"/>
        <w:rPr>
          <w:rFonts w:eastAsia="Times New Roman"/>
        </w:rPr>
      </w:pPr>
    </w:p>
    <w:p w:rsidR="00000000" w:rsidRDefault="00473C5F">
      <w:pPr>
        <w:ind w:firstLine="720"/>
        <w:jc w:val="both"/>
        <w:divId w:val="2064020012"/>
        <w:rPr>
          <w:rFonts w:eastAsia="Times New Roman"/>
        </w:rPr>
      </w:pPr>
      <w:r>
        <w:rPr>
          <w:rFonts w:eastAsia="Times New Roman"/>
          <w:color w:val="000000"/>
          <w:sz w:val="20"/>
          <w:szCs w:val="20"/>
        </w:rPr>
        <w:t>Our equity in earnings of Shurgard comprised our equity share of Shurgard’s net income, less amortization of the Shurgard Basis Differential (defined below). During 2022, 2</w:t>
      </w:r>
      <w:r>
        <w:rPr>
          <w:rFonts w:eastAsia="Times New Roman"/>
          <w:color w:val="000000"/>
          <w:sz w:val="20"/>
          <w:szCs w:val="20"/>
        </w:rPr>
        <w:t>021 and 2020, we received $3.5 million, $3.5 million and $3.1 million of trademark license fees that Shurgard pays to us for the use of the Shurgard® trademark, respectively. We eliminated $1.2 million, $1.2 million, and $1.1 million of intra-entity profit</w:t>
      </w:r>
      <w:r>
        <w:rPr>
          <w:rFonts w:eastAsia="Times New Roman"/>
          <w:color w:val="000000"/>
          <w:sz w:val="20"/>
          <w:szCs w:val="20"/>
        </w:rPr>
        <w:t xml:space="preserve">s and losses for 2022, 2021 and 2020, respectively, representing our equity share of the trademark license fees. We classify the remaining license fees we receive from Shurgard as interest and other income on our income statement. </w:t>
      </w:r>
    </w:p>
    <w:p w:rsidR="00000000" w:rsidRDefault="00473C5F">
      <w:pPr>
        <w:ind w:firstLine="720"/>
        <w:jc w:val="both"/>
        <w:divId w:val="554200505"/>
        <w:rPr>
          <w:rFonts w:eastAsia="Times New Roman"/>
        </w:rPr>
      </w:pPr>
      <w:r>
        <w:rPr>
          <w:rFonts w:eastAsia="Times New Roman"/>
          <w:color w:val="000000"/>
          <w:sz w:val="20"/>
          <w:szCs w:val="20"/>
        </w:rPr>
        <w:t>During 2022, 2021, and 2</w:t>
      </w:r>
      <w:r>
        <w:rPr>
          <w:rFonts w:eastAsia="Times New Roman"/>
          <w:color w:val="000000"/>
          <w:sz w:val="20"/>
          <w:szCs w:val="20"/>
        </w:rPr>
        <w:t>020, we received cash dividends from Shurgard totaling $37.8 million, $41.5 million and $34.9 million, respectively. Approximately $13.7 million, $19.5 million and $24.7 million of total cash distributions from Shurgard during the year ended December 31, 2</w:t>
      </w:r>
      <w:r>
        <w:rPr>
          <w:rFonts w:eastAsia="Times New Roman"/>
          <w:color w:val="000000"/>
          <w:sz w:val="20"/>
          <w:szCs w:val="20"/>
        </w:rPr>
        <w:t>022, 2021 and 2020, respectively, represented distributions in excess of cumulative equity in earnings from Shurgard, which was classified within cash flows from investing activities in the Consolidated Statements of Cash Flows.</w:t>
      </w:r>
    </w:p>
    <w:p w:rsidR="00000000" w:rsidRDefault="00473C5F">
      <w:pPr>
        <w:ind w:firstLine="720"/>
        <w:jc w:val="both"/>
        <w:divId w:val="236287107"/>
        <w:rPr>
          <w:rFonts w:eastAsia="Times New Roman"/>
        </w:rPr>
      </w:pPr>
      <w:r>
        <w:rPr>
          <w:rFonts w:eastAsia="Times New Roman"/>
          <w:color w:val="000000"/>
          <w:sz w:val="20"/>
          <w:szCs w:val="20"/>
        </w:rPr>
        <w:t>At December 31, 2022, our i</w:t>
      </w:r>
      <w:r>
        <w:rPr>
          <w:rFonts w:eastAsia="Times New Roman"/>
          <w:color w:val="000000"/>
          <w:sz w:val="20"/>
          <w:szCs w:val="20"/>
        </w:rPr>
        <w:t>nvestment in Shurgard’s real estate assets exceeded our pro-rata share of the underlying amounts on Shurgard’s balance sheet by approximately $67.8 million ($74.7 million at December 31, 2021). This differential (the “Shurgard Basis Differential”) includes</w:t>
      </w:r>
      <w:r>
        <w:rPr>
          <w:rFonts w:eastAsia="Times New Roman"/>
          <w:color w:val="000000"/>
          <w:sz w:val="20"/>
          <w:szCs w:val="20"/>
        </w:rPr>
        <w:t xml:space="preserve"> our basis adjustments in Shurgard’s real estate assets net of related deferred income taxes. The Shurgard Basis Differential is being amortized as a reduction to equity in earnings of the Unconsolidated Real Estate Entities. Such amortization totaled appr</w:t>
      </w:r>
      <w:r>
        <w:rPr>
          <w:rFonts w:eastAsia="Times New Roman"/>
          <w:color w:val="000000"/>
          <w:sz w:val="20"/>
          <w:szCs w:val="20"/>
        </w:rPr>
        <w:t xml:space="preserve">oximately $6.9 million, $8.4 million and $5.8 million during 2022, 2021, and 2020, respectively. </w:t>
      </w:r>
    </w:p>
    <w:p w:rsidR="00000000" w:rsidRDefault="00473C5F">
      <w:pPr>
        <w:ind w:firstLine="720"/>
        <w:jc w:val="both"/>
        <w:divId w:val="1851481379"/>
        <w:rPr>
          <w:rFonts w:eastAsia="Times New Roman"/>
        </w:rPr>
      </w:pPr>
      <w:r>
        <w:rPr>
          <w:rFonts w:eastAsia="Times New Roman"/>
          <w:color w:val="000000"/>
          <w:sz w:val="20"/>
          <w:szCs w:val="20"/>
        </w:rPr>
        <w:t>Shurgard is a publicly held entity trading on Euronext Brussels under the symbol “SHUR”.</w:t>
      </w:r>
    </w:p>
    <w:p w:rsidR="00000000" w:rsidRDefault="00473C5F">
      <w:pPr>
        <w:ind w:hanging="360"/>
        <w:jc w:val="both"/>
        <w:divId w:val="533733706"/>
        <w:rPr>
          <w:rFonts w:eastAsia="Times New Roman"/>
        </w:rPr>
      </w:pPr>
      <w:r>
        <w:rPr>
          <w:rFonts w:eastAsia="Times New Roman"/>
          <w:color w:val="000000"/>
          <w:sz w:val="20"/>
          <w:szCs w:val="20"/>
        </w:rPr>
        <w:t>5.</w:t>
      </w:r>
      <w:r>
        <w:rPr>
          <w:rFonts w:eastAsia="Times New Roman"/>
          <w:color w:val="000000"/>
          <w:sz w:val="20"/>
          <w:szCs w:val="20"/>
          <w:u w:val="single"/>
        </w:rPr>
        <w:t>Goodwill and Other Intangible Assets</w:t>
      </w:r>
    </w:p>
    <w:p w:rsidR="00000000" w:rsidRDefault="00473C5F">
      <w:pPr>
        <w:jc w:val="both"/>
        <w:rPr>
          <w:rFonts w:eastAsia="Times New Roman"/>
        </w:rPr>
      </w:pPr>
    </w:p>
    <w:p w:rsidR="00000000" w:rsidRDefault="00473C5F">
      <w:pPr>
        <w:ind w:firstLine="720"/>
        <w:jc w:val="both"/>
        <w:divId w:val="723138696"/>
        <w:rPr>
          <w:rFonts w:eastAsia="Times New Roman"/>
        </w:rPr>
      </w:pPr>
      <w:r>
        <w:rPr>
          <w:rFonts w:eastAsia="Times New Roman"/>
          <w:color w:val="000000"/>
          <w:sz w:val="20"/>
          <w:szCs w:val="20"/>
        </w:rPr>
        <w:t>Goodwill and other intangibl</w:t>
      </w:r>
      <w:r>
        <w:rPr>
          <w:rFonts w:eastAsia="Times New Roman"/>
          <w:color w:val="000000"/>
          <w:sz w:val="20"/>
          <w:szCs w:val="20"/>
        </w:rPr>
        <w:t>e assets consisted of the following (amounts in thousands):</w:t>
      </w:r>
    </w:p>
    <w:tbl>
      <w:tblPr>
        <w:tblW w:w="4825" w:type="pct"/>
        <w:tblCellMar>
          <w:top w:w="15" w:type="dxa"/>
          <w:left w:w="15" w:type="dxa"/>
          <w:bottom w:w="15" w:type="dxa"/>
          <w:right w:w="15" w:type="dxa"/>
        </w:tblCellMar>
        <w:tblLook w:val="04A0" w:firstRow="1" w:lastRow="0" w:firstColumn="1" w:lastColumn="0" w:noHBand="0" w:noVBand="1"/>
      </w:tblPr>
      <w:tblGrid>
        <w:gridCol w:w="54"/>
        <w:gridCol w:w="1490"/>
        <w:gridCol w:w="38"/>
        <w:gridCol w:w="120"/>
        <w:gridCol w:w="733"/>
        <w:gridCol w:w="36"/>
        <w:gridCol w:w="36"/>
        <w:gridCol w:w="36"/>
        <w:gridCol w:w="36"/>
        <w:gridCol w:w="121"/>
        <w:gridCol w:w="1011"/>
        <w:gridCol w:w="36"/>
        <w:gridCol w:w="36"/>
        <w:gridCol w:w="36"/>
        <w:gridCol w:w="36"/>
        <w:gridCol w:w="120"/>
        <w:gridCol w:w="733"/>
        <w:gridCol w:w="36"/>
        <w:gridCol w:w="36"/>
        <w:gridCol w:w="36"/>
        <w:gridCol w:w="36"/>
        <w:gridCol w:w="120"/>
        <w:gridCol w:w="733"/>
        <w:gridCol w:w="36"/>
        <w:gridCol w:w="36"/>
        <w:gridCol w:w="36"/>
        <w:gridCol w:w="36"/>
        <w:gridCol w:w="121"/>
        <w:gridCol w:w="1011"/>
        <w:gridCol w:w="36"/>
        <w:gridCol w:w="36"/>
        <w:gridCol w:w="36"/>
        <w:gridCol w:w="36"/>
        <w:gridCol w:w="120"/>
        <w:gridCol w:w="734"/>
        <w:gridCol w:w="36"/>
      </w:tblGrid>
      <w:tr w:rsidR="00000000">
        <w:trPr>
          <w:divId w:val="1469010377"/>
        </w:trPr>
        <w:tc>
          <w:tcPr>
            <w:tcW w:w="50" w:type="pct"/>
            <w:vAlign w:val="center"/>
            <w:hideMark/>
          </w:tcPr>
          <w:p w:rsidR="00000000" w:rsidRDefault="00473C5F">
            <w:pPr>
              <w:ind w:firstLine="720"/>
              <w:jc w:val="both"/>
              <w:rPr>
                <w:rFonts w:eastAsia="Times New Roman"/>
              </w:rPr>
            </w:pPr>
          </w:p>
        </w:tc>
        <w:tc>
          <w:tcPr>
            <w:tcW w:w="109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4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8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4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4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8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4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469010377"/>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At December 31, 2022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At December 31, 2021</w:t>
            </w:r>
          </w:p>
        </w:tc>
      </w:tr>
      <w:tr w:rsidR="00000000">
        <w:trPr>
          <w:divId w:val="1469010377"/>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Gross Book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Net Book Value</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Gross Book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Net Book Value</w:t>
            </w:r>
          </w:p>
        </w:tc>
      </w:tr>
      <w:tr w:rsidR="00000000">
        <w:trPr>
          <w:divId w:val="1469010377"/>
        </w:trPr>
        <w:tc>
          <w:tcPr>
            <w:tcW w:w="0" w:type="auto"/>
            <w:gridSpan w:val="3"/>
            <w:tcMar>
              <w:top w:w="30" w:type="dxa"/>
              <w:left w:w="20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20"/>
                <w:szCs w:val="20"/>
              </w:rPr>
              <w:t>Goodwill</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469010377"/>
        </w:trPr>
        <w:tc>
          <w:tcPr>
            <w:tcW w:w="0" w:type="auto"/>
            <w:gridSpan w:val="3"/>
            <w:tcMar>
              <w:top w:w="30" w:type="dxa"/>
              <w:left w:w="20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20"/>
                <w:szCs w:val="20"/>
              </w:rPr>
              <w:t>Shurgard® Trade Name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469010377"/>
        </w:trPr>
        <w:tc>
          <w:tcPr>
            <w:tcW w:w="0" w:type="auto"/>
            <w:gridSpan w:val="3"/>
            <w:tcMar>
              <w:top w:w="30" w:type="dxa"/>
              <w:left w:w="20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20"/>
                <w:szCs w:val="20"/>
              </w:rPr>
              <w:t>Finite-lived intangible assets, subject to amortization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201,668 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(153,818)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47,850 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198,180 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(79,953)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118,227 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469010377"/>
        </w:trPr>
        <w:tc>
          <w:tcPr>
            <w:tcW w:w="0" w:type="auto"/>
            <w:gridSpan w:val="3"/>
            <w:tcMar>
              <w:top w:w="30" w:type="dxa"/>
              <w:left w:w="20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20"/>
                <w:szCs w:val="20"/>
              </w:rPr>
              <w:t>Total goodwill and other intangible assets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386,335 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(153,818)</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232,517 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382,847 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(79,953)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302,894 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ind w:firstLine="720"/>
        <w:divId w:val="950405694"/>
        <w:rPr>
          <w:rFonts w:eastAsia="Times New Roman"/>
        </w:rPr>
      </w:pPr>
    </w:p>
    <w:p w:rsidR="00000000" w:rsidRDefault="00473C5F">
      <w:pPr>
        <w:ind w:firstLine="720"/>
        <w:jc w:val="both"/>
        <w:divId w:val="2139032047"/>
        <w:rPr>
          <w:rFonts w:eastAsia="Times New Roman"/>
        </w:rPr>
      </w:pPr>
      <w:r>
        <w:rPr>
          <w:rFonts w:eastAsia="Times New Roman"/>
          <w:color w:val="000000"/>
          <w:sz w:val="20"/>
          <w:szCs w:val="20"/>
        </w:rPr>
        <w:t>Finite-lived intangible assets consist primarily of acquired customers in place. Amor</w:t>
      </w:r>
      <w:r>
        <w:rPr>
          <w:rFonts w:eastAsia="Times New Roman"/>
          <w:color w:val="000000"/>
          <w:sz w:val="20"/>
          <w:szCs w:val="20"/>
        </w:rPr>
        <w:t>tization expense related to intangible assets subject to amortization was $95.2 million, $76.6 million and $16.1 million in 2022, 2021, and 2020, respectively. During 2022, 2021, and 2020, intangibles increased $24.8 million, $174.9 million, and $14.9 mill</w:t>
      </w:r>
      <w:r>
        <w:rPr>
          <w:rFonts w:eastAsia="Times New Roman"/>
          <w:color w:val="000000"/>
          <w:sz w:val="20"/>
          <w:szCs w:val="20"/>
        </w:rPr>
        <w:t xml:space="preserve">ion, respectively, in connection with the acquisition of real estate facilities (Note 3). </w:t>
      </w:r>
    </w:p>
    <w:p w:rsidR="00000000" w:rsidRDefault="00473C5F">
      <w:pPr>
        <w:ind w:firstLine="720"/>
        <w:jc w:val="both"/>
        <w:divId w:val="368378347"/>
        <w:rPr>
          <w:rFonts w:eastAsia="Times New Roman"/>
        </w:rPr>
      </w:pPr>
      <w:r>
        <w:rPr>
          <w:rFonts w:eastAsia="Times New Roman"/>
          <w:color w:val="000000"/>
          <w:sz w:val="20"/>
          <w:szCs w:val="20"/>
        </w:rPr>
        <w:t xml:space="preserve">The remaining amortization expense will be recognized over a weighted average life of approximately 1.3 years. </w:t>
      </w:r>
      <w:r>
        <w:rPr>
          <w:rFonts w:eastAsia="Times New Roman"/>
          <w:color w:val="000000"/>
          <w:sz w:val="20"/>
          <w:szCs w:val="20"/>
        </w:rPr>
        <w:t>The estimated future amortization expense for our finite-lived intangible assets at December 31, 2022 is as follows (amounts in thousands):</w:t>
      </w:r>
    </w:p>
    <w:tbl>
      <w:tblPr>
        <w:tblW w:w="1954" w:type="pct"/>
        <w:jc w:val="center"/>
        <w:tblCellMar>
          <w:top w:w="15" w:type="dxa"/>
          <w:left w:w="15" w:type="dxa"/>
          <w:bottom w:w="15" w:type="dxa"/>
          <w:right w:w="15" w:type="dxa"/>
        </w:tblCellMar>
        <w:tblLook w:val="04A0" w:firstRow="1" w:lastRow="0" w:firstColumn="1" w:lastColumn="0" w:noHBand="0" w:noVBand="1"/>
      </w:tblPr>
      <w:tblGrid>
        <w:gridCol w:w="38"/>
        <w:gridCol w:w="1487"/>
        <w:gridCol w:w="36"/>
        <w:gridCol w:w="36"/>
        <w:gridCol w:w="36"/>
        <w:gridCol w:w="36"/>
        <w:gridCol w:w="120"/>
        <w:gridCol w:w="1421"/>
        <w:gridCol w:w="36"/>
      </w:tblGrid>
      <w:tr w:rsidR="00000000">
        <w:trPr>
          <w:divId w:val="275021728"/>
          <w:jc w:val="center"/>
        </w:trPr>
        <w:tc>
          <w:tcPr>
            <w:tcW w:w="50" w:type="pct"/>
            <w:vAlign w:val="center"/>
            <w:hideMark/>
          </w:tcPr>
          <w:p w:rsidR="00000000" w:rsidRDefault="00473C5F">
            <w:pPr>
              <w:ind w:firstLine="720"/>
              <w:jc w:val="both"/>
              <w:rPr>
                <w:rFonts w:eastAsia="Times New Roman"/>
              </w:rPr>
            </w:pPr>
          </w:p>
        </w:tc>
        <w:tc>
          <w:tcPr>
            <w:tcW w:w="240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6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240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275021728"/>
          <w:jc w:val="center"/>
        </w:trPr>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Amount</w:t>
            </w:r>
          </w:p>
        </w:tc>
      </w:tr>
      <w:tr w:rsidR="00000000">
        <w:trPr>
          <w:divId w:val="275021728"/>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36,852 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75021728"/>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5,746 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75021728"/>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5,252 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75021728"/>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47,850 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jc w:val="center"/>
        <w:divId w:val="1235748005"/>
        <w:rPr>
          <w:rFonts w:eastAsia="Times New Roman"/>
        </w:rPr>
      </w:pPr>
      <w:r>
        <w:rPr>
          <w:rFonts w:eastAsia="Times New Roman"/>
          <w:color w:val="000000"/>
          <w:sz w:val="20"/>
          <w:szCs w:val="20"/>
        </w:rPr>
        <w:t>F-18</w:t>
      </w:r>
    </w:p>
    <w:p w:rsidR="00000000" w:rsidRDefault="00473C5F">
      <w:pPr>
        <w:rPr>
          <w:rFonts w:eastAsia="Times New Roman"/>
        </w:rPr>
      </w:pPr>
      <w:r>
        <w:rPr>
          <w:rFonts w:eastAsia="Times New Roman"/>
        </w:rPr>
        <w:pict>
          <v:rect id="_x0000_i1108" style="width:0;height:1.5pt" o:hralign="center" o:hrstd="t" o:hr="t" fillcolor="#a0a0a0" stroked="f"/>
        </w:pict>
      </w:r>
    </w:p>
    <w:p w:rsidR="00000000" w:rsidRDefault="00473C5F">
      <w:pPr>
        <w:jc w:val="center"/>
        <w:divId w:val="1877699266"/>
        <w:rPr>
          <w:rFonts w:eastAsia="Times New Roman"/>
        </w:rPr>
      </w:pPr>
    </w:p>
    <w:p w:rsidR="00000000" w:rsidRDefault="00473C5F">
      <w:pPr>
        <w:jc w:val="center"/>
        <w:divId w:val="1877699266"/>
        <w:rPr>
          <w:rFonts w:eastAsia="Times New Roman"/>
        </w:rPr>
      </w:pPr>
      <w:r>
        <w:rPr>
          <w:rFonts w:eastAsia="Times New Roman"/>
          <w:b/>
          <w:bCs/>
          <w:color w:val="000000"/>
          <w:sz w:val="20"/>
          <w:szCs w:val="20"/>
        </w:rPr>
        <w:t>PUBLIC STORAGE</w:t>
      </w:r>
    </w:p>
    <w:p w:rsidR="00000000" w:rsidRDefault="00473C5F">
      <w:pPr>
        <w:jc w:val="center"/>
        <w:divId w:val="1877699266"/>
        <w:rPr>
          <w:rFonts w:eastAsia="Times New Roman"/>
        </w:rPr>
      </w:pPr>
      <w:r>
        <w:rPr>
          <w:rFonts w:eastAsia="Times New Roman"/>
          <w:b/>
          <w:bCs/>
          <w:color w:val="000000"/>
          <w:sz w:val="20"/>
          <w:szCs w:val="20"/>
        </w:rPr>
        <w:t>NOTES TO CONSOLIDATED FINANCIAL STATEMENTS</w:t>
      </w:r>
    </w:p>
    <w:p w:rsidR="00000000" w:rsidRDefault="00473C5F">
      <w:pPr>
        <w:jc w:val="center"/>
        <w:divId w:val="1877699266"/>
        <w:rPr>
          <w:rFonts w:eastAsia="Times New Roman"/>
        </w:rPr>
      </w:pPr>
      <w:r>
        <w:rPr>
          <w:rFonts w:eastAsia="Times New Roman"/>
          <w:b/>
          <w:bCs/>
          <w:color w:val="000000"/>
          <w:sz w:val="20"/>
          <w:szCs w:val="20"/>
        </w:rPr>
        <w:t>December 31, 2022</w:t>
      </w:r>
    </w:p>
    <w:p w:rsidR="00000000" w:rsidRDefault="00473C5F">
      <w:pPr>
        <w:jc w:val="center"/>
        <w:divId w:val="1877699266"/>
        <w:rPr>
          <w:rFonts w:eastAsia="Times New Roman"/>
        </w:rPr>
      </w:pPr>
    </w:p>
    <w:p w:rsidR="00000000" w:rsidRDefault="00473C5F">
      <w:pPr>
        <w:ind w:hanging="360"/>
        <w:divId w:val="755597186"/>
        <w:rPr>
          <w:rFonts w:eastAsia="Times New Roman"/>
        </w:rPr>
      </w:pPr>
      <w:r>
        <w:rPr>
          <w:rFonts w:eastAsia="Times New Roman"/>
          <w:color w:val="000000"/>
          <w:sz w:val="20"/>
          <w:szCs w:val="20"/>
        </w:rPr>
        <w:t>6.</w:t>
      </w:r>
      <w:r>
        <w:rPr>
          <w:rFonts w:eastAsia="Times New Roman"/>
          <w:color w:val="000000"/>
          <w:sz w:val="20"/>
          <w:szCs w:val="20"/>
          <w:u w:val="single"/>
        </w:rPr>
        <w:t>Credit Facility</w:t>
      </w:r>
    </w:p>
    <w:p w:rsidR="00000000" w:rsidRDefault="00473C5F">
      <w:pPr>
        <w:ind w:firstLine="720"/>
        <w:jc w:val="both"/>
        <w:divId w:val="986592605"/>
        <w:rPr>
          <w:rFonts w:eastAsia="Times New Roman"/>
        </w:rPr>
      </w:pPr>
      <w:r>
        <w:rPr>
          <w:rFonts w:eastAsia="Times New Roman"/>
          <w:color w:val="000000"/>
          <w:sz w:val="20"/>
          <w:szCs w:val="20"/>
        </w:rPr>
        <w:t>We have a revolving credit agreement (the “Credit Facility”) with a $500 million borrowing limit that matures on April 19,</w:t>
      </w:r>
      <w:r>
        <w:rPr>
          <w:rFonts w:eastAsia="Times New Roman"/>
          <w:color w:val="000000"/>
          <w:sz w:val="20"/>
          <w:szCs w:val="20"/>
        </w:rPr>
        <w:t xml:space="preserve"> 2024. Amounts drawn on the Credit Facility bear annual interest at rates ranging from LIBOR plus 0.7% to LIBOR plus 1.350% depending upon the ratio of our Total Indebtedness to Gross Asset Value (as defined in the Credit Facility) (LIBOR plus 0.75% at Dec</w:t>
      </w:r>
      <w:r>
        <w:rPr>
          <w:rFonts w:eastAsia="Times New Roman"/>
          <w:color w:val="000000"/>
          <w:sz w:val="20"/>
          <w:szCs w:val="20"/>
        </w:rPr>
        <w:t>ember 31, 2022). We are also required to pay a quarterly facility fee ranging from 0.07% per annum to 0.25% per annum depending upon the ratio of our Total Indebtedness to our Gross Asset Value (0.10% per annum at December 31, 2022). At December 31, 2022 a</w:t>
      </w:r>
      <w:r>
        <w:rPr>
          <w:rFonts w:eastAsia="Times New Roman"/>
          <w:color w:val="000000"/>
          <w:sz w:val="20"/>
          <w:szCs w:val="20"/>
        </w:rPr>
        <w:t>nd February 21, 2023, we had no outstanding borrowings under this Credit Facility. We had undrawn standby letters of credit, which reduce our borrowing capacity, totaling $18.6 million at December 31, 2022 ($21.2 million at December 31, 2021). The Credit F</w:t>
      </w:r>
      <w:r>
        <w:rPr>
          <w:rFonts w:eastAsia="Times New Roman"/>
          <w:color w:val="000000"/>
          <w:sz w:val="20"/>
          <w:szCs w:val="20"/>
        </w:rPr>
        <w:t xml:space="preserve">acility has various customary restrictive covenants with which we were in compliance at December 31, 2022. </w:t>
      </w:r>
    </w:p>
    <w:p w:rsidR="00000000" w:rsidRDefault="00473C5F">
      <w:pPr>
        <w:ind w:hanging="360"/>
        <w:divId w:val="1357778852"/>
        <w:rPr>
          <w:rFonts w:eastAsia="Times New Roman"/>
        </w:rPr>
      </w:pPr>
      <w:r>
        <w:rPr>
          <w:rFonts w:eastAsia="Times New Roman"/>
          <w:color w:val="000000"/>
          <w:sz w:val="20"/>
          <w:szCs w:val="20"/>
        </w:rPr>
        <w:t>7.</w:t>
      </w:r>
      <w:r>
        <w:rPr>
          <w:rFonts w:eastAsia="Times New Roman"/>
          <w:color w:val="000000"/>
          <w:sz w:val="20"/>
          <w:szCs w:val="20"/>
          <w:u w:val="single"/>
        </w:rPr>
        <w:t>Notes Payable</w:t>
      </w:r>
    </w:p>
    <w:p w:rsidR="00000000" w:rsidRDefault="00473C5F">
      <w:pPr>
        <w:ind w:firstLine="547"/>
        <w:jc w:val="both"/>
        <w:divId w:val="354818435"/>
        <w:rPr>
          <w:rFonts w:eastAsia="Times New Roman"/>
        </w:rPr>
      </w:pPr>
      <w:r>
        <w:rPr>
          <w:rFonts w:eastAsia="Times New Roman"/>
          <w:color w:val="000000"/>
          <w:sz w:val="20"/>
          <w:szCs w:val="20"/>
        </w:rPr>
        <w:t xml:space="preserve">Our notes payable are reflected net of issuance costs (including original issue discounts), which are amortized as interest expense </w:t>
      </w:r>
      <w:r>
        <w:rPr>
          <w:rFonts w:eastAsia="Times New Roman"/>
          <w:color w:val="000000"/>
          <w:sz w:val="20"/>
          <w:szCs w:val="20"/>
        </w:rPr>
        <w:t>on the effective interest method over the term of each respective note. Our notes payable at December 31, 2022 and 2021 are set forth in the tables below:</w:t>
      </w:r>
    </w:p>
    <w:tbl>
      <w:tblPr>
        <w:tblW w:w="4840" w:type="pct"/>
        <w:tblCellMar>
          <w:top w:w="15" w:type="dxa"/>
          <w:left w:w="15" w:type="dxa"/>
          <w:bottom w:w="15" w:type="dxa"/>
          <w:right w:w="15" w:type="dxa"/>
        </w:tblCellMar>
        <w:tblLook w:val="04A0" w:firstRow="1" w:lastRow="0" w:firstColumn="1" w:lastColumn="0" w:noHBand="0" w:noVBand="1"/>
      </w:tblPr>
      <w:tblGrid>
        <w:gridCol w:w="39"/>
        <w:gridCol w:w="1895"/>
        <w:gridCol w:w="38"/>
        <w:gridCol w:w="83"/>
        <w:gridCol w:w="967"/>
        <w:gridCol w:w="37"/>
        <w:gridCol w:w="36"/>
        <w:gridCol w:w="36"/>
        <w:gridCol w:w="36"/>
        <w:gridCol w:w="67"/>
        <w:gridCol w:w="627"/>
        <w:gridCol w:w="36"/>
        <w:gridCol w:w="36"/>
        <w:gridCol w:w="36"/>
        <w:gridCol w:w="36"/>
        <w:gridCol w:w="110"/>
        <w:gridCol w:w="765"/>
        <w:gridCol w:w="36"/>
        <w:gridCol w:w="36"/>
        <w:gridCol w:w="36"/>
        <w:gridCol w:w="36"/>
        <w:gridCol w:w="111"/>
        <w:gridCol w:w="829"/>
        <w:gridCol w:w="37"/>
        <w:gridCol w:w="36"/>
        <w:gridCol w:w="37"/>
        <w:gridCol w:w="36"/>
        <w:gridCol w:w="110"/>
        <w:gridCol w:w="765"/>
        <w:gridCol w:w="36"/>
        <w:gridCol w:w="36"/>
        <w:gridCol w:w="36"/>
        <w:gridCol w:w="36"/>
        <w:gridCol w:w="110"/>
        <w:gridCol w:w="765"/>
        <w:gridCol w:w="36"/>
      </w:tblGrid>
      <w:tr w:rsidR="00000000">
        <w:trPr>
          <w:divId w:val="659162464"/>
        </w:trPr>
        <w:tc>
          <w:tcPr>
            <w:tcW w:w="50" w:type="pct"/>
            <w:vAlign w:val="center"/>
            <w:hideMark/>
          </w:tcPr>
          <w:p w:rsidR="00000000" w:rsidRDefault="00473C5F">
            <w:pPr>
              <w:ind w:firstLine="547"/>
              <w:jc w:val="both"/>
              <w:rPr>
                <w:rFonts w:eastAsia="Times New Roman"/>
              </w:rPr>
            </w:pPr>
          </w:p>
        </w:tc>
        <w:tc>
          <w:tcPr>
            <w:tcW w:w="150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8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6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6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6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6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6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Amounts at December 31, 2022</w:t>
            </w: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Coupon Rate</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Effective Rate</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 Principal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Unamortized Costs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Book</w:t>
            </w:r>
            <w:r>
              <w:rPr>
                <w:rFonts w:eastAsia="Times New Roman"/>
                <w:color w:val="000000"/>
                <w:sz w:val="18"/>
                <w:szCs w:val="18"/>
              </w:rPr>
              <w:br/>
              <w:t>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Fair</w:t>
            </w:r>
            <w:r>
              <w:rPr>
                <w:rFonts w:eastAsia="Times New Roman"/>
                <w:color w:val="000000"/>
                <w:sz w:val="18"/>
                <w:szCs w:val="18"/>
              </w:rPr>
              <w:br/>
              <w:t> Value</w:t>
            </w:r>
          </w:p>
        </w:tc>
      </w:tr>
      <w:tr w:rsidR="00000000">
        <w:trPr>
          <w:divId w:val="659162464"/>
          <w:trHeight w:val="6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 amounts in thousands)</w:t>
            </w:r>
          </w:p>
        </w:tc>
      </w:tr>
      <w:tr w:rsidR="00000000">
        <w:trPr>
          <w:divId w:val="659162464"/>
        </w:trPr>
        <w:tc>
          <w:tcPr>
            <w:tcW w:w="0" w:type="auto"/>
            <w:gridSpan w:val="12"/>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i/>
                <w:iCs/>
                <w:color w:val="000000"/>
                <w:sz w:val="18"/>
                <w:szCs w:val="18"/>
              </w:rPr>
              <w:t>U.S. Dollar Denominated Unsecured Debt</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59162464"/>
        </w:trPr>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divId w:val="937718440"/>
              <w:rPr>
                <w:rFonts w:eastAsia="Times New Roman"/>
              </w:rPr>
            </w:pPr>
            <w:r>
              <w:rPr>
                <w:rFonts w:eastAsia="Times New Roman"/>
                <w:color w:val="000000"/>
                <w:sz w:val="18"/>
                <w:szCs w:val="18"/>
              </w:rPr>
              <w:t>Notes due April 23, 2024</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SOFR+0.47%</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2.831%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700,000 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(925)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699,075 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691,309 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divId w:val="846291866"/>
              <w:rPr>
                <w:rFonts w:eastAsia="Times New Roman"/>
              </w:rPr>
            </w:pPr>
            <w:r>
              <w:rPr>
                <w:rFonts w:eastAsia="Times New Roman"/>
                <w:color w:val="000000"/>
                <w:sz w:val="18"/>
                <w:szCs w:val="18"/>
              </w:rPr>
              <w:t>Notes due February 15, 2026</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0.875%</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1.030%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(2,322)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497,678 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441,849 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November 9, 2026</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1.500%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1.640%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(3,357)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646,643 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578,899 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divId w:val="836841989"/>
              <w:rPr>
                <w:rFonts w:eastAsia="Times New Roman"/>
              </w:rPr>
            </w:pPr>
            <w:r>
              <w:rPr>
                <w:rFonts w:eastAsia="Times New Roman"/>
                <w:color w:val="000000"/>
                <w:sz w:val="18"/>
                <w:szCs w:val="18"/>
              </w:rPr>
              <w:t>Notes due September 15, 2027</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3.094%</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3.218%</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(2,492)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497,508 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466,029 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divId w:val="1868641542"/>
              <w:rPr>
                <w:rFonts w:eastAsia="Times New Roman"/>
              </w:rPr>
            </w:pPr>
            <w:r>
              <w:rPr>
                <w:rFonts w:eastAsia="Times New Roman"/>
                <w:color w:val="000000"/>
                <w:sz w:val="18"/>
                <w:szCs w:val="18"/>
              </w:rPr>
              <w:t>Notes due May 1, 2028</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1.850%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1.962%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(3,599)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646,401 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558,197 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November 9, 2028</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1.950%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2.044%</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(2,818)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547,182 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468,509 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divId w:val="1375350725"/>
              <w:rPr>
                <w:rFonts w:eastAsia="Times New Roman"/>
              </w:rPr>
            </w:pPr>
            <w:r>
              <w:rPr>
                <w:rFonts w:eastAsia="Times New Roman"/>
                <w:color w:val="000000"/>
                <w:sz w:val="18"/>
                <w:szCs w:val="18"/>
              </w:rPr>
              <w:t>Notes due May 1, 2029</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3.385%</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3.459%</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(1,947)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498,053 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456,855 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divId w:val="496459905"/>
              <w:rPr>
                <w:rFonts w:eastAsia="Times New Roman"/>
              </w:rPr>
            </w:pPr>
            <w:r>
              <w:rPr>
                <w:rFonts w:eastAsia="Times New Roman"/>
                <w:color w:val="000000"/>
                <w:sz w:val="18"/>
                <w:szCs w:val="18"/>
              </w:rPr>
              <w:t>Notes due May 1, 2031</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2.300%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2.419%</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(5,697)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644,303 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530,390 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November 9, 2031</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2.250%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2.322%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(3,134)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546,866 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443,514 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5,250,000 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(26,291)</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5,223,709 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4,635,551 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Height w:val="120"/>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59162464"/>
        </w:trPr>
        <w:tc>
          <w:tcPr>
            <w:tcW w:w="0" w:type="auto"/>
            <w:gridSpan w:val="6"/>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i/>
                <w:iCs/>
                <w:color w:val="000000"/>
                <w:sz w:val="18"/>
                <w:szCs w:val="18"/>
              </w:rPr>
              <w:t>Euro Denominated Unsecured Debt</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divId w:val="1668095843"/>
              <w:rPr>
                <w:rFonts w:eastAsia="Times New Roman"/>
              </w:rPr>
            </w:pPr>
            <w:r>
              <w:rPr>
                <w:rFonts w:eastAsia="Times New Roman"/>
                <w:color w:val="000000"/>
                <w:sz w:val="18"/>
                <w:szCs w:val="18"/>
              </w:rPr>
              <w:t>Notes due April 12, 2024</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1.540%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1.540%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107,035 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107,035 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104,344 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divId w:val="717314447"/>
              <w:rPr>
                <w:rFonts w:eastAsia="Times New Roman"/>
              </w:rPr>
            </w:pPr>
            <w:r>
              <w:rPr>
                <w:rFonts w:eastAsia="Times New Roman"/>
                <w:color w:val="000000"/>
                <w:sz w:val="18"/>
                <w:szCs w:val="18"/>
              </w:rPr>
              <w:t>Notes due November 3, 2025</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2.175%</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2.175%</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259,039 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259,039 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246,119 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September 9, 2030</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0.500%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0.640%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749,245 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(8,611)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740,634 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566,204 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divId w:val="1551379223"/>
              <w:rPr>
                <w:rFonts w:eastAsia="Times New Roman"/>
              </w:rPr>
            </w:pPr>
            <w:r>
              <w:rPr>
                <w:rFonts w:eastAsia="Times New Roman"/>
                <w:color w:val="000000"/>
                <w:sz w:val="18"/>
                <w:szCs w:val="18"/>
              </w:rPr>
              <w:t>Notes due January 24, 2032</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0.875%</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0.978%</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535,175 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(4,858)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530,317 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396,297 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1,650,494 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(13,469)</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1,637,025 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1,312,964 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Height w:val="60"/>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ind w:hanging="180"/>
              <w:divId w:val="669914687"/>
              <w:rPr>
                <w:rFonts w:eastAsia="Times New Roman"/>
              </w:rPr>
            </w:pPr>
            <w:r>
              <w:rPr>
                <w:rFonts w:eastAsia="Times New Roman"/>
                <w:color w:val="000000"/>
                <w:sz w:val="18"/>
                <w:szCs w:val="18"/>
              </w:rPr>
              <w:t> </w:t>
            </w:r>
            <w:r>
              <w:rPr>
                <w:rFonts w:eastAsia="Times New Roman"/>
                <w:b/>
                <w:bCs/>
                <w:i/>
                <w:iCs/>
                <w:color w:val="000000"/>
                <w:sz w:val="18"/>
                <w:szCs w:val="18"/>
              </w:rPr>
              <w:t>Mortgage Debt</w:t>
            </w:r>
            <w:r>
              <w:rPr>
                <w:rFonts w:eastAsia="Times New Roman"/>
                <w:color w:val="000000"/>
                <w:sz w:val="18"/>
                <w:szCs w:val="18"/>
              </w:rPr>
              <w:t>, secured by 5 real estate facilities with a net book value of $17.0 million</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3.410%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3.410%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10,092 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10,092 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9,568 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9162464"/>
          <w:trHeight w:val="60"/>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5916246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6,910,586 </w:t>
            </w:r>
          </w:p>
        </w:tc>
        <w:tc>
          <w:tcPr>
            <w:tcW w:w="0" w:type="auto"/>
            <w:tcBorders>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(39,760)</w:t>
            </w:r>
          </w:p>
        </w:tc>
        <w:tc>
          <w:tcPr>
            <w:tcW w:w="0" w:type="auto"/>
            <w:tcBorders>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6,870,826 </w:t>
            </w:r>
          </w:p>
        </w:tc>
        <w:tc>
          <w:tcPr>
            <w:tcW w:w="0" w:type="auto"/>
            <w:tcBorders>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5,958,083 </w:t>
            </w:r>
          </w:p>
        </w:tc>
        <w:tc>
          <w:tcPr>
            <w:tcW w:w="0" w:type="auto"/>
            <w:tcBorders>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jc w:val="center"/>
        <w:divId w:val="1277635661"/>
        <w:rPr>
          <w:rFonts w:eastAsia="Times New Roman"/>
        </w:rPr>
      </w:pPr>
      <w:r>
        <w:rPr>
          <w:rFonts w:eastAsia="Times New Roman"/>
          <w:color w:val="000000"/>
          <w:sz w:val="20"/>
          <w:szCs w:val="20"/>
        </w:rPr>
        <w:t>F-19</w:t>
      </w:r>
    </w:p>
    <w:p w:rsidR="00000000" w:rsidRDefault="00473C5F">
      <w:pPr>
        <w:rPr>
          <w:rFonts w:eastAsia="Times New Roman"/>
        </w:rPr>
      </w:pPr>
      <w:r>
        <w:rPr>
          <w:rFonts w:eastAsia="Times New Roman"/>
        </w:rPr>
        <w:pict>
          <v:rect id="_x0000_i1109" style="width:0;height:1.5pt" o:hralign="center" o:hrstd="t" o:hr="t" fillcolor="#a0a0a0" stroked="f"/>
        </w:pict>
      </w:r>
    </w:p>
    <w:p w:rsidR="00000000" w:rsidRDefault="00473C5F">
      <w:pPr>
        <w:jc w:val="center"/>
        <w:divId w:val="314342154"/>
        <w:rPr>
          <w:rFonts w:eastAsia="Times New Roman"/>
        </w:rPr>
      </w:pPr>
    </w:p>
    <w:p w:rsidR="00000000" w:rsidRDefault="00473C5F">
      <w:pPr>
        <w:jc w:val="center"/>
        <w:divId w:val="314342154"/>
        <w:rPr>
          <w:rFonts w:eastAsia="Times New Roman"/>
        </w:rPr>
      </w:pPr>
      <w:r>
        <w:rPr>
          <w:rFonts w:eastAsia="Times New Roman"/>
          <w:b/>
          <w:bCs/>
          <w:color w:val="000000"/>
          <w:sz w:val="20"/>
          <w:szCs w:val="20"/>
        </w:rPr>
        <w:t>PUBLIC STORAGE</w:t>
      </w:r>
    </w:p>
    <w:p w:rsidR="00000000" w:rsidRDefault="00473C5F">
      <w:pPr>
        <w:jc w:val="center"/>
        <w:divId w:val="314342154"/>
        <w:rPr>
          <w:rFonts w:eastAsia="Times New Roman"/>
        </w:rPr>
      </w:pPr>
      <w:r>
        <w:rPr>
          <w:rFonts w:eastAsia="Times New Roman"/>
          <w:b/>
          <w:bCs/>
          <w:color w:val="000000"/>
          <w:sz w:val="20"/>
          <w:szCs w:val="20"/>
        </w:rPr>
        <w:t>NOTES TO CONSOLIDATED FINANCIAL STATEMENTS</w:t>
      </w:r>
    </w:p>
    <w:p w:rsidR="00000000" w:rsidRDefault="00473C5F">
      <w:pPr>
        <w:jc w:val="center"/>
        <w:divId w:val="314342154"/>
        <w:rPr>
          <w:rFonts w:eastAsia="Times New Roman"/>
        </w:rPr>
      </w:pPr>
      <w:r>
        <w:rPr>
          <w:rFonts w:eastAsia="Times New Roman"/>
          <w:b/>
          <w:bCs/>
          <w:color w:val="000000"/>
          <w:sz w:val="20"/>
          <w:szCs w:val="20"/>
        </w:rPr>
        <w:t>December 31, 2022</w:t>
      </w:r>
    </w:p>
    <w:p w:rsidR="00000000" w:rsidRDefault="00473C5F">
      <w:pPr>
        <w:jc w:val="center"/>
        <w:divId w:val="314342154"/>
        <w:rPr>
          <w:rFonts w:eastAsia="Times New Roman"/>
        </w:rPr>
      </w:pPr>
    </w:p>
    <w:tbl>
      <w:tblPr>
        <w:tblW w:w="4840" w:type="pct"/>
        <w:tblCellMar>
          <w:top w:w="15" w:type="dxa"/>
          <w:left w:w="15" w:type="dxa"/>
          <w:bottom w:w="15" w:type="dxa"/>
          <w:right w:w="15" w:type="dxa"/>
        </w:tblCellMar>
        <w:tblLook w:val="04A0" w:firstRow="1" w:lastRow="0" w:firstColumn="1" w:lastColumn="0" w:noHBand="0" w:noVBand="1"/>
      </w:tblPr>
      <w:tblGrid>
        <w:gridCol w:w="37"/>
        <w:gridCol w:w="6037"/>
        <w:gridCol w:w="36"/>
        <w:gridCol w:w="110"/>
        <w:gridCol w:w="765"/>
        <w:gridCol w:w="36"/>
        <w:gridCol w:w="36"/>
        <w:gridCol w:w="36"/>
        <w:gridCol w:w="36"/>
        <w:gridCol w:w="110"/>
        <w:gridCol w:w="765"/>
        <w:gridCol w:w="36"/>
      </w:tblGrid>
      <w:tr w:rsidR="00000000">
        <w:trPr>
          <w:divId w:val="315033061"/>
        </w:trPr>
        <w:tc>
          <w:tcPr>
            <w:tcW w:w="50" w:type="pct"/>
            <w:vAlign w:val="center"/>
            <w:hideMark/>
          </w:tcPr>
          <w:p w:rsidR="00000000" w:rsidRDefault="00473C5F">
            <w:pPr>
              <w:jc w:val="center"/>
              <w:rPr>
                <w:rFonts w:eastAsia="Times New Roman"/>
              </w:rPr>
            </w:pPr>
          </w:p>
        </w:tc>
        <w:tc>
          <w:tcPr>
            <w:tcW w:w="385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6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6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315033061"/>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 xml:space="preserve">Amounts at </w:t>
            </w: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December 31, 2021</w:t>
            </w: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Book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Fair Value</w:t>
            </w:r>
          </w:p>
        </w:tc>
      </w:tr>
      <w:tr w:rsidR="00000000">
        <w:trPr>
          <w:divId w:val="315033061"/>
          <w:trHeight w:val="6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 amounts in thousands)</w:t>
            </w: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i/>
                <w:iCs/>
                <w:color w:val="000000"/>
                <w:sz w:val="18"/>
                <w:szCs w:val="18"/>
              </w:rPr>
              <w:t>U.S. Dollar Denominated Unsecured Debt</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xml:space="preserve">Notes due September 15, 2022 </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499,637 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506,362 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April 23, 2024</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698,372 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700,314 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February 15, 2026</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496,939 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488,141 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November 9, 2026</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645,773 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649,996 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September 15, 2027</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496,980 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535,206 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May 1, 2028</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645,724 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649,221 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November 9, 2028</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546,701 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548,241 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May 1, 2029</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497,743 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545,580 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May 1, 2031</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643,617 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656,546 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November 9, 2031</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546,512 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551,932 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5,717,998 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5,831,539 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Height w:val="60"/>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i/>
                <w:iCs/>
                <w:color w:val="000000"/>
                <w:sz w:val="18"/>
                <w:szCs w:val="18"/>
              </w:rPr>
              <w:t>Euro Denominated Unsecured Debt</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April 12, 2024</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113,431 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117,526 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November 3, 2025</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274,518 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295,256 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September 9, 2030</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784,287 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769,561 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Notes due January 24, 2032</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561,761 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551,842 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1,733,997 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1,734,185 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Height w:val="60"/>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i/>
                <w:iCs/>
                <w:color w:val="000000"/>
                <w:sz w:val="18"/>
                <w:szCs w:val="18"/>
              </w:rPr>
              <w:t>Mortgage Debt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23,284 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24,208 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315033061"/>
          <w:trHeight w:val="60"/>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315033061"/>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tcBorders>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7,475,279 </w:t>
            </w:r>
          </w:p>
        </w:tc>
        <w:tc>
          <w:tcPr>
            <w:tcW w:w="0" w:type="auto"/>
            <w:tcBorders>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7,589,932 </w:t>
            </w:r>
          </w:p>
        </w:tc>
        <w:tc>
          <w:tcPr>
            <w:tcW w:w="0" w:type="auto"/>
            <w:tcBorders>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ind w:firstLine="360"/>
        <w:jc w:val="both"/>
        <w:divId w:val="835151684"/>
        <w:rPr>
          <w:rFonts w:eastAsia="Times New Roman"/>
        </w:rPr>
      </w:pPr>
      <w:r>
        <w:rPr>
          <w:rFonts w:eastAsia="Times New Roman"/>
          <w:color w:val="000000"/>
          <w:sz w:val="20"/>
          <w:szCs w:val="20"/>
          <w:u w:val="single"/>
        </w:rPr>
        <w:t>U.S. Dollar Denominated Unsecured Notes</w:t>
      </w:r>
    </w:p>
    <w:p w:rsidR="00000000" w:rsidRDefault="00473C5F">
      <w:pPr>
        <w:ind w:firstLine="720"/>
        <w:jc w:val="both"/>
        <w:divId w:val="846558038"/>
        <w:rPr>
          <w:rFonts w:eastAsia="Times New Roman"/>
        </w:rPr>
      </w:pPr>
      <w:r>
        <w:rPr>
          <w:rFonts w:eastAsia="Times New Roman"/>
          <w:color w:val="000000"/>
          <w:sz w:val="20"/>
          <w:szCs w:val="20"/>
        </w:rPr>
        <w:t>On August 15, 2022, the Company redeemed its 2.370% Senior Notes due September 15, 2022, with an aggregate principal amount of $500.0 million.</w:t>
      </w:r>
    </w:p>
    <w:p w:rsidR="00000000" w:rsidRDefault="00473C5F">
      <w:pPr>
        <w:ind w:firstLine="720"/>
        <w:jc w:val="both"/>
        <w:divId w:val="1650209379"/>
        <w:rPr>
          <w:rFonts w:eastAsia="Times New Roman"/>
        </w:rPr>
      </w:pPr>
      <w:r>
        <w:rPr>
          <w:rFonts w:eastAsia="Times New Roman"/>
          <w:color w:val="000000"/>
          <w:sz w:val="20"/>
          <w:szCs w:val="20"/>
        </w:rPr>
        <w:t>On January 19, 2021, we completed a public offering of $500 million aggregate principal amount of senior notes be</w:t>
      </w:r>
      <w:r>
        <w:rPr>
          <w:rFonts w:eastAsia="Times New Roman"/>
          <w:color w:val="000000"/>
          <w:sz w:val="20"/>
          <w:szCs w:val="20"/>
        </w:rPr>
        <w:t>aring interest at an annual rate of 0.875% and maturing on February 15, 2026. Interest on the senior notes is payable semi-annually, commencing on August 15, 2021. In connection with the offering, we incurred $3.8 million in costs.</w:t>
      </w:r>
    </w:p>
    <w:p w:rsidR="00000000" w:rsidRDefault="00473C5F">
      <w:pPr>
        <w:ind w:firstLine="720"/>
        <w:jc w:val="both"/>
        <w:divId w:val="547449398"/>
        <w:rPr>
          <w:rFonts w:eastAsia="Times New Roman"/>
        </w:rPr>
      </w:pPr>
      <w:r>
        <w:rPr>
          <w:rFonts w:eastAsia="Times New Roman"/>
          <w:color w:val="000000"/>
          <w:sz w:val="20"/>
          <w:szCs w:val="20"/>
        </w:rPr>
        <w:t>On April 23, 2021, we co</w:t>
      </w:r>
      <w:r>
        <w:rPr>
          <w:rFonts w:eastAsia="Times New Roman"/>
          <w:color w:val="000000"/>
          <w:sz w:val="20"/>
          <w:szCs w:val="20"/>
        </w:rPr>
        <w:t xml:space="preserve">mpleted a public offering of $700 million, $650 million, and $650 million aggregate principal amount of senior notes bearing interest at an annual rate of the Compounded Secured Overnight Financing Rate (“SOFR”) plus 0.47% (reset quarterly and at 4.36% as </w:t>
      </w:r>
      <w:r>
        <w:rPr>
          <w:rFonts w:eastAsia="Times New Roman"/>
          <w:color w:val="000000"/>
          <w:sz w:val="20"/>
          <w:szCs w:val="20"/>
        </w:rPr>
        <w:t xml:space="preserve">of December 31, 2022), 1.850%, and 2.300%, respectively, and maturing on April 23, 2024, May 1, 2028, and May 1, 2031, respectively. Interest on the 2024 notes is payable quarterly, commencing on July 23, 2021. Interest on the 2028 notes and 2031 notes is </w:t>
      </w:r>
      <w:r>
        <w:rPr>
          <w:rFonts w:eastAsia="Times New Roman"/>
          <w:color w:val="000000"/>
          <w:sz w:val="20"/>
          <w:szCs w:val="20"/>
        </w:rPr>
        <w:t>payable semi-annually, commencing on November 1, 2021. In connection with the offering, we incurred a total of $13.7 million in costs.</w:t>
      </w:r>
    </w:p>
    <w:p w:rsidR="00000000" w:rsidRDefault="00473C5F">
      <w:pPr>
        <w:ind w:firstLine="720"/>
        <w:jc w:val="both"/>
        <w:divId w:val="1412854846"/>
        <w:rPr>
          <w:rFonts w:eastAsia="Times New Roman"/>
        </w:rPr>
      </w:pPr>
      <w:r>
        <w:rPr>
          <w:rFonts w:eastAsia="Times New Roman"/>
          <w:color w:val="000000"/>
          <w:sz w:val="20"/>
          <w:szCs w:val="20"/>
        </w:rPr>
        <w:t>On November 9, 2021, we completed a public offering of $650 million, $550 million, and $550 million aggregate principal a</w:t>
      </w:r>
      <w:r>
        <w:rPr>
          <w:rFonts w:eastAsia="Times New Roman"/>
          <w:color w:val="000000"/>
          <w:sz w:val="20"/>
          <w:szCs w:val="20"/>
        </w:rPr>
        <w:t xml:space="preserve">mount of senior notes bearing interest at an annual rate of 1.500%, 1.950%, and 2.250%, respectively, and maturing on November 9, 2026, November 9, 2028, and November 9, 2031, respectively. Interest on the senior notes is payable semi-annually, commencing </w:t>
      </w:r>
      <w:r>
        <w:rPr>
          <w:rFonts w:eastAsia="Times New Roman"/>
          <w:color w:val="000000"/>
          <w:sz w:val="20"/>
          <w:szCs w:val="20"/>
        </w:rPr>
        <w:t>on May 9, 2022. In connection with the offering, we incurred a total of $11.3 million in costs.</w:t>
      </w:r>
    </w:p>
    <w:p w:rsidR="00000000" w:rsidRDefault="00473C5F">
      <w:pPr>
        <w:jc w:val="center"/>
        <w:divId w:val="357194607"/>
        <w:rPr>
          <w:rFonts w:eastAsia="Times New Roman"/>
        </w:rPr>
      </w:pPr>
      <w:r>
        <w:rPr>
          <w:rFonts w:eastAsia="Times New Roman"/>
          <w:color w:val="000000"/>
          <w:sz w:val="20"/>
          <w:szCs w:val="20"/>
        </w:rPr>
        <w:t>F-20</w:t>
      </w:r>
    </w:p>
    <w:p w:rsidR="00000000" w:rsidRDefault="00473C5F">
      <w:pPr>
        <w:rPr>
          <w:rFonts w:eastAsia="Times New Roman"/>
        </w:rPr>
      </w:pPr>
      <w:r>
        <w:rPr>
          <w:rFonts w:eastAsia="Times New Roman"/>
        </w:rPr>
        <w:pict>
          <v:rect id="_x0000_i1110" style="width:0;height:1.5pt" o:hralign="center" o:hrstd="t" o:hr="t" fillcolor="#a0a0a0" stroked="f"/>
        </w:pict>
      </w:r>
    </w:p>
    <w:p w:rsidR="00000000" w:rsidRDefault="00473C5F">
      <w:pPr>
        <w:jc w:val="center"/>
        <w:divId w:val="1749116176"/>
        <w:rPr>
          <w:rFonts w:eastAsia="Times New Roman"/>
        </w:rPr>
      </w:pPr>
    </w:p>
    <w:p w:rsidR="00000000" w:rsidRDefault="00473C5F">
      <w:pPr>
        <w:jc w:val="center"/>
        <w:divId w:val="1749116176"/>
        <w:rPr>
          <w:rFonts w:eastAsia="Times New Roman"/>
        </w:rPr>
      </w:pPr>
      <w:r>
        <w:rPr>
          <w:rFonts w:eastAsia="Times New Roman"/>
          <w:b/>
          <w:bCs/>
          <w:color w:val="000000"/>
          <w:sz w:val="20"/>
          <w:szCs w:val="20"/>
        </w:rPr>
        <w:t>PUBLIC STORAGE</w:t>
      </w:r>
    </w:p>
    <w:p w:rsidR="00000000" w:rsidRDefault="00473C5F">
      <w:pPr>
        <w:jc w:val="center"/>
        <w:divId w:val="1749116176"/>
        <w:rPr>
          <w:rFonts w:eastAsia="Times New Roman"/>
        </w:rPr>
      </w:pPr>
      <w:r>
        <w:rPr>
          <w:rFonts w:eastAsia="Times New Roman"/>
          <w:b/>
          <w:bCs/>
          <w:color w:val="000000"/>
          <w:sz w:val="20"/>
          <w:szCs w:val="20"/>
        </w:rPr>
        <w:t>NOTES TO CONSOLIDATED FINANCIAL STATEMENTS</w:t>
      </w:r>
    </w:p>
    <w:p w:rsidR="00000000" w:rsidRDefault="00473C5F">
      <w:pPr>
        <w:jc w:val="center"/>
        <w:divId w:val="1749116176"/>
        <w:rPr>
          <w:rFonts w:eastAsia="Times New Roman"/>
        </w:rPr>
      </w:pPr>
      <w:r>
        <w:rPr>
          <w:rFonts w:eastAsia="Times New Roman"/>
          <w:b/>
          <w:bCs/>
          <w:color w:val="000000"/>
          <w:sz w:val="20"/>
          <w:szCs w:val="20"/>
        </w:rPr>
        <w:t>December 31, 2022</w:t>
      </w:r>
    </w:p>
    <w:p w:rsidR="00000000" w:rsidRDefault="00473C5F">
      <w:pPr>
        <w:jc w:val="center"/>
        <w:divId w:val="1749116176"/>
        <w:rPr>
          <w:rFonts w:eastAsia="Times New Roman"/>
        </w:rPr>
      </w:pPr>
    </w:p>
    <w:p w:rsidR="00000000" w:rsidRDefault="00473C5F">
      <w:pPr>
        <w:ind w:firstLine="720"/>
        <w:jc w:val="both"/>
        <w:divId w:val="1123378584"/>
        <w:rPr>
          <w:rFonts w:eastAsia="Times New Roman"/>
        </w:rPr>
      </w:pPr>
      <w:r>
        <w:rPr>
          <w:rFonts w:eastAsia="Times New Roman"/>
          <w:color w:val="000000"/>
          <w:sz w:val="20"/>
          <w:szCs w:val="20"/>
        </w:rPr>
        <w:t xml:space="preserve">The U.S. Dollar denominated unsecured notes (the “U.S. Dollar Denominated Unsecured Notes”) have various financial covenants, with which we </w:t>
      </w:r>
      <w:r>
        <w:rPr>
          <w:rFonts w:eastAsia="Times New Roman"/>
          <w:color w:val="000000"/>
          <w:sz w:val="20"/>
          <w:szCs w:val="20"/>
        </w:rPr>
        <w:t>were in compliance at December 31, 2022. Included in these covenants are (a) a maximum Debt to Total Assets of 65% (approximately 14% at December 31, 2022) and (b) a minimum ratio of Adjusted EBITDA to Interest Expense of 1.5x (approximately 25x for the tw</w:t>
      </w:r>
      <w:r>
        <w:rPr>
          <w:rFonts w:eastAsia="Times New Roman"/>
          <w:color w:val="000000"/>
          <w:sz w:val="20"/>
          <w:szCs w:val="20"/>
        </w:rPr>
        <w:t xml:space="preserve">elve months ended December 31, 2022) as well as covenants limiting the amount we can encumber our properties with mortgage debt. </w:t>
      </w:r>
    </w:p>
    <w:p w:rsidR="00000000" w:rsidRDefault="00473C5F">
      <w:pPr>
        <w:ind w:firstLine="360"/>
        <w:jc w:val="both"/>
        <w:divId w:val="409082042"/>
        <w:rPr>
          <w:rFonts w:eastAsia="Times New Roman"/>
        </w:rPr>
      </w:pPr>
      <w:r>
        <w:rPr>
          <w:rFonts w:eastAsia="Times New Roman"/>
          <w:color w:val="000000"/>
          <w:sz w:val="20"/>
          <w:szCs w:val="20"/>
          <w:u w:val="single"/>
        </w:rPr>
        <w:t>Euro Denominated Unsecured Notes</w:t>
      </w:r>
    </w:p>
    <w:p w:rsidR="00000000" w:rsidRDefault="00473C5F">
      <w:pPr>
        <w:ind w:firstLine="720"/>
        <w:jc w:val="both"/>
        <w:divId w:val="634875367"/>
        <w:rPr>
          <w:rFonts w:eastAsia="Times New Roman"/>
        </w:rPr>
      </w:pPr>
      <w:r>
        <w:rPr>
          <w:rFonts w:eastAsia="Times New Roman"/>
          <w:color w:val="000000"/>
          <w:sz w:val="20"/>
          <w:szCs w:val="20"/>
        </w:rPr>
        <w:t xml:space="preserve">Our Euro denominated unsecured notes (the “Euro Notes”) consist of four tranches: (i) €242.0 </w:t>
      </w:r>
      <w:r>
        <w:rPr>
          <w:rFonts w:eastAsia="Times New Roman"/>
          <w:color w:val="000000"/>
          <w:sz w:val="20"/>
          <w:szCs w:val="20"/>
        </w:rPr>
        <w:t>million issued to institutional investors on November 3, 2015, (ii) €100.0 million issued to institutional investors on April 12, 2016, (iii) €500.0 million issued in a public offering on January 24, 2020, and (iv) €700.0 million issued in a public offerin</w:t>
      </w:r>
      <w:r>
        <w:rPr>
          <w:rFonts w:eastAsia="Times New Roman"/>
          <w:color w:val="000000"/>
          <w:sz w:val="20"/>
          <w:szCs w:val="20"/>
        </w:rPr>
        <w:t xml:space="preserve">g on September 9, 2021. Interest is payable semi-annually on the notes issued November 3, 2015 and April 12, 2016, and annually on the notes issued January 24, 2020 and September 9, 2021.The Euro Notes have financial covenants similar to those of the U.S. </w:t>
      </w:r>
      <w:r>
        <w:rPr>
          <w:rFonts w:eastAsia="Times New Roman"/>
          <w:color w:val="000000"/>
          <w:sz w:val="20"/>
          <w:szCs w:val="20"/>
        </w:rPr>
        <w:t xml:space="preserve">Dollar Denominated Unsecured Notes. </w:t>
      </w:r>
    </w:p>
    <w:p w:rsidR="00000000" w:rsidRDefault="00473C5F">
      <w:pPr>
        <w:ind w:firstLine="720"/>
        <w:jc w:val="both"/>
        <w:divId w:val="1578712501"/>
        <w:rPr>
          <w:rFonts w:eastAsia="Times New Roman"/>
        </w:rPr>
      </w:pPr>
      <w:r>
        <w:rPr>
          <w:rFonts w:eastAsia="Times New Roman"/>
          <w:color w:val="000000"/>
          <w:sz w:val="20"/>
          <w:szCs w:val="20"/>
        </w:rPr>
        <w:t>We reflect changes in the U.S. Dollar equivalent of the amount payable including the associated interest, as a result of changes in foreign exchange rates as “Foreign currency exchange gain (loss)” on our income stateme</w:t>
      </w:r>
      <w:r>
        <w:rPr>
          <w:rFonts w:eastAsia="Times New Roman"/>
          <w:color w:val="000000"/>
          <w:sz w:val="20"/>
          <w:szCs w:val="20"/>
        </w:rPr>
        <w:t xml:space="preserve">nt (gains of $99.2 million for 2022, as compared to gains of $111.8 million for 2021 and losses of $98.0 million for 2020). </w:t>
      </w:r>
    </w:p>
    <w:p w:rsidR="00000000" w:rsidRDefault="00473C5F">
      <w:pPr>
        <w:jc w:val="both"/>
        <w:rPr>
          <w:rFonts w:eastAsia="Times New Roman"/>
        </w:rPr>
      </w:pPr>
      <w:r>
        <w:rPr>
          <w:rFonts w:eastAsia="Times New Roman"/>
          <w:color w:val="000000"/>
          <w:sz w:val="20"/>
          <w:szCs w:val="20"/>
          <w:u w:val="single"/>
        </w:rPr>
        <w:t>Mortgage Notes</w:t>
      </w:r>
    </w:p>
    <w:p w:rsidR="00000000" w:rsidRDefault="00473C5F">
      <w:pPr>
        <w:ind w:firstLine="720"/>
        <w:jc w:val="both"/>
        <w:divId w:val="1353998879"/>
        <w:rPr>
          <w:rFonts w:eastAsia="Times New Roman"/>
        </w:rPr>
      </w:pPr>
      <w:r>
        <w:rPr>
          <w:rFonts w:eastAsia="Times New Roman"/>
          <w:color w:val="000000"/>
          <w:sz w:val="20"/>
          <w:szCs w:val="20"/>
        </w:rPr>
        <w:t>We assumed our non-recourse mortgage debt in connection with property acquisitions, and we recorded such debt at fai</w:t>
      </w:r>
      <w:r>
        <w:rPr>
          <w:rFonts w:eastAsia="Times New Roman"/>
          <w:color w:val="000000"/>
          <w:sz w:val="20"/>
          <w:szCs w:val="20"/>
        </w:rPr>
        <w:t xml:space="preserve">r value with any premium or discount to the stated note balance amortized using the effective interest method. </w:t>
      </w:r>
    </w:p>
    <w:p w:rsidR="00000000" w:rsidRDefault="00473C5F">
      <w:pPr>
        <w:ind w:firstLine="720"/>
        <w:jc w:val="both"/>
        <w:divId w:val="1888367875"/>
        <w:rPr>
          <w:rFonts w:eastAsia="Times New Roman"/>
        </w:rPr>
      </w:pPr>
      <w:r>
        <w:rPr>
          <w:rFonts w:eastAsia="Times New Roman"/>
          <w:color w:val="000000"/>
          <w:sz w:val="20"/>
          <w:szCs w:val="20"/>
        </w:rPr>
        <w:t xml:space="preserve">At December 31, 2022, the related contractual interest rates of our mortgage notes are fixed, ranging between 3.2% and 7.1%, and mature between </w:t>
      </w:r>
      <w:r>
        <w:rPr>
          <w:rFonts w:eastAsia="Times New Roman"/>
          <w:color w:val="000000"/>
          <w:sz w:val="20"/>
          <w:szCs w:val="20"/>
        </w:rPr>
        <w:t>November 1, 2023 and July 1, 2030.</w:t>
      </w:r>
    </w:p>
    <w:p w:rsidR="00000000" w:rsidRDefault="00473C5F">
      <w:pPr>
        <w:ind w:firstLine="720"/>
        <w:jc w:val="both"/>
        <w:divId w:val="1085763077"/>
        <w:rPr>
          <w:rFonts w:eastAsia="Times New Roman"/>
        </w:rPr>
      </w:pPr>
      <w:r>
        <w:rPr>
          <w:rFonts w:eastAsia="Times New Roman"/>
          <w:color w:val="000000"/>
          <w:sz w:val="20"/>
          <w:szCs w:val="20"/>
        </w:rPr>
        <w:t>At December 31, 2022, approximate principal maturities of our Notes Payable are as follows (amounts in thousands):</w:t>
      </w:r>
    </w:p>
    <w:tbl>
      <w:tblPr>
        <w:tblW w:w="4765" w:type="pct"/>
        <w:tblCellMar>
          <w:top w:w="15" w:type="dxa"/>
          <w:left w:w="15" w:type="dxa"/>
          <w:bottom w:w="15" w:type="dxa"/>
          <w:right w:w="15" w:type="dxa"/>
        </w:tblCellMar>
        <w:tblLook w:val="04A0" w:firstRow="1" w:lastRow="0" w:firstColumn="1" w:lastColumn="0" w:noHBand="0" w:noVBand="1"/>
      </w:tblPr>
      <w:tblGrid>
        <w:gridCol w:w="38"/>
        <w:gridCol w:w="2621"/>
        <w:gridCol w:w="36"/>
        <w:gridCol w:w="121"/>
        <w:gridCol w:w="1575"/>
        <w:gridCol w:w="36"/>
        <w:gridCol w:w="36"/>
        <w:gridCol w:w="36"/>
        <w:gridCol w:w="36"/>
        <w:gridCol w:w="121"/>
        <w:gridCol w:w="1421"/>
        <w:gridCol w:w="36"/>
        <w:gridCol w:w="36"/>
        <w:gridCol w:w="36"/>
        <w:gridCol w:w="36"/>
        <w:gridCol w:w="123"/>
        <w:gridCol w:w="1536"/>
        <w:gridCol w:w="36"/>
      </w:tblGrid>
      <w:tr w:rsidR="00000000">
        <w:trPr>
          <w:divId w:val="1411121714"/>
        </w:trPr>
        <w:tc>
          <w:tcPr>
            <w:tcW w:w="50" w:type="pct"/>
            <w:vAlign w:val="center"/>
            <w:hideMark/>
          </w:tcPr>
          <w:p w:rsidR="00000000" w:rsidRDefault="00473C5F">
            <w:pPr>
              <w:ind w:firstLine="720"/>
              <w:jc w:val="both"/>
              <w:rPr>
                <w:rFonts w:eastAsia="Times New Roman"/>
              </w:rPr>
            </w:pPr>
          </w:p>
        </w:tc>
        <w:tc>
          <w:tcPr>
            <w:tcW w:w="169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02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95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02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411121714"/>
        </w:trPr>
        <w:tc>
          <w:tcPr>
            <w:tcW w:w="0" w:type="auto"/>
            <w:gridSpan w:val="3"/>
            <w:tcMar>
              <w:top w:w="30" w:type="dxa"/>
              <w:left w:w="20" w:type="dxa"/>
              <w:bottom w:w="30" w:type="dxa"/>
              <w:right w:w="20" w:type="dxa"/>
            </w:tcMar>
            <w:vAlign w:val="center"/>
            <w:hideMark/>
          </w:tcPr>
          <w:p w:rsidR="00000000" w:rsidRDefault="00473C5F">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Unsecured Debt</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Mortgage Debt</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Total</w:t>
            </w:r>
          </w:p>
        </w:tc>
      </w:tr>
      <w:tr w:rsidR="00000000">
        <w:trPr>
          <w:divId w:val="1411121714"/>
          <w:trHeight w:val="12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41112171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2023</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8,270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8,270</w:t>
            </w:r>
          </w:p>
        </w:tc>
      </w:tr>
      <w:tr w:rsidR="00000000">
        <w:trPr>
          <w:divId w:val="141112171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2024</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807,035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807,159</w:t>
            </w:r>
          </w:p>
        </w:tc>
      </w:tr>
      <w:tr w:rsidR="00000000">
        <w:trPr>
          <w:divId w:val="141112171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259,039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131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259,170</w:t>
            </w:r>
          </w:p>
        </w:tc>
      </w:tr>
      <w:tr w:rsidR="00000000">
        <w:trPr>
          <w:divId w:val="141112171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2026</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1,150,000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138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1,150,138</w:t>
            </w:r>
          </w:p>
        </w:tc>
      </w:tr>
      <w:tr w:rsidR="00000000">
        <w:trPr>
          <w:divId w:val="141112171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2027</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500,000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500,140</w:t>
            </w:r>
          </w:p>
        </w:tc>
      </w:tr>
      <w:tr w:rsidR="00000000">
        <w:trPr>
          <w:divId w:val="141112171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Thereafter </w:t>
            </w: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4,184,420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1,289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4,185,709</w:t>
            </w:r>
          </w:p>
        </w:tc>
      </w:tr>
      <w:tr w:rsidR="00000000">
        <w:trPr>
          <w:divId w:val="1411121714"/>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473C5F">
            <w:pPr>
              <w:spacing w:after="100"/>
              <w:jc w:val="right"/>
              <w:rPr>
                <w:rFonts w:eastAsia="Times New Roman"/>
              </w:rPr>
            </w:pPr>
            <w:r>
              <w:rPr>
                <w:rFonts w:eastAsia="Times New Roman"/>
                <w:color w:val="000000"/>
                <w:sz w:val="20"/>
                <w:szCs w:val="20"/>
              </w:rPr>
              <w:t>6,900,494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473C5F">
            <w:pPr>
              <w:spacing w:after="100"/>
              <w:jc w:val="right"/>
              <w:rPr>
                <w:rFonts w:eastAsia="Times New Roman"/>
              </w:rPr>
            </w:pPr>
            <w:r>
              <w:rPr>
                <w:rFonts w:eastAsia="Times New Roman"/>
                <w:color w:val="000000"/>
                <w:sz w:val="20"/>
                <w:szCs w:val="20"/>
              </w:rPr>
              <w:t>10,092</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473C5F">
            <w:pPr>
              <w:spacing w:after="100"/>
              <w:jc w:val="right"/>
              <w:rPr>
                <w:rFonts w:eastAsia="Times New Roman"/>
              </w:rPr>
            </w:pPr>
            <w:r>
              <w:rPr>
                <w:rFonts w:eastAsia="Times New Roman"/>
                <w:color w:val="000000"/>
                <w:sz w:val="20"/>
                <w:szCs w:val="20"/>
              </w:rPr>
              <w:t>6,910,586</w:t>
            </w:r>
          </w:p>
        </w:tc>
      </w:tr>
      <w:tr w:rsidR="00000000">
        <w:trPr>
          <w:divId w:val="1411121714"/>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xml:space="preserve">Weighted average effective rate </w:t>
            </w: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473C5F">
            <w:pPr>
              <w:spacing w:after="100"/>
              <w:jc w:val="right"/>
              <w:rPr>
                <w:rFonts w:eastAsia="Times New Roman"/>
              </w:rPr>
            </w:pPr>
            <w:r>
              <w:rPr>
                <w:rFonts w:eastAsia="Times New Roman"/>
                <w:color w:val="000000"/>
                <w:sz w:val="20"/>
                <w:szCs w:val="20"/>
              </w:rPr>
              <w:t>2.0%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473C5F">
            <w:pPr>
              <w:spacing w:after="100"/>
              <w:jc w:val="right"/>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473C5F">
            <w:pPr>
              <w:spacing w:after="100"/>
              <w:jc w:val="right"/>
              <w:rPr>
                <w:rFonts w:eastAsia="Times New Roman"/>
              </w:rPr>
            </w:pPr>
            <w:r>
              <w:rPr>
                <w:rFonts w:eastAsia="Times New Roman"/>
                <w:color w:val="000000"/>
                <w:sz w:val="20"/>
                <w:szCs w:val="20"/>
              </w:rPr>
              <w:t>2.0%</w:t>
            </w:r>
          </w:p>
        </w:tc>
      </w:tr>
    </w:tbl>
    <w:p w:rsidR="00000000" w:rsidRDefault="00473C5F">
      <w:pPr>
        <w:ind w:firstLine="720"/>
        <w:jc w:val="both"/>
        <w:divId w:val="1247423716"/>
        <w:rPr>
          <w:rFonts w:eastAsia="Times New Roman"/>
        </w:rPr>
      </w:pPr>
      <w:r>
        <w:rPr>
          <w:rFonts w:eastAsia="Times New Roman"/>
          <w:color w:val="000000"/>
          <w:sz w:val="20"/>
          <w:szCs w:val="20"/>
        </w:rPr>
        <w:t>Cash paid for interest totaled $133.8 million, $77.7 million, and $52.7 </w:t>
      </w:r>
      <w:r>
        <w:rPr>
          <w:rFonts w:eastAsia="Times New Roman"/>
          <w:color w:val="000000"/>
          <w:sz w:val="20"/>
          <w:szCs w:val="20"/>
        </w:rPr>
        <w:t>million for 2022, 2021, and 2020, respectively. Interest capitalized as real estate totaled $6.0 million, $3.5 million and $3.4 million for 2022, 2021, and 2020, respectively.</w:t>
      </w:r>
    </w:p>
    <w:p w:rsidR="00000000" w:rsidRDefault="00473C5F">
      <w:pPr>
        <w:ind w:hanging="360"/>
        <w:jc w:val="both"/>
        <w:divId w:val="1005598334"/>
        <w:rPr>
          <w:rFonts w:eastAsia="Times New Roman"/>
        </w:rPr>
      </w:pPr>
      <w:r>
        <w:rPr>
          <w:rFonts w:eastAsia="Times New Roman"/>
          <w:color w:val="000000"/>
          <w:sz w:val="20"/>
          <w:szCs w:val="20"/>
        </w:rPr>
        <w:t>8.</w:t>
      </w:r>
      <w:r>
        <w:rPr>
          <w:rFonts w:eastAsia="Times New Roman"/>
          <w:color w:val="000000"/>
          <w:sz w:val="20"/>
          <w:szCs w:val="20"/>
          <w:u w:val="single"/>
        </w:rPr>
        <w:t>Noncontrolling Interests</w:t>
      </w:r>
    </w:p>
    <w:p w:rsidR="00000000" w:rsidRDefault="00473C5F">
      <w:pPr>
        <w:ind w:firstLine="720"/>
        <w:jc w:val="both"/>
        <w:divId w:val="502013379"/>
        <w:rPr>
          <w:rFonts w:eastAsia="Times New Roman"/>
        </w:rPr>
      </w:pPr>
      <w:r>
        <w:rPr>
          <w:rFonts w:eastAsia="Times New Roman"/>
          <w:color w:val="000000"/>
          <w:sz w:val="20"/>
          <w:szCs w:val="20"/>
        </w:rPr>
        <w:t xml:space="preserve">There are noncontrolling interests related to several subsidiaries we consolidate of which we do not own 100% of the equity. At December 31, 2022, certain of these subsidiaries have issued 499,966 partnership units to third-parties that are convertible on </w:t>
      </w:r>
      <w:r>
        <w:rPr>
          <w:rFonts w:eastAsia="Times New Roman"/>
          <w:color w:val="000000"/>
          <w:sz w:val="20"/>
          <w:szCs w:val="20"/>
        </w:rPr>
        <w:t>a one-for-one basis (subject to certain limitations) into common shares of the Company at the request of the unitholder. These include a total of 54,137 partnership units of $19.9 million issued to third-parties in connection with our acquisition of self-s</w:t>
      </w:r>
      <w:r>
        <w:rPr>
          <w:rFonts w:eastAsia="Times New Roman"/>
          <w:color w:val="000000"/>
          <w:sz w:val="20"/>
          <w:szCs w:val="20"/>
        </w:rPr>
        <w:t>torage properties in 2022.</w:t>
      </w:r>
    </w:p>
    <w:p w:rsidR="00000000" w:rsidRDefault="00473C5F">
      <w:pPr>
        <w:jc w:val="center"/>
        <w:divId w:val="1567958639"/>
        <w:rPr>
          <w:rFonts w:eastAsia="Times New Roman"/>
        </w:rPr>
      </w:pPr>
      <w:r>
        <w:rPr>
          <w:rFonts w:eastAsia="Times New Roman"/>
          <w:color w:val="000000"/>
          <w:sz w:val="20"/>
          <w:szCs w:val="20"/>
        </w:rPr>
        <w:t>F-21</w:t>
      </w:r>
    </w:p>
    <w:p w:rsidR="00000000" w:rsidRDefault="00473C5F">
      <w:pPr>
        <w:rPr>
          <w:rFonts w:eastAsia="Times New Roman"/>
        </w:rPr>
      </w:pPr>
      <w:r>
        <w:rPr>
          <w:rFonts w:eastAsia="Times New Roman"/>
        </w:rPr>
        <w:pict>
          <v:rect id="_x0000_i1111" style="width:0;height:1.5pt" o:hralign="center" o:hrstd="t" o:hr="t" fillcolor="#a0a0a0" stroked="f"/>
        </w:pict>
      </w:r>
    </w:p>
    <w:p w:rsidR="00000000" w:rsidRDefault="00473C5F">
      <w:pPr>
        <w:jc w:val="center"/>
        <w:divId w:val="191261807"/>
        <w:rPr>
          <w:rFonts w:eastAsia="Times New Roman"/>
        </w:rPr>
      </w:pPr>
    </w:p>
    <w:p w:rsidR="00000000" w:rsidRDefault="00473C5F">
      <w:pPr>
        <w:jc w:val="center"/>
        <w:divId w:val="191261807"/>
        <w:rPr>
          <w:rFonts w:eastAsia="Times New Roman"/>
        </w:rPr>
      </w:pPr>
      <w:r>
        <w:rPr>
          <w:rFonts w:eastAsia="Times New Roman"/>
          <w:b/>
          <w:bCs/>
          <w:color w:val="000000"/>
          <w:sz w:val="20"/>
          <w:szCs w:val="20"/>
        </w:rPr>
        <w:t>PUBLIC STORAGE</w:t>
      </w:r>
    </w:p>
    <w:p w:rsidR="00000000" w:rsidRDefault="00473C5F">
      <w:pPr>
        <w:jc w:val="center"/>
        <w:divId w:val="191261807"/>
        <w:rPr>
          <w:rFonts w:eastAsia="Times New Roman"/>
        </w:rPr>
      </w:pPr>
      <w:r>
        <w:rPr>
          <w:rFonts w:eastAsia="Times New Roman"/>
          <w:b/>
          <w:bCs/>
          <w:color w:val="000000"/>
          <w:sz w:val="20"/>
          <w:szCs w:val="20"/>
        </w:rPr>
        <w:t>NOTES TO CONSOLIDATED FINANCIAL STATEMENTS</w:t>
      </w:r>
    </w:p>
    <w:p w:rsidR="00000000" w:rsidRDefault="00473C5F">
      <w:pPr>
        <w:jc w:val="center"/>
        <w:divId w:val="191261807"/>
        <w:rPr>
          <w:rFonts w:eastAsia="Times New Roman"/>
        </w:rPr>
      </w:pPr>
      <w:r>
        <w:rPr>
          <w:rFonts w:eastAsia="Times New Roman"/>
          <w:b/>
          <w:bCs/>
          <w:color w:val="000000"/>
          <w:sz w:val="20"/>
          <w:szCs w:val="20"/>
        </w:rPr>
        <w:t>December 31, 2022</w:t>
      </w:r>
    </w:p>
    <w:p w:rsidR="00000000" w:rsidRDefault="00473C5F">
      <w:pPr>
        <w:jc w:val="center"/>
        <w:divId w:val="191261807"/>
        <w:rPr>
          <w:rFonts w:eastAsia="Times New Roman"/>
        </w:rPr>
      </w:pPr>
    </w:p>
    <w:p w:rsidR="00000000" w:rsidRDefault="00473C5F">
      <w:pPr>
        <w:ind w:firstLine="720"/>
        <w:jc w:val="both"/>
        <w:divId w:val="2082021916"/>
        <w:rPr>
          <w:rFonts w:eastAsia="Times New Roman"/>
        </w:rPr>
      </w:pPr>
      <w:r>
        <w:rPr>
          <w:rFonts w:eastAsia="Times New Roman"/>
          <w:color w:val="000000"/>
          <w:sz w:val="20"/>
          <w:szCs w:val="20"/>
        </w:rPr>
        <w:t>At March 31, 2022, there were 254,833 partnership units of $83.8 </w:t>
      </w:r>
      <w:r>
        <w:rPr>
          <w:rFonts w:eastAsia="Times New Roman"/>
          <w:color w:val="000000"/>
          <w:sz w:val="20"/>
          <w:szCs w:val="20"/>
        </w:rPr>
        <w:t>million classified as redeemable noncontrolling interests outside of total equity in our consolidated balance sheets, because the unitholders of these partnership units had the right to require redemption of their partnership units in cash if common shares</w:t>
      </w:r>
      <w:r>
        <w:rPr>
          <w:rFonts w:eastAsia="Times New Roman"/>
          <w:color w:val="000000"/>
          <w:sz w:val="20"/>
          <w:szCs w:val="20"/>
        </w:rPr>
        <w:t xml:space="preserve"> of the Company were not publicly listed. In the second quarter of 2022, the related partnership agreements were amended with such cash redemption feature removed from these partnership units. We therefore reclassified $83.8 million from redeemable noncont</w:t>
      </w:r>
      <w:r>
        <w:rPr>
          <w:rFonts w:eastAsia="Times New Roman"/>
          <w:color w:val="000000"/>
          <w:sz w:val="20"/>
          <w:szCs w:val="20"/>
        </w:rPr>
        <w:t>rolling interests to noncontrolling interests in total equity during the three months ended June 30, 2022.</w:t>
      </w:r>
    </w:p>
    <w:p w:rsidR="00000000" w:rsidRDefault="00473C5F">
      <w:pPr>
        <w:ind w:hanging="360"/>
        <w:jc w:val="both"/>
        <w:divId w:val="188760618"/>
        <w:rPr>
          <w:rFonts w:eastAsia="Times New Roman"/>
        </w:rPr>
      </w:pPr>
      <w:r>
        <w:rPr>
          <w:rFonts w:eastAsia="Times New Roman"/>
          <w:color w:val="000000"/>
          <w:sz w:val="20"/>
          <w:szCs w:val="20"/>
        </w:rPr>
        <w:t>9.</w:t>
      </w:r>
      <w:r>
        <w:rPr>
          <w:rFonts w:eastAsia="Times New Roman"/>
          <w:color w:val="000000"/>
          <w:sz w:val="20"/>
          <w:szCs w:val="20"/>
          <w:u w:val="single"/>
        </w:rPr>
        <w:t>Shareholders’ Equity</w:t>
      </w:r>
    </w:p>
    <w:p w:rsidR="00000000" w:rsidRDefault="00473C5F">
      <w:pPr>
        <w:jc w:val="both"/>
        <w:rPr>
          <w:rFonts w:eastAsia="Times New Roman"/>
        </w:rPr>
      </w:pPr>
    </w:p>
    <w:p w:rsidR="00000000" w:rsidRDefault="00473C5F">
      <w:pPr>
        <w:jc w:val="both"/>
        <w:divId w:val="1426926851"/>
        <w:rPr>
          <w:rFonts w:eastAsia="Times New Roman"/>
        </w:rPr>
      </w:pPr>
      <w:r>
        <w:rPr>
          <w:rFonts w:eastAsia="Times New Roman"/>
          <w:color w:val="000000"/>
          <w:sz w:val="20"/>
          <w:szCs w:val="20"/>
          <w:u w:val="single"/>
        </w:rPr>
        <w:t>Preferred Shares</w:t>
      </w:r>
    </w:p>
    <w:p w:rsidR="00000000" w:rsidRDefault="00473C5F">
      <w:pPr>
        <w:ind w:firstLine="720"/>
        <w:jc w:val="both"/>
        <w:rPr>
          <w:rFonts w:eastAsia="Times New Roman"/>
        </w:rPr>
      </w:pPr>
      <w:r>
        <w:rPr>
          <w:rFonts w:eastAsia="Times New Roman"/>
          <w:color w:val="000000"/>
          <w:sz w:val="20"/>
          <w:szCs w:val="20"/>
        </w:rPr>
        <w:t>At December 31, 2022 and 2021, we had the following series of Cumulative Preferred Shares (“Preferred Share</w:t>
      </w:r>
      <w:r>
        <w:rPr>
          <w:rFonts w:eastAsia="Times New Roman"/>
          <w:color w:val="000000"/>
          <w:sz w:val="20"/>
          <w:szCs w:val="20"/>
        </w:rPr>
        <w:t>s”) outstanding:</w:t>
      </w:r>
    </w:p>
    <w:p w:rsidR="00000000" w:rsidRDefault="00473C5F">
      <w:pPr>
        <w:ind w:firstLine="720"/>
        <w:jc w:val="both"/>
        <w:rPr>
          <w:rFonts w:eastAsia="Times New Roman"/>
        </w:rPr>
      </w:pPr>
    </w:p>
    <w:tbl>
      <w:tblPr>
        <w:tblW w:w="4818" w:type="pct"/>
        <w:tblCellMar>
          <w:top w:w="15" w:type="dxa"/>
          <w:left w:w="15" w:type="dxa"/>
          <w:bottom w:w="15" w:type="dxa"/>
          <w:right w:w="15" w:type="dxa"/>
        </w:tblCellMar>
        <w:tblLook w:val="04A0" w:firstRow="1" w:lastRow="0" w:firstColumn="1" w:lastColumn="0" w:noHBand="0" w:noVBand="1"/>
      </w:tblPr>
      <w:tblGrid>
        <w:gridCol w:w="37"/>
        <w:gridCol w:w="1069"/>
        <w:gridCol w:w="36"/>
        <w:gridCol w:w="36"/>
        <w:gridCol w:w="36"/>
        <w:gridCol w:w="36"/>
        <w:gridCol w:w="77"/>
        <w:gridCol w:w="934"/>
        <w:gridCol w:w="36"/>
        <w:gridCol w:w="36"/>
        <w:gridCol w:w="36"/>
        <w:gridCol w:w="36"/>
        <w:gridCol w:w="59"/>
        <w:gridCol w:w="815"/>
        <w:gridCol w:w="187"/>
        <w:gridCol w:w="36"/>
        <w:gridCol w:w="36"/>
        <w:gridCol w:w="36"/>
        <w:gridCol w:w="77"/>
        <w:gridCol w:w="934"/>
        <w:gridCol w:w="36"/>
        <w:gridCol w:w="36"/>
        <w:gridCol w:w="36"/>
        <w:gridCol w:w="36"/>
        <w:gridCol w:w="120"/>
        <w:gridCol w:w="850"/>
        <w:gridCol w:w="36"/>
        <w:gridCol w:w="36"/>
        <w:gridCol w:w="36"/>
        <w:gridCol w:w="36"/>
        <w:gridCol w:w="77"/>
        <w:gridCol w:w="934"/>
        <w:gridCol w:w="36"/>
        <w:gridCol w:w="36"/>
        <w:gridCol w:w="36"/>
        <w:gridCol w:w="36"/>
        <w:gridCol w:w="120"/>
        <w:gridCol w:w="850"/>
        <w:gridCol w:w="36"/>
      </w:tblGrid>
      <w:tr w:rsidR="00000000">
        <w:trPr>
          <w:divId w:val="1691301378"/>
        </w:trPr>
        <w:tc>
          <w:tcPr>
            <w:tcW w:w="50" w:type="pct"/>
            <w:vAlign w:val="center"/>
            <w:hideMark/>
          </w:tcPr>
          <w:p w:rsidR="00000000" w:rsidRDefault="00473C5F">
            <w:pPr>
              <w:ind w:firstLine="720"/>
              <w:jc w:val="both"/>
              <w:rPr>
                <w:rFonts w:eastAsia="Times New Roman"/>
              </w:rPr>
            </w:pPr>
          </w:p>
        </w:tc>
        <w:tc>
          <w:tcPr>
            <w:tcW w:w="69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3"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At December 31, 2022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At December 31, 2021</w:t>
            </w: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Series</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Earliest Redemption Date</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Dividend Rate</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Shares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Liquidation Preference</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Shares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Liquidation Preference</w:t>
            </w:r>
          </w:p>
        </w:tc>
      </w:tr>
      <w:tr w:rsidR="00000000">
        <w:trPr>
          <w:divId w:val="169130137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691301378"/>
        </w:trPr>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1"/>
            <w:tcMar>
              <w:top w:w="30" w:type="dxa"/>
              <w:left w:w="20" w:type="dxa"/>
              <w:bottom w:w="30" w:type="dxa"/>
              <w:right w:w="20" w:type="dxa"/>
            </w:tcMar>
            <w:hideMark/>
          </w:tcPr>
          <w:p w:rsidR="00000000" w:rsidRDefault="00473C5F">
            <w:pPr>
              <w:spacing w:after="100"/>
              <w:jc w:val="center"/>
              <w:rPr>
                <w:rFonts w:eastAsia="Times New Roman"/>
              </w:rPr>
            </w:pPr>
            <w:r>
              <w:rPr>
                <w:rFonts w:eastAsia="Times New Roman"/>
                <w:color w:val="000000"/>
                <w:sz w:val="20"/>
                <w:szCs w:val="20"/>
              </w:rPr>
              <w:t>(Dollar amounts in thousands)</w:t>
            </w: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F</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6/2/2022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5.150 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11,200 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280,000 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11,200 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280,000 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G</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8/9/2022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5.050 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12,000 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300,000 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12,000 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300,000 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H</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3/11/2024</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5.600 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11,400 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285,000 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11,400 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285,000 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I</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9/12/2024</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4.875 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12,650 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316,250 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12,650 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316,250 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J</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11/15/2024</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4.700 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10,350 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258,750 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10,350 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258,750 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K</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12/20/2024</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4.750 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L</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6/17/2025</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4.625 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22,600 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565,000 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22,600 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565,000 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M</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8/14/2025</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4.125 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N</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10/6/2025</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3.875 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11,300 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282,500 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11,300 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282,500 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O</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11/17/2025</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3.900 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6,800 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6,800 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P</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6/16/2026</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24,150 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603,750 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24,150 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603,750 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Q</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8/17/2026</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3.950 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5,750 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143,750 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5,750 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143,750 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R</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11/19/2026</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17,400 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435,000 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17,400 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435,000 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Series S</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1/13/2027</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4.100 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250,000 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691301378"/>
        </w:trPr>
        <w:tc>
          <w:tcPr>
            <w:tcW w:w="0" w:type="auto"/>
            <w:gridSpan w:val="9"/>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Total Preferred Shares</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174,000 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4,350,000 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164,000 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4,100,000 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ind w:firstLine="720"/>
        <w:jc w:val="both"/>
        <w:divId w:val="57632046"/>
        <w:rPr>
          <w:rFonts w:eastAsia="Times New Roman"/>
        </w:rPr>
      </w:pPr>
      <w:r>
        <w:rPr>
          <w:rFonts w:eastAsia="Times New Roman"/>
          <w:color w:val="000000"/>
          <w:sz w:val="20"/>
          <w:szCs w:val="20"/>
        </w:rPr>
        <w:t>The holders of o</w:t>
      </w:r>
      <w:r>
        <w:rPr>
          <w:rFonts w:eastAsia="Times New Roman"/>
          <w:color w:val="000000"/>
          <w:sz w:val="20"/>
          <w:szCs w:val="20"/>
        </w:rPr>
        <w:t>ur Preferred Shares have general preference rights with respect to liquidation, quarterly distributions, and any accumulated unpaid distributions. Except as noted below, holders of the Preferred Shares do not have voting rights. In the event of a cumulativ</w:t>
      </w:r>
      <w:r>
        <w:rPr>
          <w:rFonts w:eastAsia="Times New Roman"/>
          <w:color w:val="000000"/>
          <w:sz w:val="20"/>
          <w:szCs w:val="20"/>
        </w:rPr>
        <w:t>e arrearage equal to six quarterly dividends, holders of all outstanding series of preferred shares (voting as a single class without regard to series) will have the right to elect two additional members to serve on our Board of Trustees (our “Board”) unti</w:t>
      </w:r>
      <w:r>
        <w:rPr>
          <w:rFonts w:eastAsia="Times New Roman"/>
          <w:color w:val="000000"/>
          <w:sz w:val="20"/>
          <w:szCs w:val="20"/>
        </w:rPr>
        <w:t>l the arrearage has been cured. At December 31, 2022, there were no dividends in arrears. The affirmative vote of at least 66.67% of the outstanding shares of a series of Preferred Shares is required for any material and adverse amendment to the terms of s</w:t>
      </w:r>
      <w:r>
        <w:rPr>
          <w:rFonts w:eastAsia="Times New Roman"/>
          <w:color w:val="000000"/>
          <w:sz w:val="20"/>
          <w:szCs w:val="20"/>
        </w:rPr>
        <w:t>uch series. The affirmative vote of at least 66.67% of the outstanding shares of all of our Preferred Shares, voting as a single class, is required to issue shares ranking senior to our Preferred Shares.</w:t>
      </w:r>
    </w:p>
    <w:p w:rsidR="00000000" w:rsidRDefault="00473C5F">
      <w:pPr>
        <w:ind w:firstLine="720"/>
        <w:jc w:val="both"/>
        <w:divId w:val="1271085781"/>
        <w:rPr>
          <w:rFonts w:eastAsia="Times New Roman"/>
        </w:rPr>
      </w:pPr>
      <w:r>
        <w:rPr>
          <w:rFonts w:eastAsia="Times New Roman"/>
          <w:color w:val="000000"/>
          <w:sz w:val="20"/>
          <w:szCs w:val="20"/>
        </w:rPr>
        <w:t>Except under certain conditions relating to the Comp</w:t>
      </w:r>
      <w:r>
        <w:rPr>
          <w:rFonts w:eastAsia="Times New Roman"/>
          <w:color w:val="000000"/>
          <w:sz w:val="20"/>
          <w:szCs w:val="20"/>
        </w:rPr>
        <w:t>any’s qualification as a REIT, the Preferred Shares are not redeemable prior to the dates indicated on the table above. On or after the respective dates, each of the series of Preferred Shares is redeemable at our option, in whole or in part, at $25.00 per</w:t>
      </w:r>
      <w:r>
        <w:rPr>
          <w:rFonts w:eastAsia="Times New Roman"/>
          <w:color w:val="000000"/>
          <w:sz w:val="20"/>
          <w:szCs w:val="20"/>
        </w:rPr>
        <w:t xml:space="preserve"> depositary share, plus accrued and unpaid dividends. Holders of the Preferred Shares cannot require us to redeem such shares.</w:t>
      </w:r>
    </w:p>
    <w:p w:rsidR="00000000" w:rsidRDefault="00473C5F">
      <w:pPr>
        <w:jc w:val="center"/>
        <w:divId w:val="240139548"/>
        <w:rPr>
          <w:rFonts w:eastAsia="Times New Roman"/>
        </w:rPr>
      </w:pPr>
      <w:r>
        <w:rPr>
          <w:rFonts w:eastAsia="Times New Roman"/>
          <w:color w:val="000000"/>
          <w:sz w:val="20"/>
          <w:szCs w:val="20"/>
        </w:rPr>
        <w:t>F-22</w:t>
      </w:r>
    </w:p>
    <w:p w:rsidR="00000000" w:rsidRDefault="00473C5F">
      <w:pPr>
        <w:rPr>
          <w:rFonts w:eastAsia="Times New Roman"/>
        </w:rPr>
      </w:pPr>
      <w:r>
        <w:rPr>
          <w:rFonts w:eastAsia="Times New Roman"/>
        </w:rPr>
        <w:pict>
          <v:rect id="_x0000_i1112" style="width:0;height:1.5pt" o:hralign="center" o:hrstd="t" o:hr="t" fillcolor="#a0a0a0" stroked="f"/>
        </w:pict>
      </w:r>
    </w:p>
    <w:p w:rsidR="00000000" w:rsidRDefault="00473C5F">
      <w:pPr>
        <w:jc w:val="center"/>
        <w:divId w:val="1881631156"/>
        <w:rPr>
          <w:rFonts w:eastAsia="Times New Roman"/>
        </w:rPr>
      </w:pPr>
    </w:p>
    <w:p w:rsidR="00000000" w:rsidRDefault="00473C5F">
      <w:pPr>
        <w:jc w:val="center"/>
        <w:divId w:val="1881631156"/>
        <w:rPr>
          <w:rFonts w:eastAsia="Times New Roman"/>
        </w:rPr>
      </w:pPr>
      <w:r>
        <w:rPr>
          <w:rFonts w:eastAsia="Times New Roman"/>
          <w:b/>
          <w:bCs/>
          <w:color w:val="000000"/>
          <w:sz w:val="20"/>
          <w:szCs w:val="20"/>
        </w:rPr>
        <w:t>PUBLIC STORAGE</w:t>
      </w:r>
    </w:p>
    <w:p w:rsidR="00000000" w:rsidRDefault="00473C5F">
      <w:pPr>
        <w:jc w:val="center"/>
        <w:divId w:val="1881631156"/>
        <w:rPr>
          <w:rFonts w:eastAsia="Times New Roman"/>
        </w:rPr>
      </w:pPr>
      <w:r>
        <w:rPr>
          <w:rFonts w:eastAsia="Times New Roman"/>
          <w:b/>
          <w:bCs/>
          <w:color w:val="000000"/>
          <w:sz w:val="20"/>
          <w:szCs w:val="20"/>
        </w:rPr>
        <w:t>NOTES TO CONSOLIDATED FINANCIAL STATEMENTS</w:t>
      </w:r>
    </w:p>
    <w:p w:rsidR="00000000" w:rsidRDefault="00473C5F">
      <w:pPr>
        <w:jc w:val="center"/>
        <w:divId w:val="1881631156"/>
        <w:rPr>
          <w:rFonts w:eastAsia="Times New Roman"/>
        </w:rPr>
      </w:pPr>
      <w:r>
        <w:rPr>
          <w:rFonts w:eastAsia="Times New Roman"/>
          <w:b/>
          <w:bCs/>
          <w:color w:val="000000"/>
          <w:sz w:val="20"/>
          <w:szCs w:val="20"/>
        </w:rPr>
        <w:t>December 31, 2022</w:t>
      </w:r>
    </w:p>
    <w:p w:rsidR="00000000" w:rsidRDefault="00473C5F">
      <w:pPr>
        <w:jc w:val="center"/>
        <w:divId w:val="1881631156"/>
        <w:rPr>
          <w:rFonts w:eastAsia="Times New Roman"/>
        </w:rPr>
      </w:pPr>
    </w:p>
    <w:p w:rsidR="00000000" w:rsidRDefault="00473C5F">
      <w:pPr>
        <w:ind w:firstLine="720"/>
        <w:jc w:val="both"/>
        <w:divId w:val="1324745865"/>
        <w:rPr>
          <w:rFonts w:eastAsia="Times New Roman"/>
        </w:rPr>
      </w:pPr>
      <w:r>
        <w:rPr>
          <w:rFonts w:eastAsia="Times New Roman"/>
          <w:color w:val="000000"/>
          <w:sz w:val="20"/>
          <w:szCs w:val="20"/>
        </w:rPr>
        <w:t>Upon issuance of our Preferred Shares, we classify the liquidation value as preferred equity on our consolidated balance sheet with any issuance costs recorded as a reduction to Paid-in capital.</w:t>
      </w:r>
    </w:p>
    <w:p w:rsidR="00000000" w:rsidRDefault="00473C5F">
      <w:pPr>
        <w:ind w:firstLine="720"/>
        <w:jc w:val="both"/>
        <w:divId w:val="1996103451"/>
        <w:rPr>
          <w:rFonts w:eastAsia="Times New Roman"/>
        </w:rPr>
      </w:pPr>
      <w:r>
        <w:rPr>
          <w:rFonts w:eastAsia="Times New Roman"/>
          <w:color w:val="000000"/>
          <w:sz w:val="20"/>
          <w:szCs w:val="20"/>
        </w:rPr>
        <w:t>During 2022, 2021, and 2020, we issued the following series o</w:t>
      </w:r>
      <w:r>
        <w:rPr>
          <w:rFonts w:eastAsia="Times New Roman"/>
          <w:color w:val="000000"/>
          <w:sz w:val="20"/>
          <w:szCs w:val="20"/>
        </w:rPr>
        <w:t>f Preferred Shares at an issuance price of $25.00 per depository share with each depository share representing 0.001 of a share of Preferred Share (amounts in thousands):</w:t>
      </w:r>
    </w:p>
    <w:tbl>
      <w:tblPr>
        <w:tblW w:w="3969" w:type="pct"/>
        <w:jc w:val="center"/>
        <w:tblCellMar>
          <w:top w:w="15" w:type="dxa"/>
          <w:left w:w="15" w:type="dxa"/>
          <w:bottom w:w="15" w:type="dxa"/>
          <w:right w:w="15" w:type="dxa"/>
        </w:tblCellMar>
        <w:tblLook w:val="04A0" w:firstRow="1" w:lastRow="0" w:firstColumn="1" w:lastColumn="0" w:noHBand="0" w:noVBand="1"/>
      </w:tblPr>
      <w:tblGrid>
        <w:gridCol w:w="37"/>
        <w:gridCol w:w="1082"/>
        <w:gridCol w:w="36"/>
        <w:gridCol w:w="36"/>
        <w:gridCol w:w="36"/>
        <w:gridCol w:w="36"/>
        <w:gridCol w:w="37"/>
        <w:gridCol w:w="1053"/>
        <w:gridCol w:w="36"/>
        <w:gridCol w:w="36"/>
        <w:gridCol w:w="36"/>
        <w:gridCol w:w="36"/>
        <w:gridCol w:w="38"/>
        <w:gridCol w:w="1054"/>
        <w:gridCol w:w="36"/>
        <w:gridCol w:w="36"/>
        <w:gridCol w:w="36"/>
        <w:gridCol w:w="36"/>
        <w:gridCol w:w="121"/>
        <w:gridCol w:w="1068"/>
        <w:gridCol w:w="36"/>
        <w:gridCol w:w="36"/>
        <w:gridCol w:w="36"/>
        <w:gridCol w:w="36"/>
        <w:gridCol w:w="121"/>
        <w:gridCol w:w="1370"/>
        <w:gridCol w:w="36"/>
      </w:tblGrid>
      <w:tr w:rsidR="00000000">
        <w:trPr>
          <w:divId w:val="177548961"/>
          <w:jc w:val="center"/>
        </w:trPr>
        <w:tc>
          <w:tcPr>
            <w:tcW w:w="50" w:type="pct"/>
            <w:vAlign w:val="center"/>
            <w:hideMark/>
          </w:tcPr>
          <w:p w:rsidR="00000000" w:rsidRDefault="00473C5F">
            <w:pPr>
              <w:ind w:firstLine="720"/>
              <w:jc w:val="both"/>
              <w:rPr>
                <w:rFonts w:eastAsia="Times New Roman"/>
              </w:rPr>
            </w:pPr>
          </w:p>
        </w:tc>
        <w:tc>
          <w:tcPr>
            <w:tcW w:w="86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3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86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3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86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3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86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3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09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77548961"/>
          <w:jc w:val="center"/>
        </w:trPr>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Series</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Shares</w:t>
            </w:r>
          </w:p>
        </w:tc>
        <w:tc>
          <w:tcPr>
            <w:tcW w:w="0" w:type="auto"/>
            <w:gridSpan w:val="3"/>
            <w:shd w:val="clear" w:color="auto" w:fill="FFFFFF"/>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Gross Proceeds</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Issuance Costs</w:t>
            </w:r>
          </w:p>
        </w:tc>
      </w:tr>
      <w:tr w:rsidR="00000000">
        <w:trPr>
          <w:divId w:val="17754896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250,000 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7,168 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77548961"/>
          <w:jc w:val="center"/>
        </w:trPr>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P, Q and R</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47,300 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1,182,500 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35,045 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77548961"/>
          <w:jc w:val="center"/>
        </w:trPr>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L, M, N and O</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49,900 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1,247,500 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39,294 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ind w:firstLine="720"/>
        <w:jc w:val="both"/>
        <w:divId w:val="2087997412"/>
        <w:rPr>
          <w:rFonts w:eastAsia="Times New Roman"/>
        </w:rPr>
      </w:pPr>
      <w:r>
        <w:rPr>
          <w:rFonts w:eastAsia="Times New Roman"/>
          <w:color w:val="000000"/>
          <w:sz w:val="20"/>
          <w:szCs w:val="20"/>
        </w:rPr>
        <w:t>During 2021 and 2020, we redeemed the following series of Preferred Shares at par (none in 2022) (amounts in thousands):</w:t>
      </w:r>
    </w:p>
    <w:tbl>
      <w:tblPr>
        <w:tblW w:w="3977" w:type="pct"/>
        <w:jc w:val="center"/>
        <w:tblCellMar>
          <w:top w:w="15" w:type="dxa"/>
          <w:left w:w="15" w:type="dxa"/>
          <w:bottom w:w="15" w:type="dxa"/>
          <w:right w:w="15" w:type="dxa"/>
        </w:tblCellMar>
        <w:tblLook w:val="04A0" w:firstRow="1" w:lastRow="0" w:firstColumn="1" w:lastColumn="0" w:noHBand="0" w:noVBand="1"/>
      </w:tblPr>
      <w:tblGrid>
        <w:gridCol w:w="37"/>
        <w:gridCol w:w="1364"/>
        <w:gridCol w:w="36"/>
        <w:gridCol w:w="36"/>
        <w:gridCol w:w="36"/>
        <w:gridCol w:w="36"/>
        <w:gridCol w:w="37"/>
        <w:gridCol w:w="1182"/>
        <w:gridCol w:w="36"/>
        <w:gridCol w:w="36"/>
        <w:gridCol w:w="36"/>
        <w:gridCol w:w="36"/>
        <w:gridCol w:w="121"/>
        <w:gridCol w:w="1299"/>
        <w:gridCol w:w="36"/>
        <w:gridCol w:w="36"/>
        <w:gridCol w:w="36"/>
        <w:gridCol w:w="36"/>
        <w:gridCol w:w="121"/>
        <w:gridCol w:w="1978"/>
        <w:gridCol w:w="36"/>
      </w:tblGrid>
      <w:tr w:rsidR="00000000">
        <w:trPr>
          <w:jc w:val="center"/>
        </w:trPr>
        <w:tc>
          <w:tcPr>
            <w:tcW w:w="50" w:type="pct"/>
            <w:vAlign w:val="center"/>
            <w:hideMark/>
          </w:tcPr>
          <w:p w:rsidR="00000000" w:rsidRDefault="00473C5F">
            <w:pPr>
              <w:ind w:firstLine="720"/>
              <w:jc w:val="both"/>
              <w:rPr>
                <w:rFonts w:eastAsia="Times New Roman"/>
              </w:rPr>
            </w:pPr>
          </w:p>
        </w:tc>
        <w:tc>
          <w:tcPr>
            <w:tcW w:w="107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3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96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3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04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3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155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jc w:val="center"/>
        </w:trPr>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Year</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Series</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Aggregate Redemption Amount</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Allocation of Income to Preferred Shares Holders in Connection with Redemption</w:t>
            </w: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 D and E</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875,000 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28,914 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2020 (a)</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V, W, X and B</w:t>
            </w: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1,520,000 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48,265 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ind w:hanging="360"/>
        <w:jc w:val="both"/>
        <w:divId w:val="876048934"/>
        <w:rPr>
          <w:rFonts w:eastAsia="Times New Roman"/>
        </w:rPr>
      </w:pPr>
      <w:r>
        <w:rPr>
          <w:rFonts w:eastAsia="Times New Roman"/>
          <w:color w:val="000000"/>
          <w:sz w:val="20"/>
          <w:szCs w:val="20"/>
        </w:rPr>
        <w:t>(a)</w:t>
      </w:r>
      <w:r>
        <w:rPr>
          <w:rFonts w:eastAsia="Times New Roman"/>
          <w:color w:val="000000"/>
          <w:sz w:val="20"/>
          <w:szCs w:val="20"/>
        </w:rPr>
        <w:t>On December 14, 2020, we called for redemption of, and on January 20, 2021, we redeemed Series B Preferred Shares. The liquidation value (at par) was reclassified as a liability as of December 31, 2020 and we recorded allocation of income to the holders of</w:t>
      </w:r>
      <w:r>
        <w:rPr>
          <w:rFonts w:eastAsia="Times New Roman"/>
          <w:color w:val="000000"/>
          <w:sz w:val="20"/>
          <w:szCs w:val="20"/>
        </w:rPr>
        <w:t xml:space="preserve"> our Preferred Shares in 2020 in connection with this redemption.</w:t>
      </w:r>
    </w:p>
    <w:p w:rsidR="00000000" w:rsidRDefault="00473C5F">
      <w:pPr>
        <w:jc w:val="both"/>
        <w:divId w:val="859469631"/>
        <w:rPr>
          <w:rFonts w:eastAsia="Times New Roman"/>
        </w:rPr>
      </w:pPr>
      <w:r>
        <w:rPr>
          <w:rFonts w:eastAsia="Times New Roman"/>
          <w:color w:val="000000"/>
          <w:sz w:val="20"/>
          <w:szCs w:val="20"/>
          <w:u w:val="single"/>
        </w:rPr>
        <w:t>Common Shares</w:t>
      </w:r>
    </w:p>
    <w:p w:rsidR="00000000" w:rsidRDefault="00473C5F">
      <w:pPr>
        <w:ind w:firstLine="720"/>
        <w:jc w:val="both"/>
        <w:divId w:val="1391032504"/>
        <w:rPr>
          <w:rFonts w:eastAsia="Times New Roman"/>
        </w:rPr>
      </w:pPr>
      <w:r>
        <w:rPr>
          <w:rFonts w:eastAsia="Times New Roman"/>
          <w:color w:val="000000"/>
          <w:sz w:val="20"/>
          <w:szCs w:val="20"/>
        </w:rPr>
        <w:t>During 2022, 2021, and 2020, activity with respect to the issuance of our common shares was as follows (dollar amounts in thousands):</w:t>
      </w:r>
    </w:p>
    <w:tbl>
      <w:tblPr>
        <w:tblW w:w="4878" w:type="pct"/>
        <w:jc w:val="center"/>
        <w:tblCellMar>
          <w:top w:w="15" w:type="dxa"/>
          <w:left w:w="15" w:type="dxa"/>
          <w:bottom w:w="15" w:type="dxa"/>
          <w:right w:w="15" w:type="dxa"/>
        </w:tblCellMar>
        <w:tblLook w:val="04A0" w:firstRow="1" w:lastRow="0" w:firstColumn="1" w:lastColumn="0" w:noHBand="0" w:noVBand="1"/>
      </w:tblPr>
      <w:tblGrid>
        <w:gridCol w:w="44"/>
        <w:gridCol w:w="2909"/>
        <w:gridCol w:w="36"/>
        <w:gridCol w:w="75"/>
        <w:gridCol w:w="645"/>
        <w:gridCol w:w="36"/>
        <w:gridCol w:w="36"/>
        <w:gridCol w:w="36"/>
        <w:gridCol w:w="36"/>
        <w:gridCol w:w="120"/>
        <w:gridCol w:w="628"/>
        <w:gridCol w:w="36"/>
        <w:gridCol w:w="36"/>
        <w:gridCol w:w="36"/>
        <w:gridCol w:w="36"/>
        <w:gridCol w:w="75"/>
        <w:gridCol w:w="645"/>
        <w:gridCol w:w="36"/>
        <w:gridCol w:w="36"/>
        <w:gridCol w:w="36"/>
        <w:gridCol w:w="36"/>
        <w:gridCol w:w="120"/>
        <w:gridCol w:w="605"/>
        <w:gridCol w:w="36"/>
        <w:gridCol w:w="36"/>
        <w:gridCol w:w="36"/>
        <w:gridCol w:w="36"/>
        <w:gridCol w:w="75"/>
        <w:gridCol w:w="645"/>
        <w:gridCol w:w="36"/>
        <w:gridCol w:w="36"/>
        <w:gridCol w:w="36"/>
        <w:gridCol w:w="36"/>
        <w:gridCol w:w="120"/>
        <w:gridCol w:w="605"/>
        <w:gridCol w:w="36"/>
      </w:tblGrid>
      <w:tr w:rsidR="00000000">
        <w:trPr>
          <w:divId w:val="874199108"/>
          <w:jc w:val="center"/>
        </w:trPr>
        <w:tc>
          <w:tcPr>
            <w:tcW w:w="50" w:type="pct"/>
            <w:vAlign w:val="center"/>
            <w:hideMark/>
          </w:tcPr>
          <w:p w:rsidR="00000000" w:rsidRDefault="00473C5F">
            <w:pPr>
              <w:ind w:firstLine="720"/>
              <w:jc w:val="both"/>
              <w:rPr>
                <w:rFonts w:eastAsia="Times New Roman"/>
              </w:rPr>
            </w:pPr>
          </w:p>
        </w:tc>
        <w:tc>
          <w:tcPr>
            <w:tcW w:w="181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3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3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3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3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3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34"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874199108"/>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2020</w:t>
            </w:r>
          </w:p>
        </w:tc>
      </w:tr>
      <w:tr w:rsidR="00000000">
        <w:trPr>
          <w:divId w:val="874199108"/>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Amount</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Amount</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Amount</w:t>
            </w:r>
          </w:p>
        </w:tc>
      </w:tr>
      <w:tr w:rsidR="00000000">
        <w:trPr>
          <w:divId w:val="874199108"/>
          <w:jc w:val="center"/>
        </w:trPr>
        <w:tc>
          <w:tcPr>
            <w:tcW w:w="0" w:type="auto"/>
            <w:gridSpan w:val="3"/>
            <w:tcMar>
              <w:top w:w="30" w:type="dxa"/>
              <w:left w:w="20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20"/>
                <w:szCs w:val="20"/>
              </w:rPr>
              <w:t>Employee stock-based compensation and exercise of stock options (Note 11)</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283,190 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35,405 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552,713 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95,860 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163,127 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12,664 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ind w:firstLine="720"/>
        <w:jc w:val="both"/>
        <w:divId w:val="487018517"/>
        <w:rPr>
          <w:rFonts w:eastAsia="Times New Roman"/>
        </w:rPr>
      </w:pPr>
      <w:r>
        <w:rPr>
          <w:rFonts w:eastAsia="Times New Roman"/>
          <w:color w:val="000000"/>
          <w:sz w:val="20"/>
          <w:szCs w:val="20"/>
        </w:rPr>
        <w:t xml:space="preserve">Our Board previously authorized the repurchase from time to time of up to 35.0 million of our common shares on the open market or in privately negotiated transactions. Through December 31, 2022, we repurchased approximately 23.7 million shares pursuant to </w:t>
      </w:r>
      <w:r>
        <w:rPr>
          <w:rFonts w:eastAsia="Times New Roman"/>
          <w:color w:val="000000"/>
          <w:sz w:val="20"/>
          <w:szCs w:val="20"/>
        </w:rPr>
        <w:t>this authorization; none of which were repurchased during the three years ended December 31, 2022.</w:t>
      </w:r>
    </w:p>
    <w:p w:rsidR="00000000" w:rsidRDefault="00473C5F">
      <w:pPr>
        <w:ind w:firstLine="720"/>
        <w:jc w:val="both"/>
        <w:divId w:val="1585262835"/>
        <w:rPr>
          <w:rFonts w:eastAsia="Times New Roman"/>
        </w:rPr>
      </w:pPr>
      <w:r>
        <w:rPr>
          <w:rFonts w:eastAsia="Times New Roman"/>
          <w:color w:val="000000"/>
          <w:sz w:val="20"/>
          <w:szCs w:val="20"/>
        </w:rPr>
        <w:t>The unaudited characterization of dividends for U.S. federal corporate income tax purposes is made based upon earnings and profits of the Company, as defined</w:t>
      </w:r>
      <w:r>
        <w:rPr>
          <w:rFonts w:eastAsia="Times New Roman"/>
          <w:color w:val="000000"/>
          <w:sz w:val="20"/>
          <w:szCs w:val="20"/>
        </w:rPr>
        <w:t xml:space="preserve"> by the Code. Common share dividends paid, including amounts paid to our restricted share unitholders, totaled $3.714 billion ($21.15 per share), $1.402 billion ($8.00 per share), and $1.399 billion ($8.00 per share) for the years ended December 31, 2022, </w:t>
      </w:r>
      <w:r>
        <w:rPr>
          <w:rFonts w:eastAsia="Times New Roman"/>
          <w:color w:val="000000"/>
          <w:sz w:val="20"/>
          <w:szCs w:val="20"/>
        </w:rPr>
        <w:t xml:space="preserve">2021, and 2020, respectively. Included in common share dividends paid during 2022 is $2.3 billion of a special cash dividend (“Special Dividend”) of $13.15 per common share paid on August 4, 2022 in connection with the sale of our equity investment in PSB </w:t>
      </w:r>
      <w:r>
        <w:rPr>
          <w:rFonts w:eastAsia="Times New Roman"/>
          <w:color w:val="000000"/>
          <w:sz w:val="20"/>
          <w:szCs w:val="20"/>
        </w:rPr>
        <w:t>on July 20, 2022. Preferred share dividends totaled $194.4 million, $186.6 million and $207.1 million for the years ended December 31, 2022, 2021, and 2020, respectively.</w:t>
      </w:r>
    </w:p>
    <w:p w:rsidR="00000000" w:rsidRDefault="00473C5F">
      <w:pPr>
        <w:ind w:firstLine="720"/>
        <w:jc w:val="both"/>
        <w:divId w:val="1716081097"/>
        <w:rPr>
          <w:rFonts w:eastAsia="Times New Roman"/>
        </w:rPr>
      </w:pPr>
      <w:r>
        <w:rPr>
          <w:rFonts w:eastAsia="Times New Roman"/>
          <w:color w:val="000000"/>
          <w:sz w:val="20"/>
          <w:szCs w:val="20"/>
        </w:rPr>
        <w:t>For the tax year ended December 31, 2022, distributions for the common shares and all</w:t>
      </w:r>
      <w:r>
        <w:rPr>
          <w:rFonts w:eastAsia="Times New Roman"/>
          <w:color w:val="000000"/>
          <w:sz w:val="20"/>
          <w:szCs w:val="20"/>
        </w:rPr>
        <w:t xml:space="preserve"> the various series of preferred shares were classified as follows:</w:t>
      </w:r>
    </w:p>
    <w:p w:rsidR="00000000" w:rsidRDefault="00473C5F">
      <w:pPr>
        <w:jc w:val="center"/>
        <w:divId w:val="907500511"/>
        <w:rPr>
          <w:rFonts w:eastAsia="Times New Roman"/>
        </w:rPr>
      </w:pPr>
      <w:r>
        <w:rPr>
          <w:rFonts w:eastAsia="Times New Roman"/>
          <w:color w:val="000000"/>
          <w:sz w:val="20"/>
          <w:szCs w:val="20"/>
        </w:rPr>
        <w:t>F-23</w:t>
      </w:r>
    </w:p>
    <w:p w:rsidR="00000000" w:rsidRDefault="00473C5F">
      <w:pPr>
        <w:rPr>
          <w:rFonts w:eastAsia="Times New Roman"/>
        </w:rPr>
      </w:pPr>
      <w:r>
        <w:rPr>
          <w:rFonts w:eastAsia="Times New Roman"/>
        </w:rPr>
        <w:pict>
          <v:rect id="_x0000_i1113" style="width:0;height:1.5pt" o:hralign="center" o:hrstd="t" o:hr="t" fillcolor="#a0a0a0" stroked="f"/>
        </w:pict>
      </w:r>
    </w:p>
    <w:p w:rsidR="00000000" w:rsidRDefault="00473C5F">
      <w:pPr>
        <w:jc w:val="center"/>
        <w:divId w:val="1471284281"/>
        <w:rPr>
          <w:rFonts w:eastAsia="Times New Roman"/>
        </w:rPr>
      </w:pPr>
    </w:p>
    <w:p w:rsidR="00000000" w:rsidRDefault="00473C5F">
      <w:pPr>
        <w:jc w:val="center"/>
        <w:divId w:val="1471284281"/>
        <w:rPr>
          <w:rFonts w:eastAsia="Times New Roman"/>
        </w:rPr>
      </w:pPr>
      <w:r>
        <w:rPr>
          <w:rFonts w:eastAsia="Times New Roman"/>
          <w:b/>
          <w:bCs/>
          <w:color w:val="000000"/>
          <w:sz w:val="20"/>
          <w:szCs w:val="20"/>
        </w:rPr>
        <w:t>PUBLIC STORAGE</w:t>
      </w:r>
    </w:p>
    <w:p w:rsidR="00000000" w:rsidRDefault="00473C5F">
      <w:pPr>
        <w:jc w:val="center"/>
        <w:divId w:val="1471284281"/>
        <w:rPr>
          <w:rFonts w:eastAsia="Times New Roman"/>
        </w:rPr>
      </w:pPr>
      <w:r>
        <w:rPr>
          <w:rFonts w:eastAsia="Times New Roman"/>
          <w:b/>
          <w:bCs/>
          <w:color w:val="000000"/>
          <w:sz w:val="20"/>
          <w:szCs w:val="20"/>
        </w:rPr>
        <w:t>NOTES TO CONSOLIDATED FINANCIAL STATEMENTS</w:t>
      </w:r>
    </w:p>
    <w:p w:rsidR="00000000" w:rsidRDefault="00473C5F">
      <w:pPr>
        <w:jc w:val="center"/>
        <w:divId w:val="1471284281"/>
        <w:rPr>
          <w:rFonts w:eastAsia="Times New Roman"/>
        </w:rPr>
      </w:pPr>
      <w:r>
        <w:rPr>
          <w:rFonts w:eastAsia="Times New Roman"/>
          <w:b/>
          <w:bCs/>
          <w:color w:val="000000"/>
          <w:sz w:val="20"/>
          <w:szCs w:val="20"/>
        </w:rPr>
        <w:t>December 31, 2022</w:t>
      </w:r>
    </w:p>
    <w:p w:rsidR="00000000" w:rsidRDefault="00473C5F">
      <w:pPr>
        <w:jc w:val="center"/>
        <w:divId w:val="147128428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324"/>
        <w:gridCol w:w="37"/>
        <w:gridCol w:w="49"/>
        <w:gridCol w:w="897"/>
        <w:gridCol w:w="187"/>
        <w:gridCol w:w="36"/>
        <w:gridCol w:w="36"/>
        <w:gridCol w:w="36"/>
        <w:gridCol w:w="49"/>
        <w:gridCol w:w="829"/>
        <w:gridCol w:w="187"/>
        <w:gridCol w:w="36"/>
        <w:gridCol w:w="36"/>
        <w:gridCol w:w="36"/>
        <w:gridCol w:w="57"/>
        <w:gridCol w:w="823"/>
        <w:gridCol w:w="187"/>
        <w:gridCol w:w="36"/>
        <w:gridCol w:w="36"/>
        <w:gridCol w:w="36"/>
        <w:gridCol w:w="49"/>
        <w:gridCol w:w="899"/>
        <w:gridCol w:w="187"/>
        <w:gridCol w:w="36"/>
        <w:gridCol w:w="36"/>
        <w:gridCol w:w="36"/>
        <w:gridCol w:w="49"/>
        <w:gridCol w:w="832"/>
        <w:gridCol w:w="187"/>
      </w:tblGrid>
      <w:tr w:rsidR="00000000">
        <w:trPr>
          <w:divId w:val="2072847892"/>
          <w:jc w:val="center"/>
        </w:trPr>
        <w:tc>
          <w:tcPr>
            <w:tcW w:w="50" w:type="pct"/>
            <w:vAlign w:val="center"/>
            <w:hideMark/>
          </w:tcPr>
          <w:p w:rsidR="00000000" w:rsidRDefault="00473C5F">
            <w:pPr>
              <w:jc w:val="center"/>
              <w:rPr>
                <w:rFonts w:eastAsia="Times New Roman"/>
              </w:rPr>
            </w:pPr>
          </w:p>
        </w:tc>
        <w:tc>
          <w:tcPr>
            <w:tcW w:w="146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2072847892"/>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 (unaudited)</w:t>
            </w:r>
          </w:p>
        </w:tc>
      </w:tr>
      <w:tr w:rsidR="00000000">
        <w:trPr>
          <w:divId w:val="2072847892"/>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1st Quarter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2nd Quarter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8/4/2022 Special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3rd Quarter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4th Quarter</w:t>
            </w:r>
          </w:p>
        </w:tc>
      </w:tr>
      <w:tr w:rsidR="00000000">
        <w:trPr>
          <w:divId w:val="2072847892"/>
          <w:jc w:val="center"/>
        </w:trPr>
        <w:tc>
          <w:tcPr>
            <w:tcW w:w="0" w:type="auto"/>
            <w:gridSpan w:val="3"/>
            <w:tcMar>
              <w:top w:w="30" w:type="dxa"/>
              <w:left w:w="29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Ordinary Dividends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29.61 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29.61 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39.66 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divId w:val="2072847892"/>
          <w:jc w:val="center"/>
        </w:trPr>
        <w:tc>
          <w:tcPr>
            <w:tcW w:w="0" w:type="auto"/>
            <w:gridSpan w:val="3"/>
            <w:tcMar>
              <w:top w:w="30" w:type="dxa"/>
              <w:left w:w="29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Capital Gain Distributions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70.39 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70.39 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60.34 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r w:rsidR="00000000">
        <w:trPr>
          <w:divId w:val="2072847892"/>
          <w:jc w:val="center"/>
        </w:trPr>
        <w:tc>
          <w:tcPr>
            <w:tcW w:w="0" w:type="auto"/>
            <w:gridSpan w:val="3"/>
            <w:tcMar>
              <w:top w:w="30" w:type="dxa"/>
              <w:left w:w="29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20"/>
                <w:szCs w:val="20"/>
              </w:rPr>
              <w:t>%</w:t>
            </w:r>
          </w:p>
        </w:tc>
      </w:tr>
    </w:tbl>
    <w:p w:rsidR="00000000" w:rsidRDefault="00473C5F">
      <w:pPr>
        <w:ind w:firstLine="720"/>
        <w:jc w:val="both"/>
        <w:divId w:val="1756826728"/>
        <w:rPr>
          <w:rFonts w:eastAsia="Times New Roman"/>
        </w:rPr>
      </w:pPr>
      <w:r>
        <w:rPr>
          <w:rFonts w:eastAsia="Times New Roman"/>
          <w:color w:val="000000"/>
          <w:sz w:val="20"/>
          <w:szCs w:val="20"/>
        </w:rPr>
        <w:t>The ordinary income dividends</w:t>
      </w:r>
      <w:r>
        <w:rPr>
          <w:rFonts w:eastAsia="Times New Roman"/>
          <w:color w:val="000000"/>
          <w:sz w:val="20"/>
          <w:szCs w:val="20"/>
        </w:rPr>
        <w:t xml:space="preserve"> distributed for the tax year ended December 31, 2022 are not qualified dividends under the Internal Revenue Code; however, they are subject to the 20% deduction under IRS Section 199A.</w:t>
      </w:r>
    </w:p>
    <w:p w:rsidR="00000000" w:rsidRDefault="00473C5F">
      <w:pPr>
        <w:ind w:hanging="360"/>
        <w:jc w:val="both"/>
        <w:divId w:val="101074821"/>
        <w:rPr>
          <w:rFonts w:eastAsia="Times New Roman"/>
        </w:rPr>
      </w:pPr>
      <w:r>
        <w:rPr>
          <w:rFonts w:eastAsia="Times New Roman"/>
          <w:color w:val="000000"/>
          <w:sz w:val="20"/>
          <w:szCs w:val="20"/>
        </w:rPr>
        <w:t>10.</w:t>
      </w:r>
      <w:r>
        <w:rPr>
          <w:rFonts w:eastAsia="Times New Roman"/>
          <w:color w:val="000000"/>
          <w:sz w:val="20"/>
          <w:szCs w:val="20"/>
          <w:u w:val="single"/>
        </w:rPr>
        <w:t>Related Party Transactions</w:t>
      </w:r>
    </w:p>
    <w:p w:rsidR="00000000" w:rsidRDefault="00473C5F">
      <w:pPr>
        <w:ind w:firstLine="720"/>
        <w:jc w:val="both"/>
        <w:divId w:val="1209417975"/>
        <w:rPr>
          <w:rFonts w:eastAsia="Times New Roman"/>
        </w:rPr>
      </w:pPr>
      <w:r>
        <w:rPr>
          <w:rFonts w:eastAsia="Times New Roman"/>
          <w:color w:val="000000"/>
          <w:sz w:val="20"/>
          <w:szCs w:val="20"/>
        </w:rPr>
        <w:t>At December </w:t>
      </w:r>
      <w:r>
        <w:rPr>
          <w:rFonts w:eastAsia="Times New Roman"/>
          <w:color w:val="000000"/>
          <w:sz w:val="20"/>
          <w:szCs w:val="20"/>
        </w:rPr>
        <w:t>31, 2022, Tamara Hughes Gustavson, a current member of our Board, held less than a 0.1% equity interest in, and is a manager of, a limited liability company that owns 65 self-storage facilities in Canada. Two of Ms. Gustavson’s adult children owned the rem</w:t>
      </w:r>
      <w:r>
        <w:rPr>
          <w:rFonts w:eastAsia="Times New Roman"/>
          <w:color w:val="000000"/>
          <w:sz w:val="20"/>
          <w:szCs w:val="20"/>
        </w:rPr>
        <w:t>aining equity interest in the limited liability company. These facilities operate under the Public Storage® tradename, which we license to the owners of these facilities for use in Canada on a royalty-free, non-exclusive basis. We have no ownership interes</w:t>
      </w:r>
      <w:r>
        <w:rPr>
          <w:rFonts w:eastAsia="Times New Roman"/>
          <w:color w:val="000000"/>
          <w:sz w:val="20"/>
          <w:szCs w:val="20"/>
        </w:rPr>
        <w:t xml:space="preserve">t in these facilities and we do not own or operate any facilities in Canada. If we chose to acquire or develop our own facilities in Canada, we would have to share the use of the Public Storage® name in Canada. We have a right of first refusal, subject to </w:t>
      </w:r>
      <w:r>
        <w:rPr>
          <w:rFonts w:eastAsia="Times New Roman"/>
          <w:color w:val="000000"/>
          <w:sz w:val="20"/>
          <w:szCs w:val="20"/>
        </w:rPr>
        <w:t>limitations, to acquire the stock or assets of the corporation engaged in the operation of these facilities if their owners agree to sell them. Our subsidiaries reinsure risks relating to loss of goods stored by customers in these facilities, and have rece</w:t>
      </w:r>
      <w:r>
        <w:rPr>
          <w:rFonts w:eastAsia="Times New Roman"/>
          <w:color w:val="000000"/>
          <w:sz w:val="20"/>
          <w:szCs w:val="20"/>
        </w:rPr>
        <w:t>ived premium payments of approximately $2.2 million, $2.1 million and $1.6 million for 2022, 2021, and 2020, respectively.</w:t>
      </w:r>
    </w:p>
    <w:p w:rsidR="00000000" w:rsidRDefault="00473C5F">
      <w:pPr>
        <w:ind w:firstLine="720"/>
        <w:jc w:val="both"/>
        <w:divId w:val="1844978818"/>
        <w:rPr>
          <w:rFonts w:eastAsia="Times New Roman"/>
        </w:rPr>
      </w:pPr>
      <w:r>
        <w:rPr>
          <w:rFonts w:eastAsia="Times New Roman"/>
          <w:color w:val="000000"/>
          <w:sz w:val="20"/>
          <w:szCs w:val="20"/>
        </w:rPr>
        <w:t>On July 8, 2022, we acquired from PSB the commercial interests in five properties at three sites jointly occupied with certain of our</w:t>
      </w:r>
      <w:r>
        <w:rPr>
          <w:rFonts w:eastAsia="Times New Roman"/>
          <w:color w:val="000000"/>
          <w:sz w:val="20"/>
          <w:szCs w:val="20"/>
        </w:rPr>
        <w:t xml:space="preserve"> self-storage facilities located in Maryland and Virginia, for $47.3 million. We recognized $27.0 million of real estate assets and $0.7 million of intangibles for the properties acquired, representing the cost of these commercial properties that we did no</w:t>
      </w:r>
      <w:r>
        <w:rPr>
          <w:rFonts w:eastAsia="Times New Roman"/>
          <w:color w:val="000000"/>
          <w:sz w:val="20"/>
          <w:szCs w:val="20"/>
        </w:rPr>
        <w:t>t have interest in through our equity investment in PSB. We recognized the remaining $19.6 million as an increase in our basis in our equity investment in PSB, which represents the elimination of our portion of the gain recorded by PSB.</w:t>
      </w:r>
    </w:p>
    <w:p w:rsidR="00000000" w:rsidRDefault="00473C5F">
      <w:pPr>
        <w:ind w:hanging="360"/>
        <w:jc w:val="both"/>
        <w:divId w:val="726881255"/>
        <w:rPr>
          <w:rFonts w:eastAsia="Times New Roman"/>
        </w:rPr>
      </w:pPr>
      <w:r>
        <w:rPr>
          <w:rFonts w:eastAsia="Times New Roman"/>
          <w:color w:val="000000"/>
          <w:sz w:val="20"/>
          <w:szCs w:val="20"/>
        </w:rPr>
        <w:t>11.</w:t>
      </w:r>
      <w:r>
        <w:rPr>
          <w:rFonts w:eastAsia="Times New Roman"/>
          <w:color w:val="000000"/>
          <w:sz w:val="20"/>
          <w:szCs w:val="20"/>
          <w:u w:val="single"/>
        </w:rPr>
        <w:t>Share-Based Comp</w:t>
      </w:r>
      <w:r>
        <w:rPr>
          <w:rFonts w:eastAsia="Times New Roman"/>
          <w:color w:val="000000"/>
          <w:sz w:val="20"/>
          <w:szCs w:val="20"/>
          <w:u w:val="single"/>
        </w:rPr>
        <w:t>ensation</w:t>
      </w:r>
    </w:p>
    <w:p w:rsidR="00000000" w:rsidRDefault="00473C5F">
      <w:pPr>
        <w:ind w:firstLine="720"/>
        <w:jc w:val="both"/>
        <w:divId w:val="1719470257"/>
        <w:rPr>
          <w:rFonts w:eastAsia="Times New Roman"/>
        </w:rPr>
      </w:pPr>
      <w:r>
        <w:rPr>
          <w:rFonts w:eastAsia="Times New Roman"/>
          <w:color w:val="000000"/>
          <w:sz w:val="20"/>
          <w:szCs w:val="20"/>
        </w:rPr>
        <w:t>Under various share-based compensation plans and under terms established or modified by our Board or a committee thereof, we grant equity awards to trustees, officers, and key employees, including non-qualified options to purchase the Company’s co</w:t>
      </w:r>
      <w:r>
        <w:rPr>
          <w:rFonts w:eastAsia="Times New Roman"/>
          <w:color w:val="000000"/>
          <w:sz w:val="20"/>
          <w:szCs w:val="20"/>
        </w:rPr>
        <w:t>mmon shares, RSUs, deferred share units (“DSUs”), and unrestricted common shares issued in lieu of trustee compensation.</w:t>
      </w:r>
    </w:p>
    <w:p w:rsidR="00000000" w:rsidRDefault="00473C5F">
      <w:pPr>
        <w:ind w:firstLine="720"/>
        <w:jc w:val="both"/>
        <w:divId w:val="186911404"/>
        <w:rPr>
          <w:rFonts w:eastAsia="Times New Roman"/>
        </w:rPr>
      </w:pPr>
      <w:r>
        <w:rPr>
          <w:rFonts w:eastAsia="Times New Roman"/>
          <w:color w:val="000000"/>
          <w:sz w:val="20"/>
          <w:szCs w:val="20"/>
        </w:rPr>
        <w:t>On April 26, 2021, the Company’s Shareholders approved the 2021 Equity and Performance-Based Incentive Compensation Plan (“2021 Plan”),</w:t>
      </w:r>
      <w:r>
        <w:rPr>
          <w:rFonts w:eastAsia="Times New Roman"/>
          <w:color w:val="000000"/>
          <w:sz w:val="20"/>
          <w:szCs w:val="20"/>
        </w:rPr>
        <w:t xml:space="preserve"> which authorized an additional three million shares available for future issuance of equity-based awards. As of December 31, 2022, there were a total of 1,724,352 shares reserved for granting of future options and stock awards under the 2021 Plan.</w:t>
      </w:r>
    </w:p>
    <w:p w:rsidR="00000000" w:rsidRDefault="00473C5F">
      <w:pPr>
        <w:ind w:firstLine="720"/>
        <w:jc w:val="both"/>
        <w:divId w:val="1619677029"/>
        <w:rPr>
          <w:rFonts w:eastAsia="Times New Roman"/>
        </w:rPr>
      </w:pPr>
      <w:r>
        <w:rPr>
          <w:rFonts w:eastAsia="Times New Roman"/>
          <w:color w:val="000000"/>
          <w:sz w:val="20"/>
          <w:szCs w:val="20"/>
        </w:rPr>
        <w:t>We reco</w:t>
      </w:r>
      <w:r>
        <w:rPr>
          <w:rFonts w:eastAsia="Times New Roman"/>
          <w:color w:val="000000"/>
          <w:sz w:val="20"/>
          <w:szCs w:val="20"/>
        </w:rPr>
        <w:t>rded share-based compensation expense associated with our equity awards in the various expense categories in the Consolidated Statements of Income as set forth in the following table. In addition, $4.1 million and $3.9 million share-based compensation cost</w:t>
      </w:r>
      <w:r>
        <w:rPr>
          <w:rFonts w:eastAsia="Times New Roman"/>
          <w:color w:val="000000"/>
          <w:sz w:val="20"/>
          <w:szCs w:val="20"/>
        </w:rPr>
        <w:t xml:space="preserve"> was capitalized as real estate facilities for the year ended December 31, 2022 and 2021, respectively (none in 2020).</w:t>
      </w:r>
    </w:p>
    <w:p w:rsidR="00000000" w:rsidRDefault="00473C5F">
      <w:pPr>
        <w:jc w:val="center"/>
        <w:divId w:val="2107531350"/>
        <w:rPr>
          <w:rFonts w:eastAsia="Times New Roman"/>
        </w:rPr>
      </w:pPr>
      <w:r>
        <w:rPr>
          <w:rFonts w:eastAsia="Times New Roman"/>
          <w:color w:val="000000"/>
          <w:sz w:val="20"/>
          <w:szCs w:val="20"/>
        </w:rPr>
        <w:t>F-24</w:t>
      </w:r>
    </w:p>
    <w:p w:rsidR="00000000" w:rsidRDefault="00473C5F">
      <w:pPr>
        <w:rPr>
          <w:rFonts w:eastAsia="Times New Roman"/>
        </w:rPr>
      </w:pPr>
      <w:r>
        <w:rPr>
          <w:rFonts w:eastAsia="Times New Roman"/>
        </w:rPr>
        <w:pict>
          <v:rect id="_x0000_i1114" style="width:0;height:1.5pt" o:hralign="center" o:hrstd="t" o:hr="t" fillcolor="#a0a0a0" stroked="f"/>
        </w:pict>
      </w:r>
    </w:p>
    <w:p w:rsidR="00000000" w:rsidRDefault="00473C5F">
      <w:pPr>
        <w:jc w:val="center"/>
        <w:divId w:val="1817842027"/>
        <w:rPr>
          <w:rFonts w:eastAsia="Times New Roman"/>
        </w:rPr>
      </w:pPr>
    </w:p>
    <w:p w:rsidR="00000000" w:rsidRDefault="00473C5F">
      <w:pPr>
        <w:jc w:val="center"/>
        <w:divId w:val="1817842027"/>
        <w:rPr>
          <w:rFonts w:eastAsia="Times New Roman"/>
        </w:rPr>
      </w:pPr>
      <w:r>
        <w:rPr>
          <w:rFonts w:eastAsia="Times New Roman"/>
          <w:b/>
          <w:bCs/>
          <w:color w:val="000000"/>
          <w:sz w:val="20"/>
          <w:szCs w:val="20"/>
        </w:rPr>
        <w:t>PUBLIC STORAGE</w:t>
      </w:r>
    </w:p>
    <w:p w:rsidR="00000000" w:rsidRDefault="00473C5F">
      <w:pPr>
        <w:jc w:val="center"/>
        <w:divId w:val="1817842027"/>
        <w:rPr>
          <w:rFonts w:eastAsia="Times New Roman"/>
        </w:rPr>
      </w:pPr>
      <w:r>
        <w:rPr>
          <w:rFonts w:eastAsia="Times New Roman"/>
          <w:b/>
          <w:bCs/>
          <w:color w:val="000000"/>
          <w:sz w:val="20"/>
          <w:szCs w:val="20"/>
        </w:rPr>
        <w:t>NOTES TO CONSOLIDATED FINANCIAL STATEMENTS</w:t>
      </w:r>
    </w:p>
    <w:p w:rsidR="00000000" w:rsidRDefault="00473C5F">
      <w:pPr>
        <w:jc w:val="center"/>
        <w:divId w:val="1817842027"/>
        <w:rPr>
          <w:rFonts w:eastAsia="Times New Roman"/>
        </w:rPr>
      </w:pPr>
      <w:r>
        <w:rPr>
          <w:rFonts w:eastAsia="Times New Roman"/>
          <w:b/>
          <w:bCs/>
          <w:color w:val="000000"/>
          <w:sz w:val="20"/>
          <w:szCs w:val="20"/>
        </w:rPr>
        <w:t>December 31, 2022</w:t>
      </w:r>
    </w:p>
    <w:p w:rsidR="00000000" w:rsidRDefault="00473C5F">
      <w:pPr>
        <w:jc w:val="center"/>
        <w:divId w:val="1817842027"/>
        <w:rPr>
          <w:rFonts w:eastAsia="Times New Roman"/>
        </w:rPr>
      </w:pPr>
    </w:p>
    <w:tbl>
      <w:tblPr>
        <w:tblW w:w="4818" w:type="pct"/>
        <w:tblCellMar>
          <w:top w:w="15" w:type="dxa"/>
          <w:left w:w="15" w:type="dxa"/>
          <w:bottom w:w="15" w:type="dxa"/>
          <w:right w:w="15" w:type="dxa"/>
        </w:tblCellMar>
        <w:tblLook w:val="04A0" w:firstRow="1" w:lastRow="0" w:firstColumn="1" w:lastColumn="0" w:noHBand="0" w:noVBand="1"/>
      </w:tblPr>
      <w:tblGrid>
        <w:gridCol w:w="38"/>
        <w:gridCol w:w="3748"/>
        <w:gridCol w:w="37"/>
        <w:gridCol w:w="36"/>
        <w:gridCol w:w="36"/>
        <w:gridCol w:w="36"/>
        <w:gridCol w:w="36"/>
        <w:gridCol w:w="36"/>
        <w:gridCol w:w="36"/>
        <w:gridCol w:w="120"/>
        <w:gridCol w:w="1137"/>
        <w:gridCol w:w="36"/>
        <w:gridCol w:w="36"/>
        <w:gridCol w:w="36"/>
        <w:gridCol w:w="36"/>
        <w:gridCol w:w="120"/>
        <w:gridCol w:w="1095"/>
        <w:gridCol w:w="36"/>
        <w:gridCol w:w="36"/>
        <w:gridCol w:w="36"/>
        <w:gridCol w:w="36"/>
        <w:gridCol w:w="120"/>
        <w:gridCol w:w="1049"/>
        <w:gridCol w:w="36"/>
      </w:tblGrid>
      <w:tr w:rsidR="00000000">
        <w:trPr>
          <w:divId w:val="25913652"/>
        </w:trPr>
        <w:tc>
          <w:tcPr>
            <w:tcW w:w="50" w:type="pct"/>
            <w:vAlign w:val="center"/>
            <w:hideMark/>
          </w:tcPr>
          <w:p w:rsidR="00000000" w:rsidRDefault="00473C5F">
            <w:pPr>
              <w:jc w:val="center"/>
              <w:rPr>
                <w:rFonts w:eastAsia="Times New Roman"/>
              </w:rPr>
            </w:pPr>
          </w:p>
        </w:tc>
        <w:tc>
          <w:tcPr>
            <w:tcW w:w="244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6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6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73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25913652"/>
        </w:trPr>
        <w:tc>
          <w:tcPr>
            <w:tcW w:w="0" w:type="auto"/>
            <w:gridSpan w:val="3"/>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divId w:val="25913652"/>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For Years Ended December 31,</w:t>
            </w:r>
          </w:p>
        </w:tc>
      </w:tr>
      <w:tr w:rsidR="00000000">
        <w:trPr>
          <w:divId w:val="2591365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2020</w:t>
            </w:r>
          </w:p>
        </w:tc>
      </w:tr>
      <w:tr w:rsidR="00000000">
        <w:trPr>
          <w:divId w:val="25913652"/>
          <w:trHeight w:val="6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591365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(Amounts in thousands)</w:t>
            </w:r>
          </w:p>
        </w:tc>
      </w:tr>
      <w:tr w:rsidR="00000000">
        <w:trPr>
          <w:divId w:val="25913652"/>
          <w:trHeight w:val="120"/>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591365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Self-storage cost of operations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17,950 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20,544 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14,904 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591365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Ancillary cost of operations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1,561 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591365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General and administrative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37,865 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37,760 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18,586 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591365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Total</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56,703 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59,865 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33,490 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jc w:val="center"/>
        <w:rPr>
          <w:rFonts w:eastAsia="Times New Roman"/>
        </w:rPr>
      </w:pPr>
    </w:p>
    <w:p w:rsidR="00000000" w:rsidRDefault="00473C5F">
      <w:pPr>
        <w:ind w:firstLine="720"/>
        <w:jc w:val="both"/>
        <w:divId w:val="100347156"/>
        <w:rPr>
          <w:rFonts w:eastAsia="Times New Roman"/>
        </w:rPr>
      </w:pPr>
      <w:r>
        <w:rPr>
          <w:rFonts w:eastAsia="Times New Roman"/>
          <w:color w:val="000000"/>
          <w:sz w:val="20"/>
          <w:szCs w:val="20"/>
        </w:rPr>
        <w:t>Included in share-based compensation is $14.9 million, $15.9 million and $5.7 million for the years ended December 31, 2022, 2021, and 2020, respectively, of retirement acceleration as discussed in Note 2.</w:t>
      </w:r>
    </w:p>
    <w:p w:rsidR="00000000" w:rsidRDefault="00473C5F">
      <w:pPr>
        <w:divId w:val="1731341439"/>
        <w:rPr>
          <w:rFonts w:eastAsia="Times New Roman"/>
        </w:rPr>
      </w:pPr>
      <w:r>
        <w:rPr>
          <w:rFonts w:eastAsia="Times New Roman"/>
          <w:color w:val="000000"/>
          <w:sz w:val="20"/>
          <w:szCs w:val="20"/>
          <w:u w:val="single"/>
        </w:rPr>
        <w:t>Stock Options</w:t>
      </w:r>
    </w:p>
    <w:p w:rsidR="00000000" w:rsidRDefault="00473C5F">
      <w:pPr>
        <w:ind w:firstLine="720"/>
        <w:jc w:val="both"/>
        <w:divId w:val="725301034"/>
        <w:rPr>
          <w:rFonts w:eastAsia="Times New Roman"/>
        </w:rPr>
      </w:pPr>
      <w:r>
        <w:rPr>
          <w:rFonts w:eastAsia="Times New Roman"/>
          <w:color w:val="000000"/>
          <w:sz w:val="20"/>
          <w:szCs w:val="20"/>
        </w:rPr>
        <w:t xml:space="preserve">We have service-based and performance-based stock options outstanding. Performance-based stock options outstanding vest upon meeting certain performance conditions or market conditions. Stock options generally vest over 3 to 5 years, expire 10 years after </w:t>
      </w:r>
      <w:r>
        <w:rPr>
          <w:rFonts w:eastAsia="Times New Roman"/>
          <w:color w:val="000000"/>
          <w:sz w:val="20"/>
          <w:szCs w:val="20"/>
        </w:rPr>
        <w:t xml:space="preserve">the grant date, and have an exercise price equal to the closing trading price of our common shares on the grant date. New shares are issued for options exercised. Employees cannot require the Company to settle their award in cash. </w:t>
      </w:r>
    </w:p>
    <w:p w:rsidR="00000000" w:rsidRDefault="00473C5F">
      <w:pPr>
        <w:ind w:firstLine="720"/>
        <w:jc w:val="both"/>
        <w:divId w:val="1744526404"/>
        <w:rPr>
          <w:rFonts w:eastAsia="Times New Roman"/>
        </w:rPr>
      </w:pPr>
      <w:r>
        <w:rPr>
          <w:rFonts w:eastAsia="Times New Roman"/>
          <w:color w:val="000000"/>
          <w:sz w:val="20"/>
          <w:szCs w:val="20"/>
        </w:rPr>
        <w:t>For the years ended Dece</w:t>
      </w:r>
      <w:r>
        <w:rPr>
          <w:rFonts w:eastAsia="Times New Roman"/>
          <w:color w:val="000000"/>
          <w:sz w:val="20"/>
          <w:szCs w:val="20"/>
        </w:rPr>
        <w:t>mber 31, 2022, 2021, and 2020, we incurred share-based compensation cost for outstanding stock options of $19.9 million, $25.1 million and $7.6 million, respectively.</w:t>
      </w:r>
    </w:p>
    <w:p w:rsidR="00000000" w:rsidRDefault="00473C5F">
      <w:pPr>
        <w:ind w:firstLine="720"/>
        <w:jc w:val="both"/>
        <w:divId w:val="1126436484"/>
        <w:rPr>
          <w:rFonts w:eastAsia="Times New Roman"/>
        </w:rPr>
      </w:pPr>
      <w:r>
        <w:rPr>
          <w:rFonts w:eastAsia="Times New Roman"/>
          <w:color w:val="000000"/>
          <w:sz w:val="20"/>
          <w:szCs w:val="20"/>
        </w:rPr>
        <w:t>During 2022, we granted 65,000 stock options in connection with non-management trustee co</w:t>
      </w:r>
      <w:r>
        <w:rPr>
          <w:rFonts w:eastAsia="Times New Roman"/>
          <w:color w:val="000000"/>
          <w:sz w:val="20"/>
          <w:szCs w:val="20"/>
        </w:rPr>
        <w:t>mpensation. We also granted 77,683 stock options, of which vesting is dependent upon meeting certain market conditions over the three-year period from January 1, 2022 through December 31, 2024, with continued service-based vesting through the first quarter</w:t>
      </w:r>
      <w:r>
        <w:rPr>
          <w:rFonts w:eastAsia="Times New Roman"/>
          <w:color w:val="000000"/>
          <w:sz w:val="20"/>
          <w:szCs w:val="20"/>
        </w:rPr>
        <w:t xml:space="preserve"> of 2027. These stock options require relative achievement of the Company’s total shareholder return as compared to the weighted average total shareholder return of specified peer groups and can result in grantees earning up to 200% of the target options o</w:t>
      </w:r>
      <w:r>
        <w:rPr>
          <w:rFonts w:eastAsia="Times New Roman"/>
          <w:color w:val="000000"/>
          <w:sz w:val="20"/>
          <w:szCs w:val="20"/>
        </w:rPr>
        <w:t xml:space="preserve">riginally granted. </w:t>
      </w:r>
    </w:p>
    <w:p w:rsidR="00000000" w:rsidRDefault="00473C5F">
      <w:pPr>
        <w:ind w:firstLine="720"/>
        <w:jc w:val="both"/>
        <w:divId w:val="1930043333"/>
        <w:rPr>
          <w:rFonts w:eastAsia="Times New Roman"/>
        </w:rPr>
      </w:pPr>
      <w:r>
        <w:rPr>
          <w:rFonts w:eastAsia="Times New Roman"/>
          <w:color w:val="000000"/>
          <w:sz w:val="20"/>
          <w:szCs w:val="20"/>
        </w:rPr>
        <w:t xml:space="preserve">During 2021, 245,000 stock options were awarded where vesting is dependent upon meeting certain performance targets over the three-year period from January 1, 2021 through December 31, 2023, which are considered performance conditions, </w:t>
      </w:r>
      <w:r>
        <w:rPr>
          <w:rFonts w:eastAsia="Times New Roman"/>
          <w:color w:val="000000"/>
          <w:sz w:val="20"/>
          <w:szCs w:val="20"/>
        </w:rPr>
        <w:t>with continued service-based vesting through the first quarter of 2026. These awards contain a relative Total Shareholder Return modifier that will adjust the payout based on relative performance as compared to the market. As of December 31, 2022, these pe</w:t>
      </w:r>
      <w:r>
        <w:rPr>
          <w:rFonts w:eastAsia="Times New Roman"/>
          <w:color w:val="000000"/>
          <w:sz w:val="20"/>
          <w:szCs w:val="20"/>
        </w:rPr>
        <w:t>rformance targets were expected to be met at 125% achievement, an increase from 100% as of December 31, 2021.</w:t>
      </w:r>
    </w:p>
    <w:p w:rsidR="00000000" w:rsidRDefault="00473C5F">
      <w:pPr>
        <w:ind w:firstLine="720"/>
        <w:jc w:val="both"/>
        <w:divId w:val="1777023479"/>
        <w:rPr>
          <w:rFonts w:eastAsia="Times New Roman"/>
        </w:rPr>
      </w:pPr>
      <w:r>
        <w:rPr>
          <w:rFonts w:eastAsia="Times New Roman"/>
          <w:color w:val="000000"/>
          <w:sz w:val="20"/>
          <w:szCs w:val="20"/>
        </w:rPr>
        <w:t>During 2020, 770,000 stock options were awarded where vesting is dependent upon meeting certain performance targets over the three-year period fro</w:t>
      </w:r>
      <w:r>
        <w:rPr>
          <w:rFonts w:eastAsia="Times New Roman"/>
          <w:color w:val="000000"/>
          <w:sz w:val="20"/>
          <w:szCs w:val="20"/>
        </w:rPr>
        <w:t>m January 1, 2020 through December 31, 2022, which are considered performance conditions, with continued service-based vesting through the first quarter of 2025. These performance targets were met at 125% achievement at December 31, 2022.</w:t>
      </w:r>
    </w:p>
    <w:p w:rsidR="00000000" w:rsidRDefault="00473C5F">
      <w:pPr>
        <w:ind w:firstLine="720"/>
        <w:jc w:val="both"/>
        <w:divId w:val="1462576265"/>
        <w:rPr>
          <w:rFonts w:eastAsia="Times New Roman"/>
        </w:rPr>
      </w:pPr>
      <w:r>
        <w:rPr>
          <w:rFonts w:eastAsia="Times New Roman"/>
          <w:color w:val="000000"/>
          <w:sz w:val="20"/>
          <w:szCs w:val="20"/>
        </w:rPr>
        <w:t>The stock options</w:t>
      </w:r>
      <w:r>
        <w:rPr>
          <w:rFonts w:eastAsia="Times New Roman"/>
          <w:color w:val="000000"/>
          <w:sz w:val="20"/>
          <w:szCs w:val="20"/>
        </w:rPr>
        <w:t xml:space="preserve"> outstanding at December 31, 2022 have an aggregate intrinsic value (the excess, if any, of each option’s market value over the exercise price) of approximately $209.8 million and remaining average contractual lives of approximately five years. Total compe</w:t>
      </w:r>
      <w:r>
        <w:rPr>
          <w:rFonts w:eastAsia="Times New Roman"/>
          <w:color w:val="000000"/>
          <w:sz w:val="20"/>
          <w:szCs w:val="20"/>
        </w:rPr>
        <w:t>nsation cost related to nonvested stock options that has not yet been recognized is $21.2 million and is expected to be recognized as compensation cost over approximately three years on average. Exercisable stock options have an aggregate intrinsic value o</w:t>
      </w:r>
      <w:r>
        <w:rPr>
          <w:rFonts w:eastAsia="Times New Roman"/>
          <w:color w:val="000000"/>
          <w:sz w:val="20"/>
          <w:szCs w:val="20"/>
        </w:rPr>
        <w:t>f approximately $128.9 million at December 31, 2022 and remaining average contractual lives of approximately three years.</w:t>
      </w:r>
    </w:p>
    <w:p w:rsidR="00000000" w:rsidRDefault="00473C5F">
      <w:pPr>
        <w:ind w:firstLine="720"/>
        <w:jc w:val="both"/>
        <w:divId w:val="795677245"/>
        <w:rPr>
          <w:rFonts w:eastAsia="Times New Roman"/>
        </w:rPr>
      </w:pPr>
      <w:r>
        <w:rPr>
          <w:rFonts w:eastAsia="Times New Roman"/>
          <w:color w:val="000000"/>
          <w:sz w:val="20"/>
          <w:szCs w:val="20"/>
        </w:rPr>
        <w:t>Additional information with respect to stock options during 2022, 2021, and 2020 is as follows:</w:t>
      </w:r>
    </w:p>
    <w:p w:rsidR="00000000" w:rsidRDefault="00473C5F">
      <w:pPr>
        <w:jc w:val="center"/>
        <w:divId w:val="755635891"/>
        <w:rPr>
          <w:rFonts w:eastAsia="Times New Roman"/>
        </w:rPr>
      </w:pPr>
      <w:r>
        <w:rPr>
          <w:rFonts w:eastAsia="Times New Roman"/>
          <w:color w:val="000000"/>
          <w:sz w:val="20"/>
          <w:szCs w:val="20"/>
        </w:rPr>
        <w:t>F-25</w:t>
      </w:r>
    </w:p>
    <w:p w:rsidR="00000000" w:rsidRDefault="00473C5F">
      <w:pPr>
        <w:rPr>
          <w:rFonts w:eastAsia="Times New Roman"/>
        </w:rPr>
      </w:pPr>
      <w:r>
        <w:rPr>
          <w:rFonts w:eastAsia="Times New Roman"/>
        </w:rPr>
        <w:pict>
          <v:rect id="_x0000_i1115" style="width:0;height:1.5pt" o:hralign="center" o:hrstd="t" o:hr="t" fillcolor="#a0a0a0" stroked="f"/>
        </w:pict>
      </w:r>
    </w:p>
    <w:p w:rsidR="00000000" w:rsidRDefault="00473C5F">
      <w:pPr>
        <w:jc w:val="center"/>
        <w:divId w:val="1007902921"/>
        <w:rPr>
          <w:rFonts w:eastAsia="Times New Roman"/>
        </w:rPr>
      </w:pPr>
    </w:p>
    <w:p w:rsidR="00000000" w:rsidRDefault="00473C5F">
      <w:pPr>
        <w:jc w:val="center"/>
        <w:divId w:val="1007902921"/>
        <w:rPr>
          <w:rFonts w:eastAsia="Times New Roman"/>
        </w:rPr>
      </w:pPr>
      <w:r>
        <w:rPr>
          <w:rFonts w:eastAsia="Times New Roman"/>
          <w:b/>
          <w:bCs/>
          <w:color w:val="000000"/>
          <w:sz w:val="20"/>
          <w:szCs w:val="20"/>
        </w:rPr>
        <w:t>PUBLIC STORAGE</w:t>
      </w:r>
    </w:p>
    <w:p w:rsidR="00000000" w:rsidRDefault="00473C5F">
      <w:pPr>
        <w:jc w:val="center"/>
        <w:divId w:val="1007902921"/>
        <w:rPr>
          <w:rFonts w:eastAsia="Times New Roman"/>
        </w:rPr>
      </w:pPr>
      <w:r>
        <w:rPr>
          <w:rFonts w:eastAsia="Times New Roman"/>
          <w:b/>
          <w:bCs/>
          <w:color w:val="000000"/>
          <w:sz w:val="20"/>
          <w:szCs w:val="20"/>
        </w:rPr>
        <w:t>NOTES TO CONSOLIDATED FINANCIAL STATEMENTS</w:t>
      </w:r>
    </w:p>
    <w:p w:rsidR="00000000" w:rsidRDefault="00473C5F">
      <w:pPr>
        <w:jc w:val="center"/>
        <w:divId w:val="1007902921"/>
        <w:rPr>
          <w:rFonts w:eastAsia="Times New Roman"/>
        </w:rPr>
      </w:pPr>
      <w:r>
        <w:rPr>
          <w:rFonts w:eastAsia="Times New Roman"/>
          <w:b/>
          <w:bCs/>
          <w:color w:val="000000"/>
          <w:sz w:val="20"/>
          <w:szCs w:val="20"/>
        </w:rPr>
        <w:t>December 31, 2022</w:t>
      </w:r>
    </w:p>
    <w:p w:rsidR="00000000" w:rsidRDefault="00473C5F">
      <w:pPr>
        <w:jc w:val="center"/>
        <w:divId w:val="100790292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71"/>
        <w:gridCol w:w="36"/>
        <w:gridCol w:w="77"/>
        <w:gridCol w:w="709"/>
        <w:gridCol w:w="36"/>
        <w:gridCol w:w="36"/>
        <w:gridCol w:w="36"/>
        <w:gridCol w:w="36"/>
        <w:gridCol w:w="111"/>
        <w:gridCol w:w="669"/>
        <w:gridCol w:w="37"/>
        <w:gridCol w:w="36"/>
        <w:gridCol w:w="36"/>
        <w:gridCol w:w="36"/>
        <w:gridCol w:w="77"/>
        <w:gridCol w:w="709"/>
        <w:gridCol w:w="37"/>
        <w:gridCol w:w="37"/>
        <w:gridCol w:w="37"/>
        <w:gridCol w:w="36"/>
        <w:gridCol w:w="111"/>
        <w:gridCol w:w="669"/>
        <w:gridCol w:w="37"/>
        <w:gridCol w:w="36"/>
        <w:gridCol w:w="36"/>
        <w:gridCol w:w="36"/>
        <w:gridCol w:w="77"/>
        <w:gridCol w:w="709"/>
        <w:gridCol w:w="36"/>
        <w:gridCol w:w="36"/>
        <w:gridCol w:w="36"/>
        <w:gridCol w:w="36"/>
        <w:gridCol w:w="111"/>
        <w:gridCol w:w="672"/>
        <w:gridCol w:w="36"/>
      </w:tblGrid>
      <w:tr w:rsidR="00000000">
        <w:trPr>
          <w:divId w:val="869418507"/>
          <w:jc w:val="center"/>
        </w:trPr>
        <w:tc>
          <w:tcPr>
            <w:tcW w:w="50" w:type="pct"/>
            <w:vAlign w:val="center"/>
            <w:hideMark/>
          </w:tcPr>
          <w:p w:rsidR="00000000" w:rsidRDefault="00473C5F">
            <w:pPr>
              <w:jc w:val="center"/>
              <w:rPr>
                <w:rFonts w:eastAsia="Times New Roman"/>
              </w:rPr>
            </w:pPr>
          </w:p>
        </w:tc>
        <w:tc>
          <w:tcPr>
            <w:tcW w:w="170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6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6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6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6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6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6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869418507"/>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Service-Based</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Performance-Based</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Total</w:t>
            </w:r>
          </w:p>
        </w:tc>
      </w:tr>
      <w:tr w:rsidR="00000000">
        <w:trPr>
          <w:divId w:val="869418507"/>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Number of Options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Weighted Average Exercise Price per Share</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Number of Options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Weighted Average Exercise Price per Share</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Number of Options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Weighted Average Exercise Price per Share</w:t>
            </w:r>
          </w:p>
        </w:tc>
      </w:tr>
      <w:tr w:rsidR="00000000">
        <w:trPr>
          <w:divId w:val="869418507"/>
          <w:jc w:val="center"/>
        </w:trPr>
        <w:tc>
          <w:tcPr>
            <w:tcW w:w="0" w:type="auto"/>
            <w:gridSpan w:val="3"/>
            <w:tcMar>
              <w:top w:w="30" w:type="dxa"/>
              <w:left w:w="20" w:type="dxa"/>
              <w:bottom w:w="30" w:type="dxa"/>
              <w:right w:w="20" w:type="dxa"/>
            </w:tcMar>
            <w:vAlign w:val="bottom"/>
            <w:hideMark/>
          </w:tcPr>
          <w:p w:rsidR="00000000" w:rsidRDefault="00473C5F">
            <w:pPr>
              <w:spacing w:after="100"/>
              <w:divId w:val="670718338"/>
              <w:rPr>
                <w:rFonts w:eastAsia="Times New Roman"/>
              </w:rPr>
            </w:pPr>
            <w:r>
              <w:rPr>
                <w:rFonts w:eastAsia="Times New Roman"/>
                <w:color w:val="000000"/>
                <w:sz w:val="18"/>
                <w:szCs w:val="18"/>
              </w:rPr>
              <w:t>Options outstanding January 1, 2020</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2,339,667 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204.53 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2,339,667 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204.53 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869418507"/>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Granted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200.61 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770,000 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228.94 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840,000 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226.58 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869418507"/>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Exercised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(71,500)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(175.16)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(71,500)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(175.16)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869418507"/>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Cancelled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(107,000)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(220.33)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w:t>
            </w:r>
            <w:r>
              <w:rPr>
                <w:rFonts w:eastAsia="Times New Roman"/>
                <w:color w:val="000000"/>
                <w:sz w:val="18"/>
                <w:szCs w:val="18"/>
              </w:rPr>
              <w:t>40,000)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(228.94)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(147,000)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(222.67)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869418507"/>
          <w:jc w:val="center"/>
        </w:trPr>
        <w:tc>
          <w:tcPr>
            <w:tcW w:w="0" w:type="auto"/>
            <w:gridSpan w:val="3"/>
            <w:tcMar>
              <w:top w:w="30" w:type="dxa"/>
              <w:left w:w="20" w:type="dxa"/>
              <w:bottom w:w="30" w:type="dxa"/>
              <w:right w:w="20" w:type="dxa"/>
            </w:tcMar>
            <w:vAlign w:val="bottom"/>
            <w:hideMark/>
          </w:tcPr>
          <w:p w:rsidR="00000000" w:rsidRDefault="00473C5F">
            <w:pPr>
              <w:spacing w:after="100"/>
              <w:divId w:val="1900244655"/>
              <w:rPr>
                <w:rFonts w:eastAsia="Times New Roman"/>
              </w:rPr>
            </w:pPr>
            <w:r>
              <w:rPr>
                <w:rFonts w:eastAsia="Times New Roman"/>
                <w:color w:val="000000"/>
                <w:sz w:val="18"/>
                <w:szCs w:val="18"/>
              </w:rPr>
              <w:t>Options outstanding December 31, 2020</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2,231,167 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204.60 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730,000 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228.94 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2,961,167 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210.59 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869418507"/>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Granted (a)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248.54 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420,000 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229.53 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560,000 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234.29 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869418507"/>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Exercised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(471,216)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(203.30)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(471,216)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(203.30)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869418507"/>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Cancelled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(10,000)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(228.94)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(10,000)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(228.94)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869418507"/>
          <w:jc w:val="center"/>
        </w:trPr>
        <w:tc>
          <w:tcPr>
            <w:tcW w:w="0" w:type="auto"/>
            <w:gridSpan w:val="3"/>
            <w:tcMar>
              <w:top w:w="30" w:type="dxa"/>
              <w:left w:w="20" w:type="dxa"/>
              <w:bottom w:w="30" w:type="dxa"/>
              <w:right w:w="20" w:type="dxa"/>
            </w:tcMar>
            <w:vAlign w:val="bottom"/>
            <w:hideMark/>
          </w:tcPr>
          <w:p w:rsidR="00000000" w:rsidRDefault="00473C5F">
            <w:pPr>
              <w:spacing w:after="100"/>
              <w:divId w:val="1767001280"/>
              <w:rPr>
                <w:rFonts w:eastAsia="Times New Roman"/>
              </w:rPr>
            </w:pPr>
            <w:r>
              <w:rPr>
                <w:rFonts w:eastAsia="Times New Roman"/>
                <w:color w:val="000000"/>
                <w:sz w:val="18"/>
                <w:szCs w:val="18"/>
              </w:rPr>
              <w:t>Options outstanding December 31, 2021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1,899,951 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208.16 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1,140,000 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229.16 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3,039,951 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216.04 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869418507"/>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Granted (b)</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65,000 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398.97 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138,933 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299.88 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203,933 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331.46 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869418507"/>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Special dividend adjustment (c)</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62,512 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 xml:space="preserve"> N/A </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41,836 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 xml:space="preserve"> N/A </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104,348 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right"/>
              <w:rPr>
                <w:rFonts w:eastAsia="Times New Roman"/>
              </w:rPr>
            </w:pPr>
            <w:r>
              <w:rPr>
                <w:rFonts w:eastAsia="Times New Roman"/>
                <w:color w:val="000000"/>
                <w:sz w:val="18"/>
                <w:szCs w:val="18"/>
              </w:rPr>
              <w:t xml:space="preserve"> N/A </w:t>
            </w:r>
          </w:p>
        </w:tc>
      </w:tr>
      <w:tr w:rsidR="00000000">
        <w:trPr>
          <w:divId w:val="869418507"/>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Exercised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(173,422)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(189.95)</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(10,327)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(221.68)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(183,749)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(191.74)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869418507"/>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Cancelled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869418507"/>
          <w:jc w:val="center"/>
        </w:trPr>
        <w:tc>
          <w:tcPr>
            <w:tcW w:w="0" w:type="auto"/>
            <w:gridSpan w:val="3"/>
            <w:tcMar>
              <w:top w:w="30" w:type="dxa"/>
              <w:left w:w="20" w:type="dxa"/>
              <w:bottom w:w="30" w:type="dxa"/>
              <w:right w:w="20" w:type="dxa"/>
            </w:tcMar>
            <w:vAlign w:val="bottom"/>
            <w:hideMark/>
          </w:tcPr>
          <w:p w:rsidR="00000000" w:rsidRDefault="00473C5F">
            <w:pPr>
              <w:spacing w:after="100"/>
              <w:divId w:val="256253197"/>
              <w:rPr>
                <w:rFonts w:eastAsia="Times New Roman"/>
              </w:rPr>
            </w:pPr>
            <w:r>
              <w:rPr>
                <w:rFonts w:eastAsia="Times New Roman"/>
                <w:color w:val="000000"/>
                <w:sz w:val="18"/>
                <w:szCs w:val="18"/>
              </w:rPr>
              <w:t>Options outstanding December 31, 2022 (d)</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1,854,041 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209.53 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1,310,442 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229.39 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3,164,483 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217.75 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869418507"/>
          <w:jc w:val="center"/>
        </w:trPr>
        <w:tc>
          <w:tcPr>
            <w:tcW w:w="0" w:type="auto"/>
            <w:gridSpan w:val="3"/>
            <w:tcMar>
              <w:top w:w="30" w:type="dxa"/>
              <w:left w:w="20" w:type="dxa"/>
              <w:bottom w:w="30" w:type="dxa"/>
              <w:right w:w="20" w:type="dxa"/>
            </w:tcMar>
            <w:vAlign w:val="bottom"/>
            <w:hideMark/>
          </w:tcPr>
          <w:p w:rsidR="00000000" w:rsidRDefault="00473C5F">
            <w:pPr>
              <w:spacing w:after="100"/>
              <w:divId w:val="38097612"/>
              <w:rPr>
                <w:rFonts w:eastAsia="Times New Roman"/>
              </w:rPr>
            </w:pPr>
            <w:r>
              <w:rPr>
                <w:rFonts w:eastAsia="Times New Roman"/>
                <w:color w:val="000000"/>
                <w:sz w:val="18"/>
                <w:szCs w:val="18"/>
              </w:rPr>
              <w:t>Options exercisable at December 31, 2022 (d)</w:t>
            </w: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1,617,555 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200.87 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10,327 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221.68 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1,627,882 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201.00 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332"/>
        <w:gridCol w:w="144"/>
        <w:gridCol w:w="144"/>
        <w:gridCol w:w="827"/>
        <w:gridCol w:w="144"/>
        <w:gridCol w:w="144"/>
        <w:gridCol w:w="144"/>
        <w:gridCol w:w="144"/>
        <w:gridCol w:w="144"/>
        <w:gridCol w:w="827"/>
        <w:gridCol w:w="144"/>
        <w:gridCol w:w="144"/>
        <w:gridCol w:w="144"/>
        <w:gridCol w:w="144"/>
        <w:gridCol w:w="144"/>
        <w:gridCol w:w="827"/>
        <w:gridCol w:w="144"/>
      </w:tblGrid>
      <w:tr w:rsidR="00000000">
        <w:tc>
          <w:tcPr>
            <w:tcW w:w="50" w:type="pct"/>
            <w:vAlign w:val="center"/>
            <w:hideMark/>
          </w:tcPr>
          <w:p w:rsidR="00000000" w:rsidRDefault="00473C5F">
            <w:pPr>
              <w:jc w:val="center"/>
              <w:rPr>
                <w:rFonts w:eastAsia="Times New Roman"/>
              </w:rPr>
            </w:pPr>
          </w:p>
        </w:tc>
        <w:tc>
          <w:tcPr>
            <w:tcW w:w="321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9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9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9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2020</w:t>
            </w:r>
          </w:p>
        </w:tc>
      </w:tr>
      <w:tr w:rsidR="00000000">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color w:val="000000"/>
                <w:sz w:val="18"/>
                <w:szCs w:val="18"/>
              </w:rPr>
              <w:t>Aggregate exercise date intrinsic value of options exercised during the year (in 000's)</w:t>
            </w: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27,210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44,613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3,433</w:t>
            </w:r>
          </w:p>
        </w:tc>
      </w:tr>
      <w:tr w:rsidR="00000000">
        <w:trPr>
          <w:trHeight w:val="280"/>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b/>
                <w:bCs/>
                <w:color w:val="000000"/>
                <w:sz w:val="18"/>
                <w:szCs w:val="18"/>
              </w:rPr>
              <w:t>Average assumptions used in valuing options with the Black-Scholes method:</w:t>
            </w:r>
          </w:p>
        </w:tc>
        <w:tc>
          <w:tcPr>
            <w:tcW w:w="0" w:type="auto"/>
            <w:gridSpan w:val="3"/>
            <w:tcMar>
              <w:top w:w="0" w:type="dxa"/>
              <w:left w:w="20" w:type="dxa"/>
              <w:bottom w:w="0" w:type="dxa"/>
              <w:right w:w="20" w:type="dxa"/>
            </w:tcMar>
            <w:vAlign w:val="center"/>
            <w:hideMark/>
          </w:tcPr>
          <w:p w:rsidR="00000000" w:rsidRDefault="00473C5F">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Expected life of options in years</w:t>
            </w: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5</w:t>
            </w:r>
          </w:p>
        </w:tc>
      </w:tr>
      <w:tr w:rsidR="00000000">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Risk-free interest rate</w:t>
            </w: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2.9%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0.8%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0.4%</w:t>
            </w:r>
          </w:p>
        </w:tc>
      </w:tr>
      <w:tr w:rsidR="00000000">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Expected volatility, based upon historical volatility</w:t>
            </w: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22.9%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24.1%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21.6%</w:t>
            </w:r>
          </w:p>
        </w:tc>
      </w:tr>
      <w:tr w:rsidR="00000000">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Expected dividend yield</w:t>
            </w: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2.0%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2.9%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3.8%</w:t>
            </w:r>
          </w:p>
        </w:tc>
      </w:tr>
      <w:tr w:rsidR="00000000">
        <w:trPr>
          <w:trHeight w:val="280"/>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b/>
                <w:bCs/>
                <w:color w:val="000000"/>
                <w:sz w:val="18"/>
                <w:szCs w:val="18"/>
              </w:rPr>
              <w:t>Average assumptions used in valuing options with market conditions with the Monte-Carlo simulation method:</w:t>
            </w:r>
          </w:p>
        </w:tc>
        <w:tc>
          <w:tcPr>
            <w:tcW w:w="0" w:type="auto"/>
            <w:gridSpan w:val="3"/>
            <w:tcMar>
              <w:top w:w="0" w:type="dxa"/>
              <w:left w:w="20" w:type="dxa"/>
              <w:bottom w:w="0" w:type="dxa"/>
              <w:right w:w="20" w:type="dxa"/>
            </w:tcMar>
            <w:vAlign w:val="center"/>
            <w:hideMark/>
          </w:tcPr>
          <w:p w:rsidR="00000000" w:rsidRDefault="00473C5F">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Expected life of options in years</w:t>
            </w: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Risk-free interest rate</w:t>
            </w: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0.9%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Expected volatility, based upon historical volatility</w:t>
            </w: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22.6%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26.5%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Expected dividend yield</w:t>
            </w: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2.3%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2.9%</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trHeight w:val="2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Average estimated value of options granted during the year</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87.57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62.66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18"/>
                <w:szCs w:val="18"/>
              </w:rPr>
              <w:t>17.79</w:t>
            </w:r>
          </w:p>
        </w:tc>
      </w:tr>
    </w:tbl>
    <w:p w:rsidR="00000000" w:rsidRDefault="00473C5F">
      <w:pPr>
        <w:ind w:firstLine="360"/>
        <w:jc w:val="both"/>
        <w:divId w:val="1027829400"/>
        <w:rPr>
          <w:rFonts w:eastAsia="Times New Roman"/>
        </w:rPr>
      </w:pPr>
      <w:r>
        <w:rPr>
          <w:rFonts w:eastAsia="Times New Roman"/>
          <w:color w:val="000000"/>
          <w:sz w:val="20"/>
          <w:szCs w:val="20"/>
        </w:rPr>
        <w:t>(a) Amount granted for performance-based stock options includes performance adjustments above target for options granted in 2020.</w:t>
      </w:r>
    </w:p>
    <w:p w:rsidR="00000000" w:rsidRDefault="00473C5F">
      <w:pPr>
        <w:ind w:firstLine="360"/>
        <w:jc w:val="both"/>
        <w:divId w:val="1912276846"/>
        <w:rPr>
          <w:rFonts w:eastAsia="Times New Roman"/>
        </w:rPr>
      </w:pPr>
      <w:r>
        <w:rPr>
          <w:rFonts w:eastAsia="Times New Roman"/>
          <w:color w:val="000000"/>
          <w:sz w:val="20"/>
          <w:szCs w:val="20"/>
        </w:rPr>
        <w:t>(b) Amount granted for performance-based stock options includes performance adjustments above target for options granted in 20</w:t>
      </w:r>
      <w:r>
        <w:rPr>
          <w:rFonts w:eastAsia="Times New Roman"/>
          <w:color w:val="000000"/>
          <w:sz w:val="20"/>
          <w:szCs w:val="20"/>
        </w:rPr>
        <w:t>21.</w:t>
      </w:r>
    </w:p>
    <w:p w:rsidR="00000000" w:rsidRDefault="00473C5F">
      <w:pPr>
        <w:ind w:firstLine="360"/>
        <w:jc w:val="both"/>
        <w:divId w:val="334961166"/>
        <w:rPr>
          <w:rFonts w:eastAsia="Times New Roman"/>
        </w:rPr>
      </w:pPr>
      <w:r>
        <w:rPr>
          <w:rFonts w:eastAsia="Times New Roman"/>
          <w:color w:val="000000"/>
          <w:sz w:val="20"/>
          <w:szCs w:val="20"/>
        </w:rPr>
        <w:t xml:space="preserve">(c) On August 4, 2022, we paid a Special Dividend of $13.15 per common share to shareholders of record as of August 1, 2022. Stock options that were outstanding at the time of the Special Dividend were adjusted pursuant to the anti-dilution provisions </w:t>
      </w:r>
      <w:r>
        <w:rPr>
          <w:rFonts w:eastAsia="Times New Roman"/>
          <w:color w:val="000000"/>
          <w:sz w:val="20"/>
          <w:szCs w:val="20"/>
        </w:rPr>
        <w:t xml:space="preserve">of the Company’s applicable equity and performance-based incentive compensation plans that provide for equitable adjustments in the event of an extraordinary cash dividend. The anti-dilution adjustments </w:t>
      </w:r>
    </w:p>
    <w:p w:rsidR="00000000" w:rsidRDefault="00473C5F">
      <w:pPr>
        <w:jc w:val="center"/>
        <w:divId w:val="562526869"/>
        <w:rPr>
          <w:rFonts w:eastAsia="Times New Roman"/>
        </w:rPr>
      </w:pPr>
      <w:r>
        <w:rPr>
          <w:rFonts w:eastAsia="Times New Roman"/>
          <w:color w:val="000000"/>
          <w:sz w:val="20"/>
          <w:szCs w:val="20"/>
        </w:rPr>
        <w:t>F-26</w:t>
      </w:r>
    </w:p>
    <w:p w:rsidR="00000000" w:rsidRDefault="00473C5F">
      <w:pPr>
        <w:rPr>
          <w:rFonts w:eastAsia="Times New Roman"/>
        </w:rPr>
      </w:pPr>
      <w:r>
        <w:rPr>
          <w:rFonts w:eastAsia="Times New Roman"/>
        </w:rPr>
        <w:pict>
          <v:rect id="_x0000_i1116" style="width:0;height:1.5pt" o:hralign="center" o:hrstd="t" o:hr="t" fillcolor="#a0a0a0" stroked="f"/>
        </w:pict>
      </w:r>
    </w:p>
    <w:p w:rsidR="00000000" w:rsidRDefault="00473C5F">
      <w:pPr>
        <w:jc w:val="center"/>
        <w:divId w:val="2095545725"/>
        <w:rPr>
          <w:rFonts w:eastAsia="Times New Roman"/>
        </w:rPr>
      </w:pPr>
    </w:p>
    <w:p w:rsidR="00000000" w:rsidRDefault="00473C5F">
      <w:pPr>
        <w:jc w:val="center"/>
        <w:divId w:val="2095545725"/>
        <w:rPr>
          <w:rFonts w:eastAsia="Times New Roman"/>
        </w:rPr>
      </w:pPr>
      <w:r>
        <w:rPr>
          <w:rFonts w:eastAsia="Times New Roman"/>
          <w:b/>
          <w:bCs/>
          <w:color w:val="000000"/>
          <w:sz w:val="20"/>
          <w:szCs w:val="20"/>
        </w:rPr>
        <w:t>PUBLIC STORAGE</w:t>
      </w:r>
    </w:p>
    <w:p w:rsidR="00000000" w:rsidRDefault="00473C5F">
      <w:pPr>
        <w:jc w:val="center"/>
        <w:divId w:val="2095545725"/>
        <w:rPr>
          <w:rFonts w:eastAsia="Times New Roman"/>
        </w:rPr>
      </w:pPr>
      <w:r>
        <w:rPr>
          <w:rFonts w:eastAsia="Times New Roman"/>
          <w:b/>
          <w:bCs/>
          <w:color w:val="000000"/>
          <w:sz w:val="20"/>
          <w:szCs w:val="20"/>
        </w:rPr>
        <w:t>NOTES TO CONSOLIDATED FINANCIAL STATEMENTS</w:t>
      </w:r>
    </w:p>
    <w:p w:rsidR="00000000" w:rsidRDefault="00473C5F">
      <w:pPr>
        <w:jc w:val="center"/>
        <w:divId w:val="2095545725"/>
        <w:rPr>
          <w:rFonts w:eastAsia="Times New Roman"/>
        </w:rPr>
      </w:pPr>
      <w:r>
        <w:rPr>
          <w:rFonts w:eastAsia="Times New Roman"/>
          <w:b/>
          <w:bCs/>
          <w:color w:val="000000"/>
          <w:sz w:val="20"/>
          <w:szCs w:val="20"/>
        </w:rPr>
        <w:t>December 31, 2022</w:t>
      </w:r>
    </w:p>
    <w:p w:rsidR="00000000" w:rsidRDefault="00473C5F">
      <w:pPr>
        <w:jc w:val="center"/>
        <w:divId w:val="2095545725"/>
        <w:rPr>
          <w:rFonts w:eastAsia="Times New Roman"/>
        </w:rPr>
      </w:pPr>
    </w:p>
    <w:p w:rsidR="00000000" w:rsidRDefault="00473C5F">
      <w:pPr>
        <w:jc w:val="both"/>
        <w:divId w:val="1307735574"/>
        <w:rPr>
          <w:rFonts w:eastAsia="Times New Roman"/>
        </w:rPr>
      </w:pPr>
      <w:r>
        <w:rPr>
          <w:rFonts w:eastAsia="Times New Roman"/>
          <w:color w:val="000000"/>
          <w:sz w:val="20"/>
          <w:szCs w:val="20"/>
        </w:rPr>
        <w:t>proportionately increased the number of outstanding stock options and reduced the exercise prices of outstanding stock options by a conversion rate of 1.03275, resulting in an in</w:t>
      </w:r>
      <w:r>
        <w:rPr>
          <w:rFonts w:eastAsia="Times New Roman"/>
          <w:color w:val="000000"/>
          <w:sz w:val="20"/>
          <w:szCs w:val="20"/>
        </w:rPr>
        <w:t>crease of 104,348 stock options outstanding. The adjustments did not result in incremental share-based compensation expense.</w:t>
      </w:r>
    </w:p>
    <w:p w:rsidR="00000000" w:rsidRDefault="00473C5F">
      <w:pPr>
        <w:ind w:firstLine="360"/>
        <w:jc w:val="both"/>
        <w:divId w:val="1169516034"/>
        <w:rPr>
          <w:rFonts w:eastAsia="Times New Roman"/>
        </w:rPr>
      </w:pPr>
      <w:r>
        <w:rPr>
          <w:rFonts w:eastAsia="Times New Roman"/>
          <w:color w:val="000000"/>
          <w:sz w:val="20"/>
          <w:szCs w:val="20"/>
        </w:rPr>
        <w:t>(d) The weighted average exercise price of options outstanding and options exercisable at December 31, 2022 reflect the adjusted ex</w:t>
      </w:r>
      <w:r>
        <w:rPr>
          <w:rFonts w:eastAsia="Times New Roman"/>
          <w:color w:val="000000"/>
          <w:sz w:val="20"/>
          <w:szCs w:val="20"/>
        </w:rPr>
        <w:t>ercise price post the anti-dilution adjustment on August 3, 2022.</w:t>
      </w:r>
    </w:p>
    <w:p w:rsidR="00000000" w:rsidRDefault="00473C5F">
      <w:pPr>
        <w:ind w:firstLine="720"/>
        <w:divId w:val="1904951966"/>
        <w:rPr>
          <w:rFonts w:eastAsia="Times New Roman"/>
        </w:rPr>
      </w:pPr>
      <w:r>
        <w:rPr>
          <w:rFonts w:eastAsia="Times New Roman"/>
          <w:color w:val="000000"/>
          <w:sz w:val="20"/>
          <w:szCs w:val="20"/>
          <w:u w:val="single"/>
        </w:rPr>
        <w:t>Restricted Share Units</w:t>
      </w:r>
    </w:p>
    <w:p w:rsidR="00000000" w:rsidRDefault="00473C5F">
      <w:pPr>
        <w:ind w:firstLine="720"/>
        <w:jc w:val="both"/>
        <w:divId w:val="1156148587"/>
        <w:rPr>
          <w:rFonts w:eastAsia="Times New Roman"/>
        </w:rPr>
      </w:pPr>
      <w:r>
        <w:rPr>
          <w:rFonts w:eastAsia="Times New Roman"/>
          <w:color w:val="000000"/>
          <w:sz w:val="20"/>
          <w:szCs w:val="20"/>
        </w:rPr>
        <w:t xml:space="preserve">We have service-based and performance-based RSUs outstanding, which generally vest over 5 to 8 years from the grant date. Performance-based RSUs outstanding vest upon </w:t>
      </w:r>
      <w:r>
        <w:rPr>
          <w:rFonts w:eastAsia="Times New Roman"/>
          <w:color w:val="000000"/>
          <w:sz w:val="20"/>
          <w:szCs w:val="20"/>
        </w:rPr>
        <w:t>meeting certain performance conditions or market conditions. The grantee receives dividends for each outstanding RSU equal to the per-share dividends received by our common shareholders. We expense any dividends previously paid upon forfeiture of the relat</w:t>
      </w:r>
      <w:r>
        <w:rPr>
          <w:rFonts w:eastAsia="Times New Roman"/>
          <w:color w:val="000000"/>
          <w:sz w:val="20"/>
          <w:szCs w:val="20"/>
        </w:rPr>
        <w:t>ed RSU. Upon vesting, the grantee receives new common shares equal to the number of vested RSUs, less common shares withheld to satisfy the grantee’s statutory tax liabilities arising from the vesting.</w:t>
      </w:r>
    </w:p>
    <w:p w:rsidR="00000000" w:rsidRDefault="00473C5F">
      <w:pPr>
        <w:ind w:firstLine="720"/>
        <w:jc w:val="both"/>
        <w:divId w:val="1124233479"/>
        <w:rPr>
          <w:rFonts w:eastAsia="Times New Roman"/>
        </w:rPr>
      </w:pPr>
      <w:r>
        <w:rPr>
          <w:rFonts w:eastAsia="Times New Roman"/>
          <w:color w:val="000000"/>
          <w:sz w:val="20"/>
          <w:szCs w:val="20"/>
        </w:rPr>
        <w:t>The fair value of our RSUs is determined based upon th</w:t>
      </w:r>
      <w:r>
        <w:rPr>
          <w:rFonts w:eastAsia="Times New Roman"/>
          <w:color w:val="000000"/>
          <w:sz w:val="20"/>
          <w:szCs w:val="20"/>
        </w:rPr>
        <w:t xml:space="preserve">e applicable closing trading price of our common shares. </w:t>
      </w:r>
    </w:p>
    <w:p w:rsidR="00000000" w:rsidRDefault="00473C5F">
      <w:pPr>
        <w:ind w:firstLine="720"/>
        <w:jc w:val="both"/>
        <w:divId w:val="1044259879"/>
        <w:rPr>
          <w:rFonts w:eastAsia="Times New Roman"/>
        </w:rPr>
      </w:pPr>
      <w:r>
        <w:rPr>
          <w:rFonts w:eastAsia="Times New Roman"/>
          <w:color w:val="000000"/>
          <w:sz w:val="20"/>
          <w:szCs w:val="20"/>
        </w:rPr>
        <w:t>For the years ended December 31, 2022, 2021, and 2020, we incurred share-based compensation cost for RSUs of $39.9 million, $37.6 million, and $25.1 million, respectively.</w:t>
      </w:r>
    </w:p>
    <w:p w:rsidR="00000000" w:rsidRDefault="00473C5F">
      <w:pPr>
        <w:ind w:firstLine="720"/>
        <w:jc w:val="both"/>
        <w:divId w:val="111169429"/>
        <w:rPr>
          <w:rFonts w:eastAsia="Times New Roman"/>
        </w:rPr>
      </w:pPr>
      <w:r>
        <w:rPr>
          <w:rFonts w:eastAsia="Times New Roman"/>
          <w:color w:val="000000"/>
          <w:sz w:val="20"/>
          <w:szCs w:val="20"/>
        </w:rPr>
        <w:t>During 2022, 21,985 RSUs w</w:t>
      </w:r>
      <w:r>
        <w:rPr>
          <w:rFonts w:eastAsia="Times New Roman"/>
          <w:color w:val="000000"/>
          <w:sz w:val="20"/>
          <w:szCs w:val="20"/>
        </w:rPr>
        <w:t>ere awarded where vesting is dependent upon meeting certain market conditions over a three-year period from January 1, 2022 through December 31, 2024, with continued service-based vesting through the first quarter of 2027. The amount of these RSUs that are</w:t>
      </w:r>
      <w:r>
        <w:rPr>
          <w:rFonts w:eastAsia="Times New Roman"/>
          <w:color w:val="000000"/>
          <w:sz w:val="20"/>
          <w:szCs w:val="20"/>
        </w:rPr>
        <w:t xml:space="preserve"> earned and vested, if any, will be based, in addition to continued employment requirements, on the Company's relative total shareholder return over the three-year period as compared to the weighted average total shareholder return of the specified peer gr</w:t>
      </w:r>
      <w:r>
        <w:rPr>
          <w:rFonts w:eastAsia="Times New Roman"/>
          <w:color w:val="000000"/>
          <w:sz w:val="20"/>
          <w:szCs w:val="20"/>
        </w:rPr>
        <w:t xml:space="preserve">oups and can result in grantees earning up to 200% of the target RSUs originally granted. </w:t>
      </w:r>
    </w:p>
    <w:p w:rsidR="00000000" w:rsidRDefault="00473C5F">
      <w:pPr>
        <w:ind w:firstLine="720"/>
        <w:jc w:val="both"/>
        <w:divId w:val="593395003"/>
        <w:rPr>
          <w:rFonts w:eastAsia="Times New Roman"/>
        </w:rPr>
      </w:pPr>
      <w:r>
        <w:rPr>
          <w:rFonts w:eastAsia="Times New Roman"/>
          <w:color w:val="000000"/>
          <w:sz w:val="20"/>
          <w:szCs w:val="20"/>
        </w:rPr>
        <w:t>During 2021, 37,000 RSUs were awarded where vesting is dependent upon meeting certain performance targets for 2021, which are considered performance conditions, with</w:t>
      </w:r>
      <w:r>
        <w:rPr>
          <w:rFonts w:eastAsia="Times New Roman"/>
          <w:color w:val="000000"/>
          <w:sz w:val="20"/>
          <w:szCs w:val="20"/>
        </w:rPr>
        <w:t xml:space="preserve"> continued service-based vesting through the first quarter of 2026. As of December 31, 2021, these targets were met at 125% achievement.</w:t>
      </w:r>
    </w:p>
    <w:p w:rsidR="00000000" w:rsidRDefault="00473C5F">
      <w:pPr>
        <w:ind w:firstLine="720"/>
        <w:jc w:val="both"/>
        <w:divId w:val="1752972278"/>
        <w:rPr>
          <w:rFonts w:eastAsia="Times New Roman"/>
        </w:rPr>
      </w:pPr>
      <w:r>
        <w:rPr>
          <w:rFonts w:eastAsia="Times New Roman"/>
          <w:color w:val="000000"/>
          <w:sz w:val="20"/>
          <w:szCs w:val="20"/>
        </w:rPr>
        <w:t xml:space="preserve">Remaining compensation cost related to RSUs outstanding at December 31, 2022 totals approximately $74.3 million and is </w:t>
      </w:r>
      <w:r>
        <w:rPr>
          <w:rFonts w:eastAsia="Times New Roman"/>
          <w:color w:val="000000"/>
          <w:sz w:val="20"/>
          <w:szCs w:val="20"/>
        </w:rPr>
        <w:t>expected to be recognized over the next two years on average. The following tables set forth relevant information with respect to restricted shares (dollar amounts in thousands):</w:t>
      </w:r>
    </w:p>
    <w:p w:rsidR="00000000" w:rsidRDefault="00473C5F">
      <w:pPr>
        <w:jc w:val="center"/>
        <w:divId w:val="1460076866"/>
        <w:rPr>
          <w:rFonts w:eastAsia="Times New Roman"/>
        </w:rPr>
      </w:pPr>
      <w:r>
        <w:rPr>
          <w:rFonts w:eastAsia="Times New Roman"/>
          <w:color w:val="000000"/>
          <w:sz w:val="20"/>
          <w:szCs w:val="20"/>
        </w:rPr>
        <w:t>F-27</w:t>
      </w:r>
    </w:p>
    <w:p w:rsidR="00000000" w:rsidRDefault="00473C5F">
      <w:pPr>
        <w:rPr>
          <w:rFonts w:eastAsia="Times New Roman"/>
        </w:rPr>
      </w:pPr>
      <w:r>
        <w:rPr>
          <w:rFonts w:eastAsia="Times New Roman"/>
        </w:rPr>
        <w:pict>
          <v:rect id="_x0000_i1117" style="width:0;height:1.5pt" o:hralign="center" o:hrstd="t" o:hr="t" fillcolor="#a0a0a0" stroked="f"/>
        </w:pict>
      </w:r>
    </w:p>
    <w:p w:rsidR="00000000" w:rsidRDefault="00473C5F">
      <w:pPr>
        <w:jc w:val="center"/>
        <w:divId w:val="340939534"/>
        <w:rPr>
          <w:rFonts w:eastAsia="Times New Roman"/>
        </w:rPr>
      </w:pPr>
    </w:p>
    <w:p w:rsidR="00000000" w:rsidRDefault="00473C5F">
      <w:pPr>
        <w:jc w:val="center"/>
        <w:divId w:val="340939534"/>
        <w:rPr>
          <w:rFonts w:eastAsia="Times New Roman"/>
        </w:rPr>
      </w:pPr>
      <w:r>
        <w:rPr>
          <w:rFonts w:eastAsia="Times New Roman"/>
          <w:b/>
          <w:bCs/>
          <w:color w:val="000000"/>
          <w:sz w:val="20"/>
          <w:szCs w:val="20"/>
        </w:rPr>
        <w:t>PUBLIC STORAGE</w:t>
      </w:r>
    </w:p>
    <w:p w:rsidR="00000000" w:rsidRDefault="00473C5F">
      <w:pPr>
        <w:jc w:val="center"/>
        <w:divId w:val="340939534"/>
        <w:rPr>
          <w:rFonts w:eastAsia="Times New Roman"/>
        </w:rPr>
      </w:pPr>
      <w:r>
        <w:rPr>
          <w:rFonts w:eastAsia="Times New Roman"/>
          <w:b/>
          <w:bCs/>
          <w:color w:val="000000"/>
          <w:sz w:val="20"/>
          <w:szCs w:val="20"/>
        </w:rPr>
        <w:t>NOTES TO CONSOLIDAT</w:t>
      </w:r>
      <w:r>
        <w:rPr>
          <w:rFonts w:eastAsia="Times New Roman"/>
          <w:b/>
          <w:bCs/>
          <w:color w:val="000000"/>
          <w:sz w:val="20"/>
          <w:szCs w:val="20"/>
        </w:rPr>
        <w:t>ED FINANCIAL STATEMENTS</w:t>
      </w:r>
    </w:p>
    <w:p w:rsidR="00000000" w:rsidRDefault="00473C5F">
      <w:pPr>
        <w:jc w:val="center"/>
        <w:divId w:val="340939534"/>
        <w:rPr>
          <w:rFonts w:eastAsia="Times New Roman"/>
        </w:rPr>
      </w:pPr>
      <w:r>
        <w:rPr>
          <w:rFonts w:eastAsia="Times New Roman"/>
          <w:b/>
          <w:bCs/>
          <w:color w:val="000000"/>
          <w:sz w:val="20"/>
          <w:szCs w:val="20"/>
        </w:rPr>
        <w:t>December 31, 2022</w:t>
      </w:r>
    </w:p>
    <w:p w:rsidR="00000000" w:rsidRDefault="00473C5F">
      <w:pPr>
        <w:jc w:val="center"/>
        <w:divId w:val="340939534"/>
        <w:rPr>
          <w:rFonts w:eastAsia="Times New Roman"/>
        </w:rPr>
      </w:pPr>
    </w:p>
    <w:p w:rsidR="00000000" w:rsidRDefault="00473C5F">
      <w:pPr>
        <w:jc w:val="center"/>
        <w:divId w:val="1466704293"/>
        <w:rPr>
          <w:rFonts w:eastAsia="Times New Roman"/>
        </w:rPr>
      </w:pPr>
    </w:p>
    <w:tbl>
      <w:tblPr>
        <w:tblW w:w="4954" w:type="pct"/>
        <w:jc w:val="center"/>
        <w:tblCellMar>
          <w:top w:w="15" w:type="dxa"/>
          <w:left w:w="15" w:type="dxa"/>
          <w:bottom w:w="15" w:type="dxa"/>
          <w:right w:w="15" w:type="dxa"/>
        </w:tblCellMar>
        <w:tblLook w:val="04A0" w:firstRow="1" w:lastRow="0" w:firstColumn="1" w:lastColumn="0" w:noHBand="0" w:noVBand="1"/>
      </w:tblPr>
      <w:tblGrid>
        <w:gridCol w:w="37"/>
        <w:gridCol w:w="2469"/>
        <w:gridCol w:w="36"/>
        <w:gridCol w:w="72"/>
        <w:gridCol w:w="707"/>
        <w:gridCol w:w="36"/>
        <w:gridCol w:w="36"/>
        <w:gridCol w:w="36"/>
        <w:gridCol w:w="36"/>
        <w:gridCol w:w="111"/>
        <w:gridCol w:w="750"/>
        <w:gridCol w:w="37"/>
        <w:gridCol w:w="36"/>
        <w:gridCol w:w="36"/>
        <w:gridCol w:w="36"/>
        <w:gridCol w:w="72"/>
        <w:gridCol w:w="708"/>
        <w:gridCol w:w="37"/>
        <w:gridCol w:w="37"/>
        <w:gridCol w:w="37"/>
        <w:gridCol w:w="37"/>
        <w:gridCol w:w="111"/>
        <w:gridCol w:w="751"/>
        <w:gridCol w:w="36"/>
        <w:gridCol w:w="36"/>
        <w:gridCol w:w="36"/>
        <w:gridCol w:w="36"/>
        <w:gridCol w:w="72"/>
        <w:gridCol w:w="709"/>
        <w:gridCol w:w="36"/>
        <w:gridCol w:w="36"/>
        <w:gridCol w:w="36"/>
        <w:gridCol w:w="36"/>
        <w:gridCol w:w="111"/>
        <w:gridCol w:w="753"/>
        <w:gridCol w:w="36"/>
      </w:tblGrid>
      <w:tr w:rsidR="00000000">
        <w:trPr>
          <w:divId w:val="652292596"/>
          <w:jc w:val="center"/>
        </w:trPr>
        <w:tc>
          <w:tcPr>
            <w:tcW w:w="50" w:type="pct"/>
            <w:vAlign w:val="center"/>
            <w:hideMark/>
          </w:tcPr>
          <w:p w:rsidR="00000000" w:rsidRDefault="00473C5F">
            <w:pPr>
              <w:jc w:val="center"/>
              <w:rPr>
                <w:rFonts w:eastAsia="Times New Roman"/>
              </w:rPr>
            </w:pPr>
          </w:p>
        </w:tc>
        <w:tc>
          <w:tcPr>
            <w:tcW w:w="153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8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8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8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8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8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488"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652292596"/>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Service-Based</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Performance-Based</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Total</w:t>
            </w:r>
          </w:p>
        </w:tc>
      </w:tr>
      <w:tr w:rsidR="00000000">
        <w:trPr>
          <w:divId w:val="652292596"/>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Number of Restricted Share 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Weighted-Average Grant-Date Fair Value</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Number of Restricted Share 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Weighted-Average Grant-Date Fair Value</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Number of Restricted Share 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Weighted-Average Grant-Date Fair Value</w:t>
            </w:r>
          </w:p>
        </w:tc>
      </w:tr>
      <w:tr w:rsidR="00000000">
        <w:trPr>
          <w:divId w:val="65229259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Restricted share units outstanding January 1, 2020</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619,150 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213.29 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619,150 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213.29 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2292596"/>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Granted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110,755 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222.27 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110,755 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222.27 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2292596"/>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Vested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(140,089)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(200.88)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(140,089)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(200.88)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2292596"/>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Forfeited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(37,028)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(215.08)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(37,028)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(215.08)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229259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Restricted share units outstanding December 31, 2020</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552,788 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218.11 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552,788 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218.11 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2292596"/>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Granted (a)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143,068 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336.06 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46,250 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275.12 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189,318 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321.17 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2292596"/>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Vested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(138,420)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(216.63)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(138,420)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(216.63)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2292596"/>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Forfeited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(32,864)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(221.32)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(32,864)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(221.32)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229259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Restricted share units outstanding December 31, 2021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524,572 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249.90 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46,250 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275.12 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570,822 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251.95 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2292596"/>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Granted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51,575 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293.43 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21,985 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465.11 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73,560 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344.74 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2292596"/>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Vested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(146,138)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w:t>
            </w:r>
            <w:r>
              <w:rPr>
                <w:rFonts w:eastAsia="Times New Roman"/>
                <w:color w:val="000000"/>
                <w:sz w:val="18"/>
                <w:szCs w:val="18"/>
              </w:rPr>
              <w:t>240.71)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(146,138)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(240.71)</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2292596"/>
          <w:jc w:val="center"/>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Forfeited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(22,197)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(256.50)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(22,197)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(256.50)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5229259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Restricted share units outstanding December 31, 2022</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407,812 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258.34 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68,235 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336.33 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476,047 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269.52 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divId w:val="194877910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172"/>
        <w:gridCol w:w="37"/>
        <w:gridCol w:w="120"/>
        <w:gridCol w:w="817"/>
        <w:gridCol w:w="36"/>
        <w:gridCol w:w="36"/>
        <w:gridCol w:w="36"/>
        <w:gridCol w:w="36"/>
        <w:gridCol w:w="120"/>
        <w:gridCol w:w="778"/>
        <w:gridCol w:w="36"/>
        <w:gridCol w:w="36"/>
        <w:gridCol w:w="36"/>
        <w:gridCol w:w="36"/>
        <w:gridCol w:w="120"/>
        <w:gridCol w:w="780"/>
        <w:gridCol w:w="36"/>
      </w:tblGrid>
      <w:tr w:rsidR="00000000">
        <w:trPr>
          <w:divId w:val="642462322"/>
        </w:trPr>
        <w:tc>
          <w:tcPr>
            <w:tcW w:w="50" w:type="pct"/>
            <w:vAlign w:val="center"/>
            <w:hideMark/>
          </w:tcPr>
          <w:p w:rsidR="00000000" w:rsidRDefault="00473C5F">
            <w:pPr>
              <w:rPr>
                <w:rFonts w:eastAsia="Times New Roman"/>
              </w:rPr>
            </w:pPr>
          </w:p>
        </w:tc>
        <w:tc>
          <w:tcPr>
            <w:tcW w:w="314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52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642462322"/>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2020</w:t>
            </w:r>
          </w:p>
        </w:tc>
      </w:tr>
      <w:tr w:rsidR="00000000">
        <w:trPr>
          <w:divId w:val="64246232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Amounts for the year (in 000's, except number of 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4246232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Fair value of vested shares on vesting date</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47,244 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37,430 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31,076 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4246232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Cash paid for taxes upon vesting in lieu of issuing common shares</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16,827 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13,069 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10,518 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4246232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Common shares issued upon vesting</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99,009 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81,325 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91,627 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642462322"/>
          <w:trHeight w:val="280"/>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42462322"/>
        </w:trPr>
        <w:tc>
          <w:tcPr>
            <w:tcW w:w="0" w:type="auto"/>
            <w:gridSpan w:val="3"/>
            <w:tcMar>
              <w:top w:w="30" w:type="dxa"/>
              <w:left w:w="110" w:type="dxa"/>
              <w:bottom w:w="30" w:type="dxa"/>
              <w:right w:w="20" w:type="dxa"/>
            </w:tcMar>
            <w:vAlign w:val="bottom"/>
            <w:hideMark/>
          </w:tcPr>
          <w:p w:rsidR="00000000" w:rsidRDefault="00473C5F">
            <w:pPr>
              <w:spacing w:after="100"/>
              <w:ind w:hanging="90"/>
              <w:rPr>
                <w:rFonts w:eastAsia="Times New Roman"/>
              </w:rPr>
            </w:pPr>
            <w:r>
              <w:rPr>
                <w:rFonts w:eastAsia="Times New Roman"/>
                <w:b/>
                <w:bCs/>
                <w:color w:val="000000"/>
                <w:sz w:val="20"/>
                <w:szCs w:val="20"/>
              </w:rPr>
              <w:t>Average assumptions used in valuing restricted share units with market conditions with the Monte-Carlo simulation method:</w:t>
            </w:r>
          </w:p>
        </w:tc>
        <w:tc>
          <w:tcPr>
            <w:tcW w:w="0" w:type="auto"/>
            <w:gridSpan w:val="3"/>
            <w:tcMar>
              <w:top w:w="0" w:type="dxa"/>
              <w:left w:w="20" w:type="dxa"/>
              <w:bottom w:w="0" w:type="dxa"/>
              <w:right w:w="20" w:type="dxa"/>
            </w:tcMar>
            <w:vAlign w:val="center"/>
            <w:hideMark/>
          </w:tcPr>
          <w:p w:rsidR="00000000" w:rsidRDefault="00473C5F">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42462322"/>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Time from the valuation date to the end of the performance period</w:t>
            </w: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20"/>
                <w:szCs w:val="20"/>
              </w:rPr>
              <w:t>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42462322"/>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Risk-free interest rate</w:t>
            </w: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20"/>
                <w:szCs w:val="20"/>
              </w:rPr>
              <w:t>1.6%</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42462322"/>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Expected volatility, based upon historical volatility</w:t>
            </w: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20"/>
                <w:szCs w:val="20"/>
              </w:rPr>
              <w:t>26.5%</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42462322"/>
        </w:trPr>
        <w:tc>
          <w:tcPr>
            <w:tcW w:w="0" w:type="auto"/>
            <w:gridSpan w:val="3"/>
            <w:tcMar>
              <w:top w:w="30" w:type="dxa"/>
              <w:left w:w="11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Expected dividend yield</w:t>
            </w:r>
          </w:p>
        </w:tc>
        <w:tc>
          <w:tcPr>
            <w:tcW w:w="0" w:type="auto"/>
            <w:gridSpan w:val="3"/>
            <w:tcMar>
              <w:top w:w="30" w:type="dxa"/>
              <w:left w:w="20" w:type="dxa"/>
              <w:bottom w:w="30" w:type="dxa"/>
              <w:right w:w="140" w:type="dxa"/>
            </w:tcMar>
            <w:vAlign w:val="bottom"/>
            <w:hideMark/>
          </w:tcPr>
          <w:p w:rsidR="00000000" w:rsidRDefault="00473C5F">
            <w:pPr>
              <w:spacing w:after="100"/>
              <w:jc w:val="right"/>
              <w:rPr>
                <w:rFonts w:eastAsia="Times New Roman"/>
              </w:rPr>
            </w:pPr>
            <w:r>
              <w:rPr>
                <w:rFonts w:eastAsia="Times New Roman"/>
                <w:color w:val="000000"/>
                <w:sz w:val="20"/>
                <w:szCs w:val="20"/>
              </w:rPr>
              <w:t>2.3%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42462322"/>
          <w:trHeight w:val="280"/>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642462322"/>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20"/>
                <w:szCs w:val="20"/>
              </w:rPr>
              <w:t>Average estimated value of restricted share units granted during the year</w:t>
            </w: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20"/>
                <w:szCs w:val="20"/>
              </w:rPr>
              <w:t>465.11 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bl>
    <w:p w:rsidR="00000000" w:rsidRDefault="00473C5F">
      <w:pPr>
        <w:ind w:firstLine="720"/>
        <w:jc w:val="both"/>
        <w:divId w:val="1545291120"/>
        <w:rPr>
          <w:rFonts w:eastAsia="Times New Roman"/>
        </w:rPr>
      </w:pPr>
      <w:r>
        <w:rPr>
          <w:rFonts w:eastAsia="Times New Roman"/>
          <w:color w:val="000000"/>
          <w:sz w:val="20"/>
          <w:szCs w:val="20"/>
        </w:rPr>
        <w:t>(a)</w:t>
      </w:r>
      <w:r>
        <w:rPr>
          <w:rFonts w:eastAsia="Times New Roman"/>
          <w:color w:val="000000"/>
          <w:sz w:val="20"/>
          <w:szCs w:val="20"/>
        </w:rPr>
        <w:t>Amount includes adjustments above target for performance-based RSUs granted in fiscal year 2021 based on achievement of performance criteria.</w:t>
      </w:r>
    </w:p>
    <w:p w:rsidR="00000000" w:rsidRDefault="00473C5F">
      <w:pPr>
        <w:ind w:firstLine="720"/>
        <w:divId w:val="2067412221"/>
        <w:rPr>
          <w:rFonts w:eastAsia="Times New Roman"/>
        </w:rPr>
      </w:pPr>
      <w:r>
        <w:rPr>
          <w:rFonts w:eastAsia="Times New Roman"/>
          <w:color w:val="000000"/>
          <w:sz w:val="20"/>
          <w:szCs w:val="20"/>
          <w:u w:val="single"/>
        </w:rPr>
        <w:t>Trustee Deferral Program</w:t>
      </w:r>
    </w:p>
    <w:p w:rsidR="00000000" w:rsidRDefault="00473C5F">
      <w:pPr>
        <w:ind w:firstLine="720"/>
        <w:jc w:val="both"/>
        <w:divId w:val="1523518219"/>
        <w:rPr>
          <w:rFonts w:eastAsia="Times New Roman"/>
        </w:rPr>
      </w:pPr>
      <w:r>
        <w:rPr>
          <w:rFonts w:eastAsia="Times New Roman"/>
          <w:color w:val="000000"/>
          <w:sz w:val="20"/>
          <w:szCs w:val="20"/>
        </w:rPr>
        <w:t xml:space="preserve">Non-management trustees may elect to receive all or a portion of their cash retainers in </w:t>
      </w:r>
      <w:r>
        <w:rPr>
          <w:rFonts w:eastAsia="Times New Roman"/>
          <w:color w:val="000000"/>
          <w:sz w:val="20"/>
          <w:szCs w:val="20"/>
        </w:rPr>
        <w:t>cash, unrestricted common shares, or fully-vested DSUs to be settled at a specified future date. Shares of unrestricted stock and/or DSUs will be granted to the non-management trustee on the last day of each calendar quarter based on the cash retainer earn</w:t>
      </w:r>
      <w:r>
        <w:rPr>
          <w:rFonts w:eastAsia="Times New Roman"/>
          <w:color w:val="000000"/>
          <w:sz w:val="20"/>
          <w:szCs w:val="20"/>
        </w:rPr>
        <w:t xml:space="preserve">ed for that quarter and converted into a number of shares or units based on the applicable closing price of our common shares on such date. During 2022, we granted 2,425 DSUs and 432 unrestricted common shares. </w:t>
      </w:r>
    </w:p>
    <w:p w:rsidR="00000000" w:rsidRDefault="00473C5F">
      <w:pPr>
        <w:jc w:val="center"/>
        <w:divId w:val="648947643"/>
        <w:rPr>
          <w:rFonts w:eastAsia="Times New Roman"/>
        </w:rPr>
      </w:pPr>
      <w:r>
        <w:rPr>
          <w:rFonts w:eastAsia="Times New Roman"/>
          <w:color w:val="000000"/>
          <w:sz w:val="20"/>
          <w:szCs w:val="20"/>
        </w:rPr>
        <w:t>F-28</w:t>
      </w:r>
    </w:p>
    <w:p w:rsidR="00000000" w:rsidRDefault="00473C5F">
      <w:pPr>
        <w:rPr>
          <w:rFonts w:eastAsia="Times New Roman"/>
        </w:rPr>
      </w:pPr>
      <w:r>
        <w:rPr>
          <w:rFonts w:eastAsia="Times New Roman"/>
        </w:rPr>
        <w:pict>
          <v:rect id="_x0000_i1118" style="width:0;height:1.5pt" o:hralign="center" o:hrstd="t" o:hr="t" fillcolor="#a0a0a0" stroked="f"/>
        </w:pict>
      </w:r>
    </w:p>
    <w:p w:rsidR="00000000" w:rsidRDefault="00473C5F">
      <w:pPr>
        <w:jc w:val="center"/>
        <w:divId w:val="1625229495"/>
        <w:rPr>
          <w:rFonts w:eastAsia="Times New Roman"/>
        </w:rPr>
      </w:pPr>
    </w:p>
    <w:p w:rsidR="00000000" w:rsidRDefault="00473C5F">
      <w:pPr>
        <w:jc w:val="center"/>
        <w:divId w:val="1625229495"/>
        <w:rPr>
          <w:rFonts w:eastAsia="Times New Roman"/>
        </w:rPr>
      </w:pPr>
      <w:r>
        <w:rPr>
          <w:rFonts w:eastAsia="Times New Roman"/>
          <w:b/>
          <w:bCs/>
          <w:color w:val="000000"/>
          <w:sz w:val="20"/>
          <w:szCs w:val="20"/>
        </w:rPr>
        <w:t>PUBLIC STORAGE</w:t>
      </w:r>
    </w:p>
    <w:p w:rsidR="00000000" w:rsidRDefault="00473C5F">
      <w:pPr>
        <w:jc w:val="center"/>
        <w:divId w:val="1625229495"/>
        <w:rPr>
          <w:rFonts w:eastAsia="Times New Roman"/>
        </w:rPr>
      </w:pPr>
      <w:r>
        <w:rPr>
          <w:rFonts w:eastAsia="Times New Roman"/>
          <w:b/>
          <w:bCs/>
          <w:color w:val="000000"/>
          <w:sz w:val="20"/>
          <w:szCs w:val="20"/>
        </w:rPr>
        <w:t>NOTES TO CONSOLIDATED FINANCIAL STATEMENTS</w:t>
      </w:r>
    </w:p>
    <w:p w:rsidR="00000000" w:rsidRDefault="00473C5F">
      <w:pPr>
        <w:jc w:val="center"/>
        <w:divId w:val="1625229495"/>
        <w:rPr>
          <w:rFonts w:eastAsia="Times New Roman"/>
        </w:rPr>
      </w:pPr>
      <w:r>
        <w:rPr>
          <w:rFonts w:eastAsia="Times New Roman"/>
          <w:b/>
          <w:bCs/>
          <w:color w:val="000000"/>
          <w:sz w:val="20"/>
          <w:szCs w:val="20"/>
        </w:rPr>
        <w:t>December 31, 2022</w:t>
      </w:r>
    </w:p>
    <w:p w:rsidR="00000000" w:rsidRDefault="00473C5F">
      <w:pPr>
        <w:jc w:val="center"/>
        <w:divId w:val="1625229495"/>
        <w:rPr>
          <w:rFonts w:eastAsia="Times New Roman"/>
        </w:rPr>
      </w:pPr>
    </w:p>
    <w:p w:rsidR="00000000" w:rsidRDefault="00473C5F">
      <w:pPr>
        <w:ind w:hanging="360"/>
        <w:jc w:val="both"/>
        <w:divId w:val="1786344737"/>
        <w:rPr>
          <w:rFonts w:eastAsia="Times New Roman"/>
        </w:rPr>
      </w:pPr>
      <w:r>
        <w:rPr>
          <w:rFonts w:eastAsia="Times New Roman"/>
          <w:color w:val="000000"/>
          <w:sz w:val="20"/>
          <w:szCs w:val="20"/>
        </w:rPr>
        <w:t xml:space="preserve">12. </w:t>
      </w:r>
      <w:r>
        <w:rPr>
          <w:rFonts w:eastAsia="Times New Roman"/>
          <w:color w:val="000000"/>
          <w:sz w:val="20"/>
          <w:szCs w:val="20"/>
          <w:u w:val="single"/>
        </w:rPr>
        <w:t>Net Income per Common Share</w:t>
      </w:r>
    </w:p>
    <w:p w:rsidR="00000000" w:rsidRDefault="00473C5F">
      <w:pPr>
        <w:ind w:firstLine="720"/>
        <w:jc w:val="both"/>
        <w:divId w:val="455491983"/>
        <w:rPr>
          <w:rFonts w:eastAsia="Times New Roman"/>
        </w:rPr>
      </w:pPr>
      <w:r>
        <w:rPr>
          <w:rFonts w:eastAsia="Times New Roman"/>
          <w:color w:val="000000"/>
          <w:sz w:val="20"/>
          <w:szCs w:val="20"/>
        </w:rPr>
        <w:t>We allocate net income to (i) noncontrolling interests based upon their contractual rights in the respective subsidiaries or for participating noncontrolling interests based upon their participation in both distributed and undistributed earnings of the Com</w:t>
      </w:r>
      <w:r>
        <w:rPr>
          <w:rFonts w:eastAsia="Times New Roman"/>
          <w:color w:val="000000"/>
          <w:sz w:val="20"/>
          <w:szCs w:val="20"/>
        </w:rPr>
        <w:t>pany, (ii) preferred shareholders, for distributions paid or payable, (iii) preferred shareholders, to the extent redemption cost exceeds the related original net issuance proceeds (a “preferred share redemption charge”), and (iv) RSUs, for non-forfeitable</w:t>
      </w:r>
      <w:r>
        <w:rPr>
          <w:rFonts w:eastAsia="Times New Roman"/>
          <w:color w:val="000000"/>
          <w:sz w:val="20"/>
          <w:szCs w:val="20"/>
        </w:rPr>
        <w:t xml:space="preserve"> dividends paid and adjusted for participation rights in undistributed earnings of the Company. </w:t>
      </w:r>
    </w:p>
    <w:p w:rsidR="00000000" w:rsidRDefault="00473C5F">
      <w:pPr>
        <w:ind w:firstLine="720"/>
        <w:jc w:val="both"/>
        <w:divId w:val="783310255"/>
        <w:rPr>
          <w:rFonts w:eastAsia="Times New Roman"/>
        </w:rPr>
      </w:pPr>
      <w:r>
        <w:rPr>
          <w:rFonts w:eastAsia="Times New Roman"/>
          <w:color w:val="000000"/>
          <w:sz w:val="20"/>
          <w:szCs w:val="20"/>
        </w:rPr>
        <w:t>We calculate basic and diluted net income per common share based upon net income allocable to common shareholders, divided by (i) weighted average common share</w:t>
      </w:r>
      <w:r>
        <w:rPr>
          <w:rFonts w:eastAsia="Times New Roman"/>
          <w:color w:val="000000"/>
          <w:sz w:val="20"/>
          <w:szCs w:val="20"/>
        </w:rPr>
        <w:t>s for basic net income per common share, and (ii) weighted average common shares adjusted for the impact of dilutive stock options outstanding for diluted net income per common share. Potentially dilutive stock options representing 147,344 common shares we</w:t>
      </w:r>
      <w:r>
        <w:rPr>
          <w:rFonts w:eastAsia="Times New Roman"/>
          <w:color w:val="000000"/>
          <w:sz w:val="20"/>
          <w:szCs w:val="20"/>
        </w:rPr>
        <w:t>re excluded from the computation of diluted earnings per share for the year ended December 31, 2022, because their effect would have been antidilutive.</w:t>
      </w:r>
    </w:p>
    <w:p w:rsidR="00000000" w:rsidRDefault="00473C5F">
      <w:pPr>
        <w:ind w:firstLine="720"/>
        <w:jc w:val="both"/>
        <w:divId w:val="409086312"/>
        <w:rPr>
          <w:rFonts w:eastAsia="Times New Roman"/>
        </w:rPr>
      </w:pPr>
      <w:r>
        <w:rPr>
          <w:rFonts w:eastAsia="Times New Roman"/>
          <w:color w:val="000000"/>
          <w:sz w:val="20"/>
          <w:szCs w:val="20"/>
        </w:rPr>
        <w:t>The following table reconciles the numerators and denominators of the basic and diluted net income per c</w:t>
      </w:r>
      <w:r>
        <w:rPr>
          <w:rFonts w:eastAsia="Times New Roman"/>
          <w:color w:val="000000"/>
          <w:sz w:val="20"/>
          <w:szCs w:val="20"/>
        </w:rPr>
        <w:t>ommon shares computation for the year ended December 31, 2022, 2021, and 2020, respectively (in thousands, except per share amounts):</w:t>
      </w:r>
    </w:p>
    <w:tbl>
      <w:tblPr>
        <w:tblW w:w="4818" w:type="pct"/>
        <w:tblCellMar>
          <w:top w:w="15" w:type="dxa"/>
          <w:left w:w="15" w:type="dxa"/>
          <w:bottom w:w="15" w:type="dxa"/>
          <w:right w:w="15" w:type="dxa"/>
        </w:tblCellMar>
        <w:tblLook w:val="04A0" w:firstRow="1" w:lastRow="0" w:firstColumn="1" w:lastColumn="0" w:noHBand="0" w:noVBand="1"/>
      </w:tblPr>
      <w:tblGrid>
        <w:gridCol w:w="37"/>
        <w:gridCol w:w="4029"/>
        <w:gridCol w:w="36"/>
        <w:gridCol w:w="36"/>
        <w:gridCol w:w="36"/>
        <w:gridCol w:w="36"/>
        <w:gridCol w:w="36"/>
        <w:gridCol w:w="36"/>
        <w:gridCol w:w="36"/>
        <w:gridCol w:w="122"/>
        <w:gridCol w:w="1025"/>
        <w:gridCol w:w="38"/>
        <w:gridCol w:w="37"/>
        <w:gridCol w:w="37"/>
        <w:gridCol w:w="37"/>
        <w:gridCol w:w="122"/>
        <w:gridCol w:w="981"/>
        <w:gridCol w:w="38"/>
        <w:gridCol w:w="37"/>
        <w:gridCol w:w="36"/>
        <w:gridCol w:w="36"/>
        <w:gridCol w:w="121"/>
        <w:gridCol w:w="982"/>
        <w:gridCol w:w="37"/>
      </w:tblGrid>
      <w:tr w:rsidR="00000000">
        <w:trPr>
          <w:divId w:val="1205485022"/>
        </w:trPr>
        <w:tc>
          <w:tcPr>
            <w:tcW w:w="50" w:type="pct"/>
            <w:vAlign w:val="center"/>
            <w:hideMark/>
          </w:tcPr>
          <w:p w:rsidR="00000000" w:rsidRDefault="00473C5F">
            <w:pPr>
              <w:ind w:firstLine="720"/>
              <w:jc w:val="both"/>
              <w:rPr>
                <w:rFonts w:eastAsia="Times New Roman"/>
              </w:rPr>
            </w:pPr>
          </w:p>
        </w:tc>
        <w:tc>
          <w:tcPr>
            <w:tcW w:w="262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9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9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9"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91"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205485022"/>
        </w:trPr>
        <w:tc>
          <w:tcPr>
            <w:tcW w:w="0" w:type="auto"/>
            <w:gridSpan w:val="3"/>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divId w:val="1205485022"/>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20"/>
                <w:szCs w:val="20"/>
              </w:rPr>
              <w:t>For the Years Ended December 31,</w:t>
            </w:r>
          </w:p>
        </w:tc>
      </w:tr>
      <w:tr w:rsidR="00000000">
        <w:trPr>
          <w:divId w:val="1205485022"/>
        </w:trPr>
        <w:tc>
          <w:tcPr>
            <w:tcW w:w="0" w:type="auto"/>
            <w:gridSpan w:val="3"/>
            <w:tcMar>
              <w:top w:w="30" w:type="dxa"/>
              <w:left w:w="20" w:type="dxa"/>
              <w:bottom w:w="30" w:type="dxa"/>
              <w:right w:w="20" w:type="dxa"/>
            </w:tcMar>
            <w:vAlign w:val="center"/>
            <w:hideMark/>
          </w:tcPr>
          <w:p w:rsidR="00000000" w:rsidRDefault="00473C5F">
            <w:pPr>
              <w:spacing w:after="100"/>
              <w:rPr>
                <w:rFonts w:eastAsia="Times New Roman"/>
              </w:rPr>
            </w:pPr>
            <w:r>
              <w:rPr>
                <w:rFonts w:eastAsia="Times New Roman"/>
                <w:color w:val="000000"/>
                <w:sz w:val="20"/>
                <w:szCs w:val="20"/>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73C5F">
            <w:pPr>
              <w:spacing w:after="100"/>
              <w:jc w:val="center"/>
              <w:rPr>
                <w:rFonts w:eastAsia="Times New Roman"/>
              </w:rPr>
            </w:pPr>
            <w:r>
              <w:rPr>
                <w:rFonts w:eastAsia="Times New Roman"/>
                <w:color w:val="000000"/>
                <w:sz w:val="20"/>
                <w:szCs w:val="20"/>
              </w:rPr>
              <w:t>2020</w:t>
            </w:r>
          </w:p>
        </w:tc>
      </w:tr>
      <w:tr w:rsidR="00000000">
        <w:trPr>
          <w:divId w:val="1205485022"/>
        </w:trPr>
        <w:tc>
          <w:tcPr>
            <w:tcW w:w="0" w:type="auto"/>
            <w:gridSpan w:val="3"/>
            <w:tcMar>
              <w:top w:w="30" w:type="dxa"/>
              <w:left w:w="20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20"/>
                <w:szCs w:val="20"/>
              </w:rPr>
              <w:t>Numerator for basic and dilutive net income per common share – net income allocable to common shareholders</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4,142,288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1,732,444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1,098,335</w:t>
            </w:r>
          </w:p>
        </w:tc>
      </w:tr>
      <w:tr w:rsidR="00000000">
        <w:trPr>
          <w:divId w:val="1205485022"/>
          <w:trHeight w:val="300"/>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205485022"/>
        </w:trPr>
        <w:tc>
          <w:tcPr>
            <w:tcW w:w="0" w:type="auto"/>
            <w:gridSpan w:val="3"/>
            <w:tcMar>
              <w:top w:w="30" w:type="dxa"/>
              <w:left w:w="20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20"/>
                <w:szCs w:val="20"/>
              </w:rPr>
              <w:t>Denominator for basic net income per share - weighted average common shares outstanding</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175,257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174,858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174,494</w:t>
            </w:r>
          </w:p>
        </w:tc>
      </w:tr>
      <w:tr w:rsidR="00000000">
        <w:trPr>
          <w:divId w:val="1205485022"/>
        </w:trPr>
        <w:tc>
          <w:tcPr>
            <w:tcW w:w="0" w:type="auto"/>
            <w:gridSpan w:val="3"/>
            <w:tcMar>
              <w:top w:w="30" w:type="dxa"/>
              <w:left w:w="44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20"/>
                <w:szCs w:val="20"/>
              </w:rPr>
              <w:t>Net effect of dilutive stock options - based on treasury stock method</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1,023</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710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148</w:t>
            </w:r>
          </w:p>
        </w:tc>
      </w:tr>
      <w:tr w:rsidR="00000000">
        <w:trPr>
          <w:divId w:val="1205485022"/>
        </w:trPr>
        <w:tc>
          <w:tcPr>
            <w:tcW w:w="0" w:type="auto"/>
            <w:gridSpan w:val="3"/>
            <w:tcMar>
              <w:top w:w="30" w:type="dxa"/>
              <w:left w:w="20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20"/>
                <w:szCs w:val="20"/>
              </w:rPr>
              <w:t>Denominator for dilutive net income per share - weighted average common shares outstanding</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176,280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175,568</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174,642</w:t>
            </w:r>
          </w:p>
        </w:tc>
      </w:tr>
      <w:tr w:rsidR="00000000">
        <w:trPr>
          <w:divId w:val="1205485022"/>
          <w:trHeight w:val="300"/>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205485022"/>
        </w:trPr>
        <w:tc>
          <w:tcPr>
            <w:tcW w:w="0" w:type="auto"/>
            <w:gridSpan w:val="3"/>
            <w:tcMar>
              <w:top w:w="30" w:type="dxa"/>
              <w:left w:w="20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20"/>
                <w:szCs w:val="20"/>
              </w:rPr>
              <w:t>Net income per common share:</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205485022"/>
        </w:trPr>
        <w:tc>
          <w:tcPr>
            <w:tcW w:w="0" w:type="auto"/>
            <w:gridSpan w:val="3"/>
            <w:tcMar>
              <w:top w:w="30" w:type="dxa"/>
              <w:left w:w="44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20"/>
                <w:szCs w:val="20"/>
              </w:rPr>
              <w:t>Basic</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23.64</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9.91</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6.29</w:t>
            </w:r>
          </w:p>
        </w:tc>
      </w:tr>
      <w:tr w:rsidR="00000000">
        <w:trPr>
          <w:divId w:val="1205485022"/>
        </w:trPr>
        <w:tc>
          <w:tcPr>
            <w:tcW w:w="0" w:type="auto"/>
            <w:gridSpan w:val="3"/>
            <w:tcMar>
              <w:top w:w="30" w:type="dxa"/>
              <w:left w:w="44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20"/>
                <w:szCs w:val="20"/>
              </w:rPr>
              <w:t>Dilutive</w:t>
            </w:r>
          </w:p>
        </w:tc>
        <w:tc>
          <w:tcPr>
            <w:tcW w:w="0" w:type="auto"/>
            <w:vAlign w:val="center"/>
            <w:hideMark/>
          </w:tcPr>
          <w:p w:rsidR="00000000" w:rsidRDefault="00473C5F">
            <w:pPr>
              <w:spacing w:after="100"/>
              <w:ind w:hanging="18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23.50</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9.87</w:t>
            </w: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473C5F">
            <w:pPr>
              <w:spacing w:after="100"/>
              <w:jc w:val="right"/>
              <w:rPr>
                <w:rFonts w:eastAsia="Times New Roman"/>
              </w:rPr>
            </w:pPr>
            <w:r>
              <w:rPr>
                <w:rFonts w:eastAsia="Times New Roman"/>
                <w:color w:val="000000"/>
                <w:sz w:val="20"/>
                <w:szCs w:val="20"/>
              </w:rPr>
              <w:t>6.29</w:t>
            </w:r>
          </w:p>
        </w:tc>
      </w:tr>
    </w:tbl>
    <w:p w:rsidR="00000000" w:rsidRDefault="00473C5F">
      <w:pPr>
        <w:jc w:val="both"/>
        <w:divId w:val="2146388935"/>
        <w:rPr>
          <w:rFonts w:eastAsia="Times New Roman"/>
        </w:rPr>
      </w:pPr>
    </w:p>
    <w:p w:rsidR="00000000" w:rsidRDefault="00473C5F">
      <w:pPr>
        <w:jc w:val="center"/>
        <w:divId w:val="587152288"/>
        <w:rPr>
          <w:rFonts w:eastAsia="Times New Roman"/>
        </w:rPr>
      </w:pPr>
      <w:r>
        <w:rPr>
          <w:rFonts w:eastAsia="Times New Roman"/>
          <w:color w:val="000000"/>
          <w:sz w:val="20"/>
          <w:szCs w:val="20"/>
        </w:rPr>
        <w:t>F-29</w:t>
      </w:r>
    </w:p>
    <w:p w:rsidR="00000000" w:rsidRDefault="00473C5F">
      <w:pPr>
        <w:rPr>
          <w:rFonts w:eastAsia="Times New Roman"/>
        </w:rPr>
      </w:pPr>
      <w:r>
        <w:rPr>
          <w:rFonts w:eastAsia="Times New Roman"/>
        </w:rPr>
        <w:pict>
          <v:rect id="_x0000_i1119" style="width:0;height:1.5pt" o:hralign="center" o:hrstd="t" o:hr="t" fillcolor="#a0a0a0" stroked="f"/>
        </w:pict>
      </w:r>
    </w:p>
    <w:p w:rsidR="00000000" w:rsidRDefault="00473C5F">
      <w:pPr>
        <w:jc w:val="center"/>
        <w:divId w:val="2040275544"/>
        <w:rPr>
          <w:rFonts w:eastAsia="Times New Roman"/>
        </w:rPr>
      </w:pPr>
    </w:p>
    <w:p w:rsidR="00000000" w:rsidRDefault="00473C5F">
      <w:pPr>
        <w:jc w:val="center"/>
        <w:divId w:val="2040275544"/>
        <w:rPr>
          <w:rFonts w:eastAsia="Times New Roman"/>
        </w:rPr>
      </w:pPr>
      <w:r>
        <w:rPr>
          <w:rFonts w:eastAsia="Times New Roman"/>
          <w:b/>
          <w:bCs/>
          <w:color w:val="000000"/>
          <w:sz w:val="20"/>
          <w:szCs w:val="20"/>
        </w:rPr>
        <w:t>PUBLIC STORAGE</w:t>
      </w:r>
    </w:p>
    <w:p w:rsidR="00000000" w:rsidRDefault="00473C5F">
      <w:pPr>
        <w:jc w:val="center"/>
        <w:divId w:val="2040275544"/>
        <w:rPr>
          <w:rFonts w:eastAsia="Times New Roman"/>
        </w:rPr>
      </w:pPr>
      <w:r>
        <w:rPr>
          <w:rFonts w:eastAsia="Times New Roman"/>
          <w:b/>
          <w:bCs/>
          <w:color w:val="000000"/>
          <w:sz w:val="20"/>
          <w:szCs w:val="20"/>
        </w:rPr>
        <w:t>NOTES TO CONSOLIDATED FINANCIAL STATEMENTS</w:t>
      </w:r>
    </w:p>
    <w:p w:rsidR="00000000" w:rsidRDefault="00473C5F">
      <w:pPr>
        <w:jc w:val="center"/>
        <w:divId w:val="2040275544"/>
        <w:rPr>
          <w:rFonts w:eastAsia="Times New Roman"/>
        </w:rPr>
      </w:pPr>
      <w:r>
        <w:rPr>
          <w:rFonts w:eastAsia="Times New Roman"/>
          <w:b/>
          <w:bCs/>
          <w:color w:val="000000"/>
          <w:sz w:val="20"/>
          <w:szCs w:val="20"/>
        </w:rPr>
        <w:t>December 31, 2022</w:t>
      </w:r>
    </w:p>
    <w:p w:rsidR="00000000" w:rsidRDefault="00473C5F">
      <w:pPr>
        <w:jc w:val="center"/>
        <w:divId w:val="2040275544"/>
        <w:rPr>
          <w:rFonts w:eastAsia="Times New Roman"/>
        </w:rPr>
      </w:pPr>
    </w:p>
    <w:p w:rsidR="00000000" w:rsidRDefault="00473C5F">
      <w:pPr>
        <w:ind w:hanging="360"/>
        <w:jc w:val="both"/>
        <w:divId w:val="505638638"/>
        <w:rPr>
          <w:rFonts w:eastAsia="Times New Roman"/>
        </w:rPr>
      </w:pPr>
      <w:r>
        <w:rPr>
          <w:rFonts w:eastAsia="Times New Roman"/>
          <w:color w:val="000000"/>
          <w:sz w:val="20"/>
          <w:szCs w:val="20"/>
        </w:rPr>
        <w:t>13.</w:t>
      </w:r>
      <w:r>
        <w:rPr>
          <w:rFonts w:eastAsia="Times New Roman"/>
          <w:color w:val="000000"/>
          <w:sz w:val="20"/>
          <w:szCs w:val="20"/>
          <w:u w:val="single"/>
        </w:rPr>
        <w:t>Segment Information</w:t>
      </w:r>
    </w:p>
    <w:p w:rsidR="00000000" w:rsidRDefault="00473C5F">
      <w:pPr>
        <w:ind w:firstLine="720"/>
        <w:jc w:val="both"/>
        <w:divId w:val="1123690508"/>
        <w:rPr>
          <w:rFonts w:eastAsia="Times New Roman"/>
        </w:rPr>
      </w:pPr>
      <w:r>
        <w:rPr>
          <w:rFonts w:eastAsia="Times New Roman"/>
          <w:color w:val="000000"/>
          <w:sz w:val="20"/>
          <w:szCs w:val="20"/>
        </w:rPr>
        <w:t xml:space="preserve">Our operating segments reflect the significant components of our operations where discrete financial information is evaluated separately by our chief operating decision maker. </w:t>
      </w:r>
    </w:p>
    <w:p w:rsidR="00000000" w:rsidRDefault="00473C5F">
      <w:pPr>
        <w:ind w:firstLine="1080"/>
        <w:divId w:val="2009672211"/>
        <w:rPr>
          <w:rFonts w:eastAsia="Times New Roman"/>
        </w:rPr>
      </w:pPr>
      <w:r>
        <w:rPr>
          <w:rFonts w:eastAsia="Times New Roman"/>
          <w:color w:val="000000"/>
          <w:sz w:val="20"/>
          <w:szCs w:val="20"/>
          <w:u w:val="single"/>
        </w:rPr>
        <w:t>Self-Storage Operations</w:t>
      </w:r>
    </w:p>
    <w:p w:rsidR="00000000" w:rsidRDefault="00473C5F">
      <w:pPr>
        <w:ind w:firstLine="720"/>
        <w:jc w:val="both"/>
        <w:divId w:val="949703248"/>
        <w:rPr>
          <w:rFonts w:eastAsia="Times New Roman"/>
        </w:rPr>
      </w:pPr>
      <w:r>
        <w:rPr>
          <w:rFonts w:eastAsia="Times New Roman"/>
          <w:color w:val="000000"/>
          <w:sz w:val="20"/>
          <w:szCs w:val="20"/>
        </w:rPr>
        <w:t>The Self-Storage Operations reportable segment reflects</w:t>
      </w:r>
      <w:r>
        <w:rPr>
          <w:rFonts w:eastAsia="Times New Roman"/>
          <w:color w:val="000000"/>
          <w:sz w:val="20"/>
          <w:szCs w:val="20"/>
        </w:rPr>
        <w:t xml:space="preserve"> the aggregated rental operations from the self-storage facilities we own from (i) Same Store Facilities, (ii) Acquired Facilities, (iii) Developed and Expanded Facilities, and (iv) Other Non-Same Store Facilities. The presentation in the table below sets </w:t>
      </w:r>
      <w:r>
        <w:rPr>
          <w:rFonts w:eastAsia="Times New Roman"/>
          <w:color w:val="000000"/>
          <w:sz w:val="20"/>
          <w:szCs w:val="20"/>
        </w:rPr>
        <w:t xml:space="preserve">forth the Net Operating Income (“NOI”) of this reportable segment, as well as the related depreciation expense. For all periods presented, substantially all of our real estate facilities, goodwill and other intangible assets, other assets, and accrued and </w:t>
      </w:r>
      <w:r>
        <w:rPr>
          <w:rFonts w:eastAsia="Times New Roman"/>
          <w:color w:val="000000"/>
          <w:sz w:val="20"/>
          <w:szCs w:val="20"/>
        </w:rPr>
        <w:t xml:space="preserve">other liabilities are associated with the Self-Storage Operations reportable segment. </w:t>
      </w:r>
    </w:p>
    <w:p w:rsidR="00000000" w:rsidRDefault="00473C5F">
      <w:pPr>
        <w:ind w:firstLine="720"/>
        <w:jc w:val="both"/>
        <w:divId w:val="1645697577"/>
        <w:rPr>
          <w:rFonts w:eastAsia="Times New Roman"/>
        </w:rPr>
      </w:pPr>
      <w:r>
        <w:rPr>
          <w:rFonts w:eastAsia="Times New Roman"/>
          <w:color w:val="000000"/>
          <w:sz w:val="20"/>
          <w:szCs w:val="20"/>
          <w:u w:val="single"/>
        </w:rPr>
        <w:t>Ancillary Operations</w:t>
      </w:r>
    </w:p>
    <w:p w:rsidR="00000000" w:rsidRDefault="00473C5F">
      <w:pPr>
        <w:ind w:firstLine="720"/>
        <w:jc w:val="both"/>
        <w:divId w:val="44375436"/>
        <w:rPr>
          <w:rFonts w:eastAsia="Times New Roman"/>
        </w:rPr>
      </w:pPr>
      <w:r>
        <w:rPr>
          <w:rFonts w:eastAsia="Times New Roman"/>
          <w:color w:val="000000"/>
          <w:sz w:val="20"/>
          <w:szCs w:val="20"/>
        </w:rPr>
        <w:t>The Ancillary Operations reflects the combined operations of our tenant reinsurance, merchandise sales, and third party property management operatin</w:t>
      </w:r>
      <w:r>
        <w:rPr>
          <w:rFonts w:eastAsia="Times New Roman"/>
          <w:color w:val="000000"/>
          <w:sz w:val="20"/>
          <w:szCs w:val="20"/>
        </w:rPr>
        <w:t xml:space="preserve">g segments. </w:t>
      </w:r>
    </w:p>
    <w:p w:rsidR="00000000" w:rsidRDefault="00473C5F">
      <w:pPr>
        <w:ind w:firstLine="720"/>
        <w:jc w:val="both"/>
        <w:divId w:val="407926158"/>
        <w:rPr>
          <w:rFonts w:eastAsia="Times New Roman"/>
        </w:rPr>
      </w:pPr>
      <w:r>
        <w:rPr>
          <w:rFonts w:eastAsia="Times New Roman"/>
          <w:color w:val="000000"/>
          <w:sz w:val="20"/>
          <w:szCs w:val="20"/>
          <w:u w:val="single"/>
        </w:rPr>
        <w:t>Presentation of Segment Information</w:t>
      </w:r>
    </w:p>
    <w:p w:rsidR="00000000" w:rsidRDefault="00473C5F">
      <w:pPr>
        <w:ind w:firstLine="720"/>
        <w:jc w:val="both"/>
        <w:divId w:val="1976793396"/>
        <w:rPr>
          <w:rFonts w:eastAsia="Times New Roman"/>
        </w:rPr>
      </w:pPr>
      <w:r>
        <w:rPr>
          <w:rFonts w:eastAsia="Times New Roman"/>
          <w:color w:val="000000"/>
          <w:sz w:val="20"/>
          <w:szCs w:val="20"/>
        </w:rPr>
        <w:t>The following table reconciles NOI and net income attributable to our reportable segment to our consolidated net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4585"/>
        <w:gridCol w:w="39"/>
        <w:gridCol w:w="36"/>
        <w:gridCol w:w="36"/>
        <w:gridCol w:w="36"/>
        <w:gridCol w:w="36"/>
        <w:gridCol w:w="36"/>
        <w:gridCol w:w="36"/>
        <w:gridCol w:w="110"/>
        <w:gridCol w:w="945"/>
        <w:gridCol w:w="36"/>
        <w:gridCol w:w="36"/>
        <w:gridCol w:w="36"/>
        <w:gridCol w:w="36"/>
        <w:gridCol w:w="110"/>
        <w:gridCol w:w="907"/>
        <w:gridCol w:w="36"/>
        <w:gridCol w:w="36"/>
        <w:gridCol w:w="36"/>
        <w:gridCol w:w="36"/>
        <w:gridCol w:w="110"/>
        <w:gridCol w:w="907"/>
        <w:gridCol w:w="36"/>
      </w:tblGrid>
      <w:tr w:rsidR="00000000">
        <w:trPr>
          <w:divId w:val="1569919976"/>
          <w:jc w:val="center"/>
        </w:trPr>
        <w:tc>
          <w:tcPr>
            <w:tcW w:w="50" w:type="pct"/>
            <w:vAlign w:val="center"/>
            <w:hideMark/>
          </w:tcPr>
          <w:p w:rsidR="00000000" w:rsidRDefault="00473C5F">
            <w:pPr>
              <w:ind w:firstLine="720"/>
              <w:jc w:val="both"/>
              <w:rPr>
                <w:rFonts w:eastAsia="Times New Roman"/>
              </w:rPr>
            </w:pPr>
          </w:p>
        </w:tc>
        <w:tc>
          <w:tcPr>
            <w:tcW w:w="2866"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27"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6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569919976"/>
          <w:jc w:val="center"/>
        </w:trPr>
        <w:tc>
          <w:tcPr>
            <w:tcW w:w="0" w:type="auto"/>
            <w:gridSpan w:val="3"/>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r>
      <w:tr w:rsidR="00000000">
        <w:trPr>
          <w:divId w:val="1569919976"/>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For the Years Ended December 31,</w:t>
            </w: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2020</w:t>
            </w:r>
          </w:p>
        </w:tc>
      </w:tr>
      <w:tr w:rsidR="00000000">
        <w:trPr>
          <w:divId w:val="1569919976"/>
          <w:trHeight w:val="60"/>
          <w:jc w:val="center"/>
        </w:trPr>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8"/>
                <w:szCs w:val="18"/>
              </w:rPr>
              <w:t>(amounts in thousands)</w:t>
            </w: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i/>
                <w:iCs/>
                <w:color w:val="000000"/>
                <w:sz w:val="18"/>
                <w:szCs w:val="18"/>
              </w:rPr>
              <w:t>Self-Storage Operations Reportable Segment</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Revenue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3,946,028 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3,203,566 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2,721,630 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Cost of operations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(980,209)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(852,030)</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(807,543)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w:t>
            </w:r>
            <w:r>
              <w:rPr>
                <w:rFonts w:eastAsia="Times New Roman"/>
                <w:color w:val="000000"/>
                <w:sz w:val="18"/>
                <w:szCs w:val="18"/>
              </w:rPr>
              <w:t>Net operating income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2,965,819 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2,351,536 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1,914,087 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Depreciation and amortization</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(888,146)</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(713,428)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(553,257)</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Net income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2,077,673 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1,638,108 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1,360,830 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i/>
                <w:iCs/>
                <w:color w:val="000000"/>
                <w:sz w:val="18"/>
                <w:szCs w:val="18"/>
              </w:rPr>
              <w:t>Ancillary Operations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Revenue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236,135 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212,258 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193,438 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Cost of operations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(72,698)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(68,568)</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(59,919)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Net operating income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163,437 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143,690 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133,519 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Total net income allocated to segments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2,241,110 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1,781,798 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1,494,349 </w:t>
            </w:r>
          </w:p>
        </w:tc>
        <w:tc>
          <w:tcPr>
            <w:tcW w:w="0" w:type="auto"/>
            <w:tcBorders>
              <w:top w:val="single" w:sz="8"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trHeight w:val="1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56991997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b/>
                <w:bCs/>
                <w:i/>
                <w:iCs/>
                <w:color w:val="000000"/>
                <w:sz w:val="18"/>
                <w:szCs w:val="18"/>
              </w:rPr>
              <w:t xml:space="preserve">Other items not allocated to segments: </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569919976"/>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General and administrative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(114,742)</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(101,254)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(83,199)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Interest and other income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40,567 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12,306 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22,323 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Interest expense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(136,319)</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(90,774)</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(56,283)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Equity in earnings of unconsolidated real estate entities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106,981 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232,093 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80,497 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Foreign currency exchange gain (loss)</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98,314 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111,787 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(97,953)</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jc w:val="center"/>
        </w:trPr>
        <w:tc>
          <w:tcPr>
            <w:tcW w:w="0" w:type="auto"/>
            <w:gridSpan w:val="3"/>
            <w:vAlign w:val="center"/>
            <w:hideMark/>
          </w:tcPr>
          <w:p w:rsidR="00000000" w:rsidRDefault="00473C5F">
            <w:pPr>
              <w:spacing w:after="100"/>
              <w:jc w:val="right"/>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r>
      <w:tr w:rsidR="00000000">
        <w:trPr>
          <w:divId w:val="1569919976"/>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Gain on sale of real estate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1,503 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1,493 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Gain on sale of equity investment in PS Business Parks, Inc.</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2,128,860 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69919976"/>
          <w:jc w:val="center"/>
        </w:trPr>
        <w:tc>
          <w:tcPr>
            <w:tcW w:w="0" w:type="auto"/>
            <w:gridSpan w:val="3"/>
            <w:tcMar>
              <w:top w:w="30" w:type="dxa"/>
              <w:left w:w="83" w:type="dxa"/>
              <w:bottom w:w="30" w:type="dxa"/>
              <w:right w:w="20" w:type="dxa"/>
            </w:tcMar>
            <w:vAlign w:val="bottom"/>
            <w:hideMark/>
          </w:tcPr>
          <w:p w:rsidR="00000000" w:rsidRDefault="00473C5F">
            <w:pPr>
              <w:spacing w:after="100"/>
              <w:rPr>
                <w:rFonts w:eastAsia="Times New Roman"/>
              </w:rPr>
            </w:pPr>
            <w:r>
              <w:rPr>
                <w:rFonts w:eastAsia="Times New Roman"/>
                <w:color w:val="000000"/>
                <w:sz w:val="18"/>
                <w:szCs w:val="18"/>
              </w:rPr>
              <w:t>     Net income</w:t>
            </w:r>
          </w:p>
        </w:tc>
        <w:tc>
          <w:tcPr>
            <w:tcW w:w="0" w:type="auto"/>
            <w:vAlign w:val="center"/>
            <w:hideMark/>
          </w:tcPr>
          <w:p w:rsidR="00000000" w:rsidRDefault="00473C5F">
            <w:pPr>
              <w:spacing w:after="100"/>
              <w:rPr>
                <w:rFonts w:eastAsia="Times New Roman"/>
              </w:rPr>
            </w:pPr>
          </w:p>
        </w:tc>
        <w:tc>
          <w:tcPr>
            <w:tcW w:w="0" w:type="auto"/>
            <w:vAlign w:val="center"/>
            <w:hideMark/>
          </w:tcPr>
          <w:p w:rsidR="00000000" w:rsidRDefault="00473C5F">
            <w:pPr>
              <w:spacing w:after="100"/>
              <w:rPr>
                <w:rFonts w:eastAsia="Times New Roman"/>
                <w:sz w:val="20"/>
                <w:szCs w:val="20"/>
              </w:rPr>
            </w:pPr>
          </w:p>
        </w:tc>
        <w:tc>
          <w:tcPr>
            <w:tcW w:w="0" w:type="auto"/>
            <w:vAlign w:val="center"/>
            <w:hideMark/>
          </w:tcPr>
          <w:p w:rsidR="00000000" w:rsidRDefault="00473C5F">
            <w:pPr>
              <w:spacing w:after="100"/>
              <w:rPr>
                <w:rFonts w:eastAsia="Times New Roman"/>
                <w:sz w:val="20"/>
                <w:szCs w:val="20"/>
              </w:rPr>
            </w:pPr>
          </w:p>
        </w:tc>
        <w:tc>
          <w:tcPr>
            <w:tcW w:w="0" w:type="auto"/>
            <w:gridSpan w:val="3"/>
            <w:vAlign w:val="center"/>
            <w:hideMark/>
          </w:tcPr>
          <w:p w:rsidR="00000000" w:rsidRDefault="00473C5F">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4,366,274 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1,959,639 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8"/>
                <w:szCs w:val="18"/>
              </w:rPr>
              <w:t>1,361,227 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jc w:val="center"/>
        <w:divId w:val="655571766"/>
        <w:rPr>
          <w:rFonts w:eastAsia="Times New Roman"/>
        </w:rPr>
      </w:pPr>
      <w:r>
        <w:rPr>
          <w:rFonts w:eastAsia="Times New Roman"/>
          <w:color w:val="000000"/>
          <w:sz w:val="20"/>
          <w:szCs w:val="20"/>
        </w:rPr>
        <w:t>F-30</w:t>
      </w:r>
    </w:p>
    <w:p w:rsidR="00000000" w:rsidRDefault="00473C5F">
      <w:pPr>
        <w:rPr>
          <w:rFonts w:eastAsia="Times New Roman"/>
        </w:rPr>
      </w:pPr>
      <w:r>
        <w:rPr>
          <w:rFonts w:eastAsia="Times New Roman"/>
        </w:rPr>
        <w:pict>
          <v:rect id="_x0000_i1120" style="width:0;height:1.5pt" o:hralign="center" o:hrstd="t" o:hr="t" fillcolor="#a0a0a0" stroked="f"/>
        </w:pict>
      </w:r>
    </w:p>
    <w:p w:rsidR="00000000" w:rsidRDefault="00473C5F">
      <w:pPr>
        <w:jc w:val="center"/>
        <w:divId w:val="14893625"/>
        <w:rPr>
          <w:rFonts w:eastAsia="Times New Roman"/>
        </w:rPr>
      </w:pPr>
    </w:p>
    <w:p w:rsidR="00000000" w:rsidRDefault="00473C5F">
      <w:pPr>
        <w:jc w:val="center"/>
        <w:divId w:val="14893625"/>
        <w:rPr>
          <w:rFonts w:eastAsia="Times New Roman"/>
        </w:rPr>
      </w:pPr>
      <w:r>
        <w:rPr>
          <w:rFonts w:eastAsia="Times New Roman"/>
          <w:b/>
          <w:bCs/>
          <w:color w:val="000000"/>
          <w:sz w:val="20"/>
          <w:szCs w:val="20"/>
        </w:rPr>
        <w:t>PUBLIC STORAGE</w:t>
      </w:r>
    </w:p>
    <w:p w:rsidR="00000000" w:rsidRDefault="00473C5F">
      <w:pPr>
        <w:jc w:val="center"/>
        <w:divId w:val="14893625"/>
        <w:rPr>
          <w:rFonts w:eastAsia="Times New Roman"/>
        </w:rPr>
      </w:pPr>
      <w:r>
        <w:rPr>
          <w:rFonts w:eastAsia="Times New Roman"/>
          <w:b/>
          <w:bCs/>
          <w:color w:val="000000"/>
          <w:sz w:val="20"/>
          <w:szCs w:val="20"/>
        </w:rPr>
        <w:t>NOTES TO CONSOLIDATED FINANCIAL STATEMENTS</w:t>
      </w:r>
    </w:p>
    <w:p w:rsidR="00000000" w:rsidRDefault="00473C5F">
      <w:pPr>
        <w:jc w:val="center"/>
        <w:divId w:val="14893625"/>
        <w:rPr>
          <w:rFonts w:eastAsia="Times New Roman"/>
        </w:rPr>
      </w:pPr>
      <w:r>
        <w:rPr>
          <w:rFonts w:eastAsia="Times New Roman"/>
          <w:b/>
          <w:bCs/>
          <w:color w:val="000000"/>
          <w:sz w:val="20"/>
          <w:szCs w:val="20"/>
        </w:rPr>
        <w:t>December 31, 2022</w:t>
      </w:r>
    </w:p>
    <w:p w:rsidR="00000000" w:rsidRDefault="00473C5F">
      <w:pPr>
        <w:jc w:val="center"/>
        <w:divId w:val="14893625"/>
        <w:rPr>
          <w:rFonts w:eastAsia="Times New Roman"/>
        </w:rPr>
      </w:pPr>
    </w:p>
    <w:p w:rsidR="00000000" w:rsidRDefault="00473C5F">
      <w:pPr>
        <w:divId w:val="352196053"/>
        <w:rPr>
          <w:rFonts w:eastAsia="Times New Roman"/>
        </w:rPr>
      </w:pPr>
      <w:r>
        <w:rPr>
          <w:rFonts w:eastAsia="Times New Roman"/>
          <w:color w:val="000000"/>
          <w:sz w:val="20"/>
          <w:szCs w:val="20"/>
        </w:rPr>
        <w:t xml:space="preserve">14. </w:t>
      </w:r>
      <w:r>
        <w:rPr>
          <w:rFonts w:eastAsia="Times New Roman"/>
          <w:color w:val="000000"/>
          <w:sz w:val="20"/>
          <w:szCs w:val="20"/>
          <w:u w:val="single"/>
        </w:rPr>
        <w:t>Commitments and Contingencies</w:t>
      </w:r>
    </w:p>
    <w:p w:rsidR="00000000" w:rsidRDefault="00473C5F">
      <w:pPr>
        <w:ind w:firstLine="720"/>
        <w:jc w:val="both"/>
        <w:divId w:val="190581342"/>
        <w:rPr>
          <w:rFonts w:eastAsia="Times New Roman"/>
        </w:rPr>
      </w:pPr>
      <w:r>
        <w:rPr>
          <w:rFonts w:eastAsia="Times New Roman"/>
          <w:color w:val="000000"/>
          <w:sz w:val="20"/>
          <w:szCs w:val="20"/>
          <w:u w:val="single"/>
        </w:rPr>
        <w:t>Contingent Losses</w:t>
      </w:r>
    </w:p>
    <w:p w:rsidR="00000000" w:rsidRDefault="00473C5F">
      <w:pPr>
        <w:ind w:firstLine="720"/>
        <w:jc w:val="both"/>
        <w:divId w:val="1067872718"/>
        <w:rPr>
          <w:rFonts w:eastAsia="Times New Roman"/>
        </w:rPr>
      </w:pPr>
      <w:r>
        <w:rPr>
          <w:rFonts w:eastAsia="Times New Roman"/>
          <w:color w:val="000000"/>
          <w:sz w:val="20"/>
          <w:szCs w:val="20"/>
        </w:rPr>
        <w:t>We are a party to various legal proceedings and subject to various claims and complaints; however, we believe that the likelihood of these contingencies resulting in a material loss to the Company, either individually or in the aggregate, is remote.</w:t>
      </w:r>
    </w:p>
    <w:p w:rsidR="00000000" w:rsidRDefault="00473C5F">
      <w:pPr>
        <w:ind w:firstLine="720"/>
        <w:jc w:val="both"/>
        <w:divId w:val="578447650"/>
        <w:rPr>
          <w:rFonts w:eastAsia="Times New Roman"/>
        </w:rPr>
      </w:pPr>
      <w:r>
        <w:rPr>
          <w:rFonts w:eastAsia="Times New Roman"/>
          <w:color w:val="000000"/>
          <w:sz w:val="20"/>
          <w:szCs w:val="20"/>
          <w:u w:val="single"/>
        </w:rPr>
        <w:t>Insura</w:t>
      </w:r>
      <w:r>
        <w:rPr>
          <w:rFonts w:eastAsia="Times New Roman"/>
          <w:color w:val="000000"/>
          <w:sz w:val="20"/>
          <w:szCs w:val="20"/>
          <w:u w:val="single"/>
        </w:rPr>
        <w:t>nce and Loss Exposure</w:t>
      </w:r>
    </w:p>
    <w:p w:rsidR="00000000" w:rsidRDefault="00473C5F">
      <w:pPr>
        <w:ind w:firstLine="720"/>
        <w:jc w:val="both"/>
        <w:divId w:val="1524707813"/>
        <w:rPr>
          <w:rFonts w:eastAsia="Times New Roman"/>
        </w:rPr>
      </w:pPr>
      <w:r>
        <w:rPr>
          <w:rFonts w:eastAsia="Times New Roman"/>
          <w:color w:val="000000"/>
          <w:sz w:val="20"/>
          <w:szCs w:val="20"/>
        </w:rPr>
        <w:t>We carry property, earthquake, general liability, employee medical insurance, and workers compensation coverage through internationally recognized insurance carriers, subject to deductibles. Our deductible for general liability is $2.</w:t>
      </w:r>
      <w:r>
        <w:rPr>
          <w:rFonts w:eastAsia="Times New Roman"/>
          <w:color w:val="000000"/>
          <w:sz w:val="20"/>
          <w:szCs w:val="20"/>
        </w:rPr>
        <w:t>0 million per occurrence. Our annual deductible for property loss is $25.0 million per occurrence. This deductible decreases to $5.0 million once we reach $35.0 million in aggregate losses for occurrences that exceed $5.0 million. Insurance carriers’ aggre</w:t>
      </w:r>
      <w:r>
        <w:rPr>
          <w:rFonts w:eastAsia="Times New Roman"/>
          <w:color w:val="000000"/>
          <w:sz w:val="20"/>
          <w:szCs w:val="20"/>
        </w:rPr>
        <w:t>gate limits on these policies of $75.0 million for property losses and $102.0 million for general liability losses are higher than estimates of maximum probable losses that could occur from individual catastrophic events determined in recent engineering an</w:t>
      </w:r>
      <w:r>
        <w:rPr>
          <w:rFonts w:eastAsia="Times New Roman"/>
          <w:color w:val="000000"/>
          <w:sz w:val="20"/>
          <w:szCs w:val="20"/>
        </w:rPr>
        <w:t>d actuarial studies; however, in case of multiple catastrophic events, these limits could be exceeded.</w:t>
      </w:r>
    </w:p>
    <w:p w:rsidR="00000000" w:rsidRDefault="00473C5F">
      <w:pPr>
        <w:ind w:firstLine="720"/>
        <w:jc w:val="both"/>
        <w:divId w:val="913668104"/>
        <w:rPr>
          <w:rFonts w:eastAsia="Times New Roman"/>
        </w:rPr>
      </w:pPr>
      <w:r>
        <w:rPr>
          <w:rFonts w:eastAsia="Times New Roman"/>
          <w:color w:val="000000"/>
          <w:sz w:val="20"/>
          <w:szCs w:val="20"/>
        </w:rPr>
        <w:t>We reinsure a program that provides insurance to our customers from an independent third-party insurer. This program covers customer claims for losses to</w:t>
      </w:r>
      <w:r>
        <w:rPr>
          <w:rFonts w:eastAsia="Times New Roman"/>
          <w:color w:val="000000"/>
          <w:sz w:val="20"/>
          <w:szCs w:val="20"/>
        </w:rPr>
        <w:t xml:space="preserve"> goods stored at our facilities as a result of specific named perils (earthquakes are not covered by this program), up to a maximum limit of $5,000 per storage unit. We reinsure all risks in this program, but purchase insurance to cover this exposure for a</w:t>
      </w:r>
      <w:r>
        <w:rPr>
          <w:rFonts w:eastAsia="Times New Roman"/>
          <w:color w:val="000000"/>
          <w:sz w:val="20"/>
          <w:szCs w:val="20"/>
        </w:rPr>
        <w:t xml:space="preserve"> limit of $15.0 million for losses in excess of $5.0 million per occurrence. We are subject to licensing requirements and regulations in all states. Customers participate in the program at their option. At December 31, 2022, there were approximately 1.2 mi</w:t>
      </w:r>
      <w:r>
        <w:rPr>
          <w:rFonts w:eastAsia="Times New Roman"/>
          <w:color w:val="000000"/>
          <w:sz w:val="20"/>
          <w:szCs w:val="20"/>
        </w:rPr>
        <w:t>llion certificates held by our self-storage customers, representing aggregate coverage of approximately $5.6 billion.</w:t>
      </w:r>
    </w:p>
    <w:p w:rsidR="00000000" w:rsidRDefault="00473C5F">
      <w:pPr>
        <w:ind w:firstLine="720"/>
        <w:jc w:val="both"/>
        <w:divId w:val="1820919933"/>
        <w:rPr>
          <w:rFonts w:eastAsia="Times New Roman"/>
        </w:rPr>
      </w:pPr>
      <w:r>
        <w:rPr>
          <w:rFonts w:eastAsia="Times New Roman"/>
          <w:color w:val="000000"/>
          <w:sz w:val="20"/>
          <w:szCs w:val="20"/>
          <w:u w:val="single"/>
        </w:rPr>
        <w:t>Commitments</w:t>
      </w:r>
    </w:p>
    <w:p w:rsidR="00000000" w:rsidRDefault="00473C5F">
      <w:pPr>
        <w:ind w:firstLine="720"/>
        <w:jc w:val="both"/>
        <w:divId w:val="589507000"/>
        <w:rPr>
          <w:rFonts w:eastAsia="Times New Roman"/>
        </w:rPr>
      </w:pPr>
      <w:r>
        <w:rPr>
          <w:rFonts w:eastAsia="Times New Roman"/>
          <w:color w:val="000000"/>
          <w:sz w:val="20"/>
          <w:szCs w:val="20"/>
        </w:rPr>
        <w:t>We have construction commitments representing future expected payments for construction under contract totaling $263.5 million</w:t>
      </w:r>
      <w:r>
        <w:rPr>
          <w:rFonts w:eastAsia="Times New Roman"/>
          <w:color w:val="000000"/>
          <w:sz w:val="20"/>
          <w:szCs w:val="20"/>
        </w:rPr>
        <w:t xml:space="preserve"> at December 31, 2022. We expect to pay approximately $229.8 million in 2023 and $33.7 million in 2024 for these construction commitments.</w:t>
      </w:r>
    </w:p>
    <w:p w:rsidR="00000000" w:rsidRDefault="00473C5F">
      <w:pPr>
        <w:ind w:firstLine="720"/>
        <w:jc w:val="both"/>
        <w:divId w:val="2031638619"/>
        <w:rPr>
          <w:rFonts w:eastAsia="Times New Roman"/>
        </w:rPr>
      </w:pPr>
      <w:r>
        <w:rPr>
          <w:rFonts w:eastAsia="Times New Roman"/>
          <w:color w:val="000000"/>
          <w:sz w:val="20"/>
          <w:szCs w:val="20"/>
        </w:rPr>
        <w:t>We have future contractual payments on land, equipment and office space under various lease commitments totaling $63.</w:t>
      </w:r>
      <w:r>
        <w:rPr>
          <w:rFonts w:eastAsia="Times New Roman"/>
          <w:color w:val="000000"/>
          <w:sz w:val="20"/>
          <w:szCs w:val="20"/>
        </w:rPr>
        <w:t>4 million at December 31, 2022. We expect to pay approximately $3.1 million in each of 2023 and 2024, $3.0 million in each of 2025 and 2026, $2.1 million in 2027 and $49.1 million thereafter for these commitments.</w:t>
      </w:r>
    </w:p>
    <w:p w:rsidR="00000000" w:rsidRDefault="00473C5F">
      <w:pPr>
        <w:ind w:hanging="360"/>
        <w:divId w:val="856962659"/>
        <w:rPr>
          <w:rFonts w:eastAsia="Times New Roman"/>
        </w:rPr>
      </w:pPr>
      <w:r>
        <w:rPr>
          <w:rFonts w:eastAsia="Times New Roman"/>
          <w:color w:val="000000"/>
          <w:sz w:val="20"/>
          <w:szCs w:val="20"/>
        </w:rPr>
        <w:t>15.    </w:t>
      </w:r>
      <w:r>
        <w:rPr>
          <w:rFonts w:eastAsia="Times New Roman"/>
          <w:color w:val="000000"/>
          <w:sz w:val="20"/>
          <w:szCs w:val="20"/>
          <w:u w:val="single"/>
        </w:rPr>
        <w:t>Subsequent Events</w:t>
      </w:r>
    </w:p>
    <w:p w:rsidR="00000000" w:rsidRDefault="00473C5F">
      <w:pPr>
        <w:ind w:firstLine="720"/>
        <w:jc w:val="both"/>
        <w:divId w:val="275908200"/>
        <w:rPr>
          <w:rFonts w:eastAsia="Times New Roman"/>
        </w:rPr>
      </w:pPr>
      <w:r>
        <w:rPr>
          <w:rFonts w:eastAsia="Times New Roman"/>
          <w:color w:val="000000"/>
          <w:sz w:val="20"/>
          <w:szCs w:val="20"/>
        </w:rPr>
        <w:t>Subsequent to Dec</w:t>
      </w:r>
      <w:r>
        <w:rPr>
          <w:rFonts w:eastAsia="Times New Roman"/>
          <w:color w:val="000000"/>
          <w:sz w:val="20"/>
          <w:szCs w:val="20"/>
        </w:rPr>
        <w:t>ember 31, 2022, we acquired or were under contract to acquire eight self-storage facilities across five states with 0.5 million net rentable square feet, for $70.5 million.</w:t>
      </w:r>
    </w:p>
    <w:p w:rsidR="00000000" w:rsidRDefault="00473C5F">
      <w:pPr>
        <w:ind w:firstLine="720"/>
        <w:jc w:val="both"/>
        <w:divId w:val="1192838263"/>
        <w:rPr>
          <w:rFonts w:eastAsia="Times New Roman"/>
        </w:rPr>
      </w:pPr>
      <w:r>
        <w:rPr>
          <w:rFonts w:eastAsia="Times New Roman"/>
          <w:color w:val="000000"/>
          <w:sz w:val="20"/>
          <w:szCs w:val="20"/>
        </w:rPr>
        <w:t>On February 4, 2023, our Board of Trustees declared a 50% increase in its regular c</w:t>
      </w:r>
      <w:r>
        <w:rPr>
          <w:rFonts w:eastAsia="Times New Roman"/>
          <w:color w:val="000000"/>
          <w:sz w:val="20"/>
          <w:szCs w:val="20"/>
        </w:rPr>
        <w:t>ommon quarterly dividend from $2.00 to $3.00 per share, payable on March 30, 2023 to shareholders of record as of March 15, 2023. The distribution equates to an annualized increase to the Company’s regular common dividend from $8.00 to $12.00 per share.</w:t>
      </w:r>
    </w:p>
    <w:p w:rsidR="00000000" w:rsidRDefault="00473C5F">
      <w:pPr>
        <w:jc w:val="center"/>
        <w:divId w:val="512648916"/>
        <w:rPr>
          <w:rFonts w:eastAsia="Times New Roman"/>
        </w:rPr>
      </w:pPr>
      <w:r>
        <w:rPr>
          <w:rFonts w:eastAsia="Times New Roman"/>
          <w:color w:val="000000"/>
          <w:sz w:val="20"/>
          <w:szCs w:val="20"/>
        </w:rPr>
        <w:t>F-</w:t>
      </w:r>
      <w:r>
        <w:rPr>
          <w:rFonts w:eastAsia="Times New Roman"/>
          <w:color w:val="000000"/>
          <w:sz w:val="20"/>
          <w:szCs w:val="20"/>
        </w:rPr>
        <w:t>31</w:t>
      </w:r>
    </w:p>
    <w:p w:rsidR="00000000" w:rsidRDefault="00473C5F">
      <w:pPr>
        <w:rPr>
          <w:rFonts w:eastAsia="Times New Roman"/>
        </w:rPr>
      </w:pPr>
      <w:r>
        <w:rPr>
          <w:rFonts w:eastAsia="Times New Roman"/>
        </w:rPr>
        <w:pict>
          <v:rect id="_x0000_i1121" style="width:0;height:1.5pt" o:hralign="center" o:hrstd="t" o:hr="t" fillcolor="#a0a0a0" stroked="f"/>
        </w:pict>
      </w:r>
    </w:p>
    <w:p w:rsidR="00000000" w:rsidRDefault="00473C5F">
      <w:pPr>
        <w:divId w:val="1530216123"/>
        <w:rPr>
          <w:rFonts w:eastAsia="Times New Roman"/>
        </w:rPr>
      </w:pPr>
    </w:p>
    <w:p w:rsidR="00000000" w:rsidRDefault="00473C5F">
      <w:pPr>
        <w:divId w:val="476990974"/>
        <w:rPr>
          <w:rFonts w:eastAsia="Times New Roman"/>
        </w:rPr>
      </w:pPr>
    </w:p>
    <w:p w:rsidR="00000000" w:rsidRDefault="00473C5F">
      <w:pPr>
        <w:jc w:val="center"/>
        <w:divId w:val="373385423"/>
        <w:rPr>
          <w:rFonts w:eastAsia="Times New Roman"/>
        </w:rPr>
      </w:pPr>
      <w:r>
        <w:rPr>
          <w:rFonts w:eastAsia="Times New Roman"/>
          <w:color w:val="000000"/>
          <w:sz w:val="20"/>
          <w:szCs w:val="20"/>
        </w:rPr>
        <w:t>PUBLIC STORAGE</w:t>
      </w:r>
    </w:p>
    <w:p w:rsidR="00000000" w:rsidRDefault="00473C5F">
      <w:pPr>
        <w:jc w:val="center"/>
        <w:divId w:val="373385423"/>
        <w:rPr>
          <w:rFonts w:eastAsia="Times New Roman"/>
        </w:rPr>
      </w:pPr>
      <w:r>
        <w:rPr>
          <w:rFonts w:eastAsia="Times New Roman"/>
          <w:color w:val="000000"/>
          <w:sz w:val="20"/>
          <w:szCs w:val="20"/>
        </w:rPr>
        <w:t>SCHEDULE III - REAL ESTATE</w:t>
      </w:r>
    </w:p>
    <w:p w:rsidR="00000000" w:rsidRDefault="00473C5F">
      <w:pPr>
        <w:jc w:val="center"/>
        <w:divId w:val="373385423"/>
        <w:rPr>
          <w:rFonts w:eastAsia="Times New Roman"/>
        </w:rPr>
      </w:pPr>
      <w:r>
        <w:rPr>
          <w:rFonts w:eastAsia="Times New Roman"/>
          <w:color w:val="000000"/>
          <w:sz w:val="20"/>
          <w:szCs w:val="20"/>
        </w:rPr>
        <w:t>AND ACCUMULATED DEPRECIATION</w:t>
      </w:r>
    </w:p>
    <w:p w:rsidR="00000000" w:rsidRDefault="00473C5F">
      <w:pPr>
        <w:jc w:val="center"/>
        <w:divId w:val="373385423"/>
        <w:rPr>
          <w:rFonts w:eastAsia="Times New Roman"/>
        </w:rPr>
      </w:pPr>
      <w:r>
        <w:rPr>
          <w:rFonts w:eastAsia="Times New Roman"/>
          <w:color w:val="000000"/>
          <w:sz w:val="20"/>
          <w:szCs w:val="20"/>
        </w:rPr>
        <w:t>(Amounts in thousands, except number of properties)</w:t>
      </w:r>
    </w:p>
    <w:tbl>
      <w:tblPr>
        <w:tblW w:w="4971" w:type="pct"/>
        <w:jc w:val="center"/>
        <w:tblCellMar>
          <w:top w:w="15" w:type="dxa"/>
          <w:left w:w="15" w:type="dxa"/>
          <w:bottom w:w="15" w:type="dxa"/>
          <w:right w:w="15" w:type="dxa"/>
        </w:tblCellMar>
        <w:tblLook w:val="04A0" w:firstRow="1" w:lastRow="0" w:firstColumn="1" w:lastColumn="0" w:noHBand="0" w:noVBand="1"/>
      </w:tblPr>
      <w:tblGrid>
        <w:gridCol w:w="54"/>
        <w:gridCol w:w="954"/>
        <w:gridCol w:w="38"/>
        <w:gridCol w:w="72"/>
        <w:gridCol w:w="475"/>
        <w:gridCol w:w="36"/>
        <w:gridCol w:w="36"/>
        <w:gridCol w:w="36"/>
        <w:gridCol w:w="36"/>
        <w:gridCol w:w="70"/>
        <w:gridCol w:w="462"/>
        <w:gridCol w:w="36"/>
        <w:gridCol w:w="36"/>
        <w:gridCol w:w="36"/>
        <w:gridCol w:w="36"/>
        <w:gridCol w:w="63"/>
        <w:gridCol w:w="415"/>
        <w:gridCol w:w="36"/>
        <w:gridCol w:w="36"/>
        <w:gridCol w:w="36"/>
        <w:gridCol w:w="36"/>
        <w:gridCol w:w="68"/>
        <w:gridCol w:w="442"/>
        <w:gridCol w:w="37"/>
        <w:gridCol w:w="37"/>
        <w:gridCol w:w="36"/>
        <w:gridCol w:w="36"/>
        <w:gridCol w:w="111"/>
        <w:gridCol w:w="727"/>
        <w:gridCol w:w="36"/>
        <w:gridCol w:w="36"/>
        <w:gridCol w:w="36"/>
        <w:gridCol w:w="36"/>
        <w:gridCol w:w="91"/>
        <w:gridCol w:w="594"/>
        <w:gridCol w:w="36"/>
        <w:gridCol w:w="36"/>
        <w:gridCol w:w="36"/>
        <w:gridCol w:w="36"/>
        <w:gridCol w:w="68"/>
        <w:gridCol w:w="443"/>
        <w:gridCol w:w="38"/>
        <w:gridCol w:w="37"/>
        <w:gridCol w:w="37"/>
        <w:gridCol w:w="37"/>
        <w:gridCol w:w="81"/>
        <w:gridCol w:w="535"/>
        <w:gridCol w:w="37"/>
        <w:gridCol w:w="36"/>
        <w:gridCol w:w="36"/>
        <w:gridCol w:w="36"/>
        <w:gridCol w:w="81"/>
        <w:gridCol w:w="535"/>
        <w:gridCol w:w="37"/>
        <w:gridCol w:w="36"/>
        <w:gridCol w:w="36"/>
        <w:gridCol w:w="36"/>
        <w:gridCol w:w="103"/>
        <w:gridCol w:w="674"/>
        <w:gridCol w:w="36"/>
      </w:tblGrid>
      <w:tr w:rsidR="00000000">
        <w:trPr>
          <w:divId w:val="2083722136"/>
          <w:jc w:val="center"/>
        </w:trPr>
        <w:tc>
          <w:tcPr>
            <w:tcW w:w="50" w:type="pct"/>
            <w:vAlign w:val="center"/>
            <w:hideMark/>
          </w:tcPr>
          <w:p w:rsidR="00000000" w:rsidRDefault="00473C5F">
            <w:pPr>
              <w:jc w:val="center"/>
              <w:rPr>
                <w:rFonts w:eastAsia="Times New Roman"/>
              </w:rPr>
            </w:pPr>
          </w:p>
        </w:tc>
        <w:tc>
          <w:tcPr>
            <w:tcW w:w="89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2083722136"/>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Initial Cost</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Gross Carrying Amount At December 31, 2022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083722136"/>
          <w:jc w:val="center"/>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Description</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No. of</w:t>
            </w:r>
            <w:r>
              <w:rPr>
                <w:rFonts w:eastAsia="Times New Roman"/>
                <w:color w:val="000000"/>
                <w:sz w:val="14"/>
                <w:szCs w:val="14"/>
              </w:rPr>
              <w:br/>
              <w:t>Facilities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Net</w:t>
            </w:r>
            <w:r>
              <w:rPr>
                <w:rFonts w:eastAsia="Times New Roman"/>
                <w:color w:val="000000"/>
                <w:sz w:val="14"/>
                <w:szCs w:val="14"/>
              </w:rPr>
              <w:br/>
              <w:t>Rentable</w:t>
            </w:r>
            <w:r>
              <w:rPr>
                <w:rFonts w:eastAsia="Times New Roman"/>
                <w:color w:val="000000"/>
                <w:sz w:val="14"/>
                <w:szCs w:val="14"/>
              </w:rPr>
              <w:br/>
              <w:t>Square Feet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2022</w:t>
            </w:r>
          </w:p>
          <w:p w:rsidR="00000000" w:rsidRDefault="00473C5F">
            <w:pPr>
              <w:spacing w:after="100"/>
              <w:jc w:val="center"/>
              <w:rPr>
                <w:rFonts w:eastAsia="Times New Roman"/>
              </w:rPr>
            </w:pPr>
            <w:r>
              <w:rPr>
                <w:rFonts w:eastAsia="Times New Roman"/>
                <w:color w:val="000000"/>
                <w:sz w:val="14"/>
                <w:szCs w:val="14"/>
              </w:rPr>
              <w:t>Encum-</w:t>
            </w:r>
          </w:p>
          <w:p w:rsidR="00000000" w:rsidRDefault="00473C5F">
            <w:pPr>
              <w:spacing w:after="100"/>
              <w:jc w:val="center"/>
              <w:rPr>
                <w:rFonts w:eastAsia="Times New Roman"/>
              </w:rPr>
            </w:pPr>
            <w:r>
              <w:rPr>
                <w:rFonts w:eastAsia="Times New Roman"/>
                <w:color w:val="000000"/>
                <w:sz w:val="14"/>
                <w:szCs w:val="14"/>
              </w:rPr>
              <w:t>brances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Land</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Buildings &amp;</w:t>
            </w:r>
            <w:r>
              <w:rPr>
                <w:rFonts w:eastAsia="Times New Roman"/>
                <w:color w:val="000000"/>
                <w:sz w:val="14"/>
                <w:szCs w:val="14"/>
              </w:rPr>
              <w:br/>
              <w:t>Improvements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Costs</w:t>
            </w:r>
            <w:r>
              <w:rPr>
                <w:rFonts w:eastAsia="Times New Roman"/>
                <w:color w:val="000000"/>
                <w:sz w:val="14"/>
                <w:szCs w:val="14"/>
              </w:rPr>
              <w:br/>
              <w:t>Subsequent</w:t>
            </w:r>
            <w:r>
              <w:rPr>
                <w:rFonts w:eastAsia="Times New Roman"/>
                <w:color w:val="000000"/>
                <w:sz w:val="14"/>
                <w:szCs w:val="14"/>
              </w:rPr>
              <w:br/>
            </w:r>
            <w:r>
              <w:rPr>
                <w:rFonts w:eastAsia="Times New Roman"/>
                <w:color w:val="000000"/>
                <w:sz w:val="14"/>
                <w:szCs w:val="14"/>
              </w:rPr>
              <w:t>to Acquisition</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Land</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Buildings</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Total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Accumulated</w:t>
            </w:r>
            <w:r>
              <w:rPr>
                <w:rFonts w:eastAsia="Times New Roman"/>
                <w:color w:val="000000"/>
                <w:sz w:val="14"/>
                <w:szCs w:val="14"/>
              </w:rPr>
              <w:br/>
              <w:t>Depreciation</w:t>
            </w:r>
          </w:p>
        </w:tc>
      </w:tr>
      <w:tr w:rsidR="00000000">
        <w:trPr>
          <w:divId w:val="2083722136"/>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Self-storage facilities by market: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Los Angeles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16,652 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543,650 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981,256 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471,088 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542,073 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1,453,921 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1,995,994 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928,465 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Dallas/Ft. Worth</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17,274 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328,518 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1,889,830 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214,515 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329,979 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2,102,884 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2,432,863 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421,762 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Houston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12,265 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239,385 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647,576 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258,080 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238,706 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906,335 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1,145,041 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381,723 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San Francisco</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9,197 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245,623 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557,398 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314,857 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258,373 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859,505 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1,117,878 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557,875 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Chicago</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8,865 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147,606 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440,494 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144,497 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150,443 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582,154 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732,597 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427,557 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Washington DC</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8,341 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420,884 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1,319,147 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199,354 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436,704 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1,502,681 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1,939,385 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435,221 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Atlanta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7,550 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143,799 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420,664 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101,272 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144,161 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521,574 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665,735 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319,016 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Seattle/Tacoma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6,980 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211,959 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584,089 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161,112 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212,568 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744,592 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957,160 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410,728 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Miami</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7,460 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252,244 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560,224 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172,704 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254,137 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731,035 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985,172 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397,084 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New York</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7,278 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281,499 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617,448 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268,202 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287,836 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879,313 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1,167,149 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536,545 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Orlando/Daytona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5,781 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157,808 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408,287 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70,883 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163,289 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473,689 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636,978 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191,858 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Denver</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5,291 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8,142 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120,117 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323,262 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106,286 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120,838 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428,827 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549,665 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187,978 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Minneapolis/St. Paul</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5,218 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123,460 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300,698 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126,906 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127,014 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424,050 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551,064 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166,687 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Philadelphia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4,041 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58,824 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226,733 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85,150 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57,845 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312,862 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370,707 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187,147 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Charlotte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4,689 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89,309 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238,236 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85,982 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97,172 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316,355 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413,527 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158,819 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Tampa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3,985 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93,109 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213,546 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85,926 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96,422 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296,159 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392,581 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155,070 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Detroit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3,595 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67,465 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225,061 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61,379 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68,871 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285,034 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353,905 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142,253 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Portland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2,865 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60,975 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218,076 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51,935 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61,633 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269,353 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330,986 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124,847 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Baltimore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3,851 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136,598 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775,086 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42,754 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136,722 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817,716 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954,438 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131,757 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Phoenix</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3,499 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99,453 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304,379 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45,259 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99,444 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349,647 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449,091 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139,434 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West Palm Beach</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3,833 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156,788 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221,479 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114,853 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157,496 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335,624 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493,120 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161,302 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San Antonio</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2,827 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54,753 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224,313 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31,712 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54,711 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256,067 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310,778 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84,489 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Austin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2,942 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69,205 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188,500 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49,021 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71,227 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235,499 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306,726 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109,453 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Raleigh</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2,732 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89,212 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212,776 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42,985 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90,201 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254,772 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344,973 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83,693 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Norfolk</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47,728 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128,986 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30,103 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46,843 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159,974 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206,817 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84,167 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Sacramento</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2,054 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26,429 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80,391 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42,815 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26,913 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122,722 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149,635 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90,534 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Indianapolis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2,040 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40,905 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109,447 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24,061 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41,905 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132,508 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174,413 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57,787 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Kansas City</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19,603 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106,102 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37,676 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19,803 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143,578 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163,381 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70,531 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Boston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80,843 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209,495 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39,655 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81,409 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248,584 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329,993 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124,302 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St. Louis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1,749 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23,539 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89,341 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35,063 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23,395 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124,548 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147,943 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72,260 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Columbus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2,015 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44,983 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92,001 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29,817 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45,090 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121,711 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166,801 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57,187 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Columbia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1,620 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27,177 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83,532 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23,724 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27,936 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106,497 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134,433 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47,839 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Oklahoma City</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2,695 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58,426 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197,991 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19,338 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58,426 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217,329 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275,755 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38,708 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San Diego</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89,782 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162,043 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52,943 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92,292 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212,476 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304,768 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111,712 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Las Vegas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28,016 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113,889 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22,270 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27,264 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136,911 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164,175 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58,605 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83722136"/>
          <w:jc w:val="center"/>
        </w:trPr>
        <w:tc>
          <w:tcPr>
            <w:tcW w:w="0" w:type="auto"/>
            <w:gridSpan w:val="3"/>
            <w:tcMar>
              <w:top w:w="30" w:type="dxa"/>
              <w:left w:w="20"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Cincinnati</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19,385 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67,782 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24,688 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19,303 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92,552 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111,855 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38,121 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jc w:val="center"/>
        <w:divId w:val="1126309906"/>
        <w:rPr>
          <w:rFonts w:eastAsia="Times New Roman"/>
        </w:rPr>
      </w:pPr>
      <w:r>
        <w:rPr>
          <w:rFonts w:eastAsia="Times New Roman"/>
          <w:color w:val="000000"/>
          <w:sz w:val="20"/>
          <w:szCs w:val="20"/>
        </w:rPr>
        <w:t>F-32</w:t>
      </w:r>
    </w:p>
    <w:p w:rsidR="00000000" w:rsidRDefault="00473C5F">
      <w:pPr>
        <w:rPr>
          <w:rFonts w:eastAsia="Times New Roman"/>
        </w:rPr>
      </w:pPr>
      <w:r>
        <w:rPr>
          <w:rFonts w:eastAsia="Times New Roman"/>
        </w:rPr>
        <w:pict>
          <v:rect id="_x0000_i1122" style="width:0;height:1.5pt" o:hralign="center" o:hrstd="t" o:hr="t" fillcolor="#a0a0a0" stroked="f"/>
        </w:pict>
      </w:r>
    </w:p>
    <w:p w:rsidR="00000000" w:rsidRDefault="00473C5F">
      <w:pPr>
        <w:divId w:val="915825370"/>
        <w:rPr>
          <w:rFonts w:eastAsia="Times New Roman"/>
        </w:rPr>
      </w:pPr>
    </w:p>
    <w:p w:rsidR="00000000" w:rsidRDefault="00473C5F">
      <w:pPr>
        <w:divId w:val="2062820434"/>
        <w:rPr>
          <w:rFonts w:eastAsia="Times New Roman"/>
        </w:rPr>
      </w:pPr>
    </w:p>
    <w:p w:rsidR="00000000" w:rsidRDefault="00473C5F">
      <w:pPr>
        <w:jc w:val="center"/>
        <w:divId w:val="1702315860"/>
        <w:rPr>
          <w:rFonts w:eastAsia="Times New Roman"/>
        </w:rPr>
      </w:pPr>
      <w:r>
        <w:rPr>
          <w:rFonts w:eastAsia="Times New Roman"/>
          <w:color w:val="000000"/>
          <w:sz w:val="20"/>
          <w:szCs w:val="20"/>
        </w:rPr>
        <w:t>PUBLIC STORAGE</w:t>
      </w:r>
    </w:p>
    <w:p w:rsidR="00000000" w:rsidRDefault="00473C5F">
      <w:pPr>
        <w:jc w:val="center"/>
        <w:divId w:val="1702315860"/>
        <w:rPr>
          <w:rFonts w:eastAsia="Times New Roman"/>
        </w:rPr>
      </w:pPr>
      <w:r>
        <w:rPr>
          <w:rFonts w:eastAsia="Times New Roman"/>
          <w:color w:val="000000"/>
          <w:sz w:val="20"/>
          <w:szCs w:val="20"/>
        </w:rPr>
        <w:t>SCHEDULE III - REAL ESTATE</w:t>
      </w:r>
    </w:p>
    <w:p w:rsidR="00000000" w:rsidRDefault="00473C5F">
      <w:pPr>
        <w:jc w:val="center"/>
        <w:divId w:val="1702315860"/>
        <w:rPr>
          <w:rFonts w:eastAsia="Times New Roman"/>
        </w:rPr>
      </w:pPr>
      <w:r>
        <w:rPr>
          <w:rFonts w:eastAsia="Times New Roman"/>
          <w:color w:val="000000"/>
          <w:sz w:val="20"/>
          <w:szCs w:val="20"/>
        </w:rPr>
        <w:t>AND ACCUMULATED DEPRECIATION</w:t>
      </w:r>
    </w:p>
    <w:p w:rsidR="00000000" w:rsidRDefault="00473C5F">
      <w:pPr>
        <w:jc w:val="center"/>
        <w:divId w:val="1702315860"/>
        <w:rPr>
          <w:rFonts w:eastAsia="Times New Roman"/>
        </w:rPr>
      </w:pPr>
      <w:r>
        <w:rPr>
          <w:rFonts w:eastAsia="Times New Roman"/>
          <w:color w:val="000000"/>
          <w:sz w:val="20"/>
          <w:szCs w:val="20"/>
        </w:rPr>
        <w:t>(Amounts in thousands, except number of properties)</w:t>
      </w:r>
    </w:p>
    <w:tbl>
      <w:tblPr>
        <w:tblW w:w="4971" w:type="pct"/>
        <w:jc w:val="center"/>
        <w:tblCellMar>
          <w:top w:w="15" w:type="dxa"/>
          <w:left w:w="15" w:type="dxa"/>
          <w:bottom w:w="15" w:type="dxa"/>
          <w:right w:w="15" w:type="dxa"/>
        </w:tblCellMar>
        <w:tblLook w:val="04A0" w:firstRow="1" w:lastRow="0" w:firstColumn="1" w:lastColumn="0" w:noHBand="0" w:noVBand="1"/>
      </w:tblPr>
      <w:tblGrid>
        <w:gridCol w:w="113"/>
        <w:gridCol w:w="1995"/>
        <w:gridCol w:w="36"/>
        <w:gridCol w:w="72"/>
        <w:gridCol w:w="475"/>
        <w:gridCol w:w="36"/>
        <w:gridCol w:w="36"/>
        <w:gridCol w:w="36"/>
        <w:gridCol w:w="36"/>
        <w:gridCol w:w="70"/>
        <w:gridCol w:w="462"/>
        <w:gridCol w:w="36"/>
        <w:gridCol w:w="36"/>
        <w:gridCol w:w="36"/>
        <w:gridCol w:w="36"/>
        <w:gridCol w:w="63"/>
        <w:gridCol w:w="415"/>
        <w:gridCol w:w="36"/>
        <w:gridCol w:w="36"/>
        <w:gridCol w:w="36"/>
        <w:gridCol w:w="36"/>
        <w:gridCol w:w="58"/>
        <w:gridCol w:w="382"/>
        <w:gridCol w:w="37"/>
        <w:gridCol w:w="37"/>
        <w:gridCol w:w="36"/>
        <w:gridCol w:w="36"/>
        <w:gridCol w:w="111"/>
        <w:gridCol w:w="727"/>
        <w:gridCol w:w="36"/>
        <w:gridCol w:w="36"/>
        <w:gridCol w:w="36"/>
        <w:gridCol w:w="36"/>
        <w:gridCol w:w="91"/>
        <w:gridCol w:w="594"/>
        <w:gridCol w:w="36"/>
        <w:gridCol w:w="36"/>
        <w:gridCol w:w="36"/>
        <w:gridCol w:w="36"/>
        <w:gridCol w:w="58"/>
        <w:gridCol w:w="383"/>
        <w:gridCol w:w="38"/>
        <w:gridCol w:w="37"/>
        <w:gridCol w:w="37"/>
        <w:gridCol w:w="37"/>
        <w:gridCol w:w="76"/>
        <w:gridCol w:w="502"/>
        <w:gridCol w:w="37"/>
        <w:gridCol w:w="36"/>
        <w:gridCol w:w="36"/>
        <w:gridCol w:w="36"/>
        <w:gridCol w:w="68"/>
        <w:gridCol w:w="443"/>
        <w:gridCol w:w="37"/>
        <w:gridCol w:w="36"/>
        <w:gridCol w:w="36"/>
        <w:gridCol w:w="36"/>
        <w:gridCol w:w="103"/>
        <w:gridCol w:w="674"/>
        <w:gridCol w:w="36"/>
      </w:tblGrid>
      <w:tr w:rsidR="00000000">
        <w:trPr>
          <w:divId w:val="2091850914"/>
          <w:jc w:val="center"/>
        </w:trPr>
        <w:tc>
          <w:tcPr>
            <w:tcW w:w="50" w:type="pct"/>
            <w:vAlign w:val="center"/>
            <w:hideMark/>
          </w:tcPr>
          <w:p w:rsidR="00000000" w:rsidRDefault="00473C5F">
            <w:pPr>
              <w:jc w:val="center"/>
              <w:rPr>
                <w:rFonts w:eastAsia="Times New Roman"/>
              </w:rPr>
            </w:pPr>
          </w:p>
        </w:tc>
        <w:tc>
          <w:tcPr>
            <w:tcW w:w="89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2091850914"/>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Initial Cost</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Gross Carrying Amount At December 31, 2022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2091850914"/>
          <w:jc w:val="center"/>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Description</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No. of</w:t>
            </w:r>
            <w:r>
              <w:rPr>
                <w:rFonts w:eastAsia="Times New Roman"/>
                <w:color w:val="000000"/>
                <w:sz w:val="14"/>
                <w:szCs w:val="14"/>
              </w:rPr>
              <w:br/>
              <w:t>Facilities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Net</w:t>
            </w:r>
            <w:r>
              <w:rPr>
                <w:rFonts w:eastAsia="Times New Roman"/>
                <w:color w:val="000000"/>
                <w:sz w:val="14"/>
                <w:szCs w:val="14"/>
              </w:rPr>
              <w:br/>
              <w:t>Rentable</w:t>
            </w:r>
            <w:r>
              <w:rPr>
                <w:rFonts w:eastAsia="Times New Roman"/>
                <w:color w:val="000000"/>
                <w:sz w:val="14"/>
                <w:szCs w:val="14"/>
              </w:rPr>
              <w:br/>
              <w:t>Square Feet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2022</w:t>
            </w:r>
          </w:p>
          <w:p w:rsidR="00000000" w:rsidRDefault="00473C5F">
            <w:pPr>
              <w:spacing w:after="100"/>
              <w:jc w:val="center"/>
              <w:rPr>
                <w:rFonts w:eastAsia="Times New Roman"/>
              </w:rPr>
            </w:pPr>
            <w:r>
              <w:rPr>
                <w:rFonts w:eastAsia="Times New Roman"/>
                <w:color w:val="000000"/>
                <w:sz w:val="14"/>
                <w:szCs w:val="14"/>
              </w:rPr>
              <w:t>Encum-</w:t>
            </w:r>
          </w:p>
          <w:p w:rsidR="00000000" w:rsidRDefault="00473C5F">
            <w:pPr>
              <w:spacing w:after="100"/>
              <w:jc w:val="center"/>
              <w:rPr>
                <w:rFonts w:eastAsia="Times New Roman"/>
              </w:rPr>
            </w:pPr>
            <w:r>
              <w:rPr>
                <w:rFonts w:eastAsia="Times New Roman"/>
                <w:color w:val="000000"/>
                <w:sz w:val="14"/>
                <w:szCs w:val="14"/>
              </w:rPr>
              <w:t>brances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Land</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Buildings &amp;</w:t>
            </w:r>
            <w:r>
              <w:rPr>
                <w:rFonts w:eastAsia="Times New Roman"/>
                <w:color w:val="000000"/>
                <w:sz w:val="14"/>
                <w:szCs w:val="14"/>
              </w:rPr>
              <w:br/>
              <w:t>Improvements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Costs</w:t>
            </w:r>
            <w:r>
              <w:rPr>
                <w:rFonts w:eastAsia="Times New Roman"/>
                <w:color w:val="000000"/>
                <w:sz w:val="14"/>
                <w:szCs w:val="14"/>
              </w:rPr>
              <w:br/>
              <w:t>Subsequent</w:t>
            </w:r>
            <w:r>
              <w:rPr>
                <w:rFonts w:eastAsia="Times New Roman"/>
                <w:color w:val="000000"/>
                <w:sz w:val="14"/>
                <w:szCs w:val="14"/>
              </w:rPr>
              <w:br/>
              <w:t>to Acquisition</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Land</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Buildings</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Total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Accumulated</w:t>
            </w:r>
            <w:r>
              <w:rPr>
                <w:rFonts w:eastAsia="Times New Roman"/>
                <w:color w:val="000000"/>
                <w:sz w:val="14"/>
                <w:szCs w:val="14"/>
              </w:rPr>
              <w:br/>
              <w:t>Depreciation</w:t>
            </w: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Nashville/Bowling Green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25,374 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57,494 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32,496 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25,372 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89,992 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115,364 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37,098 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Colorado Springs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1,118 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12,320 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60,393 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23,467 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12,317 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83,863 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96,180 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35,592 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Milwaukee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13,189 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32,071 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10,806 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13,158 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42,908 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56,066 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37,262 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Louisville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23,563 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46,108 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8,936 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23,562 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55,045 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78,607 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21,323 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Jacksonville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922 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14,454 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47,415 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13,294 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14,503 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60,660 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75,163 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38,156 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Birmingham</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6,316 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25,567 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15,119 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6,204 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40,798 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47,002 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30,303 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Richmond</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20,979 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52,239 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6,712 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20,784 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59,146 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79,930 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24,763 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Greensboro</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13,413 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35,326 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15,088 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15,502 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48,325 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63,827 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31,488 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Charleston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16,947 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56,793 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23,215 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17,923 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79,032 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96,955 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33,383 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Fort Myers/Naples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32,185 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95,517 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8,105 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32,420 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103,387 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135,807 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26,587 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Chattanooga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10,030 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45,578 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8,613 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9,832 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54,389 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64,221 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19,596 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Savannah</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33,094 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42,465 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5,698 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31,766 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49,491 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81,257 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23,012 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Greensville/Spartanburg/Asheville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10,815 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50,364 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11,111 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11,744 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60,546 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72,290 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25,378 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Honolulu</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807 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54,184 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106,299 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21,266 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55,101 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126,648 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181,749 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78,924 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Hartford/New Haven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6,778 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19,959 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22,898 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8,443 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41,192 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49,635 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35,980 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New Orleans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13,372 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59,382 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9,197 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13,540 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68,411 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81,951 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31,527 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Salt Lake City</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758 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18,606 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37,739 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6,242 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18,255 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44,332 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62,587 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17,354 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Memphis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19,581 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29,852 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11,269 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20,934 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39,768 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60,702 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25,156 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Mobile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18,688 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45,137 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6,859 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18,515 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52,169 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70,684 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17,238 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Omaha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17,965 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69,085 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4,785 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17,965 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73,870 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91,835 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10,254 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Buffalo/Rochester</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6,785 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17,954 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4,328 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6,783 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22,284 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29,067 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16,267 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Cleveland/Akron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631 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5,916 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30,775 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6,213 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6,309 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36,595 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42,904 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14,890 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Augusta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9,397 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24,669 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4,817 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9,397 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29,486 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38,883 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9,188 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Reno</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559 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18,704 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5,353 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24,057 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29,544 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14,450 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Tucson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9,403 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25,491 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8,779 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9,884 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33,789 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43,673 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23,192 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Wichita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2,017 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6,691 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7,767 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14,345 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16,475 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12,642 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Monterey/Salinas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8,465 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24,151 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7,729 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8,455 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31,890 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40,345 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24,998 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Boise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13,412 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55,496 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13,412 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56,707 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70,119 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3,802 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Evansville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326 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2,340 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14,316 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1,567 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2,312 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15,911 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18,223 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5,593 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Dayton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284 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8,975 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4,981 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1,073 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13,957 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15,030 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8,290 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Huntsville/Decatur</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9,161 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13,481 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3,561 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9,108 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17,095 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26,203 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7,163 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Fort Wayne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3,487 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11,003 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3,610 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3,487 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14,613 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18,100 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6,611 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Roanoke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5,093 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18,091 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5,093 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19,171 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24,264 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4,645 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Palm Springs</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8,309 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18,065 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2,979 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8,309 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21,044 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29,353 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13,108 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Providence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11,206 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3,191 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995 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14,397 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15,392 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7,928 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Shreveport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817 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3,030 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3,056 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741 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6,162 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6,903 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5,088 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2091850914"/>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Springfield/Holyoke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1,428 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3,380 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1,427 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5,380 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6,807 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5,243 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jc w:val="center"/>
        <w:divId w:val="2011252458"/>
        <w:rPr>
          <w:rFonts w:eastAsia="Times New Roman"/>
        </w:rPr>
      </w:pPr>
      <w:r>
        <w:rPr>
          <w:rFonts w:eastAsia="Times New Roman"/>
          <w:color w:val="000000"/>
          <w:sz w:val="20"/>
          <w:szCs w:val="20"/>
        </w:rPr>
        <w:t>F-33</w:t>
      </w:r>
    </w:p>
    <w:p w:rsidR="00000000" w:rsidRDefault="00473C5F">
      <w:pPr>
        <w:rPr>
          <w:rFonts w:eastAsia="Times New Roman"/>
        </w:rPr>
      </w:pPr>
      <w:r>
        <w:rPr>
          <w:rFonts w:eastAsia="Times New Roman"/>
        </w:rPr>
        <w:pict>
          <v:rect id="_x0000_i1123" style="width:0;height:1.5pt" o:hralign="center" o:hrstd="t" o:hr="t" fillcolor="#a0a0a0" stroked="f"/>
        </w:pict>
      </w:r>
    </w:p>
    <w:p w:rsidR="00000000" w:rsidRDefault="00473C5F">
      <w:pPr>
        <w:divId w:val="646279388"/>
        <w:rPr>
          <w:rFonts w:eastAsia="Times New Roman"/>
        </w:rPr>
      </w:pPr>
    </w:p>
    <w:p w:rsidR="00000000" w:rsidRDefault="00473C5F">
      <w:pPr>
        <w:divId w:val="1592616726"/>
        <w:rPr>
          <w:rFonts w:eastAsia="Times New Roman"/>
        </w:rPr>
      </w:pPr>
    </w:p>
    <w:p w:rsidR="00000000" w:rsidRDefault="00473C5F">
      <w:pPr>
        <w:jc w:val="center"/>
        <w:divId w:val="1610508625"/>
        <w:rPr>
          <w:rFonts w:eastAsia="Times New Roman"/>
        </w:rPr>
      </w:pPr>
      <w:r>
        <w:rPr>
          <w:rFonts w:eastAsia="Times New Roman"/>
          <w:color w:val="000000"/>
          <w:sz w:val="20"/>
          <w:szCs w:val="20"/>
        </w:rPr>
        <w:t>PUBLIC STORAGE</w:t>
      </w:r>
    </w:p>
    <w:p w:rsidR="00000000" w:rsidRDefault="00473C5F">
      <w:pPr>
        <w:jc w:val="center"/>
        <w:divId w:val="1610508625"/>
        <w:rPr>
          <w:rFonts w:eastAsia="Times New Roman"/>
        </w:rPr>
      </w:pPr>
      <w:r>
        <w:rPr>
          <w:rFonts w:eastAsia="Times New Roman"/>
          <w:color w:val="000000"/>
          <w:sz w:val="20"/>
          <w:szCs w:val="20"/>
        </w:rPr>
        <w:t>SCHEDULE III - REAL ESTATE</w:t>
      </w:r>
    </w:p>
    <w:p w:rsidR="00000000" w:rsidRDefault="00473C5F">
      <w:pPr>
        <w:jc w:val="center"/>
        <w:divId w:val="1610508625"/>
        <w:rPr>
          <w:rFonts w:eastAsia="Times New Roman"/>
        </w:rPr>
      </w:pPr>
      <w:r>
        <w:rPr>
          <w:rFonts w:eastAsia="Times New Roman"/>
          <w:color w:val="000000"/>
          <w:sz w:val="20"/>
          <w:szCs w:val="20"/>
        </w:rPr>
        <w:t>AND ACCUMULATED DEPRECIATION</w:t>
      </w:r>
    </w:p>
    <w:p w:rsidR="00000000" w:rsidRDefault="00473C5F">
      <w:pPr>
        <w:jc w:val="center"/>
        <w:divId w:val="1610508625"/>
        <w:rPr>
          <w:rFonts w:eastAsia="Times New Roman"/>
        </w:rPr>
      </w:pPr>
      <w:r>
        <w:rPr>
          <w:rFonts w:eastAsia="Times New Roman"/>
          <w:color w:val="000000"/>
          <w:sz w:val="20"/>
          <w:szCs w:val="20"/>
        </w:rPr>
        <w:t>(Amounts in thousands, except number of properties)</w:t>
      </w:r>
    </w:p>
    <w:tbl>
      <w:tblPr>
        <w:tblW w:w="4971" w:type="pct"/>
        <w:jc w:val="center"/>
        <w:tblCellMar>
          <w:top w:w="15" w:type="dxa"/>
          <w:left w:w="15" w:type="dxa"/>
          <w:bottom w:w="15" w:type="dxa"/>
          <w:right w:w="15" w:type="dxa"/>
        </w:tblCellMar>
        <w:tblLook w:val="04A0" w:firstRow="1" w:lastRow="0" w:firstColumn="1" w:lastColumn="0" w:noHBand="0" w:noVBand="1"/>
      </w:tblPr>
      <w:tblGrid>
        <w:gridCol w:w="86"/>
        <w:gridCol w:w="1528"/>
        <w:gridCol w:w="36"/>
        <w:gridCol w:w="72"/>
        <w:gridCol w:w="475"/>
        <w:gridCol w:w="36"/>
        <w:gridCol w:w="36"/>
        <w:gridCol w:w="36"/>
        <w:gridCol w:w="36"/>
        <w:gridCol w:w="70"/>
        <w:gridCol w:w="462"/>
        <w:gridCol w:w="36"/>
        <w:gridCol w:w="36"/>
        <w:gridCol w:w="36"/>
        <w:gridCol w:w="36"/>
        <w:gridCol w:w="81"/>
        <w:gridCol w:w="415"/>
        <w:gridCol w:w="36"/>
        <w:gridCol w:w="36"/>
        <w:gridCol w:w="36"/>
        <w:gridCol w:w="36"/>
        <w:gridCol w:w="80"/>
        <w:gridCol w:w="510"/>
        <w:gridCol w:w="36"/>
        <w:gridCol w:w="36"/>
        <w:gridCol w:w="36"/>
        <w:gridCol w:w="36"/>
        <w:gridCol w:w="111"/>
        <w:gridCol w:w="727"/>
        <w:gridCol w:w="36"/>
        <w:gridCol w:w="36"/>
        <w:gridCol w:w="36"/>
        <w:gridCol w:w="36"/>
        <w:gridCol w:w="91"/>
        <w:gridCol w:w="594"/>
        <w:gridCol w:w="36"/>
        <w:gridCol w:w="36"/>
        <w:gridCol w:w="36"/>
        <w:gridCol w:w="36"/>
        <w:gridCol w:w="80"/>
        <w:gridCol w:w="510"/>
        <w:gridCol w:w="36"/>
        <w:gridCol w:w="36"/>
        <w:gridCol w:w="36"/>
        <w:gridCol w:w="36"/>
        <w:gridCol w:w="80"/>
        <w:gridCol w:w="570"/>
        <w:gridCol w:w="36"/>
        <w:gridCol w:w="36"/>
        <w:gridCol w:w="36"/>
        <w:gridCol w:w="36"/>
        <w:gridCol w:w="80"/>
        <w:gridCol w:w="570"/>
        <w:gridCol w:w="36"/>
        <w:gridCol w:w="36"/>
        <w:gridCol w:w="36"/>
        <w:gridCol w:w="36"/>
        <w:gridCol w:w="103"/>
        <w:gridCol w:w="674"/>
        <w:gridCol w:w="36"/>
      </w:tblGrid>
      <w:tr w:rsidR="00000000">
        <w:trPr>
          <w:divId w:val="1574512801"/>
          <w:jc w:val="center"/>
        </w:trPr>
        <w:tc>
          <w:tcPr>
            <w:tcW w:w="50" w:type="pct"/>
            <w:vAlign w:val="center"/>
            <w:hideMark/>
          </w:tcPr>
          <w:p w:rsidR="00000000" w:rsidRDefault="00473C5F">
            <w:pPr>
              <w:jc w:val="center"/>
              <w:rPr>
                <w:rFonts w:eastAsia="Times New Roman"/>
              </w:rPr>
            </w:pPr>
          </w:p>
        </w:tc>
        <w:tc>
          <w:tcPr>
            <w:tcW w:w="89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12"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c>
          <w:tcPr>
            <w:tcW w:w="50" w:type="pct"/>
            <w:vAlign w:val="center"/>
            <w:hideMark/>
          </w:tcPr>
          <w:p w:rsidR="00000000" w:rsidRDefault="00473C5F">
            <w:pPr>
              <w:spacing w:after="100"/>
              <w:rPr>
                <w:rFonts w:eastAsia="Times New Roman"/>
                <w:sz w:val="20"/>
                <w:szCs w:val="20"/>
              </w:rPr>
            </w:pPr>
          </w:p>
        </w:tc>
        <w:tc>
          <w:tcPr>
            <w:tcW w:w="330" w:type="pct"/>
            <w:vAlign w:val="center"/>
            <w:hideMark/>
          </w:tcPr>
          <w:p w:rsidR="00000000" w:rsidRDefault="00473C5F">
            <w:pPr>
              <w:spacing w:after="100"/>
              <w:rPr>
                <w:rFonts w:eastAsia="Times New Roman"/>
                <w:sz w:val="20"/>
                <w:szCs w:val="20"/>
              </w:rPr>
            </w:pPr>
          </w:p>
        </w:tc>
        <w:tc>
          <w:tcPr>
            <w:tcW w:w="5" w:type="pct"/>
            <w:vAlign w:val="center"/>
            <w:hideMark/>
          </w:tcPr>
          <w:p w:rsidR="00000000" w:rsidRDefault="00473C5F">
            <w:pPr>
              <w:spacing w:after="100"/>
              <w:rPr>
                <w:rFonts w:eastAsia="Times New Roman"/>
                <w:sz w:val="20"/>
                <w:szCs w:val="20"/>
              </w:rPr>
            </w:pPr>
          </w:p>
        </w:tc>
      </w:tr>
      <w:tr w:rsidR="00000000">
        <w:trPr>
          <w:divId w:val="1574512801"/>
          <w:jc w:val="center"/>
        </w:trPr>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Initial Cost</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Gross Carrying Amount At December 31, 2022</w:t>
            </w:r>
          </w:p>
        </w:tc>
        <w:tc>
          <w:tcPr>
            <w:tcW w:w="0" w:type="auto"/>
            <w:gridSpan w:val="3"/>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574512801"/>
          <w:jc w:val="center"/>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Description</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No. of</w:t>
            </w:r>
            <w:r>
              <w:rPr>
                <w:rFonts w:eastAsia="Times New Roman"/>
                <w:color w:val="000000"/>
                <w:sz w:val="14"/>
                <w:szCs w:val="14"/>
              </w:rPr>
              <w:br/>
            </w:r>
            <w:r>
              <w:rPr>
                <w:rFonts w:eastAsia="Times New Roman"/>
                <w:color w:val="000000"/>
                <w:sz w:val="14"/>
                <w:szCs w:val="14"/>
              </w:rPr>
              <w:t>Facilities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Net</w:t>
            </w:r>
            <w:r>
              <w:rPr>
                <w:rFonts w:eastAsia="Times New Roman"/>
                <w:color w:val="000000"/>
                <w:sz w:val="14"/>
                <w:szCs w:val="14"/>
              </w:rPr>
              <w:br/>
              <w:t>Rentable</w:t>
            </w:r>
            <w:r>
              <w:rPr>
                <w:rFonts w:eastAsia="Times New Roman"/>
                <w:color w:val="000000"/>
                <w:sz w:val="14"/>
                <w:szCs w:val="14"/>
              </w:rPr>
              <w:br/>
              <w:t>Square Feet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2022</w:t>
            </w:r>
          </w:p>
          <w:p w:rsidR="00000000" w:rsidRDefault="00473C5F">
            <w:pPr>
              <w:spacing w:after="100"/>
              <w:jc w:val="center"/>
              <w:rPr>
                <w:rFonts w:eastAsia="Times New Roman"/>
              </w:rPr>
            </w:pPr>
            <w:r>
              <w:rPr>
                <w:rFonts w:eastAsia="Times New Roman"/>
                <w:color w:val="000000"/>
                <w:sz w:val="14"/>
                <w:szCs w:val="14"/>
              </w:rPr>
              <w:t>Encum-</w:t>
            </w:r>
          </w:p>
          <w:p w:rsidR="00000000" w:rsidRDefault="00473C5F">
            <w:pPr>
              <w:spacing w:after="100"/>
              <w:jc w:val="center"/>
              <w:rPr>
                <w:rFonts w:eastAsia="Times New Roman"/>
              </w:rPr>
            </w:pPr>
            <w:r>
              <w:rPr>
                <w:rFonts w:eastAsia="Times New Roman"/>
                <w:color w:val="000000"/>
                <w:sz w:val="14"/>
                <w:szCs w:val="14"/>
              </w:rPr>
              <w:t>brances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Land</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Buildings &amp;</w:t>
            </w:r>
            <w:r>
              <w:rPr>
                <w:rFonts w:eastAsia="Times New Roman"/>
                <w:color w:val="000000"/>
                <w:sz w:val="14"/>
                <w:szCs w:val="14"/>
              </w:rPr>
              <w:br/>
              <w:t>Improvements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Costs</w:t>
            </w:r>
            <w:r>
              <w:rPr>
                <w:rFonts w:eastAsia="Times New Roman"/>
                <w:color w:val="000000"/>
                <w:sz w:val="14"/>
                <w:szCs w:val="14"/>
              </w:rPr>
              <w:br/>
              <w:t>Subsequent</w:t>
            </w:r>
            <w:r>
              <w:rPr>
                <w:rFonts w:eastAsia="Times New Roman"/>
                <w:color w:val="000000"/>
                <w:sz w:val="14"/>
                <w:szCs w:val="14"/>
              </w:rPr>
              <w:br/>
              <w:t>to Acquisition</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Land</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Buildings</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Total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73C5F">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73C5F">
            <w:pPr>
              <w:spacing w:after="100"/>
              <w:jc w:val="center"/>
              <w:rPr>
                <w:rFonts w:eastAsia="Times New Roman"/>
              </w:rPr>
            </w:pPr>
            <w:r>
              <w:rPr>
                <w:rFonts w:eastAsia="Times New Roman"/>
                <w:color w:val="000000"/>
                <w:sz w:val="14"/>
                <w:szCs w:val="14"/>
              </w:rPr>
              <w:t>Accumulated</w:t>
            </w:r>
            <w:r>
              <w:rPr>
                <w:rFonts w:eastAsia="Times New Roman"/>
                <w:color w:val="000000"/>
                <w:sz w:val="14"/>
                <w:szCs w:val="14"/>
              </w:rPr>
              <w:br/>
              <w:t>Depreciation</w:t>
            </w:r>
          </w:p>
        </w:tc>
      </w:tr>
      <w:tr w:rsidR="00000000">
        <w:trPr>
          <w:divId w:val="1574512801"/>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Rochester</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1,047 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2,483 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4,796 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5,776 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4,354 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74512801"/>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Santa Barbara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5,733 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9,106 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5,733 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10,239 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15,972 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6,674 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74512801"/>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Topeka</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1,419 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2,136 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3,555 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3,780 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3,279 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74512801"/>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Lansing</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88 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2,882 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996 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3,878 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4,434 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2,791 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74512801"/>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Flint</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3,068 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275 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3,344 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3,886 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74512801"/>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Joplin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904 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1,046 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264 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1,950 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2,214 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1,708 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74512801"/>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Syracuse</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1,279 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906 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545 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2,185 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2,730 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2,097 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74512801"/>
          <w:jc w:val="center"/>
        </w:trPr>
        <w:tc>
          <w:tcPr>
            <w:tcW w:w="0" w:type="auto"/>
            <w:gridSpan w:val="3"/>
            <w:tcMar>
              <w:top w:w="30" w:type="dxa"/>
              <w:left w:w="155" w:type="dxa"/>
              <w:bottom w:w="30" w:type="dxa"/>
              <w:right w:w="20" w:type="dxa"/>
            </w:tcMar>
            <w:vAlign w:val="bottom"/>
            <w:hideMark/>
          </w:tcPr>
          <w:p w:rsidR="00000000" w:rsidRDefault="00473C5F">
            <w:pPr>
              <w:spacing w:after="100"/>
              <w:rPr>
                <w:rFonts w:eastAsia="Times New Roman"/>
              </w:rPr>
            </w:pPr>
            <w:r>
              <w:rPr>
                <w:rFonts w:eastAsia="Times New Roman"/>
                <w:color w:val="000000"/>
                <w:sz w:val="14"/>
                <w:szCs w:val="14"/>
              </w:rPr>
              <w:t>Modesto/Fresno/Stockton</w:t>
            </w: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33 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206 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1,344 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193 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1,401 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1,594 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1,060 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74512801"/>
          <w:trHeight w:val="220"/>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r>
      <w:tr w:rsidR="00000000">
        <w:trPr>
          <w:divId w:val="1574512801"/>
          <w:jc w:val="center"/>
        </w:trPr>
        <w:tc>
          <w:tcPr>
            <w:tcW w:w="0" w:type="auto"/>
            <w:gridSpan w:val="3"/>
            <w:tcMar>
              <w:top w:w="30" w:type="dxa"/>
              <w:left w:w="200" w:type="dxa"/>
              <w:bottom w:w="30" w:type="dxa"/>
              <w:right w:w="20" w:type="dxa"/>
            </w:tcMar>
            <w:vAlign w:val="bottom"/>
            <w:hideMark/>
          </w:tcPr>
          <w:p w:rsidR="00000000" w:rsidRDefault="00473C5F">
            <w:pPr>
              <w:spacing w:after="100"/>
              <w:ind w:hanging="180"/>
              <w:rPr>
                <w:rFonts w:eastAsia="Times New Roman"/>
              </w:rPr>
            </w:pPr>
            <w:r>
              <w:rPr>
                <w:rFonts w:eastAsia="Times New Roman"/>
                <w:color w:val="000000"/>
                <w:sz w:val="14"/>
                <w:szCs w:val="14"/>
              </w:rPr>
              <w:t>Commercial and non-operating real estate</w:t>
            </w:r>
          </w:p>
        </w:tc>
        <w:tc>
          <w:tcPr>
            <w:tcW w:w="0" w:type="auto"/>
            <w:gridSpan w:val="3"/>
            <w:tcMar>
              <w:top w:w="0" w:type="dxa"/>
              <w:left w:w="20" w:type="dxa"/>
              <w:bottom w:w="0" w:type="dxa"/>
              <w:right w:w="20" w:type="dxa"/>
            </w:tcMar>
            <w:vAlign w:val="center"/>
            <w:hideMark/>
          </w:tcPr>
          <w:p w:rsidR="00000000" w:rsidRDefault="00473C5F">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73C5F">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13,194 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26,143 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78,824 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13,349 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104,812 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118,161 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4"/>
                <w:szCs w:val="14"/>
              </w:rPr>
              <w:t>53,952 </w:t>
            </w:r>
          </w:p>
        </w:tc>
        <w:tc>
          <w:tcPr>
            <w:tcW w:w="0" w:type="auto"/>
            <w:tcMar>
              <w:top w:w="30" w:type="dxa"/>
              <w:left w:w="0" w:type="dxa"/>
              <w:bottom w:w="30" w:type="dxa"/>
              <w:right w:w="20" w:type="dxa"/>
            </w:tcMar>
            <w:vAlign w:val="bottom"/>
            <w:hideMark/>
          </w:tcPr>
          <w:p w:rsidR="00000000" w:rsidRDefault="00473C5F">
            <w:pPr>
              <w:spacing w:after="100"/>
              <w:jc w:val="right"/>
              <w:rPr>
                <w:rFonts w:eastAsia="Times New Roman"/>
              </w:rPr>
            </w:pPr>
          </w:p>
        </w:tc>
      </w:tr>
      <w:tr w:rsidR="00000000">
        <w:trPr>
          <w:divId w:val="1574512801"/>
          <w:jc w:val="center"/>
        </w:trPr>
        <w:tc>
          <w:tcPr>
            <w:tcW w:w="0" w:type="auto"/>
            <w:gridSpan w:val="3"/>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2"/>
                <w:szCs w:val="12"/>
              </w:rPr>
              <w:t>2,869 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2"/>
                <w:szCs w:val="12"/>
              </w:rPr>
              <w:t>204,217 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2"/>
                <w:szCs w:val="12"/>
              </w:rPr>
              <w:t>10,092 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2"/>
                <w:szCs w:val="12"/>
              </w:rPr>
              <w:t>5,196,649 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2"/>
                <w:szCs w:val="12"/>
              </w:rPr>
              <w:t>14,907,072 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2"/>
                <w:szCs w:val="12"/>
              </w:rPr>
              <w:t>4,115,405 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2"/>
                <w:szCs w:val="12"/>
              </w:rPr>
              <w:t>5,273,073 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2"/>
                <w:szCs w:val="12"/>
              </w:rPr>
              <w:t>18,946,053 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2"/>
                <w:szCs w:val="12"/>
              </w:rPr>
              <w:t>24,219,126 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473C5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73C5F">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73C5F">
            <w:pPr>
              <w:spacing w:after="100"/>
              <w:jc w:val="right"/>
              <w:rPr>
                <w:rFonts w:eastAsia="Times New Roman"/>
              </w:rPr>
            </w:pPr>
            <w:r>
              <w:rPr>
                <w:rFonts w:eastAsia="Times New Roman"/>
                <w:color w:val="000000"/>
                <w:sz w:val="12"/>
                <w:szCs w:val="12"/>
              </w:rPr>
              <w:t>8,554,155 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73C5F">
            <w:pPr>
              <w:spacing w:after="100"/>
              <w:jc w:val="right"/>
              <w:rPr>
                <w:rFonts w:eastAsia="Times New Roman"/>
              </w:rPr>
            </w:pPr>
          </w:p>
        </w:tc>
      </w:tr>
    </w:tbl>
    <w:p w:rsidR="00000000" w:rsidRDefault="00473C5F">
      <w:pPr>
        <w:jc w:val="both"/>
        <w:divId w:val="992484021"/>
        <w:rPr>
          <w:rFonts w:eastAsia="Times New Roman"/>
        </w:rPr>
      </w:pPr>
      <w:r>
        <w:rPr>
          <w:rFonts w:eastAsia="Times New Roman"/>
          <w:color w:val="000000"/>
          <w:sz w:val="18"/>
          <w:szCs w:val="18"/>
        </w:rPr>
        <w:t>Note: Buildings and improvements are depreciated on a straight-line basis over estimated useful lives r</w:t>
      </w:r>
      <w:r>
        <w:rPr>
          <w:rFonts w:eastAsia="Times New Roman"/>
          <w:color w:val="000000"/>
          <w:sz w:val="18"/>
          <w:szCs w:val="18"/>
        </w:rPr>
        <w:t>anging generally between 5 to 25 years. In addition, disclosures of the number and square footage of our facilities are unaudited.</w:t>
      </w:r>
    </w:p>
    <w:p w:rsidR="00473C5F" w:rsidRDefault="00473C5F">
      <w:pPr>
        <w:jc w:val="center"/>
        <w:divId w:val="370960535"/>
        <w:rPr>
          <w:rFonts w:eastAsia="Times New Roman"/>
        </w:rPr>
      </w:pPr>
      <w:r>
        <w:rPr>
          <w:rFonts w:eastAsia="Times New Roman"/>
          <w:color w:val="000000"/>
          <w:sz w:val="20"/>
          <w:szCs w:val="20"/>
        </w:rPr>
        <w:t>F-34</w:t>
      </w:r>
    </w:p>
    <w:sectPr w:rsidR="00473C5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73C5F"/>
    <w:rsid w:val="00473C5F"/>
  </w:rsids>
  <m:mathPr>
    <m:mathFont m:val="Cambria Math"/>
    <m:brkBin m:val="before"/>
    <m:brkBinSub m:val="--"/>
    <m:smallFrac m:val="0"/>
    <m:dispDef/>
    <m:lMargin m:val="0"/>
    <m:rMargin m:val="0"/>
    <m:defJc m:val="centerGroup"/>
    <m:wrapIndent m:val="1440"/>
    <m:intLim m:val="subSup"/>
    <m:naryLim m:val="undOvr"/>
  </m:mathPr>
  <w:attachedSchema w:val="http://fasb.org/srt/2022"/>
  <w:attachedSchema w:val="http://xbrl.sec.gov/dei/2022"/>
  <w:attachedSchema w:val="http://xbrl.org/2006/xbrldi"/>
  <w:attachedSchema w:val="http://www.xbrl.org/2003/linkbase"/>
  <w:attachedSchema w:val="http://www.xbrl.org/2009/utr"/>
  <w:attachedSchema w:val="http://xbrl.sec.gov/country/2022"/>
  <w:attachedSchema w:val="http://www.xbrl.org/2003/iso4217"/>
  <w:attachedSchema w:val="http://www.xbrl.org/2003/instance"/>
  <w:attachedSchema w:val="http://www.w3.org/1999/xlink"/>
  <w:attachedSchema w:val="http://www.sec.gov/inlineXBRL/transformation/2015-08-31"/>
  <w:attachedSchema w:val="http://www.xbrl.org/inlineXBRL/transformation/2020-02-12"/>
  <w:attachedSchema w:val="http://www.publicstorage.com/20221231"/>
  <w:attachedSchema w:val="http://fasb.org/us-gaap/2022"/>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209">
      <w:marLeft w:val="0"/>
      <w:marRight w:val="0"/>
      <w:marTop w:val="0"/>
      <w:marBottom w:val="240"/>
      <w:divBdr>
        <w:top w:val="none" w:sz="0" w:space="0" w:color="auto"/>
        <w:left w:val="none" w:sz="0" w:space="0" w:color="auto"/>
        <w:bottom w:val="none" w:sz="0" w:space="0" w:color="auto"/>
        <w:right w:val="none" w:sz="0" w:space="0" w:color="auto"/>
      </w:divBdr>
    </w:div>
    <w:div w:id="545033">
      <w:marLeft w:val="0"/>
      <w:marRight w:val="0"/>
      <w:marTop w:val="240"/>
      <w:marBottom w:val="0"/>
      <w:divBdr>
        <w:top w:val="none" w:sz="0" w:space="0" w:color="auto"/>
        <w:left w:val="none" w:sz="0" w:space="0" w:color="auto"/>
        <w:bottom w:val="none" w:sz="0" w:space="0" w:color="auto"/>
        <w:right w:val="none" w:sz="0" w:space="0" w:color="auto"/>
      </w:divBdr>
    </w:div>
    <w:div w:id="1859410">
      <w:marLeft w:val="0"/>
      <w:marRight w:val="0"/>
      <w:marTop w:val="240"/>
      <w:marBottom w:val="0"/>
      <w:divBdr>
        <w:top w:val="none" w:sz="0" w:space="0" w:color="auto"/>
        <w:left w:val="none" w:sz="0" w:space="0" w:color="auto"/>
        <w:bottom w:val="none" w:sz="0" w:space="0" w:color="auto"/>
        <w:right w:val="none" w:sz="0" w:space="0" w:color="auto"/>
      </w:divBdr>
    </w:div>
    <w:div w:id="6176960">
      <w:marLeft w:val="0"/>
      <w:marRight w:val="0"/>
      <w:marTop w:val="240"/>
      <w:marBottom w:val="0"/>
      <w:divBdr>
        <w:top w:val="none" w:sz="0" w:space="0" w:color="auto"/>
        <w:left w:val="none" w:sz="0" w:space="0" w:color="auto"/>
        <w:bottom w:val="none" w:sz="0" w:space="0" w:color="auto"/>
        <w:right w:val="none" w:sz="0" w:space="0" w:color="auto"/>
      </w:divBdr>
    </w:div>
    <w:div w:id="6907835">
      <w:marLeft w:val="0"/>
      <w:marRight w:val="0"/>
      <w:marTop w:val="240"/>
      <w:marBottom w:val="240"/>
      <w:divBdr>
        <w:top w:val="none" w:sz="0" w:space="0" w:color="auto"/>
        <w:left w:val="none" w:sz="0" w:space="0" w:color="auto"/>
        <w:bottom w:val="none" w:sz="0" w:space="0" w:color="auto"/>
        <w:right w:val="none" w:sz="0" w:space="0" w:color="auto"/>
      </w:divBdr>
    </w:div>
    <w:div w:id="9452930">
      <w:marLeft w:val="0"/>
      <w:marRight w:val="0"/>
      <w:marTop w:val="0"/>
      <w:marBottom w:val="240"/>
      <w:divBdr>
        <w:top w:val="none" w:sz="0" w:space="0" w:color="auto"/>
        <w:left w:val="none" w:sz="0" w:space="0" w:color="auto"/>
        <w:bottom w:val="none" w:sz="0" w:space="0" w:color="auto"/>
        <w:right w:val="none" w:sz="0" w:space="0" w:color="auto"/>
      </w:divBdr>
    </w:div>
    <w:div w:id="11349402">
      <w:marLeft w:val="0"/>
      <w:marRight w:val="0"/>
      <w:marTop w:val="0"/>
      <w:marBottom w:val="240"/>
      <w:divBdr>
        <w:top w:val="none" w:sz="0" w:space="0" w:color="auto"/>
        <w:left w:val="none" w:sz="0" w:space="0" w:color="auto"/>
        <w:bottom w:val="none" w:sz="0" w:space="0" w:color="auto"/>
        <w:right w:val="none" w:sz="0" w:space="0" w:color="auto"/>
      </w:divBdr>
    </w:div>
    <w:div w:id="13384926">
      <w:marLeft w:val="0"/>
      <w:marRight w:val="0"/>
      <w:marTop w:val="0"/>
      <w:marBottom w:val="240"/>
      <w:divBdr>
        <w:top w:val="none" w:sz="0" w:space="0" w:color="auto"/>
        <w:left w:val="none" w:sz="0" w:space="0" w:color="auto"/>
        <w:bottom w:val="none" w:sz="0" w:space="0" w:color="auto"/>
        <w:right w:val="none" w:sz="0" w:space="0" w:color="auto"/>
      </w:divBdr>
    </w:div>
    <w:div w:id="13465347">
      <w:marLeft w:val="0"/>
      <w:marRight w:val="0"/>
      <w:marTop w:val="240"/>
      <w:marBottom w:val="0"/>
      <w:divBdr>
        <w:top w:val="none" w:sz="0" w:space="0" w:color="auto"/>
        <w:left w:val="none" w:sz="0" w:space="0" w:color="auto"/>
        <w:bottom w:val="none" w:sz="0" w:space="0" w:color="auto"/>
        <w:right w:val="none" w:sz="0" w:space="0" w:color="auto"/>
      </w:divBdr>
    </w:div>
    <w:div w:id="14115926">
      <w:marLeft w:val="0"/>
      <w:marRight w:val="0"/>
      <w:marTop w:val="120"/>
      <w:marBottom w:val="0"/>
      <w:divBdr>
        <w:top w:val="none" w:sz="0" w:space="0" w:color="auto"/>
        <w:left w:val="none" w:sz="0" w:space="0" w:color="auto"/>
        <w:bottom w:val="none" w:sz="0" w:space="0" w:color="auto"/>
        <w:right w:val="none" w:sz="0" w:space="0" w:color="auto"/>
      </w:divBdr>
    </w:div>
    <w:div w:id="14893625">
      <w:marLeft w:val="0"/>
      <w:marRight w:val="0"/>
      <w:marTop w:val="0"/>
      <w:marBottom w:val="0"/>
      <w:divBdr>
        <w:top w:val="none" w:sz="0" w:space="0" w:color="auto"/>
        <w:left w:val="none" w:sz="0" w:space="0" w:color="auto"/>
        <w:bottom w:val="none" w:sz="0" w:space="0" w:color="auto"/>
        <w:right w:val="none" w:sz="0" w:space="0" w:color="auto"/>
      </w:divBdr>
    </w:div>
    <w:div w:id="20979268">
      <w:marLeft w:val="0"/>
      <w:marRight w:val="0"/>
      <w:marTop w:val="0"/>
      <w:marBottom w:val="0"/>
      <w:divBdr>
        <w:top w:val="none" w:sz="0" w:space="0" w:color="auto"/>
        <w:left w:val="none" w:sz="0" w:space="0" w:color="auto"/>
        <w:bottom w:val="none" w:sz="0" w:space="0" w:color="auto"/>
        <w:right w:val="none" w:sz="0" w:space="0" w:color="auto"/>
      </w:divBdr>
    </w:div>
    <w:div w:id="23021706">
      <w:marLeft w:val="0"/>
      <w:marRight w:val="0"/>
      <w:marTop w:val="0"/>
      <w:marBottom w:val="0"/>
      <w:divBdr>
        <w:top w:val="none" w:sz="0" w:space="0" w:color="auto"/>
        <w:left w:val="none" w:sz="0" w:space="0" w:color="auto"/>
        <w:bottom w:val="none" w:sz="0" w:space="0" w:color="auto"/>
        <w:right w:val="none" w:sz="0" w:space="0" w:color="auto"/>
      </w:divBdr>
      <w:divsChild>
        <w:div w:id="1845247404">
          <w:marLeft w:val="0"/>
          <w:marRight w:val="0"/>
          <w:marTop w:val="0"/>
          <w:marBottom w:val="0"/>
          <w:divBdr>
            <w:top w:val="none" w:sz="0" w:space="0" w:color="auto"/>
            <w:left w:val="none" w:sz="0" w:space="0" w:color="auto"/>
            <w:bottom w:val="none" w:sz="0" w:space="0" w:color="auto"/>
            <w:right w:val="none" w:sz="0" w:space="0" w:color="auto"/>
          </w:divBdr>
        </w:div>
      </w:divsChild>
    </w:div>
    <w:div w:id="25453361">
      <w:marLeft w:val="0"/>
      <w:marRight w:val="0"/>
      <w:marTop w:val="0"/>
      <w:marBottom w:val="240"/>
      <w:divBdr>
        <w:top w:val="none" w:sz="0" w:space="0" w:color="auto"/>
        <w:left w:val="none" w:sz="0" w:space="0" w:color="auto"/>
        <w:bottom w:val="none" w:sz="0" w:space="0" w:color="auto"/>
        <w:right w:val="none" w:sz="0" w:space="0" w:color="auto"/>
      </w:divBdr>
    </w:div>
    <w:div w:id="25913652">
      <w:marLeft w:val="0"/>
      <w:marRight w:val="0"/>
      <w:marTop w:val="0"/>
      <w:marBottom w:val="0"/>
      <w:divBdr>
        <w:top w:val="none" w:sz="0" w:space="0" w:color="auto"/>
        <w:left w:val="none" w:sz="0" w:space="0" w:color="auto"/>
        <w:bottom w:val="none" w:sz="0" w:space="0" w:color="auto"/>
        <w:right w:val="none" w:sz="0" w:space="0" w:color="auto"/>
      </w:divBdr>
    </w:div>
    <w:div w:id="27417978">
      <w:marLeft w:val="0"/>
      <w:marRight w:val="0"/>
      <w:marTop w:val="240"/>
      <w:marBottom w:val="240"/>
      <w:divBdr>
        <w:top w:val="none" w:sz="0" w:space="0" w:color="auto"/>
        <w:left w:val="none" w:sz="0" w:space="0" w:color="auto"/>
        <w:bottom w:val="none" w:sz="0" w:space="0" w:color="auto"/>
        <w:right w:val="none" w:sz="0" w:space="0" w:color="auto"/>
      </w:divBdr>
    </w:div>
    <w:div w:id="32972288">
      <w:marLeft w:val="0"/>
      <w:marRight w:val="0"/>
      <w:marTop w:val="240"/>
      <w:marBottom w:val="240"/>
      <w:divBdr>
        <w:top w:val="none" w:sz="0" w:space="0" w:color="auto"/>
        <w:left w:val="none" w:sz="0" w:space="0" w:color="auto"/>
        <w:bottom w:val="none" w:sz="0" w:space="0" w:color="auto"/>
        <w:right w:val="none" w:sz="0" w:space="0" w:color="auto"/>
      </w:divBdr>
    </w:div>
    <w:div w:id="3362361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
      </w:divsChild>
    </w:div>
    <w:div w:id="39987792">
      <w:marLeft w:val="0"/>
      <w:marRight w:val="0"/>
      <w:marTop w:val="240"/>
      <w:marBottom w:val="0"/>
      <w:divBdr>
        <w:top w:val="none" w:sz="0" w:space="0" w:color="auto"/>
        <w:left w:val="none" w:sz="0" w:space="0" w:color="auto"/>
        <w:bottom w:val="none" w:sz="0" w:space="0" w:color="auto"/>
        <w:right w:val="none" w:sz="0" w:space="0" w:color="auto"/>
      </w:divBdr>
    </w:div>
    <w:div w:id="40175459">
      <w:marLeft w:val="0"/>
      <w:marRight w:val="0"/>
      <w:marTop w:val="240"/>
      <w:marBottom w:val="0"/>
      <w:divBdr>
        <w:top w:val="none" w:sz="0" w:space="0" w:color="auto"/>
        <w:left w:val="none" w:sz="0" w:space="0" w:color="auto"/>
        <w:bottom w:val="none" w:sz="0" w:space="0" w:color="auto"/>
        <w:right w:val="none" w:sz="0" w:space="0" w:color="auto"/>
      </w:divBdr>
    </w:div>
    <w:div w:id="42215979">
      <w:marLeft w:val="0"/>
      <w:marRight w:val="0"/>
      <w:marTop w:val="0"/>
      <w:marBottom w:val="0"/>
      <w:divBdr>
        <w:top w:val="none" w:sz="0" w:space="0" w:color="auto"/>
        <w:left w:val="none" w:sz="0" w:space="0" w:color="auto"/>
        <w:bottom w:val="none" w:sz="0" w:space="0" w:color="auto"/>
        <w:right w:val="none" w:sz="0" w:space="0" w:color="auto"/>
      </w:divBdr>
    </w:div>
    <w:div w:id="42489545">
      <w:marLeft w:val="0"/>
      <w:marRight w:val="0"/>
      <w:marTop w:val="0"/>
      <w:marBottom w:val="0"/>
      <w:divBdr>
        <w:top w:val="none" w:sz="0" w:space="0" w:color="auto"/>
        <w:left w:val="none" w:sz="0" w:space="0" w:color="auto"/>
        <w:bottom w:val="none" w:sz="0" w:space="0" w:color="auto"/>
        <w:right w:val="none" w:sz="0" w:space="0" w:color="auto"/>
      </w:divBdr>
    </w:div>
    <w:div w:id="44375436">
      <w:marLeft w:val="0"/>
      <w:marRight w:val="0"/>
      <w:marTop w:val="0"/>
      <w:marBottom w:val="240"/>
      <w:divBdr>
        <w:top w:val="none" w:sz="0" w:space="0" w:color="auto"/>
        <w:left w:val="none" w:sz="0" w:space="0" w:color="auto"/>
        <w:bottom w:val="none" w:sz="0" w:space="0" w:color="auto"/>
        <w:right w:val="none" w:sz="0" w:space="0" w:color="auto"/>
      </w:divBdr>
    </w:div>
    <w:div w:id="44573819">
      <w:marLeft w:val="0"/>
      <w:marRight w:val="0"/>
      <w:marTop w:val="240"/>
      <w:marBottom w:val="0"/>
      <w:divBdr>
        <w:top w:val="none" w:sz="0" w:space="0" w:color="auto"/>
        <w:left w:val="none" w:sz="0" w:space="0" w:color="auto"/>
        <w:bottom w:val="none" w:sz="0" w:space="0" w:color="auto"/>
        <w:right w:val="none" w:sz="0" w:space="0" w:color="auto"/>
      </w:divBdr>
    </w:div>
    <w:div w:id="44985266">
      <w:marLeft w:val="0"/>
      <w:marRight w:val="0"/>
      <w:marTop w:val="0"/>
      <w:marBottom w:val="240"/>
      <w:divBdr>
        <w:top w:val="none" w:sz="0" w:space="0" w:color="auto"/>
        <w:left w:val="none" w:sz="0" w:space="0" w:color="auto"/>
        <w:bottom w:val="none" w:sz="0" w:space="0" w:color="auto"/>
        <w:right w:val="none" w:sz="0" w:space="0" w:color="auto"/>
      </w:divBdr>
    </w:div>
    <w:div w:id="49502511">
      <w:marLeft w:val="0"/>
      <w:marRight w:val="0"/>
      <w:marTop w:val="0"/>
      <w:marBottom w:val="0"/>
      <w:divBdr>
        <w:top w:val="none" w:sz="0" w:space="0" w:color="auto"/>
        <w:left w:val="none" w:sz="0" w:space="0" w:color="auto"/>
        <w:bottom w:val="none" w:sz="0" w:space="0" w:color="auto"/>
        <w:right w:val="none" w:sz="0" w:space="0" w:color="auto"/>
      </w:divBdr>
      <w:divsChild>
        <w:div w:id="543298765">
          <w:marLeft w:val="0"/>
          <w:marRight w:val="0"/>
          <w:marTop w:val="0"/>
          <w:marBottom w:val="0"/>
          <w:divBdr>
            <w:top w:val="none" w:sz="0" w:space="0" w:color="auto"/>
            <w:left w:val="none" w:sz="0" w:space="0" w:color="auto"/>
            <w:bottom w:val="none" w:sz="0" w:space="0" w:color="auto"/>
            <w:right w:val="none" w:sz="0" w:space="0" w:color="auto"/>
          </w:divBdr>
        </w:div>
      </w:divsChild>
    </w:div>
    <w:div w:id="52893189">
      <w:marLeft w:val="0"/>
      <w:marRight w:val="0"/>
      <w:marTop w:val="100"/>
      <w:marBottom w:val="0"/>
      <w:divBdr>
        <w:top w:val="none" w:sz="0" w:space="0" w:color="auto"/>
        <w:left w:val="none" w:sz="0" w:space="0" w:color="auto"/>
        <w:bottom w:val="none" w:sz="0" w:space="0" w:color="auto"/>
        <w:right w:val="none" w:sz="0" w:space="0" w:color="auto"/>
      </w:divBdr>
    </w:div>
    <w:div w:id="54280087">
      <w:marLeft w:val="0"/>
      <w:marRight w:val="0"/>
      <w:marTop w:val="0"/>
      <w:marBottom w:val="0"/>
      <w:divBdr>
        <w:top w:val="none" w:sz="0" w:space="0" w:color="auto"/>
        <w:left w:val="none" w:sz="0" w:space="0" w:color="auto"/>
        <w:bottom w:val="none" w:sz="0" w:space="0" w:color="auto"/>
        <w:right w:val="none" w:sz="0" w:space="0" w:color="auto"/>
      </w:divBdr>
    </w:div>
    <w:div w:id="56055724">
      <w:marLeft w:val="0"/>
      <w:marRight w:val="0"/>
      <w:marTop w:val="240"/>
      <w:marBottom w:val="0"/>
      <w:divBdr>
        <w:top w:val="none" w:sz="0" w:space="0" w:color="auto"/>
        <w:left w:val="none" w:sz="0" w:space="0" w:color="auto"/>
        <w:bottom w:val="none" w:sz="0" w:space="0" w:color="auto"/>
        <w:right w:val="none" w:sz="0" w:space="0" w:color="auto"/>
      </w:divBdr>
    </w:div>
    <w:div w:id="57632046">
      <w:marLeft w:val="0"/>
      <w:marRight w:val="0"/>
      <w:marTop w:val="240"/>
      <w:marBottom w:val="240"/>
      <w:divBdr>
        <w:top w:val="none" w:sz="0" w:space="0" w:color="auto"/>
        <w:left w:val="none" w:sz="0" w:space="0" w:color="auto"/>
        <w:bottom w:val="none" w:sz="0" w:space="0" w:color="auto"/>
        <w:right w:val="none" w:sz="0" w:space="0" w:color="auto"/>
      </w:divBdr>
    </w:div>
    <w:div w:id="58867404">
      <w:marLeft w:val="0"/>
      <w:marRight w:val="0"/>
      <w:marTop w:val="240"/>
      <w:marBottom w:val="0"/>
      <w:divBdr>
        <w:top w:val="none" w:sz="0" w:space="0" w:color="auto"/>
        <w:left w:val="none" w:sz="0" w:space="0" w:color="auto"/>
        <w:bottom w:val="none" w:sz="0" w:space="0" w:color="auto"/>
        <w:right w:val="none" w:sz="0" w:space="0" w:color="auto"/>
      </w:divBdr>
    </w:div>
    <w:div w:id="60763064">
      <w:marLeft w:val="0"/>
      <w:marRight w:val="0"/>
      <w:marTop w:val="0"/>
      <w:marBottom w:val="240"/>
      <w:divBdr>
        <w:top w:val="none" w:sz="0" w:space="0" w:color="auto"/>
        <w:left w:val="none" w:sz="0" w:space="0" w:color="auto"/>
        <w:bottom w:val="none" w:sz="0" w:space="0" w:color="auto"/>
        <w:right w:val="none" w:sz="0" w:space="0" w:color="auto"/>
      </w:divBdr>
    </w:div>
    <w:div w:id="68157526">
      <w:marLeft w:val="0"/>
      <w:marRight w:val="0"/>
      <w:marTop w:val="0"/>
      <w:marBottom w:val="240"/>
      <w:divBdr>
        <w:top w:val="none" w:sz="0" w:space="0" w:color="auto"/>
        <w:left w:val="none" w:sz="0" w:space="0" w:color="auto"/>
        <w:bottom w:val="none" w:sz="0" w:space="0" w:color="auto"/>
        <w:right w:val="none" w:sz="0" w:space="0" w:color="auto"/>
      </w:divBdr>
    </w:div>
    <w:div w:id="72775408">
      <w:marLeft w:val="0"/>
      <w:marRight w:val="0"/>
      <w:marTop w:val="0"/>
      <w:marBottom w:val="240"/>
      <w:divBdr>
        <w:top w:val="none" w:sz="0" w:space="0" w:color="auto"/>
        <w:left w:val="none" w:sz="0" w:space="0" w:color="auto"/>
        <w:bottom w:val="none" w:sz="0" w:space="0" w:color="auto"/>
        <w:right w:val="none" w:sz="0" w:space="0" w:color="auto"/>
      </w:divBdr>
    </w:div>
    <w:div w:id="76948177">
      <w:marLeft w:val="0"/>
      <w:marRight w:val="0"/>
      <w:marTop w:val="240"/>
      <w:marBottom w:val="0"/>
      <w:divBdr>
        <w:top w:val="none" w:sz="0" w:space="0" w:color="auto"/>
        <w:left w:val="none" w:sz="0" w:space="0" w:color="auto"/>
        <w:bottom w:val="none" w:sz="0" w:space="0" w:color="auto"/>
        <w:right w:val="none" w:sz="0" w:space="0" w:color="auto"/>
      </w:divBdr>
    </w:div>
    <w:div w:id="77530678">
      <w:marLeft w:val="0"/>
      <w:marRight w:val="0"/>
      <w:marTop w:val="120"/>
      <w:marBottom w:val="240"/>
      <w:divBdr>
        <w:top w:val="none" w:sz="0" w:space="0" w:color="auto"/>
        <w:left w:val="none" w:sz="0" w:space="0" w:color="auto"/>
        <w:bottom w:val="none" w:sz="0" w:space="0" w:color="auto"/>
        <w:right w:val="none" w:sz="0" w:space="0" w:color="auto"/>
      </w:divBdr>
    </w:div>
    <w:div w:id="78066595">
      <w:marLeft w:val="0"/>
      <w:marRight w:val="0"/>
      <w:marTop w:val="0"/>
      <w:marBottom w:val="240"/>
      <w:divBdr>
        <w:top w:val="none" w:sz="0" w:space="0" w:color="auto"/>
        <w:left w:val="none" w:sz="0" w:space="0" w:color="auto"/>
        <w:bottom w:val="none" w:sz="0" w:space="0" w:color="auto"/>
        <w:right w:val="none" w:sz="0" w:space="0" w:color="auto"/>
      </w:divBdr>
    </w:div>
    <w:div w:id="78599331">
      <w:marLeft w:val="0"/>
      <w:marRight w:val="0"/>
      <w:marTop w:val="0"/>
      <w:marBottom w:val="240"/>
      <w:divBdr>
        <w:top w:val="none" w:sz="0" w:space="0" w:color="auto"/>
        <w:left w:val="none" w:sz="0" w:space="0" w:color="auto"/>
        <w:bottom w:val="none" w:sz="0" w:space="0" w:color="auto"/>
        <w:right w:val="none" w:sz="0" w:space="0" w:color="auto"/>
      </w:divBdr>
    </w:div>
    <w:div w:id="78910851">
      <w:marLeft w:val="0"/>
      <w:marRight w:val="0"/>
      <w:marTop w:val="120"/>
      <w:marBottom w:val="0"/>
      <w:divBdr>
        <w:top w:val="none" w:sz="0" w:space="0" w:color="auto"/>
        <w:left w:val="none" w:sz="0" w:space="0" w:color="auto"/>
        <w:bottom w:val="none" w:sz="0" w:space="0" w:color="auto"/>
        <w:right w:val="none" w:sz="0" w:space="0" w:color="auto"/>
      </w:divBdr>
    </w:div>
    <w:div w:id="78986536">
      <w:marLeft w:val="0"/>
      <w:marRight w:val="0"/>
      <w:marTop w:val="0"/>
      <w:marBottom w:val="0"/>
      <w:divBdr>
        <w:top w:val="none" w:sz="0" w:space="0" w:color="auto"/>
        <w:left w:val="none" w:sz="0" w:space="0" w:color="auto"/>
        <w:bottom w:val="none" w:sz="0" w:space="0" w:color="auto"/>
        <w:right w:val="none" w:sz="0" w:space="0" w:color="auto"/>
      </w:divBdr>
    </w:div>
    <w:div w:id="82075969">
      <w:marLeft w:val="0"/>
      <w:marRight w:val="0"/>
      <w:marTop w:val="0"/>
      <w:marBottom w:val="0"/>
      <w:divBdr>
        <w:top w:val="none" w:sz="0" w:space="0" w:color="auto"/>
        <w:left w:val="none" w:sz="0" w:space="0" w:color="auto"/>
        <w:bottom w:val="none" w:sz="0" w:space="0" w:color="auto"/>
        <w:right w:val="none" w:sz="0" w:space="0" w:color="auto"/>
      </w:divBdr>
      <w:divsChild>
        <w:div w:id="930550165">
          <w:marLeft w:val="0"/>
          <w:marRight w:val="0"/>
          <w:marTop w:val="0"/>
          <w:marBottom w:val="0"/>
          <w:divBdr>
            <w:top w:val="none" w:sz="0" w:space="0" w:color="auto"/>
            <w:left w:val="none" w:sz="0" w:space="0" w:color="auto"/>
            <w:bottom w:val="none" w:sz="0" w:space="0" w:color="auto"/>
            <w:right w:val="none" w:sz="0" w:space="0" w:color="auto"/>
          </w:divBdr>
        </w:div>
      </w:divsChild>
    </w:div>
    <w:div w:id="82845134">
      <w:marLeft w:val="0"/>
      <w:marRight w:val="0"/>
      <w:marTop w:val="0"/>
      <w:marBottom w:val="240"/>
      <w:divBdr>
        <w:top w:val="none" w:sz="0" w:space="0" w:color="auto"/>
        <w:left w:val="none" w:sz="0" w:space="0" w:color="auto"/>
        <w:bottom w:val="none" w:sz="0" w:space="0" w:color="auto"/>
        <w:right w:val="none" w:sz="0" w:space="0" w:color="auto"/>
      </w:divBdr>
    </w:div>
    <w:div w:id="85003256">
      <w:marLeft w:val="0"/>
      <w:marRight w:val="0"/>
      <w:marTop w:val="0"/>
      <w:marBottom w:val="0"/>
      <w:divBdr>
        <w:top w:val="none" w:sz="0" w:space="0" w:color="auto"/>
        <w:left w:val="none" w:sz="0" w:space="0" w:color="auto"/>
        <w:bottom w:val="none" w:sz="0" w:space="0" w:color="auto"/>
        <w:right w:val="none" w:sz="0" w:space="0" w:color="auto"/>
      </w:divBdr>
    </w:div>
    <w:div w:id="87234630">
      <w:marLeft w:val="0"/>
      <w:marRight w:val="0"/>
      <w:marTop w:val="240"/>
      <w:marBottom w:val="0"/>
      <w:divBdr>
        <w:top w:val="none" w:sz="0" w:space="0" w:color="auto"/>
        <w:left w:val="none" w:sz="0" w:space="0" w:color="auto"/>
        <w:bottom w:val="none" w:sz="0" w:space="0" w:color="auto"/>
        <w:right w:val="none" w:sz="0" w:space="0" w:color="auto"/>
      </w:divBdr>
    </w:div>
    <w:div w:id="92211677">
      <w:marLeft w:val="0"/>
      <w:marRight w:val="0"/>
      <w:marTop w:val="240"/>
      <w:marBottom w:val="0"/>
      <w:divBdr>
        <w:top w:val="none" w:sz="0" w:space="0" w:color="auto"/>
        <w:left w:val="none" w:sz="0" w:space="0" w:color="auto"/>
        <w:bottom w:val="none" w:sz="0" w:space="0" w:color="auto"/>
        <w:right w:val="none" w:sz="0" w:space="0" w:color="auto"/>
      </w:divBdr>
    </w:div>
    <w:div w:id="94711179">
      <w:marLeft w:val="0"/>
      <w:marRight w:val="0"/>
      <w:marTop w:val="240"/>
      <w:marBottom w:val="0"/>
      <w:divBdr>
        <w:top w:val="none" w:sz="0" w:space="0" w:color="auto"/>
        <w:left w:val="none" w:sz="0" w:space="0" w:color="auto"/>
        <w:bottom w:val="none" w:sz="0" w:space="0" w:color="auto"/>
        <w:right w:val="none" w:sz="0" w:space="0" w:color="auto"/>
      </w:divBdr>
    </w:div>
    <w:div w:id="95517247">
      <w:marLeft w:val="0"/>
      <w:marRight w:val="0"/>
      <w:marTop w:val="0"/>
      <w:marBottom w:val="0"/>
      <w:divBdr>
        <w:top w:val="none" w:sz="0" w:space="0" w:color="auto"/>
        <w:left w:val="none" w:sz="0" w:space="0" w:color="auto"/>
        <w:bottom w:val="none" w:sz="0" w:space="0" w:color="auto"/>
        <w:right w:val="none" w:sz="0" w:space="0" w:color="auto"/>
      </w:divBdr>
    </w:div>
    <w:div w:id="100347156">
      <w:marLeft w:val="0"/>
      <w:marRight w:val="0"/>
      <w:marTop w:val="0"/>
      <w:marBottom w:val="240"/>
      <w:divBdr>
        <w:top w:val="none" w:sz="0" w:space="0" w:color="auto"/>
        <w:left w:val="none" w:sz="0" w:space="0" w:color="auto"/>
        <w:bottom w:val="none" w:sz="0" w:space="0" w:color="auto"/>
        <w:right w:val="none" w:sz="0" w:space="0" w:color="auto"/>
      </w:divBdr>
    </w:div>
    <w:div w:id="101074821">
      <w:marLeft w:val="0"/>
      <w:marRight w:val="0"/>
      <w:marTop w:val="240"/>
      <w:marBottom w:val="240"/>
      <w:divBdr>
        <w:top w:val="none" w:sz="0" w:space="0" w:color="auto"/>
        <w:left w:val="none" w:sz="0" w:space="0" w:color="auto"/>
        <w:bottom w:val="none" w:sz="0" w:space="0" w:color="auto"/>
        <w:right w:val="none" w:sz="0" w:space="0" w:color="auto"/>
      </w:divBdr>
    </w:div>
    <w:div w:id="101345970">
      <w:marLeft w:val="0"/>
      <w:marRight w:val="0"/>
      <w:marTop w:val="240"/>
      <w:marBottom w:val="0"/>
      <w:divBdr>
        <w:top w:val="none" w:sz="0" w:space="0" w:color="auto"/>
        <w:left w:val="none" w:sz="0" w:space="0" w:color="auto"/>
        <w:bottom w:val="none" w:sz="0" w:space="0" w:color="auto"/>
        <w:right w:val="none" w:sz="0" w:space="0" w:color="auto"/>
      </w:divBdr>
    </w:div>
    <w:div w:id="103624367">
      <w:marLeft w:val="0"/>
      <w:marRight w:val="0"/>
      <w:marTop w:val="0"/>
      <w:marBottom w:val="0"/>
      <w:divBdr>
        <w:top w:val="none" w:sz="0" w:space="0" w:color="auto"/>
        <w:left w:val="none" w:sz="0" w:space="0" w:color="auto"/>
        <w:bottom w:val="none" w:sz="0" w:space="0" w:color="auto"/>
        <w:right w:val="none" w:sz="0" w:space="0" w:color="auto"/>
      </w:divBdr>
      <w:divsChild>
        <w:div w:id="1567958639">
          <w:marLeft w:val="0"/>
          <w:marRight w:val="0"/>
          <w:marTop w:val="0"/>
          <w:marBottom w:val="0"/>
          <w:divBdr>
            <w:top w:val="none" w:sz="0" w:space="0" w:color="auto"/>
            <w:left w:val="none" w:sz="0" w:space="0" w:color="auto"/>
            <w:bottom w:val="none" w:sz="0" w:space="0" w:color="auto"/>
            <w:right w:val="none" w:sz="0" w:space="0" w:color="auto"/>
          </w:divBdr>
        </w:div>
      </w:divsChild>
    </w:div>
    <w:div w:id="104083727">
      <w:marLeft w:val="0"/>
      <w:marRight w:val="0"/>
      <w:marTop w:val="0"/>
      <w:marBottom w:val="0"/>
      <w:divBdr>
        <w:top w:val="none" w:sz="0" w:space="0" w:color="auto"/>
        <w:left w:val="none" w:sz="0" w:space="0" w:color="auto"/>
        <w:bottom w:val="none" w:sz="0" w:space="0" w:color="auto"/>
        <w:right w:val="none" w:sz="0" w:space="0" w:color="auto"/>
      </w:divBdr>
      <w:divsChild>
        <w:div w:id="1211186614">
          <w:marLeft w:val="0"/>
          <w:marRight w:val="0"/>
          <w:marTop w:val="0"/>
          <w:marBottom w:val="0"/>
          <w:divBdr>
            <w:top w:val="none" w:sz="0" w:space="0" w:color="auto"/>
            <w:left w:val="none" w:sz="0" w:space="0" w:color="auto"/>
            <w:bottom w:val="none" w:sz="0" w:space="0" w:color="auto"/>
            <w:right w:val="none" w:sz="0" w:space="0" w:color="auto"/>
          </w:divBdr>
        </w:div>
      </w:divsChild>
    </w:div>
    <w:div w:id="106390183">
      <w:marLeft w:val="0"/>
      <w:marRight w:val="0"/>
      <w:marTop w:val="240"/>
      <w:marBottom w:val="0"/>
      <w:divBdr>
        <w:top w:val="none" w:sz="0" w:space="0" w:color="auto"/>
        <w:left w:val="none" w:sz="0" w:space="0" w:color="auto"/>
        <w:bottom w:val="none" w:sz="0" w:space="0" w:color="auto"/>
        <w:right w:val="none" w:sz="0" w:space="0" w:color="auto"/>
      </w:divBdr>
    </w:div>
    <w:div w:id="108282108">
      <w:marLeft w:val="0"/>
      <w:marRight w:val="0"/>
      <w:marTop w:val="120"/>
      <w:marBottom w:val="0"/>
      <w:divBdr>
        <w:top w:val="none" w:sz="0" w:space="0" w:color="auto"/>
        <w:left w:val="none" w:sz="0" w:space="0" w:color="auto"/>
        <w:bottom w:val="none" w:sz="0" w:space="0" w:color="auto"/>
        <w:right w:val="none" w:sz="0" w:space="0" w:color="auto"/>
      </w:divBdr>
    </w:div>
    <w:div w:id="109665284">
      <w:marLeft w:val="0"/>
      <w:marRight w:val="0"/>
      <w:marTop w:val="240"/>
      <w:marBottom w:val="0"/>
      <w:divBdr>
        <w:top w:val="none" w:sz="0" w:space="0" w:color="auto"/>
        <w:left w:val="none" w:sz="0" w:space="0" w:color="auto"/>
        <w:bottom w:val="none" w:sz="0" w:space="0" w:color="auto"/>
        <w:right w:val="none" w:sz="0" w:space="0" w:color="auto"/>
      </w:divBdr>
    </w:div>
    <w:div w:id="110974119">
      <w:marLeft w:val="0"/>
      <w:marRight w:val="0"/>
      <w:marTop w:val="0"/>
      <w:marBottom w:val="0"/>
      <w:divBdr>
        <w:top w:val="none" w:sz="0" w:space="0" w:color="auto"/>
        <w:left w:val="none" w:sz="0" w:space="0" w:color="auto"/>
        <w:bottom w:val="none" w:sz="0" w:space="0" w:color="auto"/>
        <w:right w:val="none" w:sz="0" w:space="0" w:color="auto"/>
      </w:divBdr>
    </w:div>
    <w:div w:id="111169429">
      <w:marLeft w:val="0"/>
      <w:marRight w:val="0"/>
      <w:marTop w:val="240"/>
      <w:marBottom w:val="240"/>
      <w:divBdr>
        <w:top w:val="none" w:sz="0" w:space="0" w:color="auto"/>
        <w:left w:val="none" w:sz="0" w:space="0" w:color="auto"/>
        <w:bottom w:val="none" w:sz="0" w:space="0" w:color="auto"/>
        <w:right w:val="none" w:sz="0" w:space="0" w:color="auto"/>
      </w:divBdr>
    </w:div>
    <w:div w:id="112946049">
      <w:marLeft w:val="0"/>
      <w:marRight w:val="0"/>
      <w:marTop w:val="240"/>
      <w:marBottom w:val="0"/>
      <w:divBdr>
        <w:top w:val="none" w:sz="0" w:space="0" w:color="auto"/>
        <w:left w:val="none" w:sz="0" w:space="0" w:color="auto"/>
        <w:bottom w:val="none" w:sz="0" w:space="0" w:color="auto"/>
        <w:right w:val="none" w:sz="0" w:space="0" w:color="auto"/>
      </w:divBdr>
    </w:div>
    <w:div w:id="115410716">
      <w:marLeft w:val="0"/>
      <w:marRight w:val="0"/>
      <w:marTop w:val="0"/>
      <w:marBottom w:val="0"/>
      <w:divBdr>
        <w:top w:val="none" w:sz="0" w:space="0" w:color="auto"/>
        <w:left w:val="none" w:sz="0" w:space="0" w:color="auto"/>
        <w:bottom w:val="none" w:sz="0" w:space="0" w:color="auto"/>
        <w:right w:val="none" w:sz="0" w:space="0" w:color="auto"/>
      </w:divBdr>
    </w:div>
    <w:div w:id="115609123">
      <w:marLeft w:val="0"/>
      <w:marRight w:val="0"/>
      <w:marTop w:val="360"/>
      <w:marBottom w:val="0"/>
      <w:divBdr>
        <w:top w:val="none" w:sz="0" w:space="0" w:color="auto"/>
        <w:left w:val="none" w:sz="0" w:space="0" w:color="auto"/>
        <w:bottom w:val="none" w:sz="0" w:space="0" w:color="auto"/>
        <w:right w:val="none" w:sz="0" w:space="0" w:color="auto"/>
      </w:divBdr>
    </w:div>
    <w:div w:id="117839578">
      <w:marLeft w:val="0"/>
      <w:marRight w:val="0"/>
      <w:marTop w:val="0"/>
      <w:marBottom w:val="240"/>
      <w:divBdr>
        <w:top w:val="none" w:sz="0" w:space="0" w:color="auto"/>
        <w:left w:val="none" w:sz="0" w:space="0" w:color="auto"/>
        <w:bottom w:val="none" w:sz="0" w:space="0" w:color="auto"/>
        <w:right w:val="none" w:sz="0" w:space="0" w:color="auto"/>
      </w:divBdr>
    </w:div>
    <w:div w:id="117921220">
      <w:marLeft w:val="0"/>
      <w:marRight w:val="0"/>
      <w:marTop w:val="0"/>
      <w:marBottom w:val="240"/>
      <w:divBdr>
        <w:top w:val="none" w:sz="0" w:space="0" w:color="auto"/>
        <w:left w:val="none" w:sz="0" w:space="0" w:color="auto"/>
        <w:bottom w:val="none" w:sz="0" w:space="0" w:color="auto"/>
        <w:right w:val="none" w:sz="0" w:space="0" w:color="auto"/>
      </w:divBdr>
    </w:div>
    <w:div w:id="119542988">
      <w:marLeft w:val="0"/>
      <w:marRight w:val="0"/>
      <w:marTop w:val="0"/>
      <w:marBottom w:val="0"/>
      <w:divBdr>
        <w:top w:val="none" w:sz="0" w:space="0" w:color="auto"/>
        <w:left w:val="none" w:sz="0" w:space="0" w:color="auto"/>
        <w:bottom w:val="none" w:sz="0" w:space="0" w:color="auto"/>
        <w:right w:val="none" w:sz="0" w:space="0" w:color="auto"/>
      </w:divBdr>
    </w:div>
    <w:div w:id="119690579">
      <w:marLeft w:val="0"/>
      <w:marRight w:val="0"/>
      <w:marTop w:val="0"/>
      <w:marBottom w:val="0"/>
      <w:divBdr>
        <w:top w:val="none" w:sz="0" w:space="0" w:color="auto"/>
        <w:left w:val="none" w:sz="0" w:space="0" w:color="auto"/>
        <w:bottom w:val="none" w:sz="0" w:space="0" w:color="auto"/>
        <w:right w:val="none" w:sz="0" w:space="0" w:color="auto"/>
      </w:divBdr>
    </w:div>
    <w:div w:id="125515109">
      <w:marLeft w:val="0"/>
      <w:marRight w:val="0"/>
      <w:marTop w:val="0"/>
      <w:marBottom w:val="0"/>
      <w:divBdr>
        <w:top w:val="none" w:sz="0" w:space="0" w:color="auto"/>
        <w:left w:val="none" w:sz="0" w:space="0" w:color="auto"/>
        <w:bottom w:val="none" w:sz="0" w:space="0" w:color="auto"/>
        <w:right w:val="none" w:sz="0" w:space="0" w:color="auto"/>
      </w:divBdr>
      <w:divsChild>
        <w:div w:id="1686245347">
          <w:marLeft w:val="0"/>
          <w:marRight w:val="0"/>
          <w:marTop w:val="0"/>
          <w:marBottom w:val="0"/>
          <w:divBdr>
            <w:top w:val="none" w:sz="0" w:space="0" w:color="auto"/>
            <w:left w:val="none" w:sz="0" w:space="0" w:color="auto"/>
            <w:bottom w:val="none" w:sz="0" w:space="0" w:color="auto"/>
            <w:right w:val="none" w:sz="0" w:space="0" w:color="auto"/>
          </w:divBdr>
        </w:div>
      </w:divsChild>
    </w:div>
    <w:div w:id="135726819">
      <w:marLeft w:val="0"/>
      <w:marRight w:val="0"/>
      <w:marTop w:val="0"/>
      <w:marBottom w:val="0"/>
      <w:divBdr>
        <w:top w:val="none" w:sz="0" w:space="0" w:color="auto"/>
        <w:left w:val="none" w:sz="0" w:space="0" w:color="auto"/>
        <w:bottom w:val="none" w:sz="0" w:space="0" w:color="auto"/>
        <w:right w:val="none" w:sz="0" w:space="0" w:color="auto"/>
      </w:divBdr>
      <w:divsChild>
        <w:div w:id="1585989023">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240"/>
      <w:divBdr>
        <w:top w:val="none" w:sz="0" w:space="0" w:color="auto"/>
        <w:left w:val="none" w:sz="0" w:space="0" w:color="auto"/>
        <w:bottom w:val="none" w:sz="0" w:space="0" w:color="auto"/>
        <w:right w:val="none" w:sz="0" w:space="0" w:color="auto"/>
      </w:divBdr>
    </w:div>
    <w:div w:id="137723055">
      <w:marLeft w:val="0"/>
      <w:marRight w:val="0"/>
      <w:marTop w:val="0"/>
      <w:marBottom w:val="0"/>
      <w:divBdr>
        <w:top w:val="none" w:sz="0" w:space="0" w:color="auto"/>
        <w:left w:val="none" w:sz="0" w:space="0" w:color="auto"/>
        <w:bottom w:val="none" w:sz="0" w:space="0" w:color="auto"/>
        <w:right w:val="none" w:sz="0" w:space="0" w:color="auto"/>
      </w:divBdr>
      <w:divsChild>
        <w:div w:id="224803087">
          <w:marLeft w:val="0"/>
          <w:marRight w:val="0"/>
          <w:marTop w:val="0"/>
          <w:marBottom w:val="0"/>
          <w:divBdr>
            <w:top w:val="none" w:sz="0" w:space="0" w:color="auto"/>
            <w:left w:val="none" w:sz="0" w:space="0" w:color="auto"/>
            <w:bottom w:val="none" w:sz="0" w:space="0" w:color="auto"/>
            <w:right w:val="none" w:sz="0" w:space="0" w:color="auto"/>
          </w:divBdr>
        </w:div>
      </w:divsChild>
    </w:div>
    <w:div w:id="139924875">
      <w:marLeft w:val="0"/>
      <w:marRight w:val="0"/>
      <w:marTop w:val="0"/>
      <w:marBottom w:val="0"/>
      <w:divBdr>
        <w:top w:val="none" w:sz="0" w:space="0" w:color="auto"/>
        <w:left w:val="none" w:sz="0" w:space="0" w:color="auto"/>
        <w:bottom w:val="none" w:sz="0" w:space="0" w:color="auto"/>
        <w:right w:val="none" w:sz="0" w:space="0" w:color="auto"/>
      </w:divBdr>
      <w:divsChild>
        <w:div w:id="1087387522">
          <w:marLeft w:val="0"/>
          <w:marRight w:val="0"/>
          <w:marTop w:val="0"/>
          <w:marBottom w:val="0"/>
          <w:divBdr>
            <w:top w:val="none" w:sz="0" w:space="0" w:color="auto"/>
            <w:left w:val="none" w:sz="0" w:space="0" w:color="auto"/>
            <w:bottom w:val="none" w:sz="0" w:space="0" w:color="auto"/>
            <w:right w:val="none" w:sz="0" w:space="0" w:color="auto"/>
          </w:divBdr>
        </w:div>
      </w:divsChild>
    </w:div>
    <w:div w:id="140125303">
      <w:marLeft w:val="0"/>
      <w:marRight w:val="0"/>
      <w:marTop w:val="240"/>
      <w:marBottom w:val="240"/>
      <w:divBdr>
        <w:top w:val="none" w:sz="0" w:space="0" w:color="auto"/>
        <w:left w:val="none" w:sz="0" w:space="0" w:color="auto"/>
        <w:bottom w:val="none" w:sz="0" w:space="0" w:color="auto"/>
        <w:right w:val="none" w:sz="0" w:space="0" w:color="auto"/>
      </w:divBdr>
    </w:div>
    <w:div w:id="142281992">
      <w:marLeft w:val="0"/>
      <w:marRight w:val="0"/>
      <w:marTop w:val="0"/>
      <w:marBottom w:val="0"/>
      <w:divBdr>
        <w:top w:val="none" w:sz="0" w:space="0" w:color="auto"/>
        <w:left w:val="none" w:sz="0" w:space="0" w:color="auto"/>
        <w:bottom w:val="none" w:sz="0" w:space="0" w:color="auto"/>
        <w:right w:val="none" w:sz="0" w:space="0" w:color="auto"/>
      </w:divBdr>
      <w:divsChild>
        <w:div w:id="333413118">
          <w:marLeft w:val="0"/>
          <w:marRight w:val="0"/>
          <w:marTop w:val="0"/>
          <w:marBottom w:val="0"/>
          <w:divBdr>
            <w:top w:val="none" w:sz="0" w:space="0" w:color="auto"/>
            <w:left w:val="none" w:sz="0" w:space="0" w:color="auto"/>
            <w:bottom w:val="none" w:sz="0" w:space="0" w:color="auto"/>
            <w:right w:val="none" w:sz="0" w:space="0" w:color="auto"/>
          </w:divBdr>
        </w:div>
      </w:divsChild>
    </w:div>
    <w:div w:id="149493290">
      <w:marLeft w:val="0"/>
      <w:marRight w:val="0"/>
      <w:marTop w:val="240"/>
      <w:marBottom w:val="0"/>
      <w:divBdr>
        <w:top w:val="none" w:sz="0" w:space="0" w:color="auto"/>
        <w:left w:val="none" w:sz="0" w:space="0" w:color="auto"/>
        <w:bottom w:val="none" w:sz="0" w:space="0" w:color="auto"/>
        <w:right w:val="none" w:sz="0" w:space="0" w:color="auto"/>
      </w:divBdr>
    </w:div>
    <w:div w:id="151264411">
      <w:marLeft w:val="0"/>
      <w:marRight w:val="0"/>
      <w:marTop w:val="240"/>
      <w:marBottom w:val="0"/>
      <w:divBdr>
        <w:top w:val="none" w:sz="0" w:space="0" w:color="auto"/>
        <w:left w:val="none" w:sz="0" w:space="0" w:color="auto"/>
        <w:bottom w:val="none" w:sz="0" w:space="0" w:color="auto"/>
        <w:right w:val="none" w:sz="0" w:space="0" w:color="auto"/>
      </w:divBdr>
    </w:div>
    <w:div w:id="154030846">
      <w:marLeft w:val="0"/>
      <w:marRight w:val="0"/>
      <w:marTop w:val="240"/>
      <w:marBottom w:val="0"/>
      <w:divBdr>
        <w:top w:val="none" w:sz="0" w:space="0" w:color="auto"/>
        <w:left w:val="none" w:sz="0" w:space="0" w:color="auto"/>
        <w:bottom w:val="none" w:sz="0" w:space="0" w:color="auto"/>
        <w:right w:val="none" w:sz="0" w:space="0" w:color="auto"/>
      </w:divBdr>
    </w:div>
    <w:div w:id="155925999">
      <w:marLeft w:val="0"/>
      <w:marRight w:val="0"/>
      <w:marTop w:val="0"/>
      <w:marBottom w:val="0"/>
      <w:divBdr>
        <w:top w:val="none" w:sz="0" w:space="0" w:color="auto"/>
        <w:left w:val="none" w:sz="0" w:space="0" w:color="auto"/>
        <w:bottom w:val="none" w:sz="0" w:space="0" w:color="auto"/>
        <w:right w:val="none" w:sz="0" w:space="0" w:color="auto"/>
      </w:divBdr>
    </w:div>
    <w:div w:id="156190612">
      <w:marLeft w:val="0"/>
      <w:marRight w:val="0"/>
      <w:marTop w:val="0"/>
      <w:marBottom w:val="0"/>
      <w:divBdr>
        <w:top w:val="none" w:sz="0" w:space="0" w:color="auto"/>
        <w:left w:val="none" w:sz="0" w:space="0" w:color="auto"/>
        <w:bottom w:val="none" w:sz="0" w:space="0" w:color="auto"/>
        <w:right w:val="none" w:sz="0" w:space="0" w:color="auto"/>
      </w:divBdr>
      <w:divsChild>
        <w:div w:id="888499264">
          <w:marLeft w:val="0"/>
          <w:marRight w:val="0"/>
          <w:marTop w:val="0"/>
          <w:marBottom w:val="0"/>
          <w:divBdr>
            <w:top w:val="none" w:sz="0" w:space="0" w:color="auto"/>
            <w:left w:val="none" w:sz="0" w:space="0" w:color="auto"/>
            <w:bottom w:val="none" w:sz="0" w:space="0" w:color="auto"/>
            <w:right w:val="none" w:sz="0" w:space="0" w:color="auto"/>
          </w:divBdr>
        </w:div>
      </w:divsChild>
    </w:div>
    <w:div w:id="157771688">
      <w:marLeft w:val="0"/>
      <w:marRight w:val="0"/>
      <w:marTop w:val="240"/>
      <w:marBottom w:val="0"/>
      <w:divBdr>
        <w:top w:val="none" w:sz="0" w:space="0" w:color="auto"/>
        <w:left w:val="none" w:sz="0" w:space="0" w:color="auto"/>
        <w:bottom w:val="none" w:sz="0" w:space="0" w:color="auto"/>
        <w:right w:val="none" w:sz="0" w:space="0" w:color="auto"/>
      </w:divBdr>
    </w:div>
    <w:div w:id="163596048">
      <w:marLeft w:val="0"/>
      <w:marRight w:val="0"/>
      <w:marTop w:val="240"/>
      <w:marBottom w:val="0"/>
      <w:divBdr>
        <w:top w:val="none" w:sz="0" w:space="0" w:color="auto"/>
        <w:left w:val="none" w:sz="0" w:space="0" w:color="auto"/>
        <w:bottom w:val="none" w:sz="0" w:space="0" w:color="auto"/>
        <w:right w:val="none" w:sz="0" w:space="0" w:color="auto"/>
      </w:divBdr>
    </w:div>
    <w:div w:id="164126557">
      <w:marLeft w:val="0"/>
      <w:marRight w:val="0"/>
      <w:marTop w:val="240"/>
      <w:marBottom w:val="0"/>
      <w:divBdr>
        <w:top w:val="none" w:sz="0" w:space="0" w:color="auto"/>
        <w:left w:val="none" w:sz="0" w:space="0" w:color="auto"/>
        <w:bottom w:val="none" w:sz="0" w:space="0" w:color="auto"/>
        <w:right w:val="none" w:sz="0" w:space="0" w:color="auto"/>
      </w:divBdr>
    </w:div>
    <w:div w:id="167865309">
      <w:marLeft w:val="0"/>
      <w:marRight w:val="0"/>
      <w:marTop w:val="240"/>
      <w:marBottom w:val="0"/>
      <w:divBdr>
        <w:top w:val="none" w:sz="0" w:space="0" w:color="auto"/>
        <w:left w:val="none" w:sz="0" w:space="0" w:color="auto"/>
        <w:bottom w:val="none" w:sz="0" w:space="0" w:color="auto"/>
        <w:right w:val="none" w:sz="0" w:space="0" w:color="auto"/>
      </w:divBdr>
    </w:div>
    <w:div w:id="171453452">
      <w:marLeft w:val="0"/>
      <w:marRight w:val="0"/>
      <w:marTop w:val="0"/>
      <w:marBottom w:val="240"/>
      <w:divBdr>
        <w:top w:val="none" w:sz="0" w:space="0" w:color="auto"/>
        <w:left w:val="none" w:sz="0" w:space="0" w:color="auto"/>
        <w:bottom w:val="none" w:sz="0" w:space="0" w:color="auto"/>
        <w:right w:val="none" w:sz="0" w:space="0" w:color="auto"/>
      </w:divBdr>
    </w:div>
    <w:div w:id="173763502">
      <w:marLeft w:val="0"/>
      <w:marRight w:val="0"/>
      <w:marTop w:val="0"/>
      <w:marBottom w:val="0"/>
      <w:divBdr>
        <w:top w:val="none" w:sz="0" w:space="0" w:color="auto"/>
        <w:left w:val="none" w:sz="0" w:space="0" w:color="auto"/>
        <w:bottom w:val="none" w:sz="0" w:space="0" w:color="auto"/>
        <w:right w:val="none" w:sz="0" w:space="0" w:color="auto"/>
      </w:divBdr>
      <w:divsChild>
        <w:div w:id="557864272">
          <w:marLeft w:val="0"/>
          <w:marRight w:val="0"/>
          <w:marTop w:val="0"/>
          <w:marBottom w:val="0"/>
          <w:divBdr>
            <w:top w:val="none" w:sz="0" w:space="0" w:color="auto"/>
            <w:left w:val="none" w:sz="0" w:space="0" w:color="auto"/>
            <w:bottom w:val="none" w:sz="0" w:space="0" w:color="auto"/>
            <w:right w:val="none" w:sz="0" w:space="0" w:color="auto"/>
          </w:divBdr>
        </w:div>
      </w:divsChild>
    </w:div>
    <w:div w:id="174656202">
      <w:marLeft w:val="0"/>
      <w:marRight w:val="0"/>
      <w:marTop w:val="240"/>
      <w:marBottom w:val="0"/>
      <w:divBdr>
        <w:top w:val="none" w:sz="0" w:space="0" w:color="auto"/>
        <w:left w:val="none" w:sz="0" w:space="0" w:color="auto"/>
        <w:bottom w:val="none" w:sz="0" w:space="0" w:color="auto"/>
        <w:right w:val="none" w:sz="0" w:space="0" w:color="auto"/>
      </w:divBdr>
    </w:div>
    <w:div w:id="175733963">
      <w:marLeft w:val="0"/>
      <w:marRight w:val="0"/>
      <w:marTop w:val="240"/>
      <w:marBottom w:val="0"/>
      <w:divBdr>
        <w:top w:val="none" w:sz="0" w:space="0" w:color="auto"/>
        <w:left w:val="none" w:sz="0" w:space="0" w:color="auto"/>
        <w:bottom w:val="none" w:sz="0" w:space="0" w:color="auto"/>
        <w:right w:val="none" w:sz="0" w:space="0" w:color="auto"/>
      </w:divBdr>
    </w:div>
    <w:div w:id="175776488">
      <w:marLeft w:val="0"/>
      <w:marRight w:val="0"/>
      <w:marTop w:val="0"/>
      <w:marBottom w:val="240"/>
      <w:divBdr>
        <w:top w:val="none" w:sz="0" w:space="0" w:color="auto"/>
        <w:left w:val="none" w:sz="0" w:space="0" w:color="auto"/>
        <w:bottom w:val="none" w:sz="0" w:space="0" w:color="auto"/>
        <w:right w:val="none" w:sz="0" w:space="0" w:color="auto"/>
      </w:divBdr>
    </w:div>
    <w:div w:id="177548961">
      <w:marLeft w:val="0"/>
      <w:marRight w:val="0"/>
      <w:marTop w:val="0"/>
      <w:marBottom w:val="240"/>
      <w:divBdr>
        <w:top w:val="none" w:sz="0" w:space="0" w:color="auto"/>
        <w:left w:val="none" w:sz="0" w:space="0" w:color="auto"/>
        <w:bottom w:val="none" w:sz="0" w:space="0" w:color="auto"/>
        <w:right w:val="none" w:sz="0" w:space="0" w:color="auto"/>
      </w:divBdr>
    </w:div>
    <w:div w:id="179398835">
      <w:marLeft w:val="0"/>
      <w:marRight w:val="0"/>
      <w:marTop w:val="240"/>
      <w:marBottom w:val="0"/>
      <w:divBdr>
        <w:top w:val="none" w:sz="0" w:space="0" w:color="auto"/>
        <w:left w:val="none" w:sz="0" w:space="0" w:color="auto"/>
        <w:bottom w:val="none" w:sz="0" w:space="0" w:color="auto"/>
        <w:right w:val="none" w:sz="0" w:space="0" w:color="auto"/>
      </w:divBdr>
    </w:div>
    <w:div w:id="184516040">
      <w:marLeft w:val="0"/>
      <w:marRight w:val="0"/>
      <w:marTop w:val="240"/>
      <w:marBottom w:val="0"/>
      <w:divBdr>
        <w:top w:val="none" w:sz="0" w:space="0" w:color="auto"/>
        <w:left w:val="none" w:sz="0" w:space="0" w:color="auto"/>
        <w:bottom w:val="none" w:sz="0" w:space="0" w:color="auto"/>
        <w:right w:val="none" w:sz="0" w:space="0" w:color="auto"/>
      </w:divBdr>
    </w:div>
    <w:div w:id="186911404">
      <w:marLeft w:val="0"/>
      <w:marRight w:val="0"/>
      <w:marTop w:val="0"/>
      <w:marBottom w:val="240"/>
      <w:divBdr>
        <w:top w:val="none" w:sz="0" w:space="0" w:color="auto"/>
        <w:left w:val="none" w:sz="0" w:space="0" w:color="auto"/>
        <w:bottom w:val="none" w:sz="0" w:space="0" w:color="auto"/>
        <w:right w:val="none" w:sz="0" w:space="0" w:color="auto"/>
      </w:divBdr>
    </w:div>
    <w:div w:id="188109034">
      <w:marLeft w:val="0"/>
      <w:marRight w:val="0"/>
      <w:marTop w:val="0"/>
      <w:marBottom w:val="240"/>
      <w:divBdr>
        <w:top w:val="none" w:sz="0" w:space="0" w:color="auto"/>
        <w:left w:val="none" w:sz="0" w:space="0" w:color="auto"/>
        <w:bottom w:val="none" w:sz="0" w:space="0" w:color="auto"/>
        <w:right w:val="none" w:sz="0" w:space="0" w:color="auto"/>
      </w:divBdr>
    </w:div>
    <w:div w:id="188760618">
      <w:marLeft w:val="0"/>
      <w:marRight w:val="0"/>
      <w:marTop w:val="240"/>
      <w:marBottom w:val="0"/>
      <w:divBdr>
        <w:top w:val="none" w:sz="0" w:space="0" w:color="auto"/>
        <w:left w:val="none" w:sz="0" w:space="0" w:color="auto"/>
        <w:bottom w:val="none" w:sz="0" w:space="0" w:color="auto"/>
        <w:right w:val="none" w:sz="0" w:space="0" w:color="auto"/>
      </w:divBdr>
    </w:div>
    <w:div w:id="190581342">
      <w:marLeft w:val="0"/>
      <w:marRight w:val="0"/>
      <w:marTop w:val="0"/>
      <w:marBottom w:val="240"/>
      <w:divBdr>
        <w:top w:val="none" w:sz="0" w:space="0" w:color="auto"/>
        <w:left w:val="none" w:sz="0" w:space="0" w:color="auto"/>
        <w:bottom w:val="none" w:sz="0" w:space="0" w:color="auto"/>
        <w:right w:val="none" w:sz="0" w:space="0" w:color="auto"/>
      </w:divBdr>
    </w:div>
    <w:div w:id="191261807">
      <w:marLeft w:val="0"/>
      <w:marRight w:val="0"/>
      <w:marTop w:val="0"/>
      <w:marBottom w:val="0"/>
      <w:divBdr>
        <w:top w:val="none" w:sz="0" w:space="0" w:color="auto"/>
        <w:left w:val="none" w:sz="0" w:space="0" w:color="auto"/>
        <w:bottom w:val="none" w:sz="0" w:space="0" w:color="auto"/>
        <w:right w:val="none" w:sz="0" w:space="0" w:color="auto"/>
      </w:divBdr>
    </w:div>
    <w:div w:id="191262833">
      <w:marLeft w:val="0"/>
      <w:marRight w:val="0"/>
      <w:marTop w:val="100"/>
      <w:marBottom w:val="0"/>
      <w:divBdr>
        <w:top w:val="none" w:sz="0" w:space="0" w:color="auto"/>
        <w:left w:val="none" w:sz="0" w:space="0" w:color="auto"/>
        <w:bottom w:val="none" w:sz="0" w:space="0" w:color="auto"/>
        <w:right w:val="none" w:sz="0" w:space="0" w:color="auto"/>
      </w:divBdr>
    </w:div>
    <w:div w:id="191920253">
      <w:marLeft w:val="0"/>
      <w:marRight w:val="0"/>
      <w:marTop w:val="0"/>
      <w:marBottom w:val="240"/>
      <w:divBdr>
        <w:top w:val="none" w:sz="0" w:space="0" w:color="auto"/>
        <w:left w:val="none" w:sz="0" w:space="0" w:color="auto"/>
        <w:bottom w:val="none" w:sz="0" w:space="0" w:color="auto"/>
        <w:right w:val="none" w:sz="0" w:space="0" w:color="auto"/>
      </w:divBdr>
    </w:div>
    <w:div w:id="195042478">
      <w:marLeft w:val="0"/>
      <w:marRight w:val="0"/>
      <w:marTop w:val="240"/>
      <w:marBottom w:val="0"/>
      <w:divBdr>
        <w:top w:val="none" w:sz="0" w:space="0" w:color="auto"/>
        <w:left w:val="none" w:sz="0" w:space="0" w:color="auto"/>
        <w:bottom w:val="none" w:sz="0" w:space="0" w:color="auto"/>
        <w:right w:val="none" w:sz="0" w:space="0" w:color="auto"/>
      </w:divBdr>
    </w:div>
    <w:div w:id="196243174">
      <w:marLeft w:val="0"/>
      <w:marRight w:val="0"/>
      <w:marTop w:val="240"/>
      <w:marBottom w:val="0"/>
      <w:divBdr>
        <w:top w:val="none" w:sz="0" w:space="0" w:color="auto"/>
        <w:left w:val="none" w:sz="0" w:space="0" w:color="auto"/>
        <w:bottom w:val="none" w:sz="0" w:space="0" w:color="auto"/>
        <w:right w:val="none" w:sz="0" w:space="0" w:color="auto"/>
      </w:divBdr>
    </w:div>
    <w:div w:id="209658889">
      <w:marLeft w:val="0"/>
      <w:marRight w:val="0"/>
      <w:marTop w:val="120"/>
      <w:marBottom w:val="0"/>
      <w:divBdr>
        <w:top w:val="none" w:sz="0" w:space="0" w:color="auto"/>
        <w:left w:val="none" w:sz="0" w:space="0" w:color="auto"/>
        <w:bottom w:val="none" w:sz="0" w:space="0" w:color="auto"/>
        <w:right w:val="none" w:sz="0" w:space="0" w:color="auto"/>
      </w:divBdr>
    </w:div>
    <w:div w:id="210729870">
      <w:marLeft w:val="0"/>
      <w:marRight w:val="0"/>
      <w:marTop w:val="240"/>
      <w:marBottom w:val="0"/>
      <w:divBdr>
        <w:top w:val="none" w:sz="0" w:space="0" w:color="auto"/>
        <w:left w:val="none" w:sz="0" w:space="0" w:color="auto"/>
        <w:bottom w:val="none" w:sz="0" w:space="0" w:color="auto"/>
        <w:right w:val="none" w:sz="0" w:space="0" w:color="auto"/>
      </w:divBdr>
    </w:div>
    <w:div w:id="211045535">
      <w:marLeft w:val="0"/>
      <w:marRight w:val="0"/>
      <w:marTop w:val="240"/>
      <w:marBottom w:val="0"/>
      <w:divBdr>
        <w:top w:val="none" w:sz="0" w:space="0" w:color="auto"/>
        <w:left w:val="none" w:sz="0" w:space="0" w:color="auto"/>
        <w:bottom w:val="none" w:sz="0" w:space="0" w:color="auto"/>
        <w:right w:val="none" w:sz="0" w:space="0" w:color="auto"/>
      </w:divBdr>
    </w:div>
    <w:div w:id="211162410">
      <w:marLeft w:val="0"/>
      <w:marRight w:val="0"/>
      <w:marTop w:val="240"/>
      <w:marBottom w:val="240"/>
      <w:divBdr>
        <w:top w:val="none" w:sz="0" w:space="0" w:color="auto"/>
        <w:left w:val="none" w:sz="0" w:space="0" w:color="auto"/>
        <w:bottom w:val="none" w:sz="0" w:space="0" w:color="auto"/>
        <w:right w:val="none" w:sz="0" w:space="0" w:color="auto"/>
      </w:divBdr>
    </w:div>
    <w:div w:id="215094748">
      <w:marLeft w:val="0"/>
      <w:marRight w:val="0"/>
      <w:marTop w:val="240"/>
      <w:marBottom w:val="0"/>
      <w:divBdr>
        <w:top w:val="none" w:sz="0" w:space="0" w:color="auto"/>
        <w:left w:val="none" w:sz="0" w:space="0" w:color="auto"/>
        <w:bottom w:val="none" w:sz="0" w:space="0" w:color="auto"/>
        <w:right w:val="none" w:sz="0" w:space="0" w:color="auto"/>
      </w:divBdr>
    </w:div>
    <w:div w:id="215941401">
      <w:marLeft w:val="0"/>
      <w:marRight w:val="0"/>
      <w:marTop w:val="240"/>
      <w:marBottom w:val="0"/>
      <w:divBdr>
        <w:top w:val="none" w:sz="0" w:space="0" w:color="auto"/>
        <w:left w:val="none" w:sz="0" w:space="0" w:color="auto"/>
        <w:bottom w:val="none" w:sz="0" w:space="0" w:color="auto"/>
        <w:right w:val="none" w:sz="0" w:space="0" w:color="auto"/>
      </w:divBdr>
    </w:div>
    <w:div w:id="220484277">
      <w:marLeft w:val="0"/>
      <w:marRight w:val="0"/>
      <w:marTop w:val="240"/>
      <w:marBottom w:val="0"/>
      <w:divBdr>
        <w:top w:val="none" w:sz="0" w:space="0" w:color="auto"/>
        <w:left w:val="none" w:sz="0" w:space="0" w:color="auto"/>
        <w:bottom w:val="none" w:sz="0" w:space="0" w:color="auto"/>
        <w:right w:val="none" w:sz="0" w:space="0" w:color="auto"/>
      </w:divBdr>
    </w:div>
    <w:div w:id="220871292">
      <w:marLeft w:val="0"/>
      <w:marRight w:val="0"/>
      <w:marTop w:val="240"/>
      <w:marBottom w:val="0"/>
      <w:divBdr>
        <w:top w:val="none" w:sz="0" w:space="0" w:color="auto"/>
        <w:left w:val="none" w:sz="0" w:space="0" w:color="auto"/>
        <w:bottom w:val="none" w:sz="0" w:space="0" w:color="auto"/>
        <w:right w:val="none" w:sz="0" w:space="0" w:color="auto"/>
      </w:divBdr>
    </w:div>
    <w:div w:id="224267685">
      <w:marLeft w:val="0"/>
      <w:marRight w:val="0"/>
      <w:marTop w:val="0"/>
      <w:marBottom w:val="0"/>
      <w:divBdr>
        <w:top w:val="none" w:sz="0" w:space="0" w:color="auto"/>
        <w:left w:val="none" w:sz="0" w:space="0" w:color="auto"/>
        <w:bottom w:val="none" w:sz="0" w:space="0" w:color="auto"/>
        <w:right w:val="none" w:sz="0" w:space="0" w:color="auto"/>
      </w:divBdr>
      <w:divsChild>
        <w:div w:id="321012174">
          <w:marLeft w:val="0"/>
          <w:marRight w:val="0"/>
          <w:marTop w:val="0"/>
          <w:marBottom w:val="0"/>
          <w:divBdr>
            <w:top w:val="none" w:sz="0" w:space="0" w:color="auto"/>
            <w:left w:val="none" w:sz="0" w:space="0" w:color="auto"/>
            <w:bottom w:val="none" w:sz="0" w:space="0" w:color="auto"/>
            <w:right w:val="none" w:sz="0" w:space="0" w:color="auto"/>
          </w:divBdr>
        </w:div>
        <w:div w:id="316498478">
          <w:marLeft w:val="0"/>
          <w:marRight w:val="0"/>
          <w:marTop w:val="0"/>
          <w:marBottom w:val="0"/>
          <w:divBdr>
            <w:top w:val="none" w:sz="0" w:space="0" w:color="auto"/>
            <w:left w:val="none" w:sz="0" w:space="0" w:color="auto"/>
            <w:bottom w:val="none" w:sz="0" w:space="0" w:color="auto"/>
            <w:right w:val="none" w:sz="0" w:space="0" w:color="auto"/>
          </w:divBdr>
        </w:div>
        <w:div w:id="593320123">
          <w:marLeft w:val="0"/>
          <w:marRight w:val="0"/>
          <w:marTop w:val="0"/>
          <w:marBottom w:val="0"/>
          <w:divBdr>
            <w:top w:val="none" w:sz="0" w:space="0" w:color="auto"/>
            <w:left w:val="none" w:sz="0" w:space="0" w:color="auto"/>
            <w:bottom w:val="none" w:sz="0" w:space="0" w:color="auto"/>
            <w:right w:val="none" w:sz="0" w:space="0" w:color="auto"/>
          </w:divBdr>
        </w:div>
        <w:div w:id="474688467">
          <w:marLeft w:val="0"/>
          <w:marRight w:val="0"/>
          <w:marTop w:val="0"/>
          <w:marBottom w:val="0"/>
          <w:divBdr>
            <w:top w:val="none" w:sz="0" w:space="0" w:color="auto"/>
            <w:left w:val="none" w:sz="0" w:space="0" w:color="auto"/>
            <w:bottom w:val="none" w:sz="0" w:space="0" w:color="auto"/>
            <w:right w:val="none" w:sz="0" w:space="0" w:color="auto"/>
          </w:divBdr>
        </w:div>
      </w:divsChild>
    </w:div>
    <w:div w:id="224535960">
      <w:marLeft w:val="0"/>
      <w:marRight w:val="0"/>
      <w:marTop w:val="240"/>
      <w:marBottom w:val="0"/>
      <w:divBdr>
        <w:top w:val="none" w:sz="0" w:space="0" w:color="auto"/>
        <w:left w:val="none" w:sz="0" w:space="0" w:color="auto"/>
        <w:bottom w:val="none" w:sz="0" w:space="0" w:color="auto"/>
        <w:right w:val="none" w:sz="0" w:space="0" w:color="auto"/>
      </w:divBdr>
    </w:div>
    <w:div w:id="228853844">
      <w:marLeft w:val="0"/>
      <w:marRight w:val="0"/>
      <w:marTop w:val="0"/>
      <w:marBottom w:val="0"/>
      <w:divBdr>
        <w:top w:val="none" w:sz="0" w:space="0" w:color="auto"/>
        <w:left w:val="none" w:sz="0" w:space="0" w:color="auto"/>
        <w:bottom w:val="none" w:sz="0" w:space="0" w:color="auto"/>
        <w:right w:val="none" w:sz="0" w:space="0" w:color="auto"/>
      </w:divBdr>
    </w:div>
    <w:div w:id="228928078">
      <w:marLeft w:val="0"/>
      <w:marRight w:val="0"/>
      <w:marTop w:val="240"/>
      <w:marBottom w:val="0"/>
      <w:divBdr>
        <w:top w:val="none" w:sz="0" w:space="0" w:color="auto"/>
        <w:left w:val="none" w:sz="0" w:space="0" w:color="auto"/>
        <w:bottom w:val="none" w:sz="0" w:space="0" w:color="auto"/>
        <w:right w:val="none" w:sz="0" w:space="0" w:color="auto"/>
      </w:divBdr>
    </w:div>
    <w:div w:id="232012801">
      <w:marLeft w:val="0"/>
      <w:marRight w:val="0"/>
      <w:marTop w:val="0"/>
      <w:marBottom w:val="0"/>
      <w:divBdr>
        <w:top w:val="none" w:sz="0" w:space="0" w:color="auto"/>
        <w:left w:val="none" w:sz="0" w:space="0" w:color="auto"/>
        <w:bottom w:val="none" w:sz="0" w:space="0" w:color="auto"/>
        <w:right w:val="none" w:sz="0" w:space="0" w:color="auto"/>
      </w:divBdr>
      <w:divsChild>
        <w:div w:id="1322663293">
          <w:marLeft w:val="0"/>
          <w:marRight w:val="0"/>
          <w:marTop w:val="0"/>
          <w:marBottom w:val="0"/>
          <w:divBdr>
            <w:top w:val="none" w:sz="0" w:space="0" w:color="auto"/>
            <w:left w:val="none" w:sz="0" w:space="0" w:color="auto"/>
            <w:bottom w:val="none" w:sz="0" w:space="0" w:color="auto"/>
            <w:right w:val="none" w:sz="0" w:space="0" w:color="auto"/>
          </w:divBdr>
        </w:div>
      </w:divsChild>
    </w:div>
    <w:div w:id="236287107">
      <w:marLeft w:val="0"/>
      <w:marRight w:val="0"/>
      <w:marTop w:val="0"/>
      <w:marBottom w:val="240"/>
      <w:divBdr>
        <w:top w:val="none" w:sz="0" w:space="0" w:color="auto"/>
        <w:left w:val="none" w:sz="0" w:space="0" w:color="auto"/>
        <w:bottom w:val="none" w:sz="0" w:space="0" w:color="auto"/>
        <w:right w:val="none" w:sz="0" w:space="0" w:color="auto"/>
      </w:divBdr>
    </w:div>
    <w:div w:id="236332101">
      <w:marLeft w:val="0"/>
      <w:marRight w:val="0"/>
      <w:marTop w:val="0"/>
      <w:marBottom w:val="0"/>
      <w:divBdr>
        <w:top w:val="none" w:sz="0" w:space="0" w:color="auto"/>
        <w:left w:val="none" w:sz="0" w:space="0" w:color="auto"/>
        <w:bottom w:val="none" w:sz="0" w:space="0" w:color="auto"/>
        <w:right w:val="none" w:sz="0" w:space="0" w:color="auto"/>
      </w:divBdr>
    </w:div>
    <w:div w:id="236745970">
      <w:marLeft w:val="0"/>
      <w:marRight w:val="0"/>
      <w:marTop w:val="0"/>
      <w:marBottom w:val="240"/>
      <w:divBdr>
        <w:top w:val="none" w:sz="0" w:space="0" w:color="auto"/>
        <w:left w:val="none" w:sz="0" w:space="0" w:color="auto"/>
        <w:bottom w:val="none" w:sz="0" w:space="0" w:color="auto"/>
        <w:right w:val="none" w:sz="0" w:space="0" w:color="auto"/>
      </w:divBdr>
    </w:div>
    <w:div w:id="237137797">
      <w:marLeft w:val="0"/>
      <w:marRight w:val="0"/>
      <w:marTop w:val="240"/>
      <w:marBottom w:val="0"/>
      <w:divBdr>
        <w:top w:val="none" w:sz="0" w:space="0" w:color="auto"/>
        <w:left w:val="none" w:sz="0" w:space="0" w:color="auto"/>
        <w:bottom w:val="none" w:sz="0" w:space="0" w:color="auto"/>
        <w:right w:val="none" w:sz="0" w:space="0" w:color="auto"/>
      </w:divBdr>
    </w:div>
    <w:div w:id="239683316">
      <w:marLeft w:val="0"/>
      <w:marRight w:val="0"/>
      <w:marTop w:val="0"/>
      <w:marBottom w:val="0"/>
      <w:divBdr>
        <w:top w:val="none" w:sz="0" w:space="0" w:color="auto"/>
        <w:left w:val="none" w:sz="0" w:space="0" w:color="auto"/>
        <w:bottom w:val="none" w:sz="0" w:space="0" w:color="auto"/>
        <w:right w:val="none" w:sz="0" w:space="0" w:color="auto"/>
      </w:divBdr>
      <w:divsChild>
        <w:div w:id="1467039889">
          <w:marLeft w:val="0"/>
          <w:marRight w:val="0"/>
          <w:marTop w:val="0"/>
          <w:marBottom w:val="0"/>
          <w:divBdr>
            <w:top w:val="none" w:sz="0" w:space="0" w:color="auto"/>
            <w:left w:val="none" w:sz="0" w:space="0" w:color="auto"/>
            <w:bottom w:val="none" w:sz="0" w:space="0" w:color="auto"/>
            <w:right w:val="none" w:sz="0" w:space="0" w:color="auto"/>
          </w:divBdr>
        </w:div>
      </w:divsChild>
    </w:div>
    <w:div w:id="239873825">
      <w:marLeft w:val="0"/>
      <w:marRight w:val="0"/>
      <w:marTop w:val="0"/>
      <w:marBottom w:val="200"/>
      <w:divBdr>
        <w:top w:val="none" w:sz="0" w:space="0" w:color="auto"/>
        <w:left w:val="none" w:sz="0" w:space="0" w:color="auto"/>
        <w:bottom w:val="none" w:sz="0" w:space="0" w:color="auto"/>
        <w:right w:val="none" w:sz="0" w:space="0" w:color="auto"/>
      </w:divBdr>
    </w:div>
    <w:div w:id="243300963">
      <w:marLeft w:val="0"/>
      <w:marRight w:val="0"/>
      <w:marTop w:val="0"/>
      <w:marBottom w:val="0"/>
      <w:divBdr>
        <w:top w:val="none" w:sz="0" w:space="0" w:color="auto"/>
        <w:left w:val="none" w:sz="0" w:space="0" w:color="auto"/>
        <w:bottom w:val="none" w:sz="0" w:space="0" w:color="auto"/>
        <w:right w:val="none" w:sz="0" w:space="0" w:color="auto"/>
      </w:divBdr>
      <w:divsChild>
        <w:div w:id="2019652103">
          <w:marLeft w:val="0"/>
          <w:marRight w:val="0"/>
          <w:marTop w:val="0"/>
          <w:marBottom w:val="0"/>
          <w:divBdr>
            <w:top w:val="none" w:sz="0" w:space="0" w:color="auto"/>
            <w:left w:val="none" w:sz="0" w:space="0" w:color="auto"/>
            <w:bottom w:val="none" w:sz="0" w:space="0" w:color="auto"/>
            <w:right w:val="none" w:sz="0" w:space="0" w:color="auto"/>
          </w:divBdr>
        </w:div>
      </w:divsChild>
    </w:div>
    <w:div w:id="245919731">
      <w:marLeft w:val="0"/>
      <w:marRight w:val="0"/>
      <w:marTop w:val="240"/>
      <w:marBottom w:val="0"/>
      <w:divBdr>
        <w:top w:val="none" w:sz="0" w:space="0" w:color="auto"/>
        <w:left w:val="none" w:sz="0" w:space="0" w:color="auto"/>
        <w:bottom w:val="none" w:sz="0" w:space="0" w:color="auto"/>
        <w:right w:val="none" w:sz="0" w:space="0" w:color="auto"/>
      </w:divBdr>
    </w:div>
    <w:div w:id="246959908">
      <w:marLeft w:val="0"/>
      <w:marRight w:val="0"/>
      <w:marTop w:val="0"/>
      <w:marBottom w:val="0"/>
      <w:divBdr>
        <w:top w:val="none" w:sz="0" w:space="0" w:color="auto"/>
        <w:left w:val="none" w:sz="0" w:space="0" w:color="auto"/>
        <w:bottom w:val="none" w:sz="0" w:space="0" w:color="auto"/>
        <w:right w:val="none" w:sz="0" w:space="0" w:color="auto"/>
      </w:divBdr>
      <w:divsChild>
        <w:div w:id="2011252458">
          <w:marLeft w:val="0"/>
          <w:marRight w:val="0"/>
          <w:marTop w:val="0"/>
          <w:marBottom w:val="0"/>
          <w:divBdr>
            <w:top w:val="none" w:sz="0" w:space="0" w:color="auto"/>
            <w:left w:val="none" w:sz="0" w:space="0" w:color="auto"/>
            <w:bottom w:val="none" w:sz="0" w:space="0" w:color="auto"/>
            <w:right w:val="none" w:sz="0" w:space="0" w:color="auto"/>
          </w:divBdr>
        </w:div>
      </w:divsChild>
    </w:div>
    <w:div w:id="247731882">
      <w:marLeft w:val="0"/>
      <w:marRight w:val="0"/>
      <w:marTop w:val="0"/>
      <w:marBottom w:val="0"/>
      <w:divBdr>
        <w:top w:val="none" w:sz="0" w:space="0" w:color="auto"/>
        <w:left w:val="none" w:sz="0" w:space="0" w:color="auto"/>
        <w:bottom w:val="none" w:sz="0" w:space="0" w:color="auto"/>
        <w:right w:val="none" w:sz="0" w:space="0" w:color="auto"/>
      </w:divBdr>
    </w:div>
    <w:div w:id="248008598">
      <w:marLeft w:val="0"/>
      <w:marRight w:val="0"/>
      <w:marTop w:val="0"/>
      <w:marBottom w:val="0"/>
      <w:divBdr>
        <w:top w:val="none" w:sz="0" w:space="0" w:color="auto"/>
        <w:left w:val="none" w:sz="0" w:space="0" w:color="auto"/>
        <w:bottom w:val="none" w:sz="0" w:space="0" w:color="auto"/>
        <w:right w:val="none" w:sz="0" w:space="0" w:color="auto"/>
      </w:divBdr>
      <w:divsChild>
        <w:div w:id="104009653">
          <w:marLeft w:val="0"/>
          <w:marRight w:val="0"/>
          <w:marTop w:val="0"/>
          <w:marBottom w:val="0"/>
          <w:divBdr>
            <w:top w:val="none" w:sz="0" w:space="0" w:color="auto"/>
            <w:left w:val="none" w:sz="0" w:space="0" w:color="auto"/>
            <w:bottom w:val="none" w:sz="0" w:space="0" w:color="auto"/>
            <w:right w:val="none" w:sz="0" w:space="0" w:color="auto"/>
          </w:divBdr>
        </w:div>
      </w:divsChild>
    </w:div>
    <w:div w:id="251470429">
      <w:marLeft w:val="0"/>
      <w:marRight w:val="0"/>
      <w:marTop w:val="0"/>
      <w:marBottom w:val="0"/>
      <w:divBdr>
        <w:top w:val="none" w:sz="0" w:space="0" w:color="auto"/>
        <w:left w:val="none" w:sz="0" w:space="0" w:color="auto"/>
        <w:bottom w:val="none" w:sz="0" w:space="0" w:color="auto"/>
        <w:right w:val="none" w:sz="0" w:space="0" w:color="auto"/>
      </w:divBdr>
      <w:divsChild>
        <w:div w:id="661811695">
          <w:marLeft w:val="0"/>
          <w:marRight w:val="0"/>
          <w:marTop w:val="0"/>
          <w:marBottom w:val="0"/>
          <w:divBdr>
            <w:top w:val="none" w:sz="0" w:space="0" w:color="auto"/>
            <w:left w:val="none" w:sz="0" w:space="0" w:color="auto"/>
            <w:bottom w:val="none" w:sz="0" w:space="0" w:color="auto"/>
            <w:right w:val="none" w:sz="0" w:space="0" w:color="auto"/>
          </w:divBdr>
        </w:div>
      </w:divsChild>
    </w:div>
    <w:div w:id="252789506">
      <w:marLeft w:val="0"/>
      <w:marRight w:val="0"/>
      <w:marTop w:val="0"/>
      <w:marBottom w:val="240"/>
      <w:divBdr>
        <w:top w:val="none" w:sz="0" w:space="0" w:color="auto"/>
        <w:left w:val="none" w:sz="0" w:space="0" w:color="auto"/>
        <w:bottom w:val="none" w:sz="0" w:space="0" w:color="auto"/>
        <w:right w:val="none" w:sz="0" w:space="0" w:color="auto"/>
      </w:divBdr>
    </w:div>
    <w:div w:id="254824269">
      <w:marLeft w:val="0"/>
      <w:marRight w:val="0"/>
      <w:marTop w:val="240"/>
      <w:marBottom w:val="0"/>
      <w:divBdr>
        <w:top w:val="none" w:sz="0" w:space="0" w:color="auto"/>
        <w:left w:val="none" w:sz="0" w:space="0" w:color="auto"/>
        <w:bottom w:val="none" w:sz="0" w:space="0" w:color="auto"/>
        <w:right w:val="none" w:sz="0" w:space="0" w:color="auto"/>
      </w:divBdr>
    </w:div>
    <w:div w:id="254899767">
      <w:marLeft w:val="0"/>
      <w:marRight w:val="0"/>
      <w:marTop w:val="240"/>
      <w:marBottom w:val="0"/>
      <w:divBdr>
        <w:top w:val="none" w:sz="0" w:space="0" w:color="auto"/>
        <w:left w:val="none" w:sz="0" w:space="0" w:color="auto"/>
        <w:bottom w:val="none" w:sz="0" w:space="0" w:color="auto"/>
        <w:right w:val="none" w:sz="0" w:space="0" w:color="auto"/>
      </w:divBdr>
    </w:div>
    <w:div w:id="255142402">
      <w:marLeft w:val="0"/>
      <w:marRight w:val="0"/>
      <w:marTop w:val="0"/>
      <w:marBottom w:val="240"/>
      <w:divBdr>
        <w:top w:val="none" w:sz="0" w:space="0" w:color="auto"/>
        <w:left w:val="none" w:sz="0" w:space="0" w:color="auto"/>
        <w:bottom w:val="none" w:sz="0" w:space="0" w:color="auto"/>
        <w:right w:val="none" w:sz="0" w:space="0" w:color="auto"/>
      </w:divBdr>
    </w:div>
    <w:div w:id="257252176">
      <w:marLeft w:val="0"/>
      <w:marRight w:val="0"/>
      <w:marTop w:val="240"/>
      <w:marBottom w:val="0"/>
      <w:divBdr>
        <w:top w:val="none" w:sz="0" w:space="0" w:color="auto"/>
        <w:left w:val="none" w:sz="0" w:space="0" w:color="auto"/>
        <w:bottom w:val="none" w:sz="0" w:space="0" w:color="auto"/>
        <w:right w:val="none" w:sz="0" w:space="0" w:color="auto"/>
      </w:divBdr>
    </w:div>
    <w:div w:id="260995438">
      <w:marLeft w:val="0"/>
      <w:marRight w:val="0"/>
      <w:marTop w:val="0"/>
      <w:marBottom w:val="240"/>
      <w:divBdr>
        <w:top w:val="none" w:sz="0" w:space="0" w:color="auto"/>
        <w:left w:val="none" w:sz="0" w:space="0" w:color="auto"/>
        <w:bottom w:val="none" w:sz="0" w:space="0" w:color="auto"/>
        <w:right w:val="none" w:sz="0" w:space="0" w:color="auto"/>
      </w:divBdr>
    </w:div>
    <w:div w:id="262494080">
      <w:marLeft w:val="0"/>
      <w:marRight w:val="0"/>
      <w:marTop w:val="0"/>
      <w:marBottom w:val="240"/>
      <w:divBdr>
        <w:top w:val="none" w:sz="0" w:space="0" w:color="auto"/>
        <w:left w:val="none" w:sz="0" w:space="0" w:color="auto"/>
        <w:bottom w:val="none" w:sz="0" w:space="0" w:color="auto"/>
        <w:right w:val="none" w:sz="0" w:space="0" w:color="auto"/>
      </w:divBdr>
    </w:div>
    <w:div w:id="263921650">
      <w:marLeft w:val="0"/>
      <w:marRight w:val="0"/>
      <w:marTop w:val="0"/>
      <w:marBottom w:val="0"/>
      <w:divBdr>
        <w:top w:val="none" w:sz="0" w:space="0" w:color="auto"/>
        <w:left w:val="none" w:sz="0" w:space="0" w:color="auto"/>
        <w:bottom w:val="none" w:sz="0" w:space="0" w:color="auto"/>
        <w:right w:val="none" w:sz="0" w:space="0" w:color="auto"/>
      </w:divBdr>
      <w:divsChild>
        <w:div w:id="1172910824">
          <w:marLeft w:val="0"/>
          <w:marRight w:val="0"/>
          <w:marTop w:val="0"/>
          <w:marBottom w:val="0"/>
          <w:divBdr>
            <w:top w:val="none" w:sz="0" w:space="0" w:color="auto"/>
            <w:left w:val="none" w:sz="0" w:space="0" w:color="auto"/>
            <w:bottom w:val="none" w:sz="0" w:space="0" w:color="auto"/>
            <w:right w:val="none" w:sz="0" w:space="0" w:color="auto"/>
          </w:divBdr>
        </w:div>
      </w:divsChild>
    </w:div>
    <w:div w:id="264270643">
      <w:marLeft w:val="0"/>
      <w:marRight w:val="0"/>
      <w:marTop w:val="200"/>
      <w:marBottom w:val="0"/>
      <w:divBdr>
        <w:top w:val="none" w:sz="0" w:space="0" w:color="auto"/>
        <w:left w:val="none" w:sz="0" w:space="0" w:color="auto"/>
        <w:bottom w:val="none" w:sz="0" w:space="0" w:color="auto"/>
        <w:right w:val="none" w:sz="0" w:space="0" w:color="auto"/>
      </w:divBdr>
    </w:div>
    <w:div w:id="269163419">
      <w:marLeft w:val="0"/>
      <w:marRight w:val="0"/>
      <w:marTop w:val="240"/>
      <w:marBottom w:val="0"/>
      <w:divBdr>
        <w:top w:val="none" w:sz="0" w:space="0" w:color="auto"/>
        <w:left w:val="none" w:sz="0" w:space="0" w:color="auto"/>
        <w:bottom w:val="none" w:sz="0" w:space="0" w:color="auto"/>
        <w:right w:val="none" w:sz="0" w:space="0" w:color="auto"/>
      </w:divBdr>
    </w:div>
    <w:div w:id="269438982">
      <w:marLeft w:val="0"/>
      <w:marRight w:val="0"/>
      <w:marTop w:val="240"/>
      <w:marBottom w:val="0"/>
      <w:divBdr>
        <w:top w:val="none" w:sz="0" w:space="0" w:color="auto"/>
        <w:left w:val="none" w:sz="0" w:space="0" w:color="auto"/>
        <w:bottom w:val="none" w:sz="0" w:space="0" w:color="auto"/>
        <w:right w:val="none" w:sz="0" w:space="0" w:color="auto"/>
      </w:divBdr>
    </w:div>
    <w:div w:id="271283847">
      <w:marLeft w:val="0"/>
      <w:marRight w:val="0"/>
      <w:marTop w:val="0"/>
      <w:marBottom w:val="240"/>
      <w:divBdr>
        <w:top w:val="none" w:sz="0" w:space="0" w:color="auto"/>
        <w:left w:val="none" w:sz="0" w:space="0" w:color="auto"/>
        <w:bottom w:val="none" w:sz="0" w:space="0" w:color="auto"/>
        <w:right w:val="none" w:sz="0" w:space="0" w:color="auto"/>
      </w:divBdr>
    </w:div>
    <w:div w:id="275021728">
      <w:marLeft w:val="0"/>
      <w:marRight w:val="0"/>
      <w:marTop w:val="0"/>
      <w:marBottom w:val="120"/>
      <w:divBdr>
        <w:top w:val="none" w:sz="0" w:space="0" w:color="auto"/>
        <w:left w:val="none" w:sz="0" w:space="0" w:color="auto"/>
        <w:bottom w:val="none" w:sz="0" w:space="0" w:color="auto"/>
        <w:right w:val="none" w:sz="0" w:space="0" w:color="auto"/>
      </w:divBdr>
    </w:div>
    <w:div w:id="275908200">
      <w:marLeft w:val="0"/>
      <w:marRight w:val="0"/>
      <w:marTop w:val="0"/>
      <w:marBottom w:val="240"/>
      <w:divBdr>
        <w:top w:val="none" w:sz="0" w:space="0" w:color="auto"/>
        <w:left w:val="none" w:sz="0" w:space="0" w:color="auto"/>
        <w:bottom w:val="none" w:sz="0" w:space="0" w:color="auto"/>
        <w:right w:val="none" w:sz="0" w:space="0" w:color="auto"/>
      </w:divBdr>
    </w:div>
    <w:div w:id="276182070">
      <w:marLeft w:val="0"/>
      <w:marRight w:val="0"/>
      <w:marTop w:val="0"/>
      <w:marBottom w:val="240"/>
      <w:divBdr>
        <w:top w:val="none" w:sz="0" w:space="0" w:color="auto"/>
        <w:left w:val="none" w:sz="0" w:space="0" w:color="auto"/>
        <w:bottom w:val="none" w:sz="0" w:space="0" w:color="auto"/>
        <w:right w:val="none" w:sz="0" w:space="0" w:color="auto"/>
      </w:divBdr>
    </w:div>
    <w:div w:id="277182710">
      <w:marLeft w:val="0"/>
      <w:marRight w:val="0"/>
      <w:marTop w:val="0"/>
      <w:marBottom w:val="1"/>
      <w:divBdr>
        <w:top w:val="none" w:sz="0" w:space="0" w:color="auto"/>
        <w:left w:val="none" w:sz="0" w:space="0" w:color="auto"/>
        <w:bottom w:val="none" w:sz="0" w:space="0" w:color="auto"/>
        <w:right w:val="none" w:sz="0" w:space="0" w:color="auto"/>
      </w:divBdr>
    </w:div>
    <w:div w:id="281152106">
      <w:marLeft w:val="0"/>
      <w:marRight w:val="0"/>
      <w:marTop w:val="0"/>
      <w:marBottom w:val="0"/>
      <w:divBdr>
        <w:top w:val="none" w:sz="0" w:space="0" w:color="auto"/>
        <w:left w:val="none" w:sz="0" w:space="0" w:color="auto"/>
        <w:bottom w:val="none" w:sz="0" w:space="0" w:color="auto"/>
        <w:right w:val="none" w:sz="0" w:space="0" w:color="auto"/>
      </w:divBdr>
    </w:div>
    <w:div w:id="285279844">
      <w:marLeft w:val="0"/>
      <w:marRight w:val="0"/>
      <w:marTop w:val="120"/>
      <w:marBottom w:val="120"/>
      <w:divBdr>
        <w:top w:val="none" w:sz="0" w:space="0" w:color="auto"/>
        <w:left w:val="none" w:sz="0" w:space="0" w:color="auto"/>
        <w:bottom w:val="none" w:sz="0" w:space="0" w:color="auto"/>
        <w:right w:val="none" w:sz="0" w:space="0" w:color="auto"/>
      </w:divBdr>
    </w:div>
    <w:div w:id="287007983">
      <w:marLeft w:val="0"/>
      <w:marRight w:val="0"/>
      <w:marTop w:val="240"/>
      <w:marBottom w:val="0"/>
      <w:divBdr>
        <w:top w:val="none" w:sz="0" w:space="0" w:color="auto"/>
        <w:left w:val="none" w:sz="0" w:space="0" w:color="auto"/>
        <w:bottom w:val="none" w:sz="0" w:space="0" w:color="auto"/>
        <w:right w:val="none" w:sz="0" w:space="0" w:color="auto"/>
      </w:divBdr>
    </w:div>
    <w:div w:id="289288471">
      <w:marLeft w:val="0"/>
      <w:marRight w:val="0"/>
      <w:marTop w:val="240"/>
      <w:marBottom w:val="0"/>
      <w:divBdr>
        <w:top w:val="none" w:sz="0" w:space="0" w:color="auto"/>
        <w:left w:val="none" w:sz="0" w:space="0" w:color="auto"/>
        <w:bottom w:val="none" w:sz="0" w:space="0" w:color="auto"/>
        <w:right w:val="none" w:sz="0" w:space="0" w:color="auto"/>
      </w:divBdr>
    </w:div>
    <w:div w:id="290598939">
      <w:marLeft w:val="0"/>
      <w:marRight w:val="0"/>
      <w:marTop w:val="240"/>
      <w:marBottom w:val="0"/>
      <w:divBdr>
        <w:top w:val="none" w:sz="0" w:space="0" w:color="auto"/>
        <w:left w:val="none" w:sz="0" w:space="0" w:color="auto"/>
        <w:bottom w:val="none" w:sz="0" w:space="0" w:color="auto"/>
        <w:right w:val="none" w:sz="0" w:space="0" w:color="auto"/>
      </w:divBdr>
    </w:div>
    <w:div w:id="290985695">
      <w:marLeft w:val="0"/>
      <w:marRight w:val="0"/>
      <w:marTop w:val="0"/>
      <w:marBottom w:val="120"/>
      <w:divBdr>
        <w:top w:val="none" w:sz="0" w:space="0" w:color="auto"/>
        <w:left w:val="none" w:sz="0" w:space="0" w:color="auto"/>
        <w:bottom w:val="none" w:sz="0" w:space="0" w:color="auto"/>
        <w:right w:val="none" w:sz="0" w:space="0" w:color="auto"/>
      </w:divBdr>
    </w:div>
    <w:div w:id="294872194">
      <w:marLeft w:val="0"/>
      <w:marRight w:val="0"/>
      <w:marTop w:val="0"/>
      <w:marBottom w:val="0"/>
      <w:divBdr>
        <w:top w:val="none" w:sz="0" w:space="0" w:color="auto"/>
        <w:left w:val="none" w:sz="0" w:space="0" w:color="auto"/>
        <w:bottom w:val="none" w:sz="0" w:space="0" w:color="auto"/>
        <w:right w:val="none" w:sz="0" w:space="0" w:color="auto"/>
      </w:divBdr>
      <w:divsChild>
        <w:div w:id="411591023">
          <w:marLeft w:val="0"/>
          <w:marRight w:val="0"/>
          <w:marTop w:val="0"/>
          <w:marBottom w:val="0"/>
          <w:divBdr>
            <w:top w:val="none" w:sz="0" w:space="0" w:color="auto"/>
            <w:left w:val="none" w:sz="0" w:space="0" w:color="auto"/>
            <w:bottom w:val="none" w:sz="0" w:space="0" w:color="auto"/>
            <w:right w:val="none" w:sz="0" w:space="0" w:color="auto"/>
          </w:divBdr>
        </w:div>
      </w:divsChild>
    </w:div>
    <w:div w:id="297733454">
      <w:marLeft w:val="0"/>
      <w:marRight w:val="0"/>
      <w:marTop w:val="0"/>
      <w:marBottom w:val="0"/>
      <w:divBdr>
        <w:top w:val="none" w:sz="0" w:space="0" w:color="auto"/>
        <w:left w:val="none" w:sz="0" w:space="0" w:color="auto"/>
        <w:bottom w:val="none" w:sz="0" w:space="0" w:color="auto"/>
        <w:right w:val="none" w:sz="0" w:space="0" w:color="auto"/>
      </w:divBdr>
    </w:div>
    <w:div w:id="299499796">
      <w:marLeft w:val="0"/>
      <w:marRight w:val="0"/>
      <w:marTop w:val="240"/>
      <w:marBottom w:val="0"/>
      <w:divBdr>
        <w:top w:val="none" w:sz="0" w:space="0" w:color="auto"/>
        <w:left w:val="none" w:sz="0" w:space="0" w:color="auto"/>
        <w:bottom w:val="none" w:sz="0" w:space="0" w:color="auto"/>
        <w:right w:val="none" w:sz="0" w:space="0" w:color="auto"/>
      </w:divBdr>
    </w:div>
    <w:div w:id="300622331">
      <w:marLeft w:val="0"/>
      <w:marRight w:val="0"/>
      <w:marTop w:val="240"/>
      <w:marBottom w:val="0"/>
      <w:divBdr>
        <w:top w:val="none" w:sz="0" w:space="0" w:color="auto"/>
        <w:left w:val="none" w:sz="0" w:space="0" w:color="auto"/>
        <w:bottom w:val="none" w:sz="0" w:space="0" w:color="auto"/>
        <w:right w:val="none" w:sz="0" w:space="0" w:color="auto"/>
      </w:divBdr>
    </w:div>
    <w:div w:id="303118506">
      <w:marLeft w:val="0"/>
      <w:marRight w:val="0"/>
      <w:marTop w:val="0"/>
      <w:marBottom w:val="0"/>
      <w:divBdr>
        <w:top w:val="none" w:sz="0" w:space="0" w:color="auto"/>
        <w:left w:val="none" w:sz="0" w:space="0" w:color="auto"/>
        <w:bottom w:val="none" w:sz="0" w:space="0" w:color="auto"/>
        <w:right w:val="none" w:sz="0" w:space="0" w:color="auto"/>
      </w:divBdr>
      <w:divsChild>
        <w:div w:id="1252272999">
          <w:marLeft w:val="0"/>
          <w:marRight w:val="0"/>
          <w:marTop w:val="0"/>
          <w:marBottom w:val="0"/>
          <w:divBdr>
            <w:top w:val="none" w:sz="0" w:space="0" w:color="auto"/>
            <w:left w:val="none" w:sz="0" w:space="0" w:color="auto"/>
            <w:bottom w:val="none" w:sz="0" w:space="0" w:color="auto"/>
            <w:right w:val="none" w:sz="0" w:space="0" w:color="auto"/>
          </w:divBdr>
        </w:div>
      </w:divsChild>
    </w:div>
    <w:div w:id="310132653">
      <w:marLeft w:val="0"/>
      <w:marRight w:val="0"/>
      <w:marTop w:val="240"/>
      <w:marBottom w:val="0"/>
      <w:divBdr>
        <w:top w:val="none" w:sz="0" w:space="0" w:color="auto"/>
        <w:left w:val="none" w:sz="0" w:space="0" w:color="auto"/>
        <w:bottom w:val="none" w:sz="0" w:space="0" w:color="auto"/>
        <w:right w:val="none" w:sz="0" w:space="0" w:color="auto"/>
      </w:divBdr>
    </w:div>
    <w:div w:id="313412782">
      <w:marLeft w:val="0"/>
      <w:marRight w:val="0"/>
      <w:marTop w:val="0"/>
      <w:marBottom w:val="0"/>
      <w:divBdr>
        <w:top w:val="none" w:sz="0" w:space="0" w:color="auto"/>
        <w:left w:val="none" w:sz="0" w:space="0" w:color="auto"/>
        <w:bottom w:val="none" w:sz="0" w:space="0" w:color="auto"/>
        <w:right w:val="none" w:sz="0" w:space="0" w:color="auto"/>
      </w:divBdr>
    </w:div>
    <w:div w:id="314342154">
      <w:marLeft w:val="0"/>
      <w:marRight w:val="0"/>
      <w:marTop w:val="0"/>
      <w:marBottom w:val="0"/>
      <w:divBdr>
        <w:top w:val="none" w:sz="0" w:space="0" w:color="auto"/>
        <w:left w:val="none" w:sz="0" w:space="0" w:color="auto"/>
        <w:bottom w:val="none" w:sz="0" w:space="0" w:color="auto"/>
        <w:right w:val="none" w:sz="0" w:space="0" w:color="auto"/>
      </w:divBdr>
    </w:div>
    <w:div w:id="315033061">
      <w:marLeft w:val="0"/>
      <w:marRight w:val="0"/>
      <w:marTop w:val="0"/>
      <w:marBottom w:val="0"/>
      <w:divBdr>
        <w:top w:val="none" w:sz="0" w:space="0" w:color="auto"/>
        <w:left w:val="none" w:sz="0" w:space="0" w:color="auto"/>
        <w:bottom w:val="none" w:sz="0" w:space="0" w:color="auto"/>
        <w:right w:val="none" w:sz="0" w:space="0" w:color="auto"/>
      </w:divBdr>
    </w:div>
    <w:div w:id="315308818">
      <w:marLeft w:val="0"/>
      <w:marRight w:val="0"/>
      <w:marTop w:val="240"/>
      <w:marBottom w:val="240"/>
      <w:divBdr>
        <w:top w:val="none" w:sz="0" w:space="0" w:color="auto"/>
        <w:left w:val="none" w:sz="0" w:space="0" w:color="auto"/>
        <w:bottom w:val="none" w:sz="0" w:space="0" w:color="auto"/>
        <w:right w:val="none" w:sz="0" w:space="0" w:color="auto"/>
      </w:divBdr>
    </w:div>
    <w:div w:id="319886878">
      <w:marLeft w:val="0"/>
      <w:marRight w:val="0"/>
      <w:marTop w:val="0"/>
      <w:marBottom w:val="0"/>
      <w:divBdr>
        <w:top w:val="none" w:sz="0" w:space="0" w:color="auto"/>
        <w:left w:val="none" w:sz="0" w:space="0" w:color="auto"/>
        <w:bottom w:val="none" w:sz="0" w:space="0" w:color="auto"/>
        <w:right w:val="none" w:sz="0" w:space="0" w:color="auto"/>
      </w:divBdr>
      <w:divsChild>
        <w:div w:id="1277635661">
          <w:marLeft w:val="0"/>
          <w:marRight w:val="0"/>
          <w:marTop w:val="0"/>
          <w:marBottom w:val="0"/>
          <w:divBdr>
            <w:top w:val="none" w:sz="0" w:space="0" w:color="auto"/>
            <w:left w:val="none" w:sz="0" w:space="0" w:color="auto"/>
            <w:bottom w:val="none" w:sz="0" w:space="0" w:color="auto"/>
            <w:right w:val="none" w:sz="0" w:space="0" w:color="auto"/>
          </w:divBdr>
        </w:div>
      </w:divsChild>
    </w:div>
    <w:div w:id="320424789">
      <w:marLeft w:val="0"/>
      <w:marRight w:val="0"/>
      <w:marTop w:val="240"/>
      <w:marBottom w:val="0"/>
      <w:divBdr>
        <w:top w:val="none" w:sz="0" w:space="0" w:color="auto"/>
        <w:left w:val="none" w:sz="0" w:space="0" w:color="auto"/>
        <w:bottom w:val="none" w:sz="0" w:space="0" w:color="auto"/>
        <w:right w:val="none" w:sz="0" w:space="0" w:color="auto"/>
      </w:divBdr>
    </w:div>
    <w:div w:id="322971280">
      <w:marLeft w:val="0"/>
      <w:marRight w:val="0"/>
      <w:marTop w:val="240"/>
      <w:marBottom w:val="0"/>
      <w:divBdr>
        <w:top w:val="none" w:sz="0" w:space="0" w:color="auto"/>
        <w:left w:val="none" w:sz="0" w:space="0" w:color="auto"/>
        <w:bottom w:val="none" w:sz="0" w:space="0" w:color="auto"/>
        <w:right w:val="none" w:sz="0" w:space="0" w:color="auto"/>
      </w:divBdr>
    </w:div>
    <w:div w:id="324474338">
      <w:marLeft w:val="0"/>
      <w:marRight w:val="0"/>
      <w:marTop w:val="240"/>
      <w:marBottom w:val="0"/>
      <w:divBdr>
        <w:top w:val="none" w:sz="0" w:space="0" w:color="auto"/>
        <w:left w:val="none" w:sz="0" w:space="0" w:color="auto"/>
        <w:bottom w:val="none" w:sz="0" w:space="0" w:color="auto"/>
        <w:right w:val="none" w:sz="0" w:space="0" w:color="auto"/>
      </w:divBdr>
    </w:div>
    <w:div w:id="325060913">
      <w:marLeft w:val="0"/>
      <w:marRight w:val="0"/>
      <w:marTop w:val="0"/>
      <w:marBottom w:val="0"/>
      <w:divBdr>
        <w:top w:val="none" w:sz="0" w:space="0" w:color="auto"/>
        <w:left w:val="none" w:sz="0" w:space="0" w:color="auto"/>
        <w:bottom w:val="none" w:sz="0" w:space="0" w:color="auto"/>
        <w:right w:val="none" w:sz="0" w:space="0" w:color="auto"/>
      </w:divBdr>
      <w:divsChild>
        <w:div w:id="244537444">
          <w:marLeft w:val="0"/>
          <w:marRight w:val="0"/>
          <w:marTop w:val="0"/>
          <w:marBottom w:val="0"/>
          <w:divBdr>
            <w:top w:val="none" w:sz="0" w:space="0" w:color="auto"/>
            <w:left w:val="none" w:sz="0" w:space="0" w:color="auto"/>
            <w:bottom w:val="none" w:sz="0" w:space="0" w:color="auto"/>
            <w:right w:val="none" w:sz="0" w:space="0" w:color="auto"/>
          </w:divBdr>
        </w:div>
      </w:divsChild>
    </w:div>
    <w:div w:id="327253211">
      <w:marLeft w:val="0"/>
      <w:marRight w:val="0"/>
      <w:marTop w:val="0"/>
      <w:marBottom w:val="0"/>
      <w:divBdr>
        <w:top w:val="none" w:sz="0" w:space="0" w:color="auto"/>
        <w:left w:val="none" w:sz="0" w:space="0" w:color="auto"/>
        <w:bottom w:val="none" w:sz="0" w:space="0" w:color="auto"/>
        <w:right w:val="none" w:sz="0" w:space="0" w:color="auto"/>
      </w:divBdr>
      <w:divsChild>
        <w:div w:id="1755711666">
          <w:marLeft w:val="0"/>
          <w:marRight w:val="0"/>
          <w:marTop w:val="0"/>
          <w:marBottom w:val="0"/>
          <w:divBdr>
            <w:top w:val="none" w:sz="0" w:space="0" w:color="auto"/>
            <w:left w:val="none" w:sz="0" w:space="0" w:color="auto"/>
            <w:bottom w:val="none" w:sz="0" w:space="0" w:color="auto"/>
            <w:right w:val="none" w:sz="0" w:space="0" w:color="auto"/>
          </w:divBdr>
        </w:div>
      </w:divsChild>
    </w:div>
    <w:div w:id="330111107">
      <w:marLeft w:val="0"/>
      <w:marRight w:val="0"/>
      <w:marTop w:val="0"/>
      <w:marBottom w:val="0"/>
      <w:divBdr>
        <w:top w:val="none" w:sz="0" w:space="0" w:color="auto"/>
        <w:left w:val="none" w:sz="0" w:space="0" w:color="auto"/>
        <w:bottom w:val="none" w:sz="0" w:space="0" w:color="auto"/>
        <w:right w:val="none" w:sz="0" w:space="0" w:color="auto"/>
      </w:divBdr>
      <w:divsChild>
        <w:div w:id="1281062674">
          <w:marLeft w:val="0"/>
          <w:marRight w:val="0"/>
          <w:marTop w:val="0"/>
          <w:marBottom w:val="0"/>
          <w:divBdr>
            <w:top w:val="none" w:sz="0" w:space="0" w:color="auto"/>
            <w:left w:val="none" w:sz="0" w:space="0" w:color="auto"/>
            <w:bottom w:val="none" w:sz="0" w:space="0" w:color="auto"/>
            <w:right w:val="none" w:sz="0" w:space="0" w:color="auto"/>
          </w:divBdr>
        </w:div>
      </w:divsChild>
    </w:div>
    <w:div w:id="331032797">
      <w:marLeft w:val="0"/>
      <w:marRight w:val="0"/>
      <w:marTop w:val="0"/>
      <w:marBottom w:val="0"/>
      <w:divBdr>
        <w:top w:val="none" w:sz="0" w:space="0" w:color="auto"/>
        <w:left w:val="none" w:sz="0" w:space="0" w:color="auto"/>
        <w:bottom w:val="none" w:sz="0" w:space="0" w:color="auto"/>
        <w:right w:val="none" w:sz="0" w:space="0" w:color="auto"/>
      </w:divBdr>
      <w:divsChild>
        <w:div w:id="172302258">
          <w:marLeft w:val="0"/>
          <w:marRight w:val="0"/>
          <w:marTop w:val="0"/>
          <w:marBottom w:val="0"/>
          <w:divBdr>
            <w:top w:val="none" w:sz="0" w:space="0" w:color="auto"/>
            <w:left w:val="none" w:sz="0" w:space="0" w:color="auto"/>
            <w:bottom w:val="none" w:sz="0" w:space="0" w:color="auto"/>
            <w:right w:val="none" w:sz="0" w:space="0" w:color="auto"/>
          </w:divBdr>
        </w:div>
      </w:divsChild>
    </w:div>
    <w:div w:id="331102454">
      <w:marLeft w:val="0"/>
      <w:marRight w:val="0"/>
      <w:marTop w:val="240"/>
      <w:marBottom w:val="0"/>
      <w:divBdr>
        <w:top w:val="none" w:sz="0" w:space="0" w:color="auto"/>
        <w:left w:val="none" w:sz="0" w:space="0" w:color="auto"/>
        <w:bottom w:val="none" w:sz="0" w:space="0" w:color="auto"/>
        <w:right w:val="none" w:sz="0" w:space="0" w:color="auto"/>
      </w:divBdr>
    </w:div>
    <w:div w:id="334961166">
      <w:marLeft w:val="0"/>
      <w:marRight w:val="0"/>
      <w:marTop w:val="240"/>
      <w:marBottom w:val="0"/>
      <w:divBdr>
        <w:top w:val="none" w:sz="0" w:space="0" w:color="auto"/>
        <w:left w:val="none" w:sz="0" w:space="0" w:color="auto"/>
        <w:bottom w:val="none" w:sz="0" w:space="0" w:color="auto"/>
        <w:right w:val="none" w:sz="0" w:space="0" w:color="auto"/>
      </w:divBdr>
    </w:div>
    <w:div w:id="335500348">
      <w:marLeft w:val="0"/>
      <w:marRight w:val="0"/>
      <w:marTop w:val="240"/>
      <w:marBottom w:val="0"/>
      <w:divBdr>
        <w:top w:val="none" w:sz="0" w:space="0" w:color="auto"/>
        <w:left w:val="none" w:sz="0" w:space="0" w:color="auto"/>
        <w:bottom w:val="none" w:sz="0" w:space="0" w:color="auto"/>
        <w:right w:val="none" w:sz="0" w:space="0" w:color="auto"/>
      </w:divBdr>
    </w:div>
    <w:div w:id="337007914">
      <w:marLeft w:val="0"/>
      <w:marRight w:val="0"/>
      <w:marTop w:val="0"/>
      <w:marBottom w:val="240"/>
      <w:divBdr>
        <w:top w:val="none" w:sz="0" w:space="0" w:color="auto"/>
        <w:left w:val="none" w:sz="0" w:space="0" w:color="auto"/>
        <w:bottom w:val="none" w:sz="0" w:space="0" w:color="auto"/>
        <w:right w:val="none" w:sz="0" w:space="0" w:color="auto"/>
      </w:divBdr>
    </w:div>
    <w:div w:id="337081361">
      <w:marLeft w:val="0"/>
      <w:marRight w:val="0"/>
      <w:marTop w:val="0"/>
      <w:marBottom w:val="240"/>
      <w:divBdr>
        <w:top w:val="none" w:sz="0" w:space="0" w:color="auto"/>
        <w:left w:val="none" w:sz="0" w:space="0" w:color="auto"/>
        <w:bottom w:val="none" w:sz="0" w:space="0" w:color="auto"/>
        <w:right w:val="none" w:sz="0" w:space="0" w:color="auto"/>
      </w:divBdr>
    </w:div>
    <w:div w:id="340939534">
      <w:marLeft w:val="0"/>
      <w:marRight w:val="0"/>
      <w:marTop w:val="0"/>
      <w:marBottom w:val="0"/>
      <w:divBdr>
        <w:top w:val="none" w:sz="0" w:space="0" w:color="auto"/>
        <w:left w:val="none" w:sz="0" w:space="0" w:color="auto"/>
        <w:bottom w:val="none" w:sz="0" w:space="0" w:color="auto"/>
        <w:right w:val="none" w:sz="0" w:space="0" w:color="auto"/>
      </w:divBdr>
    </w:div>
    <w:div w:id="342905130">
      <w:marLeft w:val="0"/>
      <w:marRight w:val="0"/>
      <w:marTop w:val="0"/>
      <w:marBottom w:val="0"/>
      <w:divBdr>
        <w:top w:val="none" w:sz="0" w:space="0" w:color="auto"/>
        <w:left w:val="none" w:sz="0" w:space="0" w:color="auto"/>
        <w:bottom w:val="none" w:sz="0" w:space="0" w:color="auto"/>
        <w:right w:val="none" w:sz="0" w:space="0" w:color="auto"/>
      </w:divBdr>
    </w:div>
    <w:div w:id="342978477">
      <w:marLeft w:val="0"/>
      <w:marRight w:val="0"/>
      <w:marTop w:val="0"/>
      <w:marBottom w:val="0"/>
      <w:divBdr>
        <w:top w:val="none" w:sz="0" w:space="0" w:color="auto"/>
        <w:left w:val="none" w:sz="0" w:space="0" w:color="auto"/>
        <w:bottom w:val="none" w:sz="0" w:space="0" w:color="auto"/>
        <w:right w:val="none" w:sz="0" w:space="0" w:color="auto"/>
      </w:divBdr>
    </w:div>
    <w:div w:id="346758910">
      <w:marLeft w:val="0"/>
      <w:marRight w:val="0"/>
      <w:marTop w:val="240"/>
      <w:marBottom w:val="0"/>
      <w:divBdr>
        <w:top w:val="none" w:sz="0" w:space="0" w:color="auto"/>
        <w:left w:val="none" w:sz="0" w:space="0" w:color="auto"/>
        <w:bottom w:val="none" w:sz="0" w:space="0" w:color="auto"/>
        <w:right w:val="none" w:sz="0" w:space="0" w:color="auto"/>
      </w:divBdr>
    </w:div>
    <w:div w:id="347024189">
      <w:marLeft w:val="0"/>
      <w:marRight w:val="0"/>
      <w:marTop w:val="0"/>
      <w:marBottom w:val="240"/>
      <w:divBdr>
        <w:top w:val="none" w:sz="0" w:space="0" w:color="auto"/>
        <w:left w:val="none" w:sz="0" w:space="0" w:color="auto"/>
        <w:bottom w:val="none" w:sz="0" w:space="0" w:color="auto"/>
        <w:right w:val="none" w:sz="0" w:space="0" w:color="auto"/>
      </w:divBdr>
    </w:div>
    <w:div w:id="348676688">
      <w:marLeft w:val="0"/>
      <w:marRight w:val="0"/>
      <w:marTop w:val="360"/>
      <w:marBottom w:val="0"/>
      <w:divBdr>
        <w:top w:val="none" w:sz="0" w:space="0" w:color="auto"/>
        <w:left w:val="none" w:sz="0" w:space="0" w:color="auto"/>
        <w:bottom w:val="none" w:sz="0" w:space="0" w:color="auto"/>
        <w:right w:val="none" w:sz="0" w:space="0" w:color="auto"/>
      </w:divBdr>
    </w:div>
    <w:div w:id="351028652">
      <w:marLeft w:val="0"/>
      <w:marRight w:val="0"/>
      <w:marTop w:val="0"/>
      <w:marBottom w:val="0"/>
      <w:divBdr>
        <w:top w:val="none" w:sz="0" w:space="0" w:color="auto"/>
        <w:left w:val="none" w:sz="0" w:space="0" w:color="auto"/>
        <w:bottom w:val="none" w:sz="0" w:space="0" w:color="auto"/>
        <w:right w:val="none" w:sz="0" w:space="0" w:color="auto"/>
      </w:divBdr>
    </w:div>
    <w:div w:id="352196053">
      <w:marLeft w:val="0"/>
      <w:marRight w:val="0"/>
      <w:marTop w:val="240"/>
      <w:marBottom w:val="240"/>
      <w:divBdr>
        <w:top w:val="none" w:sz="0" w:space="0" w:color="auto"/>
        <w:left w:val="none" w:sz="0" w:space="0" w:color="auto"/>
        <w:bottom w:val="none" w:sz="0" w:space="0" w:color="auto"/>
        <w:right w:val="none" w:sz="0" w:space="0" w:color="auto"/>
      </w:divBdr>
    </w:div>
    <w:div w:id="353264710">
      <w:marLeft w:val="0"/>
      <w:marRight w:val="0"/>
      <w:marTop w:val="240"/>
      <w:marBottom w:val="0"/>
      <w:divBdr>
        <w:top w:val="none" w:sz="0" w:space="0" w:color="auto"/>
        <w:left w:val="none" w:sz="0" w:space="0" w:color="auto"/>
        <w:bottom w:val="none" w:sz="0" w:space="0" w:color="auto"/>
        <w:right w:val="none" w:sz="0" w:space="0" w:color="auto"/>
      </w:divBdr>
    </w:div>
    <w:div w:id="354425341">
      <w:marLeft w:val="0"/>
      <w:marRight w:val="0"/>
      <w:marTop w:val="240"/>
      <w:marBottom w:val="240"/>
      <w:divBdr>
        <w:top w:val="none" w:sz="0" w:space="0" w:color="auto"/>
        <w:left w:val="none" w:sz="0" w:space="0" w:color="auto"/>
        <w:bottom w:val="none" w:sz="0" w:space="0" w:color="auto"/>
        <w:right w:val="none" w:sz="0" w:space="0" w:color="auto"/>
      </w:divBdr>
    </w:div>
    <w:div w:id="354818435">
      <w:marLeft w:val="0"/>
      <w:marRight w:val="0"/>
      <w:marTop w:val="240"/>
      <w:marBottom w:val="240"/>
      <w:divBdr>
        <w:top w:val="none" w:sz="0" w:space="0" w:color="auto"/>
        <w:left w:val="none" w:sz="0" w:space="0" w:color="auto"/>
        <w:bottom w:val="none" w:sz="0" w:space="0" w:color="auto"/>
        <w:right w:val="none" w:sz="0" w:space="0" w:color="auto"/>
      </w:divBdr>
    </w:div>
    <w:div w:id="359821109">
      <w:marLeft w:val="0"/>
      <w:marRight w:val="0"/>
      <w:marTop w:val="240"/>
      <w:marBottom w:val="240"/>
      <w:divBdr>
        <w:top w:val="none" w:sz="0" w:space="0" w:color="auto"/>
        <w:left w:val="none" w:sz="0" w:space="0" w:color="auto"/>
        <w:bottom w:val="none" w:sz="0" w:space="0" w:color="auto"/>
        <w:right w:val="none" w:sz="0" w:space="0" w:color="auto"/>
      </w:divBdr>
    </w:div>
    <w:div w:id="359823971">
      <w:marLeft w:val="0"/>
      <w:marRight w:val="0"/>
      <w:marTop w:val="0"/>
      <w:marBottom w:val="0"/>
      <w:divBdr>
        <w:top w:val="none" w:sz="0" w:space="0" w:color="auto"/>
        <w:left w:val="none" w:sz="0" w:space="0" w:color="auto"/>
        <w:bottom w:val="none" w:sz="0" w:space="0" w:color="auto"/>
        <w:right w:val="none" w:sz="0" w:space="0" w:color="auto"/>
      </w:divBdr>
      <w:divsChild>
        <w:div w:id="594633455">
          <w:marLeft w:val="0"/>
          <w:marRight w:val="0"/>
          <w:marTop w:val="0"/>
          <w:marBottom w:val="0"/>
          <w:divBdr>
            <w:top w:val="none" w:sz="0" w:space="0" w:color="auto"/>
            <w:left w:val="none" w:sz="0" w:space="0" w:color="auto"/>
            <w:bottom w:val="none" w:sz="0" w:space="0" w:color="auto"/>
            <w:right w:val="none" w:sz="0" w:space="0" w:color="auto"/>
          </w:divBdr>
        </w:div>
      </w:divsChild>
    </w:div>
    <w:div w:id="360011571">
      <w:marLeft w:val="0"/>
      <w:marRight w:val="0"/>
      <w:marTop w:val="240"/>
      <w:marBottom w:val="0"/>
      <w:divBdr>
        <w:top w:val="none" w:sz="0" w:space="0" w:color="auto"/>
        <w:left w:val="none" w:sz="0" w:space="0" w:color="auto"/>
        <w:bottom w:val="none" w:sz="0" w:space="0" w:color="auto"/>
        <w:right w:val="none" w:sz="0" w:space="0" w:color="auto"/>
      </w:divBdr>
    </w:div>
    <w:div w:id="360936557">
      <w:marLeft w:val="0"/>
      <w:marRight w:val="0"/>
      <w:marTop w:val="240"/>
      <w:marBottom w:val="0"/>
      <w:divBdr>
        <w:top w:val="none" w:sz="0" w:space="0" w:color="auto"/>
        <w:left w:val="none" w:sz="0" w:space="0" w:color="auto"/>
        <w:bottom w:val="none" w:sz="0" w:space="0" w:color="auto"/>
        <w:right w:val="none" w:sz="0" w:space="0" w:color="auto"/>
      </w:divBdr>
    </w:div>
    <w:div w:id="363753532">
      <w:marLeft w:val="0"/>
      <w:marRight w:val="0"/>
      <w:marTop w:val="0"/>
      <w:marBottom w:val="200"/>
      <w:divBdr>
        <w:top w:val="none" w:sz="0" w:space="0" w:color="auto"/>
        <w:left w:val="none" w:sz="0" w:space="0" w:color="auto"/>
        <w:bottom w:val="none" w:sz="0" w:space="0" w:color="auto"/>
        <w:right w:val="none" w:sz="0" w:space="0" w:color="auto"/>
      </w:divBdr>
    </w:div>
    <w:div w:id="364451629">
      <w:marLeft w:val="0"/>
      <w:marRight w:val="0"/>
      <w:marTop w:val="240"/>
      <w:marBottom w:val="0"/>
      <w:divBdr>
        <w:top w:val="none" w:sz="0" w:space="0" w:color="auto"/>
        <w:left w:val="none" w:sz="0" w:space="0" w:color="auto"/>
        <w:bottom w:val="none" w:sz="0" w:space="0" w:color="auto"/>
        <w:right w:val="none" w:sz="0" w:space="0" w:color="auto"/>
      </w:divBdr>
    </w:div>
    <w:div w:id="364865305">
      <w:marLeft w:val="0"/>
      <w:marRight w:val="0"/>
      <w:marTop w:val="0"/>
      <w:marBottom w:val="240"/>
      <w:divBdr>
        <w:top w:val="none" w:sz="0" w:space="0" w:color="auto"/>
        <w:left w:val="none" w:sz="0" w:space="0" w:color="auto"/>
        <w:bottom w:val="none" w:sz="0" w:space="0" w:color="auto"/>
        <w:right w:val="none" w:sz="0" w:space="0" w:color="auto"/>
      </w:divBdr>
    </w:div>
    <w:div w:id="368378347">
      <w:marLeft w:val="0"/>
      <w:marRight w:val="0"/>
      <w:marTop w:val="0"/>
      <w:marBottom w:val="120"/>
      <w:divBdr>
        <w:top w:val="none" w:sz="0" w:space="0" w:color="auto"/>
        <w:left w:val="none" w:sz="0" w:space="0" w:color="auto"/>
        <w:bottom w:val="none" w:sz="0" w:space="0" w:color="auto"/>
        <w:right w:val="none" w:sz="0" w:space="0" w:color="auto"/>
      </w:divBdr>
    </w:div>
    <w:div w:id="369688632">
      <w:marLeft w:val="0"/>
      <w:marRight w:val="0"/>
      <w:marTop w:val="0"/>
      <w:marBottom w:val="0"/>
      <w:divBdr>
        <w:top w:val="none" w:sz="0" w:space="0" w:color="auto"/>
        <w:left w:val="none" w:sz="0" w:space="0" w:color="auto"/>
        <w:bottom w:val="none" w:sz="0" w:space="0" w:color="auto"/>
        <w:right w:val="none" w:sz="0" w:space="0" w:color="auto"/>
      </w:divBdr>
      <w:divsChild>
        <w:div w:id="543753831">
          <w:marLeft w:val="0"/>
          <w:marRight w:val="0"/>
          <w:marTop w:val="0"/>
          <w:marBottom w:val="0"/>
          <w:divBdr>
            <w:top w:val="none" w:sz="0" w:space="0" w:color="auto"/>
            <w:left w:val="none" w:sz="0" w:space="0" w:color="auto"/>
            <w:bottom w:val="none" w:sz="0" w:space="0" w:color="auto"/>
            <w:right w:val="none" w:sz="0" w:space="0" w:color="auto"/>
          </w:divBdr>
        </w:div>
      </w:divsChild>
    </w:div>
    <w:div w:id="369762464">
      <w:marLeft w:val="0"/>
      <w:marRight w:val="0"/>
      <w:marTop w:val="0"/>
      <w:marBottom w:val="0"/>
      <w:divBdr>
        <w:top w:val="none" w:sz="0" w:space="0" w:color="auto"/>
        <w:left w:val="none" w:sz="0" w:space="0" w:color="auto"/>
        <w:bottom w:val="none" w:sz="0" w:space="0" w:color="auto"/>
        <w:right w:val="none" w:sz="0" w:space="0" w:color="auto"/>
      </w:divBdr>
    </w:div>
    <w:div w:id="373385423">
      <w:marLeft w:val="0"/>
      <w:marRight w:val="0"/>
      <w:marTop w:val="0"/>
      <w:marBottom w:val="0"/>
      <w:divBdr>
        <w:top w:val="none" w:sz="0" w:space="0" w:color="auto"/>
        <w:left w:val="none" w:sz="0" w:space="0" w:color="auto"/>
        <w:bottom w:val="none" w:sz="0" w:space="0" w:color="auto"/>
        <w:right w:val="none" w:sz="0" w:space="0" w:color="auto"/>
      </w:divBdr>
      <w:divsChild>
        <w:div w:id="1530216123">
          <w:marLeft w:val="0"/>
          <w:marRight w:val="0"/>
          <w:marTop w:val="0"/>
          <w:marBottom w:val="0"/>
          <w:divBdr>
            <w:top w:val="none" w:sz="0" w:space="0" w:color="auto"/>
            <w:left w:val="none" w:sz="0" w:space="0" w:color="auto"/>
            <w:bottom w:val="none" w:sz="0" w:space="0" w:color="auto"/>
            <w:right w:val="none" w:sz="0" w:space="0" w:color="auto"/>
          </w:divBdr>
        </w:div>
        <w:div w:id="476990974">
          <w:marLeft w:val="0"/>
          <w:marRight w:val="0"/>
          <w:marTop w:val="0"/>
          <w:marBottom w:val="0"/>
          <w:divBdr>
            <w:top w:val="none" w:sz="0" w:space="0" w:color="auto"/>
            <w:left w:val="none" w:sz="0" w:space="0" w:color="auto"/>
            <w:bottom w:val="none" w:sz="0" w:space="0" w:color="auto"/>
            <w:right w:val="none" w:sz="0" w:space="0" w:color="auto"/>
          </w:divBdr>
        </w:div>
      </w:divsChild>
    </w:div>
    <w:div w:id="376049460">
      <w:marLeft w:val="0"/>
      <w:marRight w:val="0"/>
      <w:marTop w:val="240"/>
      <w:marBottom w:val="0"/>
      <w:divBdr>
        <w:top w:val="none" w:sz="0" w:space="0" w:color="auto"/>
        <w:left w:val="none" w:sz="0" w:space="0" w:color="auto"/>
        <w:bottom w:val="none" w:sz="0" w:space="0" w:color="auto"/>
        <w:right w:val="none" w:sz="0" w:space="0" w:color="auto"/>
      </w:divBdr>
    </w:div>
    <w:div w:id="379792302">
      <w:marLeft w:val="0"/>
      <w:marRight w:val="0"/>
      <w:marTop w:val="0"/>
      <w:marBottom w:val="0"/>
      <w:divBdr>
        <w:top w:val="none" w:sz="0" w:space="0" w:color="auto"/>
        <w:left w:val="none" w:sz="0" w:space="0" w:color="auto"/>
        <w:bottom w:val="none" w:sz="0" w:space="0" w:color="auto"/>
        <w:right w:val="none" w:sz="0" w:space="0" w:color="auto"/>
      </w:divBdr>
      <w:divsChild>
        <w:div w:id="1244415318">
          <w:marLeft w:val="0"/>
          <w:marRight w:val="0"/>
          <w:marTop w:val="0"/>
          <w:marBottom w:val="0"/>
          <w:divBdr>
            <w:top w:val="none" w:sz="0" w:space="0" w:color="auto"/>
            <w:left w:val="none" w:sz="0" w:space="0" w:color="auto"/>
            <w:bottom w:val="none" w:sz="0" w:space="0" w:color="auto"/>
            <w:right w:val="none" w:sz="0" w:space="0" w:color="auto"/>
          </w:divBdr>
        </w:div>
      </w:divsChild>
    </w:div>
    <w:div w:id="381248809">
      <w:marLeft w:val="0"/>
      <w:marRight w:val="0"/>
      <w:marTop w:val="0"/>
      <w:marBottom w:val="0"/>
      <w:divBdr>
        <w:top w:val="none" w:sz="0" w:space="0" w:color="auto"/>
        <w:left w:val="none" w:sz="0" w:space="0" w:color="auto"/>
        <w:bottom w:val="none" w:sz="0" w:space="0" w:color="auto"/>
        <w:right w:val="none" w:sz="0" w:space="0" w:color="auto"/>
      </w:divBdr>
      <w:divsChild>
        <w:div w:id="1651322220">
          <w:marLeft w:val="0"/>
          <w:marRight w:val="0"/>
          <w:marTop w:val="0"/>
          <w:marBottom w:val="0"/>
          <w:divBdr>
            <w:top w:val="none" w:sz="0" w:space="0" w:color="auto"/>
            <w:left w:val="none" w:sz="0" w:space="0" w:color="auto"/>
            <w:bottom w:val="none" w:sz="0" w:space="0" w:color="auto"/>
            <w:right w:val="none" w:sz="0" w:space="0" w:color="auto"/>
          </w:divBdr>
        </w:div>
      </w:divsChild>
    </w:div>
    <w:div w:id="381949737">
      <w:marLeft w:val="0"/>
      <w:marRight w:val="0"/>
      <w:marTop w:val="240"/>
      <w:marBottom w:val="0"/>
      <w:divBdr>
        <w:top w:val="none" w:sz="0" w:space="0" w:color="auto"/>
        <w:left w:val="none" w:sz="0" w:space="0" w:color="auto"/>
        <w:bottom w:val="none" w:sz="0" w:space="0" w:color="auto"/>
        <w:right w:val="none" w:sz="0" w:space="0" w:color="auto"/>
      </w:divBdr>
    </w:div>
    <w:div w:id="389303068">
      <w:marLeft w:val="0"/>
      <w:marRight w:val="0"/>
      <w:marTop w:val="0"/>
      <w:marBottom w:val="0"/>
      <w:divBdr>
        <w:top w:val="none" w:sz="0" w:space="0" w:color="auto"/>
        <w:left w:val="none" w:sz="0" w:space="0" w:color="auto"/>
        <w:bottom w:val="none" w:sz="0" w:space="0" w:color="auto"/>
        <w:right w:val="none" w:sz="0" w:space="0" w:color="auto"/>
      </w:divBdr>
      <w:divsChild>
        <w:div w:id="170918175">
          <w:marLeft w:val="0"/>
          <w:marRight w:val="0"/>
          <w:marTop w:val="0"/>
          <w:marBottom w:val="0"/>
          <w:divBdr>
            <w:top w:val="none" w:sz="0" w:space="0" w:color="auto"/>
            <w:left w:val="none" w:sz="0" w:space="0" w:color="auto"/>
            <w:bottom w:val="none" w:sz="0" w:space="0" w:color="auto"/>
            <w:right w:val="none" w:sz="0" w:space="0" w:color="auto"/>
          </w:divBdr>
        </w:div>
      </w:divsChild>
    </w:div>
    <w:div w:id="390887369">
      <w:marLeft w:val="0"/>
      <w:marRight w:val="0"/>
      <w:marTop w:val="0"/>
      <w:marBottom w:val="0"/>
      <w:divBdr>
        <w:top w:val="none" w:sz="0" w:space="0" w:color="auto"/>
        <w:left w:val="none" w:sz="0" w:space="0" w:color="auto"/>
        <w:bottom w:val="none" w:sz="0" w:space="0" w:color="auto"/>
        <w:right w:val="none" w:sz="0" w:space="0" w:color="auto"/>
      </w:divBdr>
    </w:div>
    <w:div w:id="400905608">
      <w:marLeft w:val="0"/>
      <w:marRight w:val="0"/>
      <w:marTop w:val="240"/>
      <w:marBottom w:val="0"/>
      <w:divBdr>
        <w:top w:val="none" w:sz="0" w:space="0" w:color="auto"/>
        <w:left w:val="none" w:sz="0" w:space="0" w:color="auto"/>
        <w:bottom w:val="none" w:sz="0" w:space="0" w:color="auto"/>
        <w:right w:val="none" w:sz="0" w:space="0" w:color="auto"/>
      </w:divBdr>
    </w:div>
    <w:div w:id="404228719">
      <w:marLeft w:val="0"/>
      <w:marRight w:val="0"/>
      <w:marTop w:val="240"/>
      <w:marBottom w:val="240"/>
      <w:divBdr>
        <w:top w:val="none" w:sz="0" w:space="0" w:color="auto"/>
        <w:left w:val="none" w:sz="0" w:space="0" w:color="auto"/>
        <w:bottom w:val="none" w:sz="0" w:space="0" w:color="auto"/>
        <w:right w:val="none" w:sz="0" w:space="0" w:color="auto"/>
      </w:divBdr>
    </w:div>
    <w:div w:id="404231850">
      <w:marLeft w:val="0"/>
      <w:marRight w:val="0"/>
      <w:marTop w:val="240"/>
      <w:marBottom w:val="0"/>
      <w:divBdr>
        <w:top w:val="none" w:sz="0" w:space="0" w:color="auto"/>
        <w:left w:val="none" w:sz="0" w:space="0" w:color="auto"/>
        <w:bottom w:val="none" w:sz="0" w:space="0" w:color="auto"/>
        <w:right w:val="none" w:sz="0" w:space="0" w:color="auto"/>
      </w:divBdr>
    </w:div>
    <w:div w:id="407926158">
      <w:marLeft w:val="0"/>
      <w:marRight w:val="0"/>
      <w:marTop w:val="0"/>
      <w:marBottom w:val="240"/>
      <w:divBdr>
        <w:top w:val="none" w:sz="0" w:space="0" w:color="auto"/>
        <w:left w:val="none" w:sz="0" w:space="0" w:color="auto"/>
        <w:bottom w:val="none" w:sz="0" w:space="0" w:color="auto"/>
        <w:right w:val="none" w:sz="0" w:space="0" w:color="auto"/>
      </w:divBdr>
    </w:div>
    <w:div w:id="409036861">
      <w:marLeft w:val="0"/>
      <w:marRight w:val="0"/>
      <w:marTop w:val="0"/>
      <w:marBottom w:val="0"/>
      <w:divBdr>
        <w:top w:val="none" w:sz="0" w:space="0" w:color="auto"/>
        <w:left w:val="none" w:sz="0" w:space="0" w:color="auto"/>
        <w:bottom w:val="none" w:sz="0" w:space="0" w:color="auto"/>
        <w:right w:val="none" w:sz="0" w:space="0" w:color="auto"/>
      </w:divBdr>
    </w:div>
    <w:div w:id="409082042">
      <w:marLeft w:val="0"/>
      <w:marRight w:val="0"/>
      <w:marTop w:val="240"/>
      <w:marBottom w:val="240"/>
      <w:divBdr>
        <w:top w:val="none" w:sz="0" w:space="0" w:color="auto"/>
        <w:left w:val="none" w:sz="0" w:space="0" w:color="auto"/>
        <w:bottom w:val="none" w:sz="0" w:space="0" w:color="auto"/>
        <w:right w:val="none" w:sz="0" w:space="0" w:color="auto"/>
      </w:divBdr>
    </w:div>
    <w:div w:id="409086312">
      <w:marLeft w:val="0"/>
      <w:marRight w:val="0"/>
      <w:marTop w:val="0"/>
      <w:marBottom w:val="240"/>
      <w:divBdr>
        <w:top w:val="none" w:sz="0" w:space="0" w:color="auto"/>
        <w:left w:val="none" w:sz="0" w:space="0" w:color="auto"/>
        <w:bottom w:val="none" w:sz="0" w:space="0" w:color="auto"/>
        <w:right w:val="none" w:sz="0" w:space="0" w:color="auto"/>
      </w:divBdr>
    </w:div>
    <w:div w:id="409735490">
      <w:marLeft w:val="0"/>
      <w:marRight w:val="0"/>
      <w:marTop w:val="240"/>
      <w:marBottom w:val="0"/>
      <w:divBdr>
        <w:top w:val="none" w:sz="0" w:space="0" w:color="auto"/>
        <w:left w:val="none" w:sz="0" w:space="0" w:color="auto"/>
        <w:bottom w:val="none" w:sz="0" w:space="0" w:color="auto"/>
        <w:right w:val="none" w:sz="0" w:space="0" w:color="auto"/>
      </w:divBdr>
    </w:div>
    <w:div w:id="413622963">
      <w:marLeft w:val="0"/>
      <w:marRight w:val="0"/>
      <w:marTop w:val="100"/>
      <w:marBottom w:val="0"/>
      <w:divBdr>
        <w:top w:val="none" w:sz="0" w:space="0" w:color="auto"/>
        <w:left w:val="none" w:sz="0" w:space="0" w:color="auto"/>
        <w:bottom w:val="none" w:sz="0" w:space="0" w:color="auto"/>
        <w:right w:val="none" w:sz="0" w:space="0" w:color="auto"/>
      </w:divBdr>
      <w:divsChild>
        <w:div w:id="398407835">
          <w:marLeft w:val="0"/>
          <w:marRight w:val="0"/>
          <w:marTop w:val="0"/>
          <w:marBottom w:val="240"/>
          <w:divBdr>
            <w:top w:val="none" w:sz="0" w:space="0" w:color="auto"/>
            <w:left w:val="none" w:sz="0" w:space="0" w:color="auto"/>
            <w:bottom w:val="none" w:sz="0" w:space="0" w:color="auto"/>
            <w:right w:val="none" w:sz="0" w:space="0" w:color="auto"/>
          </w:divBdr>
        </w:div>
        <w:div w:id="510726798">
          <w:marLeft w:val="0"/>
          <w:marRight w:val="0"/>
          <w:marTop w:val="0"/>
          <w:marBottom w:val="0"/>
          <w:divBdr>
            <w:top w:val="none" w:sz="0" w:space="0" w:color="auto"/>
            <w:left w:val="none" w:sz="0" w:space="0" w:color="auto"/>
            <w:bottom w:val="none" w:sz="0" w:space="0" w:color="auto"/>
            <w:right w:val="none" w:sz="0" w:space="0" w:color="auto"/>
          </w:divBdr>
        </w:div>
        <w:div w:id="1831486657">
          <w:marLeft w:val="0"/>
          <w:marRight w:val="0"/>
          <w:marTop w:val="0"/>
          <w:marBottom w:val="240"/>
          <w:divBdr>
            <w:top w:val="none" w:sz="0" w:space="0" w:color="auto"/>
            <w:left w:val="none" w:sz="0" w:space="0" w:color="auto"/>
            <w:bottom w:val="none" w:sz="0" w:space="0" w:color="auto"/>
            <w:right w:val="none" w:sz="0" w:space="0" w:color="auto"/>
          </w:divBdr>
        </w:div>
        <w:div w:id="737824672">
          <w:marLeft w:val="0"/>
          <w:marRight w:val="0"/>
          <w:marTop w:val="0"/>
          <w:marBottom w:val="0"/>
          <w:divBdr>
            <w:top w:val="none" w:sz="0" w:space="0" w:color="auto"/>
            <w:left w:val="none" w:sz="0" w:space="0" w:color="auto"/>
            <w:bottom w:val="none" w:sz="0" w:space="0" w:color="auto"/>
            <w:right w:val="none" w:sz="0" w:space="0" w:color="auto"/>
          </w:divBdr>
        </w:div>
      </w:divsChild>
    </w:div>
    <w:div w:id="413625548">
      <w:marLeft w:val="0"/>
      <w:marRight w:val="0"/>
      <w:marTop w:val="240"/>
      <w:marBottom w:val="0"/>
      <w:divBdr>
        <w:top w:val="none" w:sz="0" w:space="0" w:color="auto"/>
        <w:left w:val="none" w:sz="0" w:space="0" w:color="auto"/>
        <w:bottom w:val="none" w:sz="0" w:space="0" w:color="auto"/>
        <w:right w:val="none" w:sz="0" w:space="0" w:color="auto"/>
      </w:divBdr>
    </w:div>
    <w:div w:id="415438097">
      <w:marLeft w:val="0"/>
      <w:marRight w:val="0"/>
      <w:marTop w:val="240"/>
      <w:marBottom w:val="0"/>
      <w:divBdr>
        <w:top w:val="none" w:sz="0" w:space="0" w:color="auto"/>
        <w:left w:val="none" w:sz="0" w:space="0" w:color="auto"/>
        <w:bottom w:val="none" w:sz="0" w:space="0" w:color="auto"/>
        <w:right w:val="none" w:sz="0" w:space="0" w:color="auto"/>
      </w:divBdr>
    </w:div>
    <w:div w:id="419252537">
      <w:marLeft w:val="0"/>
      <w:marRight w:val="0"/>
      <w:marTop w:val="0"/>
      <w:marBottom w:val="240"/>
      <w:divBdr>
        <w:top w:val="none" w:sz="0" w:space="0" w:color="auto"/>
        <w:left w:val="none" w:sz="0" w:space="0" w:color="auto"/>
        <w:bottom w:val="none" w:sz="0" w:space="0" w:color="auto"/>
        <w:right w:val="none" w:sz="0" w:space="0" w:color="auto"/>
      </w:divBdr>
    </w:div>
    <w:div w:id="420026429">
      <w:marLeft w:val="0"/>
      <w:marRight w:val="0"/>
      <w:marTop w:val="100"/>
      <w:marBottom w:val="120"/>
      <w:divBdr>
        <w:top w:val="none" w:sz="0" w:space="0" w:color="auto"/>
        <w:left w:val="none" w:sz="0" w:space="0" w:color="auto"/>
        <w:bottom w:val="none" w:sz="0" w:space="0" w:color="auto"/>
        <w:right w:val="none" w:sz="0" w:space="0" w:color="auto"/>
      </w:divBdr>
    </w:div>
    <w:div w:id="421224533">
      <w:marLeft w:val="0"/>
      <w:marRight w:val="0"/>
      <w:marTop w:val="240"/>
      <w:marBottom w:val="0"/>
      <w:divBdr>
        <w:top w:val="none" w:sz="0" w:space="0" w:color="auto"/>
        <w:left w:val="none" w:sz="0" w:space="0" w:color="auto"/>
        <w:bottom w:val="none" w:sz="0" w:space="0" w:color="auto"/>
        <w:right w:val="none" w:sz="0" w:space="0" w:color="auto"/>
      </w:divBdr>
    </w:div>
    <w:div w:id="422147731">
      <w:marLeft w:val="0"/>
      <w:marRight w:val="0"/>
      <w:marTop w:val="240"/>
      <w:marBottom w:val="0"/>
      <w:divBdr>
        <w:top w:val="none" w:sz="0" w:space="0" w:color="auto"/>
        <w:left w:val="none" w:sz="0" w:space="0" w:color="auto"/>
        <w:bottom w:val="none" w:sz="0" w:space="0" w:color="auto"/>
        <w:right w:val="none" w:sz="0" w:space="0" w:color="auto"/>
      </w:divBdr>
    </w:div>
    <w:div w:id="426582263">
      <w:marLeft w:val="0"/>
      <w:marRight w:val="0"/>
      <w:marTop w:val="240"/>
      <w:marBottom w:val="0"/>
      <w:divBdr>
        <w:top w:val="none" w:sz="0" w:space="0" w:color="auto"/>
        <w:left w:val="none" w:sz="0" w:space="0" w:color="auto"/>
        <w:bottom w:val="none" w:sz="0" w:space="0" w:color="auto"/>
        <w:right w:val="none" w:sz="0" w:space="0" w:color="auto"/>
      </w:divBdr>
    </w:div>
    <w:div w:id="427427825">
      <w:marLeft w:val="0"/>
      <w:marRight w:val="0"/>
      <w:marTop w:val="0"/>
      <w:marBottom w:val="0"/>
      <w:divBdr>
        <w:top w:val="none" w:sz="0" w:space="0" w:color="auto"/>
        <w:left w:val="none" w:sz="0" w:space="0" w:color="auto"/>
        <w:bottom w:val="none" w:sz="0" w:space="0" w:color="auto"/>
        <w:right w:val="none" w:sz="0" w:space="0" w:color="auto"/>
      </w:divBdr>
      <w:divsChild>
        <w:div w:id="951940228">
          <w:marLeft w:val="0"/>
          <w:marRight w:val="0"/>
          <w:marTop w:val="0"/>
          <w:marBottom w:val="0"/>
          <w:divBdr>
            <w:top w:val="none" w:sz="0" w:space="0" w:color="auto"/>
            <w:left w:val="none" w:sz="0" w:space="0" w:color="auto"/>
            <w:bottom w:val="none" w:sz="0" w:space="0" w:color="auto"/>
            <w:right w:val="none" w:sz="0" w:space="0" w:color="auto"/>
          </w:divBdr>
        </w:div>
      </w:divsChild>
    </w:div>
    <w:div w:id="430512556">
      <w:marLeft w:val="0"/>
      <w:marRight w:val="0"/>
      <w:marTop w:val="240"/>
      <w:marBottom w:val="0"/>
      <w:divBdr>
        <w:top w:val="none" w:sz="0" w:space="0" w:color="auto"/>
        <w:left w:val="none" w:sz="0" w:space="0" w:color="auto"/>
        <w:bottom w:val="none" w:sz="0" w:space="0" w:color="auto"/>
        <w:right w:val="none" w:sz="0" w:space="0" w:color="auto"/>
      </w:divBdr>
    </w:div>
    <w:div w:id="431751782">
      <w:marLeft w:val="0"/>
      <w:marRight w:val="0"/>
      <w:marTop w:val="120"/>
      <w:marBottom w:val="0"/>
      <w:divBdr>
        <w:top w:val="none" w:sz="0" w:space="0" w:color="auto"/>
        <w:left w:val="none" w:sz="0" w:space="0" w:color="auto"/>
        <w:bottom w:val="none" w:sz="0" w:space="0" w:color="auto"/>
        <w:right w:val="none" w:sz="0" w:space="0" w:color="auto"/>
      </w:divBdr>
    </w:div>
    <w:div w:id="433211604">
      <w:marLeft w:val="0"/>
      <w:marRight w:val="0"/>
      <w:marTop w:val="240"/>
      <w:marBottom w:val="0"/>
      <w:divBdr>
        <w:top w:val="none" w:sz="0" w:space="0" w:color="auto"/>
        <w:left w:val="none" w:sz="0" w:space="0" w:color="auto"/>
        <w:bottom w:val="none" w:sz="0" w:space="0" w:color="auto"/>
        <w:right w:val="none" w:sz="0" w:space="0" w:color="auto"/>
      </w:divBdr>
    </w:div>
    <w:div w:id="441993211">
      <w:marLeft w:val="0"/>
      <w:marRight w:val="0"/>
      <w:marTop w:val="120"/>
      <w:marBottom w:val="240"/>
      <w:divBdr>
        <w:top w:val="none" w:sz="0" w:space="0" w:color="auto"/>
        <w:left w:val="none" w:sz="0" w:space="0" w:color="auto"/>
        <w:bottom w:val="none" w:sz="0" w:space="0" w:color="auto"/>
        <w:right w:val="none" w:sz="0" w:space="0" w:color="auto"/>
      </w:divBdr>
    </w:div>
    <w:div w:id="442572797">
      <w:marLeft w:val="0"/>
      <w:marRight w:val="0"/>
      <w:marTop w:val="240"/>
      <w:marBottom w:val="0"/>
      <w:divBdr>
        <w:top w:val="none" w:sz="0" w:space="0" w:color="auto"/>
        <w:left w:val="none" w:sz="0" w:space="0" w:color="auto"/>
        <w:bottom w:val="none" w:sz="0" w:space="0" w:color="auto"/>
        <w:right w:val="none" w:sz="0" w:space="0" w:color="auto"/>
      </w:divBdr>
    </w:div>
    <w:div w:id="444859046">
      <w:marLeft w:val="0"/>
      <w:marRight w:val="0"/>
      <w:marTop w:val="240"/>
      <w:marBottom w:val="0"/>
      <w:divBdr>
        <w:top w:val="none" w:sz="0" w:space="0" w:color="auto"/>
        <w:left w:val="none" w:sz="0" w:space="0" w:color="auto"/>
        <w:bottom w:val="none" w:sz="0" w:space="0" w:color="auto"/>
        <w:right w:val="none" w:sz="0" w:space="0" w:color="auto"/>
      </w:divBdr>
    </w:div>
    <w:div w:id="445583012">
      <w:marLeft w:val="0"/>
      <w:marRight w:val="0"/>
      <w:marTop w:val="240"/>
      <w:marBottom w:val="0"/>
      <w:divBdr>
        <w:top w:val="none" w:sz="0" w:space="0" w:color="auto"/>
        <w:left w:val="none" w:sz="0" w:space="0" w:color="auto"/>
        <w:bottom w:val="none" w:sz="0" w:space="0" w:color="auto"/>
        <w:right w:val="none" w:sz="0" w:space="0" w:color="auto"/>
      </w:divBdr>
    </w:div>
    <w:div w:id="447699381">
      <w:marLeft w:val="0"/>
      <w:marRight w:val="0"/>
      <w:marTop w:val="240"/>
      <w:marBottom w:val="0"/>
      <w:divBdr>
        <w:top w:val="none" w:sz="0" w:space="0" w:color="auto"/>
        <w:left w:val="none" w:sz="0" w:space="0" w:color="auto"/>
        <w:bottom w:val="none" w:sz="0" w:space="0" w:color="auto"/>
        <w:right w:val="none" w:sz="0" w:space="0" w:color="auto"/>
      </w:divBdr>
    </w:div>
    <w:div w:id="453258689">
      <w:marLeft w:val="0"/>
      <w:marRight w:val="0"/>
      <w:marTop w:val="0"/>
      <w:marBottom w:val="0"/>
      <w:divBdr>
        <w:top w:val="none" w:sz="0" w:space="0" w:color="auto"/>
        <w:left w:val="none" w:sz="0" w:space="0" w:color="auto"/>
        <w:bottom w:val="none" w:sz="0" w:space="0" w:color="auto"/>
        <w:right w:val="none" w:sz="0" w:space="0" w:color="auto"/>
      </w:divBdr>
      <w:divsChild>
        <w:div w:id="813642476">
          <w:marLeft w:val="0"/>
          <w:marRight w:val="0"/>
          <w:marTop w:val="0"/>
          <w:marBottom w:val="0"/>
          <w:divBdr>
            <w:top w:val="none" w:sz="0" w:space="0" w:color="auto"/>
            <w:left w:val="none" w:sz="0" w:space="0" w:color="auto"/>
            <w:bottom w:val="none" w:sz="0" w:space="0" w:color="auto"/>
            <w:right w:val="none" w:sz="0" w:space="0" w:color="auto"/>
          </w:divBdr>
        </w:div>
      </w:divsChild>
    </w:div>
    <w:div w:id="453989899">
      <w:marLeft w:val="0"/>
      <w:marRight w:val="0"/>
      <w:marTop w:val="240"/>
      <w:marBottom w:val="0"/>
      <w:divBdr>
        <w:top w:val="none" w:sz="0" w:space="0" w:color="auto"/>
        <w:left w:val="none" w:sz="0" w:space="0" w:color="auto"/>
        <w:bottom w:val="none" w:sz="0" w:space="0" w:color="auto"/>
        <w:right w:val="none" w:sz="0" w:space="0" w:color="auto"/>
      </w:divBdr>
    </w:div>
    <w:div w:id="455491983">
      <w:marLeft w:val="0"/>
      <w:marRight w:val="0"/>
      <w:marTop w:val="0"/>
      <w:marBottom w:val="240"/>
      <w:divBdr>
        <w:top w:val="none" w:sz="0" w:space="0" w:color="auto"/>
        <w:left w:val="none" w:sz="0" w:space="0" w:color="auto"/>
        <w:bottom w:val="none" w:sz="0" w:space="0" w:color="auto"/>
        <w:right w:val="none" w:sz="0" w:space="0" w:color="auto"/>
      </w:divBdr>
    </w:div>
    <w:div w:id="458646850">
      <w:marLeft w:val="0"/>
      <w:marRight w:val="0"/>
      <w:marTop w:val="0"/>
      <w:marBottom w:val="0"/>
      <w:divBdr>
        <w:top w:val="none" w:sz="0" w:space="0" w:color="auto"/>
        <w:left w:val="none" w:sz="0" w:space="0" w:color="auto"/>
        <w:bottom w:val="none" w:sz="0" w:space="0" w:color="auto"/>
        <w:right w:val="none" w:sz="0" w:space="0" w:color="auto"/>
      </w:divBdr>
      <w:divsChild>
        <w:div w:id="1405831603">
          <w:marLeft w:val="0"/>
          <w:marRight w:val="0"/>
          <w:marTop w:val="0"/>
          <w:marBottom w:val="0"/>
          <w:divBdr>
            <w:top w:val="none" w:sz="0" w:space="0" w:color="auto"/>
            <w:left w:val="none" w:sz="0" w:space="0" w:color="auto"/>
            <w:bottom w:val="none" w:sz="0" w:space="0" w:color="auto"/>
            <w:right w:val="none" w:sz="0" w:space="0" w:color="auto"/>
          </w:divBdr>
        </w:div>
        <w:div w:id="2055737681">
          <w:marLeft w:val="0"/>
          <w:marRight w:val="0"/>
          <w:marTop w:val="0"/>
          <w:marBottom w:val="0"/>
          <w:divBdr>
            <w:top w:val="none" w:sz="0" w:space="0" w:color="auto"/>
            <w:left w:val="none" w:sz="0" w:space="0" w:color="auto"/>
            <w:bottom w:val="none" w:sz="0" w:space="0" w:color="auto"/>
            <w:right w:val="none" w:sz="0" w:space="0" w:color="auto"/>
          </w:divBdr>
        </w:div>
        <w:div w:id="1340304916">
          <w:marLeft w:val="0"/>
          <w:marRight w:val="0"/>
          <w:marTop w:val="0"/>
          <w:marBottom w:val="0"/>
          <w:divBdr>
            <w:top w:val="none" w:sz="0" w:space="0" w:color="auto"/>
            <w:left w:val="none" w:sz="0" w:space="0" w:color="auto"/>
            <w:bottom w:val="none" w:sz="0" w:space="0" w:color="auto"/>
            <w:right w:val="none" w:sz="0" w:space="0" w:color="auto"/>
          </w:divBdr>
        </w:div>
      </w:divsChild>
    </w:div>
    <w:div w:id="459615592">
      <w:marLeft w:val="0"/>
      <w:marRight w:val="0"/>
      <w:marTop w:val="200"/>
      <w:marBottom w:val="0"/>
      <w:divBdr>
        <w:top w:val="none" w:sz="0" w:space="0" w:color="auto"/>
        <w:left w:val="none" w:sz="0" w:space="0" w:color="auto"/>
        <w:bottom w:val="none" w:sz="0" w:space="0" w:color="auto"/>
        <w:right w:val="none" w:sz="0" w:space="0" w:color="auto"/>
      </w:divBdr>
    </w:div>
    <w:div w:id="465390397">
      <w:marLeft w:val="0"/>
      <w:marRight w:val="0"/>
      <w:marTop w:val="240"/>
      <w:marBottom w:val="0"/>
      <w:divBdr>
        <w:top w:val="none" w:sz="0" w:space="0" w:color="auto"/>
        <w:left w:val="none" w:sz="0" w:space="0" w:color="auto"/>
        <w:bottom w:val="none" w:sz="0" w:space="0" w:color="auto"/>
        <w:right w:val="none" w:sz="0" w:space="0" w:color="auto"/>
      </w:divBdr>
    </w:div>
    <w:div w:id="467019799">
      <w:marLeft w:val="0"/>
      <w:marRight w:val="0"/>
      <w:marTop w:val="0"/>
      <w:marBottom w:val="0"/>
      <w:divBdr>
        <w:top w:val="none" w:sz="0" w:space="0" w:color="auto"/>
        <w:left w:val="none" w:sz="0" w:space="0" w:color="auto"/>
        <w:bottom w:val="none" w:sz="0" w:space="0" w:color="auto"/>
        <w:right w:val="none" w:sz="0" w:space="0" w:color="auto"/>
      </w:divBdr>
    </w:div>
    <w:div w:id="467432099">
      <w:marLeft w:val="0"/>
      <w:marRight w:val="0"/>
      <w:marTop w:val="240"/>
      <w:marBottom w:val="240"/>
      <w:divBdr>
        <w:top w:val="none" w:sz="0" w:space="0" w:color="auto"/>
        <w:left w:val="none" w:sz="0" w:space="0" w:color="auto"/>
        <w:bottom w:val="none" w:sz="0" w:space="0" w:color="auto"/>
        <w:right w:val="none" w:sz="0" w:space="0" w:color="auto"/>
      </w:divBdr>
    </w:div>
    <w:div w:id="469329223">
      <w:marLeft w:val="0"/>
      <w:marRight w:val="0"/>
      <w:marTop w:val="0"/>
      <w:marBottom w:val="0"/>
      <w:divBdr>
        <w:top w:val="none" w:sz="0" w:space="0" w:color="auto"/>
        <w:left w:val="none" w:sz="0" w:space="0" w:color="auto"/>
        <w:bottom w:val="none" w:sz="0" w:space="0" w:color="auto"/>
        <w:right w:val="none" w:sz="0" w:space="0" w:color="auto"/>
      </w:divBdr>
      <w:divsChild>
        <w:div w:id="1063405063">
          <w:marLeft w:val="0"/>
          <w:marRight w:val="0"/>
          <w:marTop w:val="0"/>
          <w:marBottom w:val="0"/>
          <w:divBdr>
            <w:top w:val="none" w:sz="0" w:space="0" w:color="auto"/>
            <w:left w:val="none" w:sz="0" w:space="0" w:color="auto"/>
            <w:bottom w:val="none" w:sz="0" w:space="0" w:color="auto"/>
            <w:right w:val="none" w:sz="0" w:space="0" w:color="auto"/>
          </w:divBdr>
        </w:div>
      </w:divsChild>
    </w:div>
    <w:div w:id="477766983">
      <w:marLeft w:val="0"/>
      <w:marRight w:val="0"/>
      <w:marTop w:val="240"/>
      <w:marBottom w:val="0"/>
      <w:divBdr>
        <w:top w:val="none" w:sz="0" w:space="0" w:color="auto"/>
        <w:left w:val="none" w:sz="0" w:space="0" w:color="auto"/>
        <w:bottom w:val="none" w:sz="0" w:space="0" w:color="auto"/>
        <w:right w:val="none" w:sz="0" w:space="0" w:color="auto"/>
      </w:divBdr>
    </w:div>
    <w:div w:id="479881973">
      <w:marLeft w:val="0"/>
      <w:marRight w:val="0"/>
      <w:marTop w:val="0"/>
      <w:marBottom w:val="0"/>
      <w:divBdr>
        <w:top w:val="none" w:sz="0" w:space="0" w:color="auto"/>
        <w:left w:val="none" w:sz="0" w:space="0" w:color="auto"/>
        <w:bottom w:val="none" w:sz="0" w:space="0" w:color="auto"/>
        <w:right w:val="none" w:sz="0" w:space="0" w:color="auto"/>
      </w:divBdr>
      <w:divsChild>
        <w:div w:id="1594165599">
          <w:marLeft w:val="0"/>
          <w:marRight w:val="0"/>
          <w:marTop w:val="0"/>
          <w:marBottom w:val="0"/>
          <w:divBdr>
            <w:top w:val="none" w:sz="0" w:space="0" w:color="auto"/>
            <w:left w:val="none" w:sz="0" w:space="0" w:color="auto"/>
            <w:bottom w:val="none" w:sz="0" w:space="0" w:color="auto"/>
            <w:right w:val="none" w:sz="0" w:space="0" w:color="auto"/>
          </w:divBdr>
        </w:div>
      </w:divsChild>
    </w:div>
    <w:div w:id="480585118">
      <w:marLeft w:val="0"/>
      <w:marRight w:val="0"/>
      <w:marTop w:val="0"/>
      <w:marBottom w:val="120"/>
      <w:divBdr>
        <w:top w:val="none" w:sz="0" w:space="0" w:color="auto"/>
        <w:left w:val="none" w:sz="0" w:space="0" w:color="auto"/>
        <w:bottom w:val="none" w:sz="0" w:space="0" w:color="auto"/>
        <w:right w:val="none" w:sz="0" w:space="0" w:color="auto"/>
      </w:divBdr>
    </w:div>
    <w:div w:id="481966755">
      <w:marLeft w:val="0"/>
      <w:marRight w:val="0"/>
      <w:marTop w:val="0"/>
      <w:marBottom w:val="0"/>
      <w:divBdr>
        <w:top w:val="none" w:sz="0" w:space="0" w:color="auto"/>
        <w:left w:val="none" w:sz="0" w:space="0" w:color="auto"/>
        <w:bottom w:val="none" w:sz="0" w:space="0" w:color="auto"/>
        <w:right w:val="none" w:sz="0" w:space="0" w:color="auto"/>
      </w:divBdr>
      <w:divsChild>
        <w:div w:id="1833913060">
          <w:marLeft w:val="0"/>
          <w:marRight w:val="0"/>
          <w:marTop w:val="0"/>
          <w:marBottom w:val="0"/>
          <w:divBdr>
            <w:top w:val="none" w:sz="0" w:space="0" w:color="auto"/>
            <w:left w:val="none" w:sz="0" w:space="0" w:color="auto"/>
            <w:bottom w:val="none" w:sz="0" w:space="0" w:color="auto"/>
            <w:right w:val="none" w:sz="0" w:space="0" w:color="auto"/>
          </w:divBdr>
        </w:div>
      </w:divsChild>
    </w:div>
    <w:div w:id="487018517">
      <w:marLeft w:val="0"/>
      <w:marRight w:val="0"/>
      <w:marTop w:val="240"/>
      <w:marBottom w:val="0"/>
      <w:divBdr>
        <w:top w:val="none" w:sz="0" w:space="0" w:color="auto"/>
        <w:left w:val="none" w:sz="0" w:space="0" w:color="auto"/>
        <w:bottom w:val="none" w:sz="0" w:space="0" w:color="auto"/>
        <w:right w:val="none" w:sz="0" w:space="0" w:color="auto"/>
      </w:divBdr>
    </w:div>
    <w:div w:id="487401388">
      <w:marLeft w:val="0"/>
      <w:marRight w:val="0"/>
      <w:marTop w:val="240"/>
      <w:marBottom w:val="0"/>
      <w:divBdr>
        <w:top w:val="none" w:sz="0" w:space="0" w:color="auto"/>
        <w:left w:val="none" w:sz="0" w:space="0" w:color="auto"/>
        <w:bottom w:val="none" w:sz="0" w:space="0" w:color="auto"/>
        <w:right w:val="none" w:sz="0" w:space="0" w:color="auto"/>
      </w:divBdr>
    </w:div>
    <w:div w:id="489447027">
      <w:marLeft w:val="0"/>
      <w:marRight w:val="0"/>
      <w:marTop w:val="240"/>
      <w:marBottom w:val="0"/>
      <w:divBdr>
        <w:top w:val="none" w:sz="0" w:space="0" w:color="auto"/>
        <w:left w:val="none" w:sz="0" w:space="0" w:color="auto"/>
        <w:bottom w:val="none" w:sz="0" w:space="0" w:color="auto"/>
        <w:right w:val="none" w:sz="0" w:space="0" w:color="auto"/>
      </w:divBdr>
    </w:div>
    <w:div w:id="489829862">
      <w:marLeft w:val="0"/>
      <w:marRight w:val="0"/>
      <w:marTop w:val="0"/>
      <w:marBottom w:val="240"/>
      <w:divBdr>
        <w:top w:val="none" w:sz="0" w:space="0" w:color="auto"/>
        <w:left w:val="none" w:sz="0" w:space="0" w:color="auto"/>
        <w:bottom w:val="none" w:sz="0" w:space="0" w:color="auto"/>
        <w:right w:val="none" w:sz="0" w:space="0" w:color="auto"/>
      </w:divBdr>
    </w:div>
    <w:div w:id="491220961">
      <w:marLeft w:val="0"/>
      <w:marRight w:val="0"/>
      <w:marTop w:val="240"/>
      <w:marBottom w:val="0"/>
      <w:divBdr>
        <w:top w:val="none" w:sz="0" w:space="0" w:color="auto"/>
        <w:left w:val="none" w:sz="0" w:space="0" w:color="auto"/>
        <w:bottom w:val="none" w:sz="0" w:space="0" w:color="auto"/>
        <w:right w:val="none" w:sz="0" w:space="0" w:color="auto"/>
      </w:divBdr>
    </w:div>
    <w:div w:id="492070395">
      <w:marLeft w:val="0"/>
      <w:marRight w:val="0"/>
      <w:marTop w:val="0"/>
      <w:marBottom w:val="240"/>
      <w:divBdr>
        <w:top w:val="none" w:sz="0" w:space="0" w:color="auto"/>
        <w:left w:val="none" w:sz="0" w:space="0" w:color="auto"/>
        <w:bottom w:val="none" w:sz="0" w:space="0" w:color="auto"/>
        <w:right w:val="none" w:sz="0" w:space="0" w:color="auto"/>
      </w:divBdr>
    </w:div>
    <w:div w:id="494564742">
      <w:marLeft w:val="0"/>
      <w:marRight w:val="0"/>
      <w:marTop w:val="0"/>
      <w:marBottom w:val="240"/>
      <w:divBdr>
        <w:top w:val="none" w:sz="0" w:space="0" w:color="auto"/>
        <w:left w:val="none" w:sz="0" w:space="0" w:color="auto"/>
        <w:bottom w:val="none" w:sz="0" w:space="0" w:color="auto"/>
        <w:right w:val="none" w:sz="0" w:space="0" w:color="auto"/>
      </w:divBdr>
    </w:div>
    <w:div w:id="497624403">
      <w:marLeft w:val="0"/>
      <w:marRight w:val="0"/>
      <w:marTop w:val="0"/>
      <w:marBottom w:val="240"/>
      <w:divBdr>
        <w:top w:val="none" w:sz="0" w:space="0" w:color="auto"/>
        <w:left w:val="none" w:sz="0" w:space="0" w:color="auto"/>
        <w:bottom w:val="none" w:sz="0" w:space="0" w:color="auto"/>
        <w:right w:val="none" w:sz="0" w:space="0" w:color="auto"/>
      </w:divBdr>
    </w:div>
    <w:div w:id="498884889">
      <w:marLeft w:val="0"/>
      <w:marRight w:val="0"/>
      <w:marTop w:val="240"/>
      <w:marBottom w:val="0"/>
      <w:divBdr>
        <w:top w:val="none" w:sz="0" w:space="0" w:color="auto"/>
        <w:left w:val="none" w:sz="0" w:space="0" w:color="auto"/>
        <w:bottom w:val="none" w:sz="0" w:space="0" w:color="auto"/>
        <w:right w:val="none" w:sz="0" w:space="0" w:color="auto"/>
      </w:divBdr>
    </w:div>
    <w:div w:id="499541200">
      <w:marLeft w:val="0"/>
      <w:marRight w:val="0"/>
      <w:marTop w:val="240"/>
      <w:marBottom w:val="0"/>
      <w:divBdr>
        <w:top w:val="none" w:sz="0" w:space="0" w:color="auto"/>
        <w:left w:val="none" w:sz="0" w:space="0" w:color="auto"/>
        <w:bottom w:val="none" w:sz="0" w:space="0" w:color="auto"/>
        <w:right w:val="none" w:sz="0" w:space="0" w:color="auto"/>
      </w:divBdr>
    </w:div>
    <w:div w:id="499783493">
      <w:marLeft w:val="0"/>
      <w:marRight w:val="0"/>
      <w:marTop w:val="240"/>
      <w:marBottom w:val="0"/>
      <w:divBdr>
        <w:top w:val="none" w:sz="0" w:space="0" w:color="auto"/>
        <w:left w:val="none" w:sz="0" w:space="0" w:color="auto"/>
        <w:bottom w:val="none" w:sz="0" w:space="0" w:color="auto"/>
        <w:right w:val="none" w:sz="0" w:space="0" w:color="auto"/>
      </w:divBdr>
    </w:div>
    <w:div w:id="501626155">
      <w:marLeft w:val="0"/>
      <w:marRight w:val="0"/>
      <w:marTop w:val="0"/>
      <w:marBottom w:val="0"/>
      <w:divBdr>
        <w:top w:val="none" w:sz="0" w:space="0" w:color="auto"/>
        <w:left w:val="none" w:sz="0" w:space="0" w:color="auto"/>
        <w:bottom w:val="none" w:sz="0" w:space="0" w:color="auto"/>
        <w:right w:val="none" w:sz="0" w:space="0" w:color="auto"/>
      </w:divBdr>
      <w:divsChild>
        <w:div w:id="907500511">
          <w:marLeft w:val="0"/>
          <w:marRight w:val="0"/>
          <w:marTop w:val="0"/>
          <w:marBottom w:val="0"/>
          <w:divBdr>
            <w:top w:val="none" w:sz="0" w:space="0" w:color="auto"/>
            <w:left w:val="none" w:sz="0" w:space="0" w:color="auto"/>
            <w:bottom w:val="none" w:sz="0" w:space="0" w:color="auto"/>
            <w:right w:val="none" w:sz="0" w:space="0" w:color="auto"/>
          </w:divBdr>
        </w:div>
      </w:divsChild>
    </w:div>
    <w:div w:id="502013379">
      <w:marLeft w:val="0"/>
      <w:marRight w:val="0"/>
      <w:marTop w:val="240"/>
      <w:marBottom w:val="240"/>
      <w:divBdr>
        <w:top w:val="none" w:sz="0" w:space="0" w:color="auto"/>
        <w:left w:val="none" w:sz="0" w:space="0" w:color="auto"/>
        <w:bottom w:val="none" w:sz="0" w:space="0" w:color="auto"/>
        <w:right w:val="none" w:sz="0" w:space="0" w:color="auto"/>
      </w:divBdr>
    </w:div>
    <w:div w:id="505638638">
      <w:marLeft w:val="0"/>
      <w:marRight w:val="0"/>
      <w:marTop w:val="240"/>
      <w:marBottom w:val="240"/>
      <w:divBdr>
        <w:top w:val="none" w:sz="0" w:space="0" w:color="auto"/>
        <w:left w:val="none" w:sz="0" w:space="0" w:color="auto"/>
        <w:bottom w:val="none" w:sz="0" w:space="0" w:color="auto"/>
        <w:right w:val="none" w:sz="0" w:space="0" w:color="auto"/>
      </w:divBdr>
    </w:div>
    <w:div w:id="506822121">
      <w:marLeft w:val="0"/>
      <w:marRight w:val="0"/>
      <w:marTop w:val="120"/>
      <w:marBottom w:val="0"/>
      <w:divBdr>
        <w:top w:val="none" w:sz="0" w:space="0" w:color="auto"/>
        <w:left w:val="none" w:sz="0" w:space="0" w:color="auto"/>
        <w:bottom w:val="none" w:sz="0" w:space="0" w:color="auto"/>
        <w:right w:val="none" w:sz="0" w:space="0" w:color="auto"/>
      </w:divBdr>
    </w:div>
    <w:div w:id="508057462">
      <w:marLeft w:val="0"/>
      <w:marRight w:val="0"/>
      <w:marTop w:val="0"/>
      <w:marBottom w:val="0"/>
      <w:divBdr>
        <w:top w:val="none" w:sz="0" w:space="0" w:color="auto"/>
        <w:left w:val="none" w:sz="0" w:space="0" w:color="auto"/>
        <w:bottom w:val="none" w:sz="0" w:space="0" w:color="auto"/>
        <w:right w:val="none" w:sz="0" w:space="0" w:color="auto"/>
      </w:divBdr>
    </w:div>
    <w:div w:id="509217404">
      <w:marLeft w:val="0"/>
      <w:marRight w:val="0"/>
      <w:marTop w:val="240"/>
      <w:marBottom w:val="0"/>
      <w:divBdr>
        <w:top w:val="none" w:sz="0" w:space="0" w:color="auto"/>
        <w:left w:val="none" w:sz="0" w:space="0" w:color="auto"/>
        <w:bottom w:val="none" w:sz="0" w:space="0" w:color="auto"/>
        <w:right w:val="none" w:sz="0" w:space="0" w:color="auto"/>
      </w:divBdr>
    </w:div>
    <w:div w:id="515582075">
      <w:marLeft w:val="0"/>
      <w:marRight w:val="0"/>
      <w:marTop w:val="0"/>
      <w:marBottom w:val="0"/>
      <w:divBdr>
        <w:top w:val="none" w:sz="0" w:space="0" w:color="auto"/>
        <w:left w:val="none" w:sz="0" w:space="0" w:color="auto"/>
        <w:bottom w:val="none" w:sz="0" w:space="0" w:color="auto"/>
        <w:right w:val="none" w:sz="0" w:space="0" w:color="auto"/>
      </w:divBdr>
      <w:divsChild>
        <w:div w:id="370960535">
          <w:marLeft w:val="0"/>
          <w:marRight w:val="0"/>
          <w:marTop w:val="0"/>
          <w:marBottom w:val="0"/>
          <w:divBdr>
            <w:top w:val="none" w:sz="0" w:space="0" w:color="auto"/>
            <w:left w:val="none" w:sz="0" w:space="0" w:color="auto"/>
            <w:bottom w:val="none" w:sz="0" w:space="0" w:color="auto"/>
            <w:right w:val="none" w:sz="0" w:space="0" w:color="auto"/>
          </w:divBdr>
        </w:div>
      </w:divsChild>
    </w:div>
    <w:div w:id="516043583">
      <w:marLeft w:val="0"/>
      <w:marRight w:val="0"/>
      <w:marTop w:val="240"/>
      <w:marBottom w:val="0"/>
      <w:divBdr>
        <w:top w:val="none" w:sz="0" w:space="0" w:color="auto"/>
        <w:left w:val="none" w:sz="0" w:space="0" w:color="auto"/>
        <w:bottom w:val="none" w:sz="0" w:space="0" w:color="auto"/>
        <w:right w:val="none" w:sz="0" w:space="0" w:color="auto"/>
      </w:divBdr>
    </w:div>
    <w:div w:id="518353734">
      <w:marLeft w:val="0"/>
      <w:marRight w:val="0"/>
      <w:marTop w:val="240"/>
      <w:marBottom w:val="0"/>
      <w:divBdr>
        <w:top w:val="none" w:sz="0" w:space="0" w:color="auto"/>
        <w:left w:val="none" w:sz="0" w:space="0" w:color="auto"/>
        <w:bottom w:val="none" w:sz="0" w:space="0" w:color="auto"/>
        <w:right w:val="none" w:sz="0" w:space="0" w:color="auto"/>
      </w:divBdr>
    </w:div>
    <w:div w:id="519205265">
      <w:marLeft w:val="0"/>
      <w:marRight w:val="0"/>
      <w:marTop w:val="0"/>
      <w:marBottom w:val="0"/>
      <w:divBdr>
        <w:top w:val="none" w:sz="0" w:space="0" w:color="auto"/>
        <w:left w:val="none" w:sz="0" w:space="0" w:color="auto"/>
        <w:bottom w:val="none" w:sz="0" w:space="0" w:color="auto"/>
        <w:right w:val="none" w:sz="0" w:space="0" w:color="auto"/>
      </w:divBdr>
    </w:div>
    <w:div w:id="519856317">
      <w:marLeft w:val="0"/>
      <w:marRight w:val="0"/>
      <w:marTop w:val="0"/>
      <w:marBottom w:val="0"/>
      <w:divBdr>
        <w:top w:val="none" w:sz="0" w:space="0" w:color="auto"/>
        <w:left w:val="none" w:sz="0" w:space="0" w:color="auto"/>
        <w:bottom w:val="none" w:sz="0" w:space="0" w:color="auto"/>
        <w:right w:val="none" w:sz="0" w:space="0" w:color="auto"/>
      </w:divBdr>
    </w:div>
    <w:div w:id="521240245">
      <w:marLeft w:val="0"/>
      <w:marRight w:val="0"/>
      <w:marTop w:val="240"/>
      <w:marBottom w:val="0"/>
      <w:divBdr>
        <w:top w:val="none" w:sz="0" w:space="0" w:color="auto"/>
        <w:left w:val="none" w:sz="0" w:space="0" w:color="auto"/>
        <w:bottom w:val="none" w:sz="0" w:space="0" w:color="auto"/>
        <w:right w:val="none" w:sz="0" w:space="0" w:color="auto"/>
      </w:divBdr>
    </w:div>
    <w:div w:id="524829960">
      <w:marLeft w:val="0"/>
      <w:marRight w:val="0"/>
      <w:marTop w:val="0"/>
      <w:marBottom w:val="240"/>
      <w:divBdr>
        <w:top w:val="none" w:sz="0" w:space="0" w:color="auto"/>
        <w:left w:val="none" w:sz="0" w:space="0" w:color="auto"/>
        <w:bottom w:val="none" w:sz="0" w:space="0" w:color="auto"/>
        <w:right w:val="none" w:sz="0" w:space="0" w:color="auto"/>
      </w:divBdr>
    </w:div>
    <w:div w:id="532426045">
      <w:marLeft w:val="0"/>
      <w:marRight w:val="0"/>
      <w:marTop w:val="0"/>
      <w:marBottom w:val="0"/>
      <w:divBdr>
        <w:top w:val="none" w:sz="0" w:space="0" w:color="auto"/>
        <w:left w:val="none" w:sz="0" w:space="0" w:color="auto"/>
        <w:bottom w:val="none" w:sz="0" w:space="0" w:color="auto"/>
        <w:right w:val="none" w:sz="0" w:space="0" w:color="auto"/>
      </w:divBdr>
      <w:divsChild>
        <w:div w:id="2066833302">
          <w:marLeft w:val="0"/>
          <w:marRight w:val="0"/>
          <w:marTop w:val="0"/>
          <w:marBottom w:val="0"/>
          <w:divBdr>
            <w:top w:val="none" w:sz="0" w:space="0" w:color="auto"/>
            <w:left w:val="none" w:sz="0" w:space="0" w:color="auto"/>
            <w:bottom w:val="none" w:sz="0" w:space="0" w:color="auto"/>
            <w:right w:val="none" w:sz="0" w:space="0" w:color="auto"/>
          </w:divBdr>
        </w:div>
      </w:divsChild>
    </w:div>
    <w:div w:id="533733706">
      <w:marLeft w:val="0"/>
      <w:marRight w:val="0"/>
      <w:marTop w:val="240"/>
      <w:marBottom w:val="0"/>
      <w:divBdr>
        <w:top w:val="none" w:sz="0" w:space="0" w:color="auto"/>
        <w:left w:val="none" w:sz="0" w:space="0" w:color="auto"/>
        <w:bottom w:val="none" w:sz="0" w:space="0" w:color="auto"/>
        <w:right w:val="none" w:sz="0" w:space="0" w:color="auto"/>
      </w:divBdr>
    </w:div>
    <w:div w:id="543324548">
      <w:marLeft w:val="0"/>
      <w:marRight w:val="0"/>
      <w:marTop w:val="0"/>
      <w:marBottom w:val="240"/>
      <w:divBdr>
        <w:top w:val="none" w:sz="0" w:space="0" w:color="auto"/>
        <w:left w:val="none" w:sz="0" w:space="0" w:color="auto"/>
        <w:bottom w:val="none" w:sz="0" w:space="0" w:color="auto"/>
        <w:right w:val="none" w:sz="0" w:space="0" w:color="auto"/>
      </w:divBdr>
    </w:div>
    <w:div w:id="545139147">
      <w:marLeft w:val="0"/>
      <w:marRight w:val="0"/>
      <w:marTop w:val="240"/>
      <w:marBottom w:val="0"/>
      <w:divBdr>
        <w:top w:val="none" w:sz="0" w:space="0" w:color="auto"/>
        <w:left w:val="none" w:sz="0" w:space="0" w:color="auto"/>
        <w:bottom w:val="none" w:sz="0" w:space="0" w:color="auto"/>
        <w:right w:val="none" w:sz="0" w:space="0" w:color="auto"/>
      </w:divBdr>
    </w:div>
    <w:div w:id="547449398">
      <w:marLeft w:val="0"/>
      <w:marRight w:val="0"/>
      <w:marTop w:val="240"/>
      <w:marBottom w:val="240"/>
      <w:divBdr>
        <w:top w:val="none" w:sz="0" w:space="0" w:color="auto"/>
        <w:left w:val="none" w:sz="0" w:space="0" w:color="auto"/>
        <w:bottom w:val="none" w:sz="0" w:space="0" w:color="auto"/>
        <w:right w:val="none" w:sz="0" w:space="0" w:color="auto"/>
      </w:divBdr>
    </w:div>
    <w:div w:id="547649797">
      <w:marLeft w:val="0"/>
      <w:marRight w:val="0"/>
      <w:marTop w:val="240"/>
      <w:marBottom w:val="0"/>
      <w:divBdr>
        <w:top w:val="none" w:sz="0" w:space="0" w:color="auto"/>
        <w:left w:val="none" w:sz="0" w:space="0" w:color="auto"/>
        <w:bottom w:val="none" w:sz="0" w:space="0" w:color="auto"/>
        <w:right w:val="none" w:sz="0" w:space="0" w:color="auto"/>
      </w:divBdr>
    </w:div>
    <w:div w:id="548223553">
      <w:marLeft w:val="0"/>
      <w:marRight w:val="0"/>
      <w:marTop w:val="240"/>
      <w:marBottom w:val="0"/>
      <w:divBdr>
        <w:top w:val="none" w:sz="0" w:space="0" w:color="auto"/>
        <w:left w:val="none" w:sz="0" w:space="0" w:color="auto"/>
        <w:bottom w:val="none" w:sz="0" w:space="0" w:color="auto"/>
        <w:right w:val="none" w:sz="0" w:space="0" w:color="auto"/>
      </w:divBdr>
    </w:div>
    <w:div w:id="549340413">
      <w:marLeft w:val="0"/>
      <w:marRight w:val="0"/>
      <w:marTop w:val="0"/>
      <w:marBottom w:val="0"/>
      <w:divBdr>
        <w:top w:val="none" w:sz="0" w:space="0" w:color="auto"/>
        <w:left w:val="none" w:sz="0" w:space="0" w:color="auto"/>
        <w:bottom w:val="none" w:sz="0" w:space="0" w:color="auto"/>
        <w:right w:val="none" w:sz="0" w:space="0" w:color="auto"/>
      </w:divBdr>
    </w:div>
    <w:div w:id="552351904">
      <w:marLeft w:val="0"/>
      <w:marRight w:val="0"/>
      <w:marTop w:val="240"/>
      <w:marBottom w:val="0"/>
      <w:divBdr>
        <w:top w:val="none" w:sz="0" w:space="0" w:color="auto"/>
        <w:left w:val="none" w:sz="0" w:space="0" w:color="auto"/>
        <w:bottom w:val="none" w:sz="0" w:space="0" w:color="auto"/>
        <w:right w:val="none" w:sz="0" w:space="0" w:color="auto"/>
      </w:divBdr>
    </w:div>
    <w:div w:id="554128177">
      <w:marLeft w:val="0"/>
      <w:marRight w:val="0"/>
      <w:marTop w:val="240"/>
      <w:marBottom w:val="0"/>
      <w:divBdr>
        <w:top w:val="none" w:sz="0" w:space="0" w:color="auto"/>
        <w:left w:val="none" w:sz="0" w:space="0" w:color="auto"/>
        <w:bottom w:val="none" w:sz="0" w:space="0" w:color="auto"/>
        <w:right w:val="none" w:sz="0" w:space="0" w:color="auto"/>
      </w:divBdr>
    </w:div>
    <w:div w:id="554200505">
      <w:marLeft w:val="0"/>
      <w:marRight w:val="0"/>
      <w:marTop w:val="0"/>
      <w:marBottom w:val="240"/>
      <w:divBdr>
        <w:top w:val="none" w:sz="0" w:space="0" w:color="auto"/>
        <w:left w:val="none" w:sz="0" w:space="0" w:color="auto"/>
        <w:bottom w:val="none" w:sz="0" w:space="0" w:color="auto"/>
        <w:right w:val="none" w:sz="0" w:space="0" w:color="auto"/>
      </w:divBdr>
    </w:div>
    <w:div w:id="555893836">
      <w:marLeft w:val="0"/>
      <w:marRight w:val="0"/>
      <w:marTop w:val="0"/>
      <w:marBottom w:val="240"/>
      <w:divBdr>
        <w:top w:val="none" w:sz="0" w:space="0" w:color="auto"/>
        <w:left w:val="none" w:sz="0" w:space="0" w:color="auto"/>
        <w:bottom w:val="none" w:sz="0" w:space="0" w:color="auto"/>
        <w:right w:val="none" w:sz="0" w:space="0" w:color="auto"/>
      </w:divBdr>
    </w:div>
    <w:div w:id="560335840">
      <w:marLeft w:val="0"/>
      <w:marRight w:val="0"/>
      <w:marTop w:val="240"/>
      <w:marBottom w:val="240"/>
      <w:divBdr>
        <w:top w:val="none" w:sz="0" w:space="0" w:color="auto"/>
        <w:left w:val="none" w:sz="0" w:space="0" w:color="auto"/>
        <w:bottom w:val="none" w:sz="0" w:space="0" w:color="auto"/>
        <w:right w:val="none" w:sz="0" w:space="0" w:color="auto"/>
      </w:divBdr>
    </w:div>
    <w:div w:id="568731564">
      <w:marLeft w:val="0"/>
      <w:marRight w:val="0"/>
      <w:marTop w:val="0"/>
      <w:marBottom w:val="0"/>
      <w:divBdr>
        <w:top w:val="none" w:sz="0" w:space="0" w:color="auto"/>
        <w:left w:val="none" w:sz="0" w:space="0" w:color="auto"/>
        <w:bottom w:val="none" w:sz="0" w:space="0" w:color="auto"/>
        <w:right w:val="none" w:sz="0" w:space="0" w:color="auto"/>
      </w:divBdr>
      <w:divsChild>
        <w:div w:id="655571766">
          <w:marLeft w:val="0"/>
          <w:marRight w:val="0"/>
          <w:marTop w:val="0"/>
          <w:marBottom w:val="0"/>
          <w:divBdr>
            <w:top w:val="none" w:sz="0" w:space="0" w:color="auto"/>
            <w:left w:val="none" w:sz="0" w:space="0" w:color="auto"/>
            <w:bottom w:val="none" w:sz="0" w:space="0" w:color="auto"/>
            <w:right w:val="none" w:sz="0" w:space="0" w:color="auto"/>
          </w:divBdr>
        </w:div>
      </w:divsChild>
    </w:div>
    <w:div w:id="571234621">
      <w:marLeft w:val="0"/>
      <w:marRight w:val="0"/>
      <w:marTop w:val="240"/>
      <w:marBottom w:val="0"/>
      <w:divBdr>
        <w:top w:val="none" w:sz="0" w:space="0" w:color="auto"/>
        <w:left w:val="none" w:sz="0" w:space="0" w:color="auto"/>
        <w:bottom w:val="none" w:sz="0" w:space="0" w:color="auto"/>
        <w:right w:val="none" w:sz="0" w:space="0" w:color="auto"/>
      </w:divBdr>
    </w:div>
    <w:div w:id="574584232">
      <w:marLeft w:val="0"/>
      <w:marRight w:val="0"/>
      <w:marTop w:val="240"/>
      <w:marBottom w:val="0"/>
      <w:divBdr>
        <w:top w:val="none" w:sz="0" w:space="0" w:color="auto"/>
        <w:left w:val="none" w:sz="0" w:space="0" w:color="auto"/>
        <w:bottom w:val="none" w:sz="0" w:space="0" w:color="auto"/>
        <w:right w:val="none" w:sz="0" w:space="0" w:color="auto"/>
      </w:divBdr>
    </w:div>
    <w:div w:id="576550862">
      <w:marLeft w:val="0"/>
      <w:marRight w:val="0"/>
      <w:marTop w:val="0"/>
      <w:marBottom w:val="0"/>
      <w:divBdr>
        <w:top w:val="none" w:sz="0" w:space="0" w:color="auto"/>
        <w:left w:val="none" w:sz="0" w:space="0" w:color="auto"/>
        <w:bottom w:val="none" w:sz="0" w:space="0" w:color="auto"/>
        <w:right w:val="none" w:sz="0" w:space="0" w:color="auto"/>
      </w:divBdr>
      <w:divsChild>
        <w:div w:id="381558143">
          <w:marLeft w:val="0"/>
          <w:marRight w:val="0"/>
          <w:marTop w:val="0"/>
          <w:marBottom w:val="0"/>
          <w:divBdr>
            <w:top w:val="none" w:sz="0" w:space="0" w:color="auto"/>
            <w:left w:val="none" w:sz="0" w:space="0" w:color="auto"/>
            <w:bottom w:val="none" w:sz="0" w:space="0" w:color="auto"/>
            <w:right w:val="none" w:sz="0" w:space="0" w:color="auto"/>
          </w:divBdr>
        </w:div>
      </w:divsChild>
    </w:div>
    <w:div w:id="578447650">
      <w:marLeft w:val="0"/>
      <w:marRight w:val="0"/>
      <w:marTop w:val="0"/>
      <w:marBottom w:val="240"/>
      <w:divBdr>
        <w:top w:val="none" w:sz="0" w:space="0" w:color="auto"/>
        <w:left w:val="none" w:sz="0" w:space="0" w:color="auto"/>
        <w:bottom w:val="none" w:sz="0" w:space="0" w:color="auto"/>
        <w:right w:val="none" w:sz="0" w:space="0" w:color="auto"/>
      </w:divBdr>
    </w:div>
    <w:div w:id="589507000">
      <w:marLeft w:val="0"/>
      <w:marRight w:val="0"/>
      <w:marTop w:val="0"/>
      <w:marBottom w:val="240"/>
      <w:divBdr>
        <w:top w:val="none" w:sz="0" w:space="0" w:color="auto"/>
        <w:left w:val="none" w:sz="0" w:space="0" w:color="auto"/>
        <w:bottom w:val="none" w:sz="0" w:space="0" w:color="auto"/>
        <w:right w:val="none" w:sz="0" w:space="0" w:color="auto"/>
      </w:divBdr>
    </w:div>
    <w:div w:id="592933673">
      <w:marLeft w:val="0"/>
      <w:marRight w:val="0"/>
      <w:marTop w:val="0"/>
      <w:marBottom w:val="0"/>
      <w:divBdr>
        <w:top w:val="none" w:sz="0" w:space="0" w:color="auto"/>
        <w:left w:val="none" w:sz="0" w:space="0" w:color="auto"/>
        <w:bottom w:val="none" w:sz="0" w:space="0" w:color="auto"/>
        <w:right w:val="none" w:sz="0" w:space="0" w:color="auto"/>
      </w:divBdr>
      <w:divsChild>
        <w:div w:id="1086734298">
          <w:marLeft w:val="0"/>
          <w:marRight w:val="0"/>
          <w:marTop w:val="0"/>
          <w:marBottom w:val="0"/>
          <w:divBdr>
            <w:top w:val="none" w:sz="0" w:space="0" w:color="auto"/>
            <w:left w:val="none" w:sz="0" w:space="0" w:color="auto"/>
            <w:bottom w:val="none" w:sz="0" w:space="0" w:color="auto"/>
            <w:right w:val="none" w:sz="0" w:space="0" w:color="auto"/>
          </w:divBdr>
        </w:div>
      </w:divsChild>
    </w:div>
    <w:div w:id="593395003">
      <w:marLeft w:val="0"/>
      <w:marRight w:val="0"/>
      <w:marTop w:val="240"/>
      <w:marBottom w:val="240"/>
      <w:divBdr>
        <w:top w:val="none" w:sz="0" w:space="0" w:color="auto"/>
        <w:left w:val="none" w:sz="0" w:space="0" w:color="auto"/>
        <w:bottom w:val="none" w:sz="0" w:space="0" w:color="auto"/>
        <w:right w:val="none" w:sz="0" w:space="0" w:color="auto"/>
      </w:divBdr>
    </w:div>
    <w:div w:id="595402731">
      <w:marLeft w:val="0"/>
      <w:marRight w:val="0"/>
      <w:marTop w:val="240"/>
      <w:marBottom w:val="0"/>
      <w:divBdr>
        <w:top w:val="none" w:sz="0" w:space="0" w:color="auto"/>
        <w:left w:val="none" w:sz="0" w:space="0" w:color="auto"/>
        <w:bottom w:val="none" w:sz="0" w:space="0" w:color="auto"/>
        <w:right w:val="none" w:sz="0" w:space="0" w:color="auto"/>
      </w:divBdr>
    </w:div>
    <w:div w:id="595677634">
      <w:marLeft w:val="0"/>
      <w:marRight w:val="0"/>
      <w:marTop w:val="240"/>
      <w:marBottom w:val="0"/>
      <w:divBdr>
        <w:top w:val="none" w:sz="0" w:space="0" w:color="auto"/>
        <w:left w:val="none" w:sz="0" w:space="0" w:color="auto"/>
        <w:bottom w:val="none" w:sz="0" w:space="0" w:color="auto"/>
        <w:right w:val="none" w:sz="0" w:space="0" w:color="auto"/>
      </w:divBdr>
    </w:div>
    <w:div w:id="596134423">
      <w:marLeft w:val="0"/>
      <w:marRight w:val="0"/>
      <w:marTop w:val="0"/>
      <w:marBottom w:val="0"/>
      <w:divBdr>
        <w:top w:val="none" w:sz="0" w:space="0" w:color="auto"/>
        <w:left w:val="none" w:sz="0" w:space="0" w:color="auto"/>
        <w:bottom w:val="none" w:sz="0" w:space="0" w:color="auto"/>
        <w:right w:val="none" w:sz="0" w:space="0" w:color="auto"/>
      </w:divBdr>
      <w:divsChild>
        <w:div w:id="567225762">
          <w:marLeft w:val="0"/>
          <w:marRight w:val="0"/>
          <w:marTop w:val="0"/>
          <w:marBottom w:val="0"/>
          <w:divBdr>
            <w:top w:val="none" w:sz="0" w:space="0" w:color="auto"/>
            <w:left w:val="none" w:sz="0" w:space="0" w:color="auto"/>
            <w:bottom w:val="none" w:sz="0" w:space="0" w:color="auto"/>
            <w:right w:val="none" w:sz="0" w:space="0" w:color="auto"/>
          </w:divBdr>
        </w:div>
      </w:divsChild>
    </w:div>
    <w:div w:id="601298654">
      <w:marLeft w:val="0"/>
      <w:marRight w:val="0"/>
      <w:marTop w:val="0"/>
      <w:marBottom w:val="0"/>
      <w:divBdr>
        <w:top w:val="none" w:sz="0" w:space="0" w:color="auto"/>
        <w:left w:val="none" w:sz="0" w:space="0" w:color="auto"/>
        <w:bottom w:val="none" w:sz="0" w:space="0" w:color="auto"/>
        <w:right w:val="none" w:sz="0" w:space="0" w:color="auto"/>
      </w:divBdr>
      <w:divsChild>
        <w:div w:id="327948761">
          <w:marLeft w:val="0"/>
          <w:marRight w:val="0"/>
          <w:marTop w:val="0"/>
          <w:marBottom w:val="0"/>
          <w:divBdr>
            <w:top w:val="none" w:sz="0" w:space="0" w:color="auto"/>
            <w:left w:val="none" w:sz="0" w:space="0" w:color="auto"/>
            <w:bottom w:val="none" w:sz="0" w:space="0" w:color="auto"/>
            <w:right w:val="none" w:sz="0" w:space="0" w:color="auto"/>
          </w:divBdr>
        </w:div>
      </w:divsChild>
    </w:div>
    <w:div w:id="604457331">
      <w:marLeft w:val="0"/>
      <w:marRight w:val="0"/>
      <w:marTop w:val="0"/>
      <w:marBottom w:val="240"/>
      <w:divBdr>
        <w:top w:val="none" w:sz="0" w:space="0" w:color="auto"/>
        <w:left w:val="none" w:sz="0" w:space="0" w:color="auto"/>
        <w:bottom w:val="none" w:sz="0" w:space="0" w:color="auto"/>
        <w:right w:val="none" w:sz="0" w:space="0" w:color="auto"/>
      </w:divBdr>
    </w:div>
    <w:div w:id="613749039">
      <w:marLeft w:val="0"/>
      <w:marRight w:val="0"/>
      <w:marTop w:val="0"/>
      <w:marBottom w:val="0"/>
      <w:divBdr>
        <w:top w:val="none" w:sz="0" w:space="0" w:color="auto"/>
        <w:left w:val="none" w:sz="0" w:space="0" w:color="auto"/>
        <w:bottom w:val="none" w:sz="0" w:space="0" w:color="auto"/>
        <w:right w:val="none" w:sz="0" w:space="0" w:color="auto"/>
      </w:divBdr>
    </w:div>
    <w:div w:id="618681601">
      <w:marLeft w:val="0"/>
      <w:marRight w:val="0"/>
      <w:marTop w:val="0"/>
      <w:marBottom w:val="0"/>
      <w:divBdr>
        <w:top w:val="none" w:sz="0" w:space="0" w:color="auto"/>
        <w:left w:val="none" w:sz="0" w:space="0" w:color="auto"/>
        <w:bottom w:val="none" w:sz="0" w:space="0" w:color="auto"/>
        <w:right w:val="none" w:sz="0" w:space="0" w:color="auto"/>
      </w:divBdr>
    </w:div>
    <w:div w:id="619845559">
      <w:marLeft w:val="0"/>
      <w:marRight w:val="0"/>
      <w:marTop w:val="240"/>
      <w:marBottom w:val="0"/>
      <w:divBdr>
        <w:top w:val="none" w:sz="0" w:space="0" w:color="auto"/>
        <w:left w:val="none" w:sz="0" w:space="0" w:color="auto"/>
        <w:bottom w:val="none" w:sz="0" w:space="0" w:color="auto"/>
        <w:right w:val="none" w:sz="0" w:space="0" w:color="auto"/>
      </w:divBdr>
    </w:div>
    <w:div w:id="621765430">
      <w:marLeft w:val="0"/>
      <w:marRight w:val="0"/>
      <w:marTop w:val="0"/>
      <w:marBottom w:val="0"/>
      <w:divBdr>
        <w:top w:val="none" w:sz="0" w:space="0" w:color="auto"/>
        <w:left w:val="none" w:sz="0" w:space="0" w:color="auto"/>
        <w:bottom w:val="none" w:sz="0" w:space="0" w:color="auto"/>
        <w:right w:val="none" w:sz="0" w:space="0" w:color="auto"/>
      </w:divBdr>
      <w:divsChild>
        <w:div w:id="1940601884">
          <w:marLeft w:val="0"/>
          <w:marRight w:val="0"/>
          <w:marTop w:val="0"/>
          <w:marBottom w:val="0"/>
          <w:divBdr>
            <w:top w:val="none" w:sz="0" w:space="0" w:color="auto"/>
            <w:left w:val="none" w:sz="0" w:space="0" w:color="auto"/>
            <w:bottom w:val="none" w:sz="0" w:space="0" w:color="auto"/>
            <w:right w:val="none" w:sz="0" w:space="0" w:color="auto"/>
          </w:divBdr>
        </w:div>
      </w:divsChild>
    </w:div>
    <w:div w:id="621814215">
      <w:marLeft w:val="0"/>
      <w:marRight w:val="0"/>
      <w:marTop w:val="240"/>
      <w:marBottom w:val="0"/>
      <w:divBdr>
        <w:top w:val="none" w:sz="0" w:space="0" w:color="auto"/>
        <w:left w:val="none" w:sz="0" w:space="0" w:color="auto"/>
        <w:bottom w:val="none" w:sz="0" w:space="0" w:color="auto"/>
        <w:right w:val="none" w:sz="0" w:space="0" w:color="auto"/>
      </w:divBdr>
    </w:div>
    <w:div w:id="621961337">
      <w:marLeft w:val="0"/>
      <w:marRight w:val="0"/>
      <w:marTop w:val="0"/>
      <w:marBottom w:val="0"/>
      <w:divBdr>
        <w:top w:val="none" w:sz="0" w:space="0" w:color="auto"/>
        <w:left w:val="none" w:sz="0" w:space="0" w:color="auto"/>
        <w:bottom w:val="none" w:sz="0" w:space="0" w:color="auto"/>
        <w:right w:val="none" w:sz="0" w:space="0" w:color="auto"/>
      </w:divBdr>
    </w:div>
    <w:div w:id="624236415">
      <w:marLeft w:val="0"/>
      <w:marRight w:val="0"/>
      <w:marTop w:val="0"/>
      <w:marBottom w:val="0"/>
      <w:divBdr>
        <w:top w:val="none" w:sz="0" w:space="0" w:color="auto"/>
        <w:left w:val="none" w:sz="0" w:space="0" w:color="auto"/>
        <w:bottom w:val="none" w:sz="0" w:space="0" w:color="auto"/>
        <w:right w:val="none" w:sz="0" w:space="0" w:color="auto"/>
      </w:divBdr>
      <w:divsChild>
        <w:div w:id="1165978632">
          <w:marLeft w:val="0"/>
          <w:marRight w:val="0"/>
          <w:marTop w:val="0"/>
          <w:marBottom w:val="0"/>
          <w:divBdr>
            <w:top w:val="none" w:sz="0" w:space="0" w:color="auto"/>
            <w:left w:val="none" w:sz="0" w:space="0" w:color="auto"/>
            <w:bottom w:val="none" w:sz="0" w:space="0" w:color="auto"/>
            <w:right w:val="none" w:sz="0" w:space="0" w:color="auto"/>
          </w:divBdr>
        </w:div>
      </w:divsChild>
    </w:div>
    <w:div w:id="625622872">
      <w:marLeft w:val="0"/>
      <w:marRight w:val="0"/>
      <w:marTop w:val="0"/>
      <w:marBottom w:val="0"/>
      <w:divBdr>
        <w:top w:val="none" w:sz="0" w:space="0" w:color="auto"/>
        <w:left w:val="none" w:sz="0" w:space="0" w:color="auto"/>
        <w:bottom w:val="none" w:sz="0" w:space="0" w:color="auto"/>
        <w:right w:val="none" w:sz="0" w:space="0" w:color="auto"/>
      </w:divBdr>
      <w:divsChild>
        <w:div w:id="725497010">
          <w:marLeft w:val="0"/>
          <w:marRight w:val="0"/>
          <w:marTop w:val="0"/>
          <w:marBottom w:val="0"/>
          <w:divBdr>
            <w:top w:val="none" w:sz="0" w:space="0" w:color="auto"/>
            <w:left w:val="none" w:sz="0" w:space="0" w:color="auto"/>
            <w:bottom w:val="none" w:sz="0" w:space="0" w:color="auto"/>
            <w:right w:val="none" w:sz="0" w:space="0" w:color="auto"/>
          </w:divBdr>
        </w:div>
      </w:divsChild>
    </w:div>
    <w:div w:id="629483867">
      <w:marLeft w:val="0"/>
      <w:marRight w:val="0"/>
      <w:marTop w:val="240"/>
      <w:marBottom w:val="0"/>
      <w:divBdr>
        <w:top w:val="none" w:sz="0" w:space="0" w:color="auto"/>
        <w:left w:val="none" w:sz="0" w:space="0" w:color="auto"/>
        <w:bottom w:val="none" w:sz="0" w:space="0" w:color="auto"/>
        <w:right w:val="none" w:sz="0" w:space="0" w:color="auto"/>
      </w:divBdr>
    </w:div>
    <w:div w:id="629898642">
      <w:marLeft w:val="0"/>
      <w:marRight w:val="0"/>
      <w:marTop w:val="0"/>
      <w:marBottom w:val="0"/>
      <w:divBdr>
        <w:top w:val="none" w:sz="0" w:space="0" w:color="auto"/>
        <w:left w:val="none" w:sz="0" w:space="0" w:color="auto"/>
        <w:bottom w:val="none" w:sz="0" w:space="0" w:color="auto"/>
        <w:right w:val="none" w:sz="0" w:space="0" w:color="auto"/>
      </w:divBdr>
    </w:div>
    <w:div w:id="631324481">
      <w:marLeft w:val="0"/>
      <w:marRight w:val="0"/>
      <w:marTop w:val="0"/>
      <w:marBottom w:val="0"/>
      <w:divBdr>
        <w:top w:val="none" w:sz="0" w:space="0" w:color="auto"/>
        <w:left w:val="none" w:sz="0" w:space="0" w:color="auto"/>
        <w:bottom w:val="none" w:sz="0" w:space="0" w:color="auto"/>
        <w:right w:val="none" w:sz="0" w:space="0" w:color="auto"/>
      </w:divBdr>
    </w:div>
    <w:div w:id="633751890">
      <w:marLeft w:val="0"/>
      <w:marRight w:val="0"/>
      <w:marTop w:val="0"/>
      <w:marBottom w:val="240"/>
      <w:divBdr>
        <w:top w:val="none" w:sz="0" w:space="0" w:color="auto"/>
        <w:left w:val="none" w:sz="0" w:space="0" w:color="auto"/>
        <w:bottom w:val="none" w:sz="0" w:space="0" w:color="auto"/>
        <w:right w:val="none" w:sz="0" w:space="0" w:color="auto"/>
      </w:divBdr>
    </w:div>
    <w:div w:id="634875367">
      <w:marLeft w:val="0"/>
      <w:marRight w:val="0"/>
      <w:marTop w:val="0"/>
      <w:marBottom w:val="240"/>
      <w:divBdr>
        <w:top w:val="none" w:sz="0" w:space="0" w:color="auto"/>
        <w:left w:val="none" w:sz="0" w:space="0" w:color="auto"/>
        <w:bottom w:val="none" w:sz="0" w:space="0" w:color="auto"/>
        <w:right w:val="none" w:sz="0" w:space="0" w:color="auto"/>
      </w:divBdr>
    </w:div>
    <w:div w:id="636298591">
      <w:marLeft w:val="0"/>
      <w:marRight w:val="0"/>
      <w:marTop w:val="0"/>
      <w:marBottom w:val="0"/>
      <w:divBdr>
        <w:top w:val="none" w:sz="0" w:space="0" w:color="auto"/>
        <w:left w:val="none" w:sz="0" w:space="0" w:color="auto"/>
        <w:bottom w:val="none" w:sz="0" w:space="0" w:color="auto"/>
        <w:right w:val="none" w:sz="0" w:space="0" w:color="auto"/>
      </w:divBdr>
    </w:div>
    <w:div w:id="638195681">
      <w:marLeft w:val="0"/>
      <w:marRight w:val="0"/>
      <w:marTop w:val="240"/>
      <w:marBottom w:val="0"/>
      <w:divBdr>
        <w:top w:val="none" w:sz="0" w:space="0" w:color="auto"/>
        <w:left w:val="none" w:sz="0" w:space="0" w:color="auto"/>
        <w:bottom w:val="none" w:sz="0" w:space="0" w:color="auto"/>
        <w:right w:val="none" w:sz="0" w:space="0" w:color="auto"/>
      </w:divBdr>
    </w:div>
    <w:div w:id="642462322">
      <w:marLeft w:val="0"/>
      <w:marRight w:val="0"/>
      <w:marTop w:val="0"/>
      <w:marBottom w:val="0"/>
      <w:divBdr>
        <w:top w:val="none" w:sz="0" w:space="0" w:color="auto"/>
        <w:left w:val="none" w:sz="0" w:space="0" w:color="auto"/>
        <w:bottom w:val="none" w:sz="0" w:space="0" w:color="auto"/>
        <w:right w:val="none" w:sz="0" w:space="0" w:color="auto"/>
      </w:divBdr>
    </w:div>
    <w:div w:id="652292596">
      <w:marLeft w:val="0"/>
      <w:marRight w:val="0"/>
      <w:marTop w:val="100"/>
      <w:marBottom w:val="0"/>
      <w:divBdr>
        <w:top w:val="none" w:sz="0" w:space="0" w:color="auto"/>
        <w:left w:val="none" w:sz="0" w:space="0" w:color="auto"/>
        <w:bottom w:val="none" w:sz="0" w:space="0" w:color="auto"/>
        <w:right w:val="none" w:sz="0" w:space="0" w:color="auto"/>
      </w:divBdr>
    </w:div>
    <w:div w:id="654529040">
      <w:marLeft w:val="0"/>
      <w:marRight w:val="0"/>
      <w:marTop w:val="0"/>
      <w:marBottom w:val="0"/>
      <w:divBdr>
        <w:top w:val="none" w:sz="0" w:space="0" w:color="auto"/>
        <w:left w:val="none" w:sz="0" w:space="0" w:color="auto"/>
        <w:bottom w:val="none" w:sz="0" w:space="0" w:color="auto"/>
        <w:right w:val="none" w:sz="0" w:space="0" w:color="auto"/>
      </w:divBdr>
    </w:div>
    <w:div w:id="655916198">
      <w:marLeft w:val="0"/>
      <w:marRight w:val="0"/>
      <w:marTop w:val="0"/>
      <w:marBottom w:val="0"/>
      <w:divBdr>
        <w:top w:val="none" w:sz="0" w:space="0" w:color="auto"/>
        <w:left w:val="none" w:sz="0" w:space="0" w:color="auto"/>
        <w:bottom w:val="none" w:sz="0" w:space="0" w:color="auto"/>
        <w:right w:val="none" w:sz="0" w:space="0" w:color="auto"/>
      </w:divBdr>
      <w:divsChild>
        <w:div w:id="1531145818">
          <w:marLeft w:val="0"/>
          <w:marRight w:val="0"/>
          <w:marTop w:val="0"/>
          <w:marBottom w:val="0"/>
          <w:divBdr>
            <w:top w:val="none" w:sz="0" w:space="0" w:color="auto"/>
            <w:left w:val="none" w:sz="0" w:space="0" w:color="auto"/>
            <w:bottom w:val="none" w:sz="0" w:space="0" w:color="auto"/>
            <w:right w:val="none" w:sz="0" w:space="0" w:color="auto"/>
          </w:divBdr>
        </w:div>
      </w:divsChild>
    </w:div>
    <w:div w:id="656614650">
      <w:marLeft w:val="0"/>
      <w:marRight w:val="0"/>
      <w:marTop w:val="240"/>
      <w:marBottom w:val="240"/>
      <w:divBdr>
        <w:top w:val="none" w:sz="0" w:space="0" w:color="auto"/>
        <w:left w:val="none" w:sz="0" w:space="0" w:color="auto"/>
        <w:bottom w:val="none" w:sz="0" w:space="0" w:color="auto"/>
        <w:right w:val="none" w:sz="0" w:space="0" w:color="auto"/>
      </w:divBdr>
    </w:div>
    <w:div w:id="658850180">
      <w:marLeft w:val="0"/>
      <w:marRight w:val="0"/>
      <w:marTop w:val="240"/>
      <w:marBottom w:val="0"/>
      <w:divBdr>
        <w:top w:val="none" w:sz="0" w:space="0" w:color="auto"/>
        <w:left w:val="none" w:sz="0" w:space="0" w:color="auto"/>
        <w:bottom w:val="none" w:sz="0" w:space="0" w:color="auto"/>
        <w:right w:val="none" w:sz="0" w:space="0" w:color="auto"/>
      </w:divBdr>
    </w:div>
    <w:div w:id="659162464">
      <w:marLeft w:val="0"/>
      <w:marRight w:val="0"/>
      <w:marTop w:val="0"/>
      <w:marBottom w:val="0"/>
      <w:divBdr>
        <w:top w:val="none" w:sz="0" w:space="0" w:color="auto"/>
        <w:left w:val="none" w:sz="0" w:space="0" w:color="auto"/>
        <w:bottom w:val="none" w:sz="0" w:space="0" w:color="auto"/>
        <w:right w:val="none" w:sz="0" w:space="0" w:color="auto"/>
      </w:divBdr>
      <w:divsChild>
        <w:div w:id="937718440">
          <w:marLeft w:val="0"/>
          <w:marRight w:val="0"/>
          <w:marTop w:val="0"/>
          <w:marBottom w:val="0"/>
          <w:divBdr>
            <w:top w:val="none" w:sz="0" w:space="0" w:color="auto"/>
            <w:left w:val="none" w:sz="0" w:space="0" w:color="auto"/>
            <w:bottom w:val="none" w:sz="0" w:space="0" w:color="auto"/>
            <w:right w:val="none" w:sz="0" w:space="0" w:color="auto"/>
          </w:divBdr>
        </w:div>
        <w:div w:id="846291866">
          <w:marLeft w:val="0"/>
          <w:marRight w:val="0"/>
          <w:marTop w:val="0"/>
          <w:marBottom w:val="0"/>
          <w:divBdr>
            <w:top w:val="none" w:sz="0" w:space="0" w:color="auto"/>
            <w:left w:val="none" w:sz="0" w:space="0" w:color="auto"/>
            <w:bottom w:val="none" w:sz="0" w:space="0" w:color="auto"/>
            <w:right w:val="none" w:sz="0" w:space="0" w:color="auto"/>
          </w:divBdr>
        </w:div>
        <w:div w:id="836841989">
          <w:marLeft w:val="0"/>
          <w:marRight w:val="0"/>
          <w:marTop w:val="0"/>
          <w:marBottom w:val="0"/>
          <w:divBdr>
            <w:top w:val="none" w:sz="0" w:space="0" w:color="auto"/>
            <w:left w:val="none" w:sz="0" w:space="0" w:color="auto"/>
            <w:bottom w:val="none" w:sz="0" w:space="0" w:color="auto"/>
            <w:right w:val="none" w:sz="0" w:space="0" w:color="auto"/>
          </w:divBdr>
        </w:div>
        <w:div w:id="1868641542">
          <w:marLeft w:val="0"/>
          <w:marRight w:val="0"/>
          <w:marTop w:val="0"/>
          <w:marBottom w:val="0"/>
          <w:divBdr>
            <w:top w:val="none" w:sz="0" w:space="0" w:color="auto"/>
            <w:left w:val="none" w:sz="0" w:space="0" w:color="auto"/>
            <w:bottom w:val="none" w:sz="0" w:space="0" w:color="auto"/>
            <w:right w:val="none" w:sz="0" w:space="0" w:color="auto"/>
          </w:divBdr>
        </w:div>
        <w:div w:id="1375350725">
          <w:marLeft w:val="0"/>
          <w:marRight w:val="0"/>
          <w:marTop w:val="0"/>
          <w:marBottom w:val="0"/>
          <w:divBdr>
            <w:top w:val="none" w:sz="0" w:space="0" w:color="auto"/>
            <w:left w:val="none" w:sz="0" w:space="0" w:color="auto"/>
            <w:bottom w:val="none" w:sz="0" w:space="0" w:color="auto"/>
            <w:right w:val="none" w:sz="0" w:space="0" w:color="auto"/>
          </w:divBdr>
        </w:div>
        <w:div w:id="496459905">
          <w:marLeft w:val="0"/>
          <w:marRight w:val="0"/>
          <w:marTop w:val="0"/>
          <w:marBottom w:val="0"/>
          <w:divBdr>
            <w:top w:val="none" w:sz="0" w:space="0" w:color="auto"/>
            <w:left w:val="none" w:sz="0" w:space="0" w:color="auto"/>
            <w:bottom w:val="none" w:sz="0" w:space="0" w:color="auto"/>
            <w:right w:val="none" w:sz="0" w:space="0" w:color="auto"/>
          </w:divBdr>
        </w:div>
        <w:div w:id="1668095843">
          <w:marLeft w:val="0"/>
          <w:marRight w:val="0"/>
          <w:marTop w:val="0"/>
          <w:marBottom w:val="0"/>
          <w:divBdr>
            <w:top w:val="none" w:sz="0" w:space="0" w:color="auto"/>
            <w:left w:val="none" w:sz="0" w:space="0" w:color="auto"/>
            <w:bottom w:val="none" w:sz="0" w:space="0" w:color="auto"/>
            <w:right w:val="none" w:sz="0" w:space="0" w:color="auto"/>
          </w:divBdr>
        </w:div>
        <w:div w:id="717314447">
          <w:marLeft w:val="0"/>
          <w:marRight w:val="0"/>
          <w:marTop w:val="0"/>
          <w:marBottom w:val="0"/>
          <w:divBdr>
            <w:top w:val="none" w:sz="0" w:space="0" w:color="auto"/>
            <w:left w:val="none" w:sz="0" w:space="0" w:color="auto"/>
            <w:bottom w:val="none" w:sz="0" w:space="0" w:color="auto"/>
            <w:right w:val="none" w:sz="0" w:space="0" w:color="auto"/>
          </w:divBdr>
        </w:div>
        <w:div w:id="1551379223">
          <w:marLeft w:val="0"/>
          <w:marRight w:val="0"/>
          <w:marTop w:val="0"/>
          <w:marBottom w:val="0"/>
          <w:divBdr>
            <w:top w:val="none" w:sz="0" w:space="0" w:color="auto"/>
            <w:left w:val="none" w:sz="0" w:space="0" w:color="auto"/>
            <w:bottom w:val="none" w:sz="0" w:space="0" w:color="auto"/>
            <w:right w:val="none" w:sz="0" w:space="0" w:color="auto"/>
          </w:divBdr>
        </w:div>
        <w:div w:id="669914687">
          <w:marLeft w:val="0"/>
          <w:marRight w:val="0"/>
          <w:marTop w:val="0"/>
          <w:marBottom w:val="0"/>
          <w:divBdr>
            <w:top w:val="none" w:sz="0" w:space="0" w:color="auto"/>
            <w:left w:val="none" w:sz="0" w:space="0" w:color="auto"/>
            <w:bottom w:val="none" w:sz="0" w:space="0" w:color="auto"/>
            <w:right w:val="none" w:sz="0" w:space="0" w:color="auto"/>
          </w:divBdr>
        </w:div>
      </w:divsChild>
    </w:div>
    <w:div w:id="661004823">
      <w:marLeft w:val="0"/>
      <w:marRight w:val="0"/>
      <w:marTop w:val="240"/>
      <w:marBottom w:val="0"/>
      <w:divBdr>
        <w:top w:val="none" w:sz="0" w:space="0" w:color="auto"/>
        <w:left w:val="none" w:sz="0" w:space="0" w:color="auto"/>
        <w:bottom w:val="none" w:sz="0" w:space="0" w:color="auto"/>
        <w:right w:val="none" w:sz="0" w:space="0" w:color="auto"/>
      </w:divBdr>
    </w:div>
    <w:div w:id="662709289">
      <w:marLeft w:val="0"/>
      <w:marRight w:val="0"/>
      <w:marTop w:val="240"/>
      <w:marBottom w:val="0"/>
      <w:divBdr>
        <w:top w:val="none" w:sz="0" w:space="0" w:color="auto"/>
        <w:left w:val="none" w:sz="0" w:space="0" w:color="auto"/>
        <w:bottom w:val="none" w:sz="0" w:space="0" w:color="auto"/>
        <w:right w:val="none" w:sz="0" w:space="0" w:color="auto"/>
      </w:divBdr>
    </w:div>
    <w:div w:id="662779320">
      <w:marLeft w:val="0"/>
      <w:marRight w:val="0"/>
      <w:marTop w:val="240"/>
      <w:marBottom w:val="240"/>
      <w:divBdr>
        <w:top w:val="none" w:sz="0" w:space="0" w:color="auto"/>
        <w:left w:val="none" w:sz="0" w:space="0" w:color="auto"/>
        <w:bottom w:val="none" w:sz="0" w:space="0" w:color="auto"/>
        <w:right w:val="none" w:sz="0" w:space="0" w:color="auto"/>
      </w:divBdr>
    </w:div>
    <w:div w:id="665866198">
      <w:marLeft w:val="0"/>
      <w:marRight w:val="0"/>
      <w:marTop w:val="0"/>
      <w:marBottom w:val="0"/>
      <w:divBdr>
        <w:top w:val="none" w:sz="0" w:space="0" w:color="auto"/>
        <w:left w:val="none" w:sz="0" w:space="0" w:color="auto"/>
        <w:bottom w:val="none" w:sz="0" w:space="0" w:color="auto"/>
        <w:right w:val="none" w:sz="0" w:space="0" w:color="auto"/>
      </w:divBdr>
      <w:divsChild>
        <w:div w:id="1904245713">
          <w:marLeft w:val="0"/>
          <w:marRight w:val="0"/>
          <w:marTop w:val="0"/>
          <w:marBottom w:val="0"/>
          <w:divBdr>
            <w:top w:val="none" w:sz="0" w:space="0" w:color="auto"/>
            <w:left w:val="none" w:sz="0" w:space="0" w:color="auto"/>
            <w:bottom w:val="none" w:sz="0" w:space="0" w:color="auto"/>
            <w:right w:val="none" w:sz="0" w:space="0" w:color="auto"/>
          </w:divBdr>
        </w:div>
      </w:divsChild>
    </w:div>
    <w:div w:id="671106342">
      <w:marLeft w:val="0"/>
      <w:marRight w:val="0"/>
      <w:marTop w:val="240"/>
      <w:marBottom w:val="0"/>
      <w:divBdr>
        <w:top w:val="none" w:sz="0" w:space="0" w:color="auto"/>
        <w:left w:val="none" w:sz="0" w:space="0" w:color="auto"/>
        <w:bottom w:val="none" w:sz="0" w:space="0" w:color="auto"/>
        <w:right w:val="none" w:sz="0" w:space="0" w:color="auto"/>
      </w:divBdr>
    </w:div>
    <w:div w:id="673534135">
      <w:marLeft w:val="0"/>
      <w:marRight w:val="0"/>
      <w:marTop w:val="240"/>
      <w:marBottom w:val="0"/>
      <w:divBdr>
        <w:top w:val="none" w:sz="0" w:space="0" w:color="auto"/>
        <w:left w:val="none" w:sz="0" w:space="0" w:color="auto"/>
        <w:bottom w:val="none" w:sz="0" w:space="0" w:color="auto"/>
        <w:right w:val="none" w:sz="0" w:space="0" w:color="auto"/>
      </w:divBdr>
    </w:div>
    <w:div w:id="675501560">
      <w:marLeft w:val="0"/>
      <w:marRight w:val="0"/>
      <w:marTop w:val="240"/>
      <w:marBottom w:val="0"/>
      <w:divBdr>
        <w:top w:val="none" w:sz="0" w:space="0" w:color="auto"/>
        <w:left w:val="none" w:sz="0" w:space="0" w:color="auto"/>
        <w:bottom w:val="none" w:sz="0" w:space="0" w:color="auto"/>
        <w:right w:val="none" w:sz="0" w:space="0" w:color="auto"/>
      </w:divBdr>
    </w:div>
    <w:div w:id="690103677">
      <w:marLeft w:val="0"/>
      <w:marRight w:val="0"/>
      <w:marTop w:val="0"/>
      <w:marBottom w:val="240"/>
      <w:divBdr>
        <w:top w:val="none" w:sz="0" w:space="0" w:color="auto"/>
        <w:left w:val="none" w:sz="0" w:space="0" w:color="auto"/>
        <w:bottom w:val="none" w:sz="0" w:space="0" w:color="auto"/>
        <w:right w:val="none" w:sz="0" w:space="0" w:color="auto"/>
      </w:divBdr>
    </w:div>
    <w:div w:id="698045081">
      <w:marLeft w:val="0"/>
      <w:marRight w:val="0"/>
      <w:marTop w:val="240"/>
      <w:marBottom w:val="0"/>
      <w:divBdr>
        <w:top w:val="none" w:sz="0" w:space="0" w:color="auto"/>
        <w:left w:val="none" w:sz="0" w:space="0" w:color="auto"/>
        <w:bottom w:val="none" w:sz="0" w:space="0" w:color="auto"/>
        <w:right w:val="none" w:sz="0" w:space="0" w:color="auto"/>
      </w:divBdr>
    </w:div>
    <w:div w:id="699626569">
      <w:marLeft w:val="0"/>
      <w:marRight w:val="0"/>
      <w:marTop w:val="0"/>
      <w:marBottom w:val="0"/>
      <w:divBdr>
        <w:top w:val="none" w:sz="0" w:space="0" w:color="auto"/>
        <w:left w:val="none" w:sz="0" w:space="0" w:color="auto"/>
        <w:bottom w:val="none" w:sz="0" w:space="0" w:color="auto"/>
        <w:right w:val="none" w:sz="0" w:space="0" w:color="auto"/>
      </w:divBdr>
      <w:divsChild>
        <w:div w:id="634140704">
          <w:marLeft w:val="0"/>
          <w:marRight w:val="0"/>
          <w:marTop w:val="0"/>
          <w:marBottom w:val="0"/>
          <w:divBdr>
            <w:top w:val="none" w:sz="0" w:space="0" w:color="auto"/>
            <w:left w:val="none" w:sz="0" w:space="0" w:color="auto"/>
            <w:bottom w:val="none" w:sz="0" w:space="0" w:color="auto"/>
            <w:right w:val="none" w:sz="0" w:space="0" w:color="auto"/>
          </w:divBdr>
        </w:div>
      </w:divsChild>
    </w:div>
    <w:div w:id="702826928">
      <w:marLeft w:val="0"/>
      <w:marRight w:val="0"/>
      <w:marTop w:val="240"/>
      <w:marBottom w:val="0"/>
      <w:divBdr>
        <w:top w:val="none" w:sz="0" w:space="0" w:color="auto"/>
        <w:left w:val="none" w:sz="0" w:space="0" w:color="auto"/>
        <w:bottom w:val="none" w:sz="0" w:space="0" w:color="auto"/>
        <w:right w:val="none" w:sz="0" w:space="0" w:color="auto"/>
      </w:divBdr>
    </w:div>
    <w:div w:id="703362878">
      <w:marLeft w:val="0"/>
      <w:marRight w:val="0"/>
      <w:marTop w:val="0"/>
      <w:marBottom w:val="240"/>
      <w:divBdr>
        <w:top w:val="none" w:sz="0" w:space="0" w:color="auto"/>
        <w:left w:val="none" w:sz="0" w:space="0" w:color="auto"/>
        <w:bottom w:val="none" w:sz="0" w:space="0" w:color="auto"/>
        <w:right w:val="none" w:sz="0" w:space="0" w:color="auto"/>
      </w:divBdr>
    </w:div>
    <w:div w:id="704453226">
      <w:marLeft w:val="0"/>
      <w:marRight w:val="0"/>
      <w:marTop w:val="240"/>
      <w:marBottom w:val="0"/>
      <w:divBdr>
        <w:top w:val="none" w:sz="0" w:space="0" w:color="auto"/>
        <w:left w:val="none" w:sz="0" w:space="0" w:color="auto"/>
        <w:bottom w:val="none" w:sz="0" w:space="0" w:color="auto"/>
        <w:right w:val="none" w:sz="0" w:space="0" w:color="auto"/>
      </w:divBdr>
    </w:div>
    <w:div w:id="705180243">
      <w:marLeft w:val="0"/>
      <w:marRight w:val="0"/>
      <w:marTop w:val="0"/>
      <w:marBottom w:val="240"/>
      <w:divBdr>
        <w:top w:val="none" w:sz="0" w:space="0" w:color="auto"/>
        <w:left w:val="none" w:sz="0" w:space="0" w:color="auto"/>
        <w:bottom w:val="none" w:sz="0" w:space="0" w:color="auto"/>
        <w:right w:val="none" w:sz="0" w:space="0" w:color="auto"/>
      </w:divBdr>
    </w:div>
    <w:div w:id="705299243">
      <w:marLeft w:val="0"/>
      <w:marRight w:val="0"/>
      <w:marTop w:val="0"/>
      <w:marBottom w:val="0"/>
      <w:divBdr>
        <w:top w:val="none" w:sz="0" w:space="0" w:color="auto"/>
        <w:left w:val="none" w:sz="0" w:space="0" w:color="auto"/>
        <w:bottom w:val="none" w:sz="0" w:space="0" w:color="auto"/>
        <w:right w:val="none" w:sz="0" w:space="0" w:color="auto"/>
      </w:divBdr>
    </w:div>
    <w:div w:id="707682166">
      <w:marLeft w:val="0"/>
      <w:marRight w:val="0"/>
      <w:marTop w:val="240"/>
      <w:marBottom w:val="0"/>
      <w:divBdr>
        <w:top w:val="none" w:sz="0" w:space="0" w:color="auto"/>
        <w:left w:val="none" w:sz="0" w:space="0" w:color="auto"/>
        <w:bottom w:val="none" w:sz="0" w:space="0" w:color="auto"/>
        <w:right w:val="none" w:sz="0" w:space="0" w:color="auto"/>
      </w:divBdr>
    </w:div>
    <w:div w:id="707800025">
      <w:marLeft w:val="0"/>
      <w:marRight w:val="0"/>
      <w:marTop w:val="0"/>
      <w:marBottom w:val="0"/>
      <w:divBdr>
        <w:top w:val="none" w:sz="0" w:space="0" w:color="auto"/>
        <w:left w:val="none" w:sz="0" w:space="0" w:color="auto"/>
        <w:bottom w:val="none" w:sz="0" w:space="0" w:color="auto"/>
        <w:right w:val="none" w:sz="0" w:space="0" w:color="auto"/>
      </w:divBdr>
      <w:divsChild>
        <w:div w:id="1897430796">
          <w:marLeft w:val="0"/>
          <w:marRight w:val="0"/>
          <w:marTop w:val="0"/>
          <w:marBottom w:val="0"/>
          <w:divBdr>
            <w:top w:val="none" w:sz="0" w:space="0" w:color="auto"/>
            <w:left w:val="none" w:sz="0" w:space="0" w:color="auto"/>
            <w:bottom w:val="none" w:sz="0" w:space="0" w:color="auto"/>
            <w:right w:val="none" w:sz="0" w:space="0" w:color="auto"/>
          </w:divBdr>
        </w:div>
      </w:divsChild>
    </w:div>
    <w:div w:id="708919330">
      <w:marLeft w:val="0"/>
      <w:marRight w:val="0"/>
      <w:marTop w:val="240"/>
      <w:marBottom w:val="0"/>
      <w:divBdr>
        <w:top w:val="none" w:sz="0" w:space="0" w:color="auto"/>
        <w:left w:val="none" w:sz="0" w:space="0" w:color="auto"/>
        <w:bottom w:val="none" w:sz="0" w:space="0" w:color="auto"/>
        <w:right w:val="none" w:sz="0" w:space="0" w:color="auto"/>
      </w:divBdr>
    </w:div>
    <w:div w:id="709651374">
      <w:marLeft w:val="0"/>
      <w:marRight w:val="0"/>
      <w:marTop w:val="0"/>
      <w:marBottom w:val="0"/>
      <w:divBdr>
        <w:top w:val="none" w:sz="0" w:space="0" w:color="auto"/>
        <w:left w:val="none" w:sz="0" w:space="0" w:color="auto"/>
        <w:bottom w:val="none" w:sz="0" w:space="0" w:color="auto"/>
        <w:right w:val="none" w:sz="0" w:space="0" w:color="auto"/>
      </w:divBdr>
    </w:div>
    <w:div w:id="712771734">
      <w:marLeft w:val="0"/>
      <w:marRight w:val="0"/>
      <w:marTop w:val="240"/>
      <w:marBottom w:val="0"/>
      <w:divBdr>
        <w:top w:val="none" w:sz="0" w:space="0" w:color="auto"/>
        <w:left w:val="none" w:sz="0" w:space="0" w:color="auto"/>
        <w:bottom w:val="none" w:sz="0" w:space="0" w:color="auto"/>
        <w:right w:val="none" w:sz="0" w:space="0" w:color="auto"/>
      </w:divBdr>
    </w:div>
    <w:div w:id="713308092">
      <w:marLeft w:val="0"/>
      <w:marRight w:val="0"/>
      <w:marTop w:val="240"/>
      <w:marBottom w:val="0"/>
      <w:divBdr>
        <w:top w:val="none" w:sz="0" w:space="0" w:color="auto"/>
        <w:left w:val="none" w:sz="0" w:space="0" w:color="auto"/>
        <w:bottom w:val="none" w:sz="0" w:space="0" w:color="auto"/>
        <w:right w:val="none" w:sz="0" w:space="0" w:color="auto"/>
      </w:divBdr>
    </w:div>
    <w:div w:id="716009307">
      <w:marLeft w:val="0"/>
      <w:marRight w:val="0"/>
      <w:marTop w:val="240"/>
      <w:marBottom w:val="0"/>
      <w:divBdr>
        <w:top w:val="none" w:sz="0" w:space="0" w:color="auto"/>
        <w:left w:val="none" w:sz="0" w:space="0" w:color="auto"/>
        <w:bottom w:val="none" w:sz="0" w:space="0" w:color="auto"/>
        <w:right w:val="none" w:sz="0" w:space="0" w:color="auto"/>
      </w:divBdr>
    </w:div>
    <w:div w:id="722095188">
      <w:marLeft w:val="0"/>
      <w:marRight w:val="0"/>
      <w:marTop w:val="240"/>
      <w:marBottom w:val="0"/>
      <w:divBdr>
        <w:top w:val="none" w:sz="0" w:space="0" w:color="auto"/>
        <w:left w:val="none" w:sz="0" w:space="0" w:color="auto"/>
        <w:bottom w:val="none" w:sz="0" w:space="0" w:color="auto"/>
        <w:right w:val="none" w:sz="0" w:space="0" w:color="auto"/>
      </w:divBdr>
    </w:div>
    <w:div w:id="723138696">
      <w:marLeft w:val="0"/>
      <w:marRight w:val="0"/>
      <w:marTop w:val="0"/>
      <w:marBottom w:val="120"/>
      <w:divBdr>
        <w:top w:val="none" w:sz="0" w:space="0" w:color="auto"/>
        <w:left w:val="none" w:sz="0" w:space="0" w:color="auto"/>
        <w:bottom w:val="none" w:sz="0" w:space="0" w:color="auto"/>
        <w:right w:val="none" w:sz="0" w:space="0" w:color="auto"/>
      </w:divBdr>
    </w:div>
    <w:div w:id="725301034">
      <w:marLeft w:val="0"/>
      <w:marRight w:val="0"/>
      <w:marTop w:val="0"/>
      <w:marBottom w:val="240"/>
      <w:divBdr>
        <w:top w:val="none" w:sz="0" w:space="0" w:color="auto"/>
        <w:left w:val="none" w:sz="0" w:space="0" w:color="auto"/>
        <w:bottom w:val="none" w:sz="0" w:space="0" w:color="auto"/>
        <w:right w:val="none" w:sz="0" w:space="0" w:color="auto"/>
      </w:divBdr>
    </w:div>
    <w:div w:id="726030969">
      <w:marLeft w:val="0"/>
      <w:marRight w:val="0"/>
      <w:marTop w:val="240"/>
      <w:marBottom w:val="0"/>
      <w:divBdr>
        <w:top w:val="none" w:sz="0" w:space="0" w:color="auto"/>
        <w:left w:val="none" w:sz="0" w:space="0" w:color="auto"/>
        <w:bottom w:val="none" w:sz="0" w:space="0" w:color="auto"/>
        <w:right w:val="none" w:sz="0" w:space="0" w:color="auto"/>
      </w:divBdr>
    </w:div>
    <w:div w:id="726881255">
      <w:marLeft w:val="0"/>
      <w:marRight w:val="0"/>
      <w:marTop w:val="240"/>
      <w:marBottom w:val="240"/>
      <w:divBdr>
        <w:top w:val="none" w:sz="0" w:space="0" w:color="auto"/>
        <w:left w:val="none" w:sz="0" w:space="0" w:color="auto"/>
        <w:bottom w:val="none" w:sz="0" w:space="0" w:color="auto"/>
        <w:right w:val="none" w:sz="0" w:space="0" w:color="auto"/>
      </w:divBdr>
    </w:div>
    <w:div w:id="730886042">
      <w:marLeft w:val="0"/>
      <w:marRight w:val="0"/>
      <w:marTop w:val="0"/>
      <w:marBottom w:val="0"/>
      <w:divBdr>
        <w:top w:val="none" w:sz="0" w:space="0" w:color="auto"/>
        <w:left w:val="none" w:sz="0" w:space="0" w:color="auto"/>
        <w:bottom w:val="none" w:sz="0" w:space="0" w:color="auto"/>
        <w:right w:val="none" w:sz="0" w:space="0" w:color="auto"/>
      </w:divBdr>
      <w:divsChild>
        <w:div w:id="2044746726">
          <w:marLeft w:val="0"/>
          <w:marRight w:val="0"/>
          <w:marTop w:val="0"/>
          <w:marBottom w:val="0"/>
          <w:divBdr>
            <w:top w:val="none" w:sz="0" w:space="0" w:color="auto"/>
            <w:left w:val="none" w:sz="0" w:space="0" w:color="auto"/>
            <w:bottom w:val="none" w:sz="0" w:space="0" w:color="auto"/>
            <w:right w:val="none" w:sz="0" w:space="0" w:color="auto"/>
          </w:divBdr>
        </w:div>
      </w:divsChild>
    </w:div>
    <w:div w:id="733503755">
      <w:marLeft w:val="0"/>
      <w:marRight w:val="0"/>
      <w:marTop w:val="0"/>
      <w:marBottom w:val="0"/>
      <w:divBdr>
        <w:top w:val="none" w:sz="0" w:space="0" w:color="auto"/>
        <w:left w:val="none" w:sz="0" w:space="0" w:color="auto"/>
        <w:bottom w:val="none" w:sz="0" w:space="0" w:color="auto"/>
        <w:right w:val="none" w:sz="0" w:space="0" w:color="auto"/>
      </w:divBdr>
    </w:div>
    <w:div w:id="733744987">
      <w:marLeft w:val="0"/>
      <w:marRight w:val="0"/>
      <w:marTop w:val="0"/>
      <w:marBottom w:val="0"/>
      <w:divBdr>
        <w:top w:val="none" w:sz="0" w:space="0" w:color="auto"/>
        <w:left w:val="none" w:sz="0" w:space="0" w:color="auto"/>
        <w:bottom w:val="none" w:sz="0" w:space="0" w:color="auto"/>
        <w:right w:val="none" w:sz="0" w:space="0" w:color="auto"/>
      </w:divBdr>
    </w:div>
    <w:div w:id="735667604">
      <w:marLeft w:val="0"/>
      <w:marRight w:val="0"/>
      <w:marTop w:val="0"/>
      <w:marBottom w:val="0"/>
      <w:divBdr>
        <w:top w:val="none" w:sz="0" w:space="0" w:color="auto"/>
        <w:left w:val="none" w:sz="0" w:space="0" w:color="auto"/>
        <w:bottom w:val="none" w:sz="0" w:space="0" w:color="auto"/>
        <w:right w:val="none" w:sz="0" w:space="0" w:color="auto"/>
      </w:divBdr>
      <w:divsChild>
        <w:div w:id="1009334093">
          <w:marLeft w:val="0"/>
          <w:marRight w:val="0"/>
          <w:marTop w:val="0"/>
          <w:marBottom w:val="0"/>
          <w:divBdr>
            <w:top w:val="none" w:sz="0" w:space="0" w:color="auto"/>
            <w:left w:val="none" w:sz="0" w:space="0" w:color="auto"/>
            <w:bottom w:val="none" w:sz="0" w:space="0" w:color="auto"/>
            <w:right w:val="none" w:sz="0" w:space="0" w:color="auto"/>
          </w:divBdr>
        </w:div>
      </w:divsChild>
    </w:div>
    <w:div w:id="739720260">
      <w:marLeft w:val="0"/>
      <w:marRight w:val="0"/>
      <w:marTop w:val="240"/>
      <w:marBottom w:val="0"/>
      <w:divBdr>
        <w:top w:val="none" w:sz="0" w:space="0" w:color="auto"/>
        <w:left w:val="none" w:sz="0" w:space="0" w:color="auto"/>
        <w:bottom w:val="none" w:sz="0" w:space="0" w:color="auto"/>
        <w:right w:val="none" w:sz="0" w:space="0" w:color="auto"/>
      </w:divBdr>
    </w:div>
    <w:div w:id="742751652">
      <w:marLeft w:val="0"/>
      <w:marRight w:val="0"/>
      <w:marTop w:val="0"/>
      <w:marBottom w:val="0"/>
      <w:divBdr>
        <w:top w:val="none" w:sz="0" w:space="0" w:color="auto"/>
        <w:left w:val="none" w:sz="0" w:space="0" w:color="auto"/>
        <w:bottom w:val="none" w:sz="0" w:space="0" w:color="auto"/>
        <w:right w:val="none" w:sz="0" w:space="0" w:color="auto"/>
      </w:divBdr>
    </w:div>
    <w:div w:id="748581284">
      <w:marLeft w:val="0"/>
      <w:marRight w:val="0"/>
      <w:marTop w:val="0"/>
      <w:marBottom w:val="0"/>
      <w:divBdr>
        <w:top w:val="none" w:sz="0" w:space="0" w:color="auto"/>
        <w:left w:val="none" w:sz="0" w:space="0" w:color="auto"/>
        <w:bottom w:val="none" w:sz="0" w:space="0" w:color="auto"/>
        <w:right w:val="none" w:sz="0" w:space="0" w:color="auto"/>
      </w:divBdr>
    </w:div>
    <w:div w:id="749815142">
      <w:marLeft w:val="0"/>
      <w:marRight w:val="0"/>
      <w:marTop w:val="0"/>
      <w:marBottom w:val="240"/>
      <w:divBdr>
        <w:top w:val="none" w:sz="0" w:space="0" w:color="auto"/>
        <w:left w:val="none" w:sz="0" w:space="0" w:color="auto"/>
        <w:bottom w:val="none" w:sz="0" w:space="0" w:color="auto"/>
        <w:right w:val="none" w:sz="0" w:space="0" w:color="auto"/>
      </w:divBdr>
    </w:div>
    <w:div w:id="753741354">
      <w:marLeft w:val="0"/>
      <w:marRight w:val="0"/>
      <w:marTop w:val="0"/>
      <w:marBottom w:val="240"/>
      <w:divBdr>
        <w:top w:val="none" w:sz="0" w:space="0" w:color="auto"/>
        <w:left w:val="none" w:sz="0" w:space="0" w:color="auto"/>
        <w:bottom w:val="none" w:sz="0" w:space="0" w:color="auto"/>
        <w:right w:val="none" w:sz="0" w:space="0" w:color="auto"/>
      </w:divBdr>
    </w:div>
    <w:div w:id="755597186">
      <w:marLeft w:val="0"/>
      <w:marRight w:val="0"/>
      <w:marTop w:val="240"/>
      <w:marBottom w:val="240"/>
      <w:divBdr>
        <w:top w:val="none" w:sz="0" w:space="0" w:color="auto"/>
        <w:left w:val="none" w:sz="0" w:space="0" w:color="auto"/>
        <w:bottom w:val="none" w:sz="0" w:space="0" w:color="auto"/>
        <w:right w:val="none" w:sz="0" w:space="0" w:color="auto"/>
      </w:divBdr>
    </w:div>
    <w:div w:id="759570086">
      <w:marLeft w:val="0"/>
      <w:marRight w:val="0"/>
      <w:marTop w:val="0"/>
      <w:marBottom w:val="0"/>
      <w:divBdr>
        <w:top w:val="none" w:sz="0" w:space="0" w:color="auto"/>
        <w:left w:val="none" w:sz="0" w:space="0" w:color="auto"/>
        <w:bottom w:val="none" w:sz="0" w:space="0" w:color="auto"/>
        <w:right w:val="none" w:sz="0" w:space="0" w:color="auto"/>
      </w:divBdr>
    </w:div>
    <w:div w:id="764035203">
      <w:marLeft w:val="0"/>
      <w:marRight w:val="0"/>
      <w:marTop w:val="0"/>
      <w:marBottom w:val="0"/>
      <w:divBdr>
        <w:top w:val="none" w:sz="0" w:space="0" w:color="auto"/>
        <w:left w:val="none" w:sz="0" w:space="0" w:color="auto"/>
        <w:bottom w:val="none" w:sz="0" w:space="0" w:color="auto"/>
        <w:right w:val="none" w:sz="0" w:space="0" w:color="auto"/>
      </w:divBdr>
      <w:divsChild>
        <w:div w:id="1235748005">
          <w:marLeft w:val="0"/>
          <w:marRight w:val="0"/>
          <w:marTop w:val="0"/>
          <w:marBottom w:val="0"/>
          <w:divBdr>
            <w:top w:val="none" w:sz="0" w:space="0" w:color="auto"/>
            <w:left w:val="none" w:sz="0" w:space="0" w:color="auto"/>
            <w:bottom w:val="none" w:sz="0" w:space="0" w:color="auto"/>
            <w:right w:val="none" w:sz="0" w:space="0" w:color="auto"/>
          </w:divBdr>
        </w:div>
      </w:divsChild>
    </w:div>
    <w:div w:id="766926897">
      <w:marLeft w:val="0"/>
      <w:marRight w:val="0"/>
      <w:marTop w:val="0"/>
      <w:marBottom w:val="0"/>
      <w:divBdr>
        <w:top w:val="none" w:sz="0" w:space="0" w:color="auto"/>
        <w:left w:val="none" w:sz="0" w:space="0" w:color="auto"/>
        <w:bottom w:val="none" w:sz="0" w:space="0" w:color="auto"/>
        <w:right w:val="none" w:sz="0" w:space="0" w:color="auto"/>
      </w:divBdr>
      <w:divsChild>
        <w:div w:id="1200817644">
          <w:marLeft w:val="0"/>
          <w:marRight w:val="0"/>
          <w:marTop w:val="0"/>
          <w:marBottom w:val="0"/>
          <w:divBdr>
            <w:top w:val="none" w:sz="0" w:space="0" w:color="auto"/>
            <w:left w:val="none" w:sz="0" w:space="0" w:color="auto"/>
            <w:bottom w:val="none" w:sz="0" w:space="0" w:color="auto"/>
            <w:right w:val="none" w:sz="0" w:space="0" w:color="auto"/>
          </w:divBdr>
        </w:div>
      </w:divsChild>
    </w:div>
    <w:div w:id="768962200">
      <w:marLeft w:val="0"/>
      <w:marRight w:val="0"/>
      <w:marTop w:val="240"/>
      <w:marBottom w:val="0"/>
      <w:divBdr>
        <w:top w:val="none" w:sz="0" w:space="0" w:color="auto"/>
        <w:left w:val="none" w:sz="0" w:space="0" w:color="auto"/>
        <w:bottom w:val="none" w:sz="0" w:space="0" w:color="auto"/>
        <w:right w:val="none" w:sz="0" w:space="0" w:color="auto"/>
      </w:divBdr>
    </w:div>
    <w:div w:id="770007615">
      <w:marLeft w:val="0"/>
      <w:marRight w:val="0"/>
      <w:marTop w:val="0"/>
      <w:marBottom w:val="240"/>
      <w:divBdr>
        <w:top w:val="none" w:sz="0" w:space="0" w:color="auto"/>
        <w:left w:val="none" w:sz="0" w:space="0" w:color="auto"/>
        <w:bottom w:val="none" w:sz="0" w:space="0" w:color="auto"/>
        <w:right w:val="none" w:sz="0" w:space="0" w:color="auto"/>
      </w:divBdr>
    </w:div>
    <w:div w:id="771245020">
      <w:marLeft w:val="0"/>
      <w:marRight w:val="0"/>
      <w:marTop w:val="0"/>
      <w:marBottom w:val="0"/>
      <w:divBdr>
        <w:top w:val="none" w:sz="0" w:space="0" w:color="auto"/>
        <w:left w:val="none" w:sz="0" w:space="0" w:color="auto"/>
        <w:bottom w:val="none" w:sz="0" w:space="0" w:color="auto"/>
        <w:right w:val="none" w:sz="0" w:space="0" w:color="auto"/>
      </w:divBdr>
      <w:divsChild>
        <w:div w:id="1648776029">
          <w:marLeft w:val="0"/>
          <w:marRight w:val="0"/>
          <w:marTop w:val="0"/>
          <w:marBottom w:val="0"/>
          <w:divBdr>
            <w:top w:val="none" w:sz="0" w:space="0" w:color="auto"/>
            <w:left w:val="none" w:sz="0" w:space="0" w:color="auto"/>
            <w:bottom w:val="none" w:sz="0" w:space="0" w:color="auto"/>
            <w:right w:val="none" w:sz="0" w:space="0" w:color="auto"/>
          </w:divBdr>
        </w:div>
      </w:divsChild>
    </w:div>
    <w:div w:id="771559246">
      <w:marLeft w:val="0"/>
      <w:marRight w:val="0"/>
      <w:marTop w:val="0"/>
      <w:marBottom w:val="0"/>
      <w:divBdr>
        <w:top w:val="none" w:sz="0" w:space="0" w:color="auto"/>
        <w:left w:val="none" w:sz="0" w:space="0" w:color="auto"/>
        <w:bottom w:val="none" w:sz="0" w:space="0" w:color="auto"/>
        <w:right w:val="none" w:sz="0" w:space="0" w:color="auto"/>
      </w:divBdr>
      <w:divsChild>
        <w:div w:id="308100024">
          <w:marLeft w:val="0"/>
          <w:marRight w:val="0"/>
          <w:marTop w:val="0"/>
          <w:marBottom w:val="0"/>
          <w:divBdr>
            <w:top w:val="none" w:sz="0" w:space="0" w:color="auto"/>
            <w:left w:val="none" w:sz="0" w:space="0" w:color="auto"/>
            <w:bottom w:val="none" w:sz="0" w:space="0" w:color="auto"/>
            <w:right w:val="none" w:sz="0" w:space="0" w:color="auto"/>
          </w:divBdr>
        </w:div>
      </w:divsChild>
    </w:div>
    <w:div w:id="772434663">
      <w:marLeft w:val="0"/>
      <w:marRight w:val="0"/>
      <w:marTop w:val="240"/>
      <w:marBottom w:val="0"/>
      <w:divBdr>
        <w:top w:val="none" w:sz="0" w:space="0" w:color="auto"/>
        <w:left w:val="none" w:sz="0" w:space="0" w:color="auto"/>
        <w:bottom w:val="none" w:sz="0" w:space="0" w:color="auto"/>
        <w:right w:val="none" w:sz="0" w:space="0" w:color="auto"/>
      </w:divBdr>
    </w:div>
    <w:div w:id="773861496">
      <w:marLeft w:val="0"/>
      <w:marRight w:val="0"/>
      <w:marTop w:val="0"/>
      <w:marBottom w:val="0"/>
      <w:divBdr>
        <w:top w:val="none" w:sz="0" w:space="0" w:color="auto"/>
        <w:left w:val="none" w:sz="0" w:space="0" w:color="auto"/>
        <w:bottom w:val="none" w:sz="0" w:space="0" w:color="auto"/>
        <w:right w:val="none" w:sz="0" w:space="0" w:color="auto"/>
      </w:divBdr>
    </w:div>
    <w:div w:id="777212492">
      <w:marLeft w:val="0"/>
      <w:marRight w:val="0"/>
      <w:marTop w:val="240"/>
      <w:marBottom w:val="0"/>
      <w:divBdr>
        <w:top w:val="none" w:sz="0" w:space="0" w:color="auto"/>
        <w:left w:val="none" w:sz="0" w:space="0" w:color="auto"/>
        <w:bottom w:val="none" w:sz="0" w:space="0" w:color="auto"/>
        <w:right w:val="none" w:sz="0" w:space="0" w:color="auto"/>
      </w:divBdr>
    </w:div>
    <w:div w:id="777528444">
      <w:marLeft w:val="0"/>
      <w:marRight w:val="0"/>
      <w:marTop w:val="0"/>
      <w:marBottom w:val="0"/>
      <w:divBdr>
        <w:top w:val="none" w:sz="0" w:space="0" w:color="auto"/>
        <w:left w:val="none" w:sz="0" w:space="0" w:color="auto"/>
        <w:bottom w:val="none" w:sz="0" w:space="0" w:color="auto"/>
        <w:right w:val="none" w:sz="0" w:space="0" w:color="auto"/>
      </w:divBdr>
    </w:div>
    <w:div w:id="778989852">
      <w:marLeft w:val="0"/>
      <w:marRight w:val="0"/>
      <w:marTop w:val="240"/>
      <w:marBottom w:val="0"/>
      <w:divBdr>
        <w:top w:val="none" w:sz="0" w:space="0" w:color="auto"/>
        <w:left w:val="none" w:sz="0" w:space="0" w:color="auto"/>
        <w:bottom w:val="none" w:sz="0" w:space="0" w:color="auto"/>
        <w:right w:val="none" w:sz="0" w:space="0" w:color="auto"/>
      </w:divBdr>
    </w:div>
    <w:div w:id="779253217">
      <w:marLeft w:val="0"/>
      <w:marRight w:val="0"/>
      <w:marTop w:val="240"/>
      <w:marBottom w:val="0"/>
      <w:divBdr>
        <w:top w:val="none" w:sz="0" w:space="0" w:color="auto"/>
        <w:left w:val="none" w:sz="0" w:space="0" w:color="auto"/>
        <w:bottom w:val="none" w:sz="0" w:space="0" w:color="auto"/>
        <w:right w:val="none" w:sz="0" w:space="0" w:color="auto"/>
      </w:divBdr>
    </w:div>
    <w:div w:id="780224158">
      <w:marLeft w:val="0"/>
      <w:marRight w:val="0"/>
      <w:marTop w:val="240"/>
      <w:marBottom w:val="0"/>
      <w:divBdr>
        <w:top w:val="none" w:sz="0" w:space="0" w:color="auto"/>
        <w:left w:val="none" w:sz="0" w:space="0" w:color="auto"/>
        <w:bottom w:val="none" w:sz="0" w:space="0" w:color="auto"/>
        <w:right w:val="none" w:sz="0" w:space="0" w:color="auto"/>
      </w:divBdr>
    </w:div>
    <w:div w:id="780491335">
      <w:marLeft w:val="0"/>
      <w:marRight w:val="0"/>
      <w:marTop w:val="120"/>
      <w:marBottom w:val="240"/>
      <w:divBdr>
        <w:top w:val="none" w:sz="0" w:space="0" w:color="auto"/>
        <w:left w:val="none" w:sz="0" w:space="0" w:color="auto"/>
        <w:bottom w:val="none" w:sz="0" w:space="0" w:color="auto"/>
        <w:right w:val="none" w:sz="0" w:space="0" w:color="auto"/>
      </w:divBdr>
    </w:div>
    <w:div w:id="783310255">
      <w:marLeft w:val="0"/>
      <w:marRight w:val="0"/>
      <w:marTop w:val="0"/>
      <w:marBottom w:val="240"/>
      <w:divBdr>
        <w:top w:val="none" w:sz="0" w:space="0" w:color="auto"/>
        <w:left w:val="none" w:sz="0" w:space="0" w:color="auto"/>
        <w:bottom w:val="none" w:sz="0" w:space="0" w:color="auto"/>
        <w:right w:val="none" w:sz="0" w:space="0" w:color="auto"/>
      </w:divBdr>
    </w:div>
    <w:div w:id="783816740">
      <w:marLeft w:val="0"/>
      <w:marRight w:val="0"/>
      <w:marTop w:val="240"/>
      <w:marBottom w:val="0"/>
      <w:divBdr>
        <w:top w:val="none" w:sz="0" w:space="0" w:color="auto"/>
        <w:left w:val="none" w:sz="0" w:space="0" w:color="auto"/>
        <w:bottom w:val="none" w:sz="0" w:space="0" w:color="auto"/>
        <w:right w:val="none" w:sz="0" w:space="0" w:color="auto"/>
      </w:divBdr>
    </w:div>
    <w:div w:id="784152285">
      <w:marLeft w:val="0"/>
      <w:marRight w:val="0"/>
      <w:marTop w:val="0"/>
      <w:marBottom w:val="0"/>
      <w:divBdr>
        <w:top w:val="none" w:sz="0" w:space="0" w:color="auto"/>
        <w:left w:val="none" w:sz="0" w:space="0" w:color="auto"/>
        <w:bottom w:val="none" w:sz="0" w:space="0" w:color="auto"/>
        <w:right w:val="none" w:sz="0" w:space="0" w:color="auto"/>
      </w:divBdr>
      <w:divsChild>
        <w:div w:id="2017071990">
          <w:marLeft w:val="0"/>
          <w:marRight w:val="0"/>
          <w:marTop w:val="0"/>
          <w:marBottom w:val="0"/>
          <w:divBdr>
            <w:top w:val="none" w:sz="0" w:space="0" w:color="auto"/>
            <w:left w:val="none" w:sz="0" w:space="0" w:color="auto"/>
            <w:bottom w:val="none" w:sz="0" w:space="0" w:color="auto"/>
            <w:right w:val="none" w:sz="0" w:space="0" w:color="auto"/>
          </w:divBdr>
        </w:div>
      </w:divsChild>
    </w:div>
    <w:div w:id="789085179">
      <w:marLeft w:val="0"/>
      <w:marRight w:val="0"/>
      <w:marTop w:val="0"/>
      <w:marBottom w:val="0"/>
      <w:divBdr>
        <w:top w:val="none" w:sz="0" w:space="0" w:color="auto"/>
        <w:left w:val="none" w:sz="0" w:space="0" w:color="auto"/>
        <w:bottom w:val="none" w:sz="0" w:space="0" w:color="auto"/>
        <w:right w:val="none" w:sz="0" w:space="0" w:color="auto"/>
      </w:divBdr>
    </w:div>
    <w:div w:id="792283690">
      <w:marLeft w:val="0"/>
      <w:marRight w:val="0"/>
      <w:marTop w:val="120"/>
      <w:marBottom w:val="0"/>
      <w:divBdr>
        <w:top w:val="none" w:sz="0" w:space="0" w:color="auto"/>
        <w:left w:val="none" w:sz="0" w:space="0" w:color="auto"/>
        <w:bottom w:val="none" w:sz="0" w:space="0" w:color="auto"/>
        <w:right w:val="none" w:sz="0" w:space="0" w:color="auto"/>
      </w:divBdr>
    </w:div>
    <w:div w:id="793063310">
      <w:marLeft w:val="0"/>
      <w:marRight w:val="0"/>
      <w:marTop w:val="120"/>
      <w:marBottom w:val="240"/>
      <w:divBdr>
        <w:top w:val="none" w:sz="0" w:space="0" w:color="auto"/>
        <w:left w:val="none" w:sz="0" w:space="0" w:color="auto"/>
        <w:bottom w:val="none" w:sz="0" w:space="0" w:color="auto"/>
        <w:right w:val="none" w:sz="0" w:space="0" w:color="auto"/>
      </w:divBdr>
    </w:div>
    <w:div w:id="794251795">
      <w:marLeft w:val="0"/>
      <w:marRight w:val="0"/>
      <w:marTop w:val="0"/>
      <w:marBottom w:val="0"/>
      <w:divBdr>
        <w:top w:val="none" w:sz="0" w:space="0" w:color="auto"/>
        <w:left w:val="none" w:sz="0" w:space="0" w:color="auto"/>
        <w:bottom w:val="none" w:sz="0" w:space="0" w:color="auto"/>
        <w:right w:val="none" w:sz="0" w:space="0" w:color="auto"/>
      </w:divBdr>
      <w:divsChild>
        <w:div w:id="947079544">
          <w:marLeft w:val="0"/>
          <w:marRight w:val="0"/>
          <w:marTop w:val="0"/>
          <w:marBottom w:val="0"/>
          <w:divBdr>
            <w:top w:val="none" w:sz="0" w:space="0" w:color="auto"/>
            <w:left w:val="none" w:sz="0" w:space="0" w:color="auto"/>
            <w:bottom w:val="none" w:sz="0" w:space="0" w:color="auto"/>
            <w:right w:val="none" w:sz="0" w:space="0" w:color="auto"/>
          </w:divBdr>
        </w:div>
      </w:divsChild>
    </w:div>
    <w:div w:id="795484099">
      <w:marLeft w:val="0"/>
      <w:marRight w:val="0"/>
      <w:marTop w:val="0"/>
      <w:marBottom w:val="0"/>
      <w:divBdr>
        <w:top w:val="none" w:sz="0" w:space="0" w:color="auto"/>
        <w:left w:val="none" w:sz="0" w:space="0" w:color="auto"/>
        <w:bottom w:val="none" w:sz="0" w:space="0" w:color="auto"/>
        <w:right w:val="none" w:sz="0" w:space="0" w:color="auto"/>
      </w:divBdr>
    </w:div>
    <w:div w:id="795677245">
      <w:marLeft w:val="0"/>
      <w:marRight w:val="0"/>
      <w:marTop w:val="0"/>
      <w:marBottom w:val="240"/>
      <w:divBdr>
        <w:top w:val="none" w:sz="0" w:space="0" w:color="auto"/>
        <w:left w:val="none" w:sz="0" w:space="0" w:color="auto"/>
        <w:bottom w:val="none" w:sz="0" w:space="0" w:color="auto"/>
        <w:right w:val="none" w:sz="0" w:space="0" w:color="auto"/>
      </w:divBdr>
    </w:div>
    <w:div w:id="800341449">
      <w:marLeft w:val="0"/>
      <w:marRight w:val="0"/>
      <w:marTop w:val="0"/>
      <w:marBottom w:val="0"/>
      <w:divBdr>
        <w:top w:val="none" w:sz="0" w:space="0" w:color="auto"/>
        <w:left w:val="none" w:sz="0" w:space="0" w:color="auto"/>
        <w:bottom w:val="none" w:sz="0" w:space="0" w:color="auto"/>
        <w:right w:val="none" w:sz="0" w:space="0" w:color="auto"/>
      </w:divBdr>
      <w:divsChild>
        <w:div w:id="99304831">
          <w:marLeft w:val="0"/>
          <w:marRight w:val="0"/>
          <w:marTop w:val="0"/>
          <w:marBottom w:val="0"/>
          <w:divBdr>
            <w:top w:val="none" w:sz="0" w:space="0" w:color="auto"/>
            <w:left w:val="none" w:sz="0" w:space="0" w:color="auto"/>
            <w:bottom w:val="none" w:sz="0" w:space="0" w:color="auto"/>
            <w:right w:val="none" w:sz="0" w:space="0" w:color="auto"/>
          </w:divBdr>
        </w:div>
      </w:divsChild>
    </w:div>
    <w:div w:id="801966687">
      <w:marLeft w:val="0"/>
      <w:marRight w:val="0"/>
      <w:marTop w:val="0"/>
      <w:marBottom w:val="240"/>
      <w:divBdr>
        <w:top w:val="none" w:sz="0" w:space="0" w:color="auto"/>
        <w:left w:val="none" w:sz="0" w:space="0" w:color="auto"/>
        <w:bottom w:val="none" w:sz="0" w:space="0" w:color="auto"/>
        <w:right w:val="none" w:sz="0" w:space="0" w:color="auto"/>
      </w:divBdr>
    </w:div>
    <w:div w:id="802890110">
      <w:marLeft w:val="0"/>
      <w:marRight w:val="0"/>
      <w:marTop w:val="240"/>
      <w:marBottom w:val="0"/>
      <w:divBdr>
        <w:top w:val="none" w:sz="0" w:space="0" w:color="auto"/>
        <w:left w:val="none" w:sz="0" w:space="0" w:color="auto"/>
        <w:bottom w:val="none" w:sz="0" w:space="0" w:color="auto"/>
        <w:right w:val="none" w:sz="0" w:space="0" w:color="auto"/>
      </w:divBdr>
    </w:div>
    <w:div w:id="805898507">
      <w:marLeft w:val="0"/>
      <w:marRight w:val="0"/>
      <w:marTop w:val="240"/>
      <w:marBottom w:val="0"/>
      <w:divBdr>
        <w:top w:val="none" w:sz="0" w:space="0" w:color="auto"/>
        <w:left w:val="none" w:sz="0" w:space="0" w:color="auto"/>
        <w:bottom w:val="none" w:sz="0" w:space="0" w:color="auto"/>
        <w:right w:val="none" w:sz="0" w:space="0" w:color="auto"/>
      </w:divBdr>
    </w:div>
    <w:div w:id="810252643">
      <w:marLeft w:val="0"/>
      <w:marRight w:val="0"/>
      <w:marTop w:val="120"/>
      <w:marBottom w:val="0"/>
      <w:divBdr>
        <w:top w:val="none" w:sz="0" w:space="0" w:color="auto"/>
        <w:left w:val="none" w:sz="0" w:space="0" w:color="auto"/>
        <w:bottom w:val="none" w:sz="0" w:space="0" w:color="auto"/>
        <w:right w:val="none" w:sz="0" w:space="0" w:color="auto"/>
      </w:divBdr>
    </w:div>
    <w:div w:id="811827031">
      <w:marLeft w:val="0"/>
      <w:marRight w:val="0"/>
      <w:marTop w:val="0"/>
      <w:marBottom w:val="0"/>
      <w:divBdr>
        <w:top w:val="none" w:sz="0" w:space="0" w:color="auto"/>
        <w:left w:val="none" w:sz="0" w:space="0" w:color="auto"/>
        <w:bottom w:val="none" w:sz="0" w:space="0" w:color="auto"/>
        <w:right w:val="none" w:sz="0" w:space="0" w:color="auto"/>
      </w:divBdr>
      <w:divsChild>
        <w:div w:id="1312519411">
          <w:marLeft w:val="0"/>
          <w:marRight w:val="0"/>
          <w:marTop w:val="0"/>
          <w:marBottom w:val="0"/>
          <w:divBdr>
            <w:top w:val="none" w:sz="0" w:space="0" w:color="auto"/>
            <w:left w:val="none" w:sz="0" w:space="0" w:color="auto"/>
            <w:bottom w:val="none" w:sz="0" w:space="0" w:color="auto"/>
            <w:right w:val="none" w:sz="0" w:space="0" w:color="auto"/>
          </w:divBdr>
        </w:div>
      </w:divsChild>
    </w:div>
    <w:div w:id="811868050">
      <w:marLeft w:val="0"/>
      <w:marRight w:val="0"/>
      <w:marTop w:val="240"/>
      <w:marBottom w:val="0"/>
      <w:divBdr>
        <w:top w:val="none" w:sz="0" w:space="0" w:color="auto"/>
        <w:left w:val="none" w:sz="0" w:space="0" w:color="auto"/>
        <w:bottom w:val="none" w:sz="0" w:space="0" w:color="auto"/>
        <w:right w:val="none" w:sz="0" w:space="0" w:color="auto"/>
      </w:divBdr>
    </w:div>
    <w:div w:id="812136192">
      <w:marLeft w:val="0"/>
      <w:marRight w:val="0"/>
      <w:marTop w:val="0"/>
      <w:marBottom w:val="200"/>
      <w:divBdr>
        <w:top w:val="none" w:sz="0" w:space="0" w:color="auto"/>
        <w:left w:val="none" w:sz="0" w:space="0" w:color="auto"/>
        <w:bottom w:val="none" w:sz="0" w:space="0" w:color="auto"/>
        <w:right w:val="none" w:sz="0" w:space="0" w:color="auto"/>
      </w:divBdr>
    </w:div>
    <w:div w:id="813833820">
      <w:marLeft w:val="0"/>
      <w:marRight w:val="0"/>
      <w:marTop w:val="240"/>
      <w:marBottom w:val="0"/>
      <w:divBdr>
        <w:top w:val="none" w:sz="0" w:space="0" w:color="auto"/>
        <w:left w:val="none" w:sz="0" w:space="0" w:color="auto"/>
        <w:bottom w:val="none" w:sz="0" w:space="0" w:color="auto"/>
        <w:right w:val="none" w:sz="0" w:space="0" w:color="auto"/>
      </w:divBdr>
    </w:div>
    <w:div w:id="815025197">
      <w:marLeft w:val="0"/>
      <w:marRight w:val="0"/>
      <w:marTop w:val="0"/>
      <w:marBottom w:val="0"/>
      <w:divBdr>
        <w:top w:val="none" w:sz="0" w:space="0" w:color="auto"/>
        <w:left w:val="none" w:sz="0" w:space="0" w:color="auto"/>
        <w:bottom w:val="none" w:sz="0" w:space="0" w:color="auto"/>
        <w:right w:val="none" w:sz="0" w:space="0" w:color="auto"/>
      </w:divBdr>
      <w:divsChild>
        <w:div w:id="1712655162">
          <w:marLeft w:val="0"/>
          <w:marRight w:val="0"/>
          <w:marTop w:val="0"/>
          <w:marBottom w:val="0"/>
          <w:divBdr>
            <w:top w:val="none" w:sz="0" w:space="0" w:color="auto"/>
            <w:left w:val="none" w:sz="0" w:space="0" w:color="auto"/>
            <w:bottom w:val="none" w:sz="0" w:space="0" w:color="auto"/>
            <w:right w:val="none" w:sz="0" w:space="0" w:color="auto"/>
          </w:divBdr>
        </w:div>
      </w:divsChild>
    </w:div>
    <w:div w:id="817692961">
      <w:marLeft w:val="0"/>
      <w:marRight w:val="0"/>
      <w:marTop w:val="240"/>
      <w:marBottom w:val="0"/>
      <w:divBdr>
        <w:top w:val="none" w:sz="0" w:space="0" w:color="auto"/>
        <w:left w:val="none" w:sz="0" w:space="0" w:color="auto"/>
        <w:bottom w:val="none" w:sz="0" w:space="0" w:color="auto"/>
        <w:right w:val="none" w:sz="0" w:space="0" w:color="auto"/>
      </w:divBdr>
    </w:div>
    <w:div w:id="818309553">
      <w:marLeft w:val="0"/>
      <w:marRight w:val="0"/>
      <w:marTop w:val="240"/>
      <w:marBottom w:val="240"/>
      <w:divBdr>
        <w:top w:val="none" w:sz="0" w:space="0" w:color="auto"/>
        <w:left w:val="none" w:sz="0" w:space="0" w:color="auto"/>
        <w:bottom w:val="none" w:sz="0" w:space="0" w:color="auto"/>
        <w:right w:val="none" w:sz="0" w:space="0" w:color="auto"/>
      </w:divBdr>
    </w:div>
    <w:div w:id="819033183">
      <w:marLeft w:val="0"/>
      <w:marRight w:val="0"/>
      <w:marTop w:val="120"/>
      <w:marBottom w:val="0"/>
      <w:divBdr>
        <w:top w:val="none" w:sz="0" w:space="0" w:color="auto"/>
        <w:left w:val="none" w:sz="0" w:space="0" w:color="auto"/>
        <w:bottom w:val="none" w:sz="0" w:space="0" w:color="auto"/>
        <w:right w:val="none" w:sz="0" w:space="0" w:color="auto"/>
      </w:divBdr>
    </w:div>
    <w:div w:id="820120503">
      <w:marLeft w:val="0"/>
      <w:marRight w:val="0"/>
      <w:marTop w:val="0"/>
      <w:marBottom w:val="0"/>
      <w:divBdr>
        <w:top w:val="none" w:sz="0" w:space="0" w:color="auto"/>
        <w:left w:val="none" w:sz="0" w:space="0" w:color="auto"/>
        <w:bottom w:val="none" w:sz="0" w:space="0" w:color="auto"/>
        <w:right w:val="none" w:sz="0" w:space="0" w:color="auto"/>
      </w:divBdr>
      <w:divsChild>
        <w:div w:id="1611355714">
          <w:marLeft w:val="0"/>
          <w:marRight w:val="0"/>
          <w:marTop w:val="0"/>
          <w:marBottom w:val="0"/>
          <w:divBdr>
            <w:top w:val="none" w:sz="0" w:space="0" w:color="auto"/>
            <w:left w:val="none" w:sz="0" w:space="0" w:color="auto"/>
            <w:bottom w:val="none" w:sz="0" w:space="0" w:color="auto"/>
            <w:right w:val="none" w:sz="0" w:space="0" w:color="auto"/>
          </w:divBdr>
        </w:div>
      </w:divsChild>
    </w:div>
    <w:div w:id="821315926">
      <w:marLeft w:val="0"/>
      <w:marRight w:val="0"/>
      <w:marTop w:val="0"/>
      <w:marBottom w:val="240"/>
      <w:divBdr>
        <w:top w:val="none" w:sz="0" w:space="0" w:color="auto"/>
        <w:left w:val="none" w:sz="0" w:space="0" w:color="auto"/>
        <w:bottom w:val="none" w:sz="0" w:space="0" w:color="auto"/>
        <w:right w:val="none" w:sz="0" w:space="0" w:color="auto"/>
      </w:divBdr>
    </w:div>
    <w:div w:id="823088462">
      <w:marLeft w:val="0"/>
      <w:marRight w:val="0"/>
      <w:marTop w:val="100"/>
      <w:marBottom w:val="0"/>
      <w:divBdr>
        <w:top w:val="none" w:sz="0" w:space="0" w:color="auto"/>
        <w:left w:val="none" w:sz="0" w:space="0" w:color="auto"/>
        <w:bottom w:val="none" w:sz="0" w:space="0" w:color="auto"/>
        <w:right w:val="none" w:sz="0" w:space="0" w:color="auto"/>
      </w:divBdr>
    </w:div>
    <w:div w:id="823933595">
      <w:marLeft w:val="0"/>
      <w:marRight w:val="0"/>
      <w:marTop w:val="240"/>
      <w:marBottom w:val="0"/>
      <w:divBdr>
        <w:top w:val="none" w:sz="0" w:space="0" w:color="auto"/>
        <w:left w:val="none" w:sz="0" w:space="0" w:color="auto"/>
        <w:bottom w:val="none" w:sz="0" w:space="0" w:color="auto"/>
        <w:right w:val="none" w:sz="0" w:space="0" w:color="auto"/>
      </w:divBdr>
    </w:div>
    <w:div w:id="824128769">
      <w:marLeft w:val="0"/>
      <w:marRight w:val="0"/>
      <w:marTop w:val="240"/>
      <w:marBottom w:val="0"/>
      <w:divBdr>
        <w:top w:val="none" w:sz="0" w:space="0" w:color="auto"/>
        <w:left w:val="none" w:sz="0" w:space="0" w:color="auto"/>
        <w:bottom w:val="none" w:sz="0" w:space="0" w:color="auto"/>
        <w:right w:val="none" w:sz="0" w:space="0" w:color="auto"/>
      </w:divBdr>
    </w:div>
    <w:div w:id="826021212">
      <w:marLeft w:val="0"/>
      <w:marRight w:val="0"/>
      <w:marTop w:val="0"/>
      <w:marBottom w:val="0"/>
      <w:divBdr>
        <w:top w:val="none" w:sz="0" w:space="0" w:color="auto"/>
        <w:left w:val="none" w:sz="0" w:space="0" w:color="auto"/>
        <w:bottom w:val="none" w:sz="0" w:space="0" w:color="auto"/>
        <w:right w:val="none" w:sz="0" w:space="0" w:color="auto"/>
      </w:divBdr>
      <w:divsChild>
        <w:div w:id="1197349851">
          <w:marLeft w:val="0"/>
          <w:marRight w:val="0"/>
          <w:marTop w:val="0"/>
          <w:marBottom w:val="0"/>
          <w:divBdr>
            <w:top w:val="none" w:sz="0" w:space="0" w:color="auto"/>
            <w:left w:val="none" w:sz="0" w:space="0" w:color="auto"/>
            <w:bottom w:val="none" w:sz="0" w:space="0" w:color="auto"/>
            <w:right w:val="none" w:sz="0" w:space="0" w:color="auto"/>
          </w:divBdr>
        </w:div>
      </w:divsChild>
    </w:div>
    <w:div w:id="832181928">
      <w:marLeft w:val="0"/>
      <w:marRight w:val="0"/>
      <w:marTop w:val="0"/>
      <w:marBottom w:val="0"/>
      <w:divBdr>
        <w:top w:val="none" w:sz="0" w:space="0" w:color="auto"/>
        <w:left w:val="none" w:sz="0" w:space="0" w:color="auto"/>
        <w:bottom w:val="none" w:sz="0" w:space="0" w:color="auto"/>
        <w:right w:val="none" w:sz="0" w:space="0" w:color="auto"/>
      </w:divBdr>
    </w:div>
    <w:div w:id="833304602">
      <w:marLeft w:val="0"/>
      <w:marRight w:val="0"/>
      <w:marTop w:val="240"/>
      <w:marBottom w:val="0"/>
      <w:divBdr>
        <w:top w:val="none" w:sz="0" w:space="0" w:color="auto"/>
        <w:left w:val="none" w:sz="0" w:space="0" w:color="auto"/>
        <w:bottom w:val="none" w:sz="0" w:space="0" w:color="auto"/>
        <w:right w:val="none" w:sz="0" w:space="0" w:color="auto"/>
      </w:divBdr>
    </w:div>
    <w:div w:id="833572216">
      <w:marLeft w:val="0"/>
      <w:marRight w:val="0"/>
      <w:marTop w:val="240"/>
      <w:marBottom w:val="0"/>
      <w:divBdr>
        <w:top w:val="none" w:sz="0" w:space="0" w:color="auto"/>
        <w:left w:val="none" w:sz="0" w:space="0" w:color="auto"/>
        <w:bottom w:val="none" w:sz="0" w:space="0" w:color="auto"/>
        <w:right w:val="none" w:sz="0" w:space="0" w:color="auto"/>
      </w:divBdr>
    </w:div>
    <w:div w:id="835151684">
      <w:marLeft w:val="0"/>
      <w:marRight w:val="0"/>
      <w:marTop w:val="240"/>
      <w:marBottom w:val="240"/>
      <w:divBdr>
        <w:top w:val="none" w:sz="0" w:space="0" w:color="auto"/>
        <w:left w:val="none" w:sz="0" w:space="0" w:color="auto"/>
        <w:bottom w:val="none" w:sz="0" w:space="0" w:color="auto"/>
        <w:right w:val="none" w:sz="0" w:space="0" w:color="auto"/>
      </w:divBdr>
    </w:div>
    <w:div w:id="835996371">
      <w:marLeft w:val="0"/>
      <w:marRight w:val="0"/>
      <w:marTop w:val="240"/>
      <w:marBottom w:val="0"/>
      <w:divBdr>
        <w:top w:val="none" w:sz="0" w:space="0" w:color="auto"/>
        <w:left w:val="none" w:sz="0" w:space="0" w:color="auto"/>
        <w:bottom w:val="none" w:sz="0" w:space="0" w:color="auto"/>
        <w:right w:val="none" w:sz="0" w:space="0" w:color="auto"/>
      </w:divBdr>
    </w:div>
    <w:div w:id="836924235">
      <w:marLeft w:val="0"/>
      <w:marRight w:val="0"/>
      <w:marTop w:val="0"/>
      <w:marBottom w:val="240"/>
      <w:divBdr>
        <w:top w:val="none" w:sz="0" w:space="0" w:color="auto"/>
        <w:left w:val="none" w:sz="0" w:space="0" w:color="auto"/>
        <w:bottom w:val="none" w:sz="0" w:space="0" w:color="auto"/>
        <w:right w:val="none" w:sz="0" w:space="0" w:color="auto"/>
      </w:divBdr>
    </w:div>
    <w:div w:id="840312500">
      <w:marLeft w:val="0"/>
      <w:marRight w:val="0"/>
      <w:marTop w:val="0"/>
      <w:marBottom w:val="1"/>
      <w:divBdr>
        <w:top w:val="none" w:sz="0" w:space="0" w:color="auto"/>
        <w:left w:val="none" w:sz="0" w:space="0" w:color="auto"/>
        <w:bottom w:val="none" w:sz="0" w:space="0" w:color="auto"/>
        <w:right w:val="none" w:sz="0" w:space="0" w:color="auto"/>
      </w:divBdr>
    </w:div>
    <w:div w:id="840463164">
      <w:marLeft w:val="0"/>
      <w:marRight w:val="0"/>
      <w:marTop w:val="0"/>
      <w:marBottom w:val="0"/>
      <w:divBdr>
        <w:top w:val="none" w:sz="0" w:space="0" w:color="auto"/>
        <w:left w:val="none" w:sz="0" w:space="0" w:color="auto"/>
        <w:bottom w:val="none" w:sz="0" w:space="0" w:color="auto"/>
        <w:right w:val="none" w:sz="0" w:space="0" w:color="auto"/>
      </w:divBdr>
    </w:div>
    <w:div w:id="841165742">
      <w:marLeft w:val="0"/>
      <w:marRight w:val="0"/>
      <w:marTop w:val="240"/>
      <w:marBottom w:val="240"/>
      <w:divBdr>
        <w:top w:val="none" w:sz="0" w:space="0" w:color="auto"/>
        <w:left w:val="none" w:sz="0" w:space="0" w:color="auto"/>
        <w:bottom w:val="none" w:sz="0" w:space="0" w:color="auto"/>
        <w:right w:val="none" w:sz="0" w:space="0" w:color="auto"/>
      </w:divBdr>
    </w:div>
    <w:div w:id="842668661">
      <w:marLeft w:val="0"/>
      <w:marRight w:val="0"/>
      <w:marTop w:val="0"/>
      <w:marBottom w:val="0"/>
      <w:divBdr>
        <w:top w:val="none" w:sz="0" w:space="0" w:color="auto"/>
        <w:left w:val="none" w:sz="0" w:space="0" w:color="auto"/>
        <w:bottom w:val="none" w:sz="0" w:space="0" w:color="auto"/>
        <w:right w:val="none" w:sz="0" w:space="0" w:color="auto"/>
      </w:divBdr>
    </w:div>
    <w:div w:id="842865693">
      <w:marLeft w:val="0"/>
      <w:marRight w:val="0"/>
      <w:marTop w:val="240"/>
      <w:marBottom w:val="0"/>
      <w:divBdr>
        <w:top w:val="none" w:sz="0" w:space="0" w:color="auto"/>
        <w:left w:val="none" w:sz="0" w:space="0" w:color="auto"/>
        <w:bottom w:val="none" w:sz="0" w:space="0" w:color="auto"/>
        <w:right w:val="none" w:sz="0" w:space="0" w:color="auto"/>
      </w:divBdr>
    </w:div>
    <w:div w:id="843982557">
      <w:marLeft w:val="0"/>
      <w:marRight w:val="0"/>
      <w:marTop w:val="0"/>
      <w:marBottom w:val="0"/>
      <w:divBdr>
        <w:top w:val="none" w:sz="0" w:space="0" w:color="auto"/>
        <w:left w:val="none" w:sz="0" w:space="0" w:color="auto"/>
        <w:bottom w:val="none" w:sz="0" w:space="0" w:color="auto"/>
        <w:right w:val="none" w:sz="0" w:space="0" w:color="auto"/>
      </w:divBdr>
      <w:divsChild>
        <w:div w:id="2036155722">
          <w:marLeft w:val="0"/>
          <w:marRight w:val="0"/>
          <w:marTop w:val="0"/>
          <w:marBottom w:val="0"/>
          <w:divBdr>
            <w:top w:val="none" w:sz="0" w:space="0" w:color="auto"/>
            <w:left w:val="none" w:sz="0" w:space="0" w:color="auto"/>
            <w:bottom w:val="none" w:sz="0" w:space="0" w:color="auto"/>
            <w:right w:val="none" w:sz="0" w:space="0" w:color="auto"/>
          </w:divBdr>
        </w:div>
      </w:divsChild>
    </w:div>
    <w:div w:id="846558038">
      <w:marLeft w:val="0"/>
      <w:marRight w:val="0"/>
      <w:marTop w:val="240"/>
      <w:marBottom w:val="240"/>
      <w:divBdr>
        <w:top w:val="none" w:sz="0" w:space="0" w:color="auto"/>
        <w:left w:val="none" w:sz="0" w:space="0" w:color="auto"/>
        <w:bottom w:val="none" w:sz="0" w:space="0" w:color="auto"/>
        <w:right w:val="none" w:sz="0" w:space="0" w:color="auto"/>
      </w:divBdr>
    </w:div>
    <w:div w:id="847138286">
      <w:marLeft w:val="0"/>
      <w:marRight w:val="0"/>
      <w:marTop w:val="240"/>
      <w:marBottom w:val="0"/>
      <w:divBdr>
        <w:top w:val="none" w:sz="0" w:space="0" w:color="auto"/>
        <w:left w:val="none" w:sz="0" w:space="0" w:color="auto"/>
        <w:bottom w:val="none" w:sz="0" w:space="0" w:color="auto"/>
        <w:right w:val="none" w:sz="0" w:space="0" w:color="auto"/>
      </w:divBdr>
    </w:div>
    <w:div w:id="849561406">
      <w:marLeft w:val="0"/>
      <w:marRight w:val="0"/>
      <w:marTop w:val="240"/>
      <w:marBottom w:val="0"/>
      <w:divBdr>
        <w:top w:val="none" w:sz="0" w:space="0" w:color="auto"/>
        <w:left w:val="none" w:sz="0" w:space="0" w:color="auto"/>
        <w:bottom w:val="none" w:sz="0" w:space="0" w:color="auto"/>
        <w:right w:val="none" w:sz="0" w:space="0" w:color="auto"/>
      </w:divBdr>
    </w:div>
    <w:div w:id="850990700">
      <w:marLeft w:val="0"/>
      <w:marRight w:val="0"/>
      <w:marTop w:val="240"/>
      <w:marBottom w:val="0"/>
      <w:divBdr>
        <w:top w:val="none" w:sz="0" w:space="0" w:color="auto"/>
        <w:left w:val="none" w:sz="0" w:space="0" w:color="auto"/>
        <w:bottom w:val="none" w:sz="0" w:space="0" w:color="auto"/>
        <w:right w:val="none" w:sz="0" w:space="0" w:color="auto"/>
      </w:divBdr>
    </w:div>
    <w:div w:id="852886768">
      <w:marLeft w:val="0"/>
      <w:marRight w:val="0"/>
      <w:marTop w:val="0"/>
      <w:marBottom w:val="0"/>
      <w:divBdr>
        <w:top w:val="none" w:sz="0" w:space="0" w:color="auto"/>
        <w:left w:val="none" w:sz="0" w:space="0" w:color="auto"/>
        <w:bottom w:val="none" w:sz="0" w:space="0" w:color="auto"/>
        <w:right w:val="none" w:sz="0" w:space="0" w:color="auto"/>
      </w:divBdr>
    </w:div>
    <w:div w:id="854998339">
      <w:marLeft w:val="0"/>
      <w:marRight w:val="0"/>
      <w:marTop w:val="240"/>
      <w:marBottom w:val="240"/>
      <w:divBdr>
        <w:top w:val="none" w:sz="0" w:space="0" w:color="auto"/>
        <w:left w:val="none" w:sz="0" w:space="0" w:color="auto"/>
        <w:bottom w:val="none" w:sz="0" w:space="0" w:color="auto"/>
        <w:right w:val="none" w:sz="0" w:space="0" w:color="auto"/>
      </w:divBdr>
    </w:div>
    <w:div w:id="856962659">
      <w:marLeft w:val="0"/>
      <w:marRight w:val="0"/>
      <w:marTop w:val="240"/>
      <w:marBottom w:val="240"/>
      <w:divBdr>
        <w:top w:val="none" w:sz="0" w:space="0" w:color="auto"/>
        <w:left w:val="none" w:sz="0" w:space="0" w:color="auto"/>
        <w:bottom w:val="none" w:sz="0" w:space="0" w:color="auto"/>
        <w:right w:val="none" w:sz="0" w:space="0" w:color="auto"/>
      </w:divBdr>
    </w:div>
    <w:div w:id="859469631">
      <w:marLeft w:val="0"/>
      <w:marRight w:val="0"/>
      <w:marTop w:val="0"/>
      <w:marBottom w:val="240"/>
      <w:divBdr>
        <w:top w:val="none" w:sz="0" w:space="0" w:color="auto"/>
        <w:left w:val="none" w:sz="0" w:space="0" w:color="auto"/>
        <w:bottom w:val="none" w:sz="0" w:space="0" w:color="auto"/>
        <w:right w:val="none" w:sz="0" w:space="0" w:color="auto"/>
      </w:divBdr>
    </w:div>
    <w:div w:id="867376978">
      <w:marLeft w:val="0"/>
      <w:marRight w:val="0"/>
      <w:marTop w:val="240"/>
      <w:marBottom w:val="0"/>
      <w:divBdr>
        <w:top w:val="none" w:sz="0" w:space="0" w:color="auto"/>
        <w:left w:val="none" w:sz="0" w:space="0" w:color="auto"/>
        <w:bottom w:val="none" w:sz="0" w:space="0" w:color="auto"/>
        <w:right w:val="none" w:sz="0" w:space="0" w:color="auto"/>
      </w:divBdr>
    </w:div>
    <w:div w:id="868417986">
      <w:marLeft w:val="0"/>
      <w:marRight w:val="0"/>
      <w:marTop w:val="0"/>
      <w:marBottom w:val="120"/>
      <w:divBdr>
        <w:top w:val="none" w:sz="0" w:space="0" w:color="auto"/>
        <w:left w:val="none" w:sz="0" w:space="0" w:color="auto"/>
        <w:bottom w:val="none" w:sz="0" w:space="0" w:color="auto"/>
        <w:right w:val="none" w:sz="0" w:space="0" w:color="auto"/>
      </w:divBdr>
    </w:div>
    <w:div w:id="869418507">
      <w:marLeft w:val="0"/>
      <w:marRight w:val="0"/>
      <w:marTop w:val="0"/>
      <w:marBottom w:val="240"/>
      <w:divBdr>
        <w:top w:val="none" w:sz="0" w:space="0" w:color="auto"/>
        <w:left w:val="none" w:sz="0" w:space="0" w:color="auto"/>
        <w:bottom w:val="none" w:sz="0" w:space="0" w:color="auto"/>
        <w:right w:val="none" w:sz="0" w:space="0" w:color="auto"/>
      </w:divBdr>
      <w:divsChild>
        <w:div w:id="670718338">
          <w:marLeft w:val="0"/>
          <w:marRight w:val="0"/>
          <w:marTop w:val="0"/>
          <w:marBottom w:val="0"/>
          <w:divBdr>
            <w:top w:val="none" w:sz="0" w:space="0" w:color="auto"/>
            <w:left w:val="none" w:sz="0" w:space="0" w:color="auto"/>
            <w:bottom w:val="none" w:sz="0" w:space="0" w:color="auto"/>
            <w:right w:val="none" w:sz="0" w:space="0" w:color="auto"/>
          </w:divBdr>
        </w:div>
        <w:div w:id="1900244655">
          <w:marLeft w:val="0"/>
          <w:marRight w:val="0"/>
          <w:marTop w:val="0"/>
          <w:marBottom w:val="0"/>
          <w:divBdr>
            <w:top w:val="none" w:sz="0" w:space="0" w:color="auto"/>
            <w:left w:val="none" w:sz="0" w:space="0" w:color="auto"/>
            <w:bottom w:val="none" w:sz="0" w:space="0" w:color="auto"/>
            <w:right w:val="none" w:sz="0" w:space="0" w:color="auto"/>
          </w:divBdr>
        </w:div>
        <w:div w:id="1767001280">
          <w:marLeft w:val="0"/>
          <w:marRight w:val="0"/>
          <w:marTop w:val="0"/>
          <w:marBottom w:val="0"/>
          <w:divBdr>
            <w:top w:val="none" w:sz="0" w:space="0" w:color="auto"/>
            <w:left w:val="none" w:sz="0" w:space="0" w:color="auto"/>
            <w:bottom w:val="none" w:sz="0" w:space="0" w:color="auto"/>
            <w:right w:val="none" w:sz="0" w:space="0" w:color="auto"/>
          </w:divBdr>
        </w:div>
        <w:div w:id="256253197">
          <w:marLeft w:val="0"/>
          <w:marRight w:val="0"/>
          <w:marTop w:val="0"/>
          <w:marBottom w:val="0"/>
          <w:divBdr>
            <w:top w:val="none" w:sz="0" w:space="0" w:color="auto"/>
            <w:left w:val="none" w:sz="0" w:space="0" w:color="auto"/>
            <w:bottom w:val="none" w:sz="0" w:space="0" w:color="auto"/>
            <w:right w:val="none" w:sz="0" w:space="0" w:color="auto"/>
          </w:divBdr>
        </w:div>
        <w:div w:id="38097612">
          <w:marLeft w:val="0"/>
          <w:marRight w:val="0"/>
          <w:marTop w:val="0"/>
          <w:marBottom w:val="0"/>
          <w:divBdr>
            <w:top w:val="none" w:sz="0" w:space="0" w:color="auto"/>
            <w:left w:val="none" w:sz="0" w:space="0" w:color="auto"/>
            <w:bottom w:val="none" w:sz="0" w:space="0" w:color="auto"/>
            <w:right w:val="none" w:sz="0" w:space="0" w:color="auto"/>
          </w:divBdr>
        </w:div>
      </w:divsChild>
    </w:div>
    <w:div w:id="869731379">
      <w:marLeft w:val="0"/>
      <w:marRight w:val="0"/>
      <w:marTop w:val="0"/>
      <w:marBottom w:val="0"/>
      <w:divBdr>
        <w:top w:val="none" w:sz="0" w:space="0" w:color="auto"/>
        <w:left w:val="none" w:sz="0" w:space="0" w:color="auto"/>
        <w:bottom w:val="none" w:sz="0" w:space="0" w:color="auto"/>
        <w:right w:val="none" w:sz="0" w:space="0" w:color="auto"/>
      </w:divBdr>
    </w:div>
    <w:div w:id="870924687">
      <w:marLeft w:val="0"/>
      <w:marRight w:val="0"/>
      <w:marTop w:val="0"/>
      <w:marBottom w:val="0"/>
      <w:divBdr>
        <w:top w:val="none" w:sz="0" w:space="0" w:color="auto"/>
        <w:left w:val="none" w:sz="0" w:space="0" w:color="auto"/>
        <w:bottom w:val="none" w:sz="0" w:space="0" w:color="auto"/>
        <w:right w:val="none" w:sz="0" w:space="0" w:color="auto"/>
      </w:divBdr>
    </w:div>
    <w:div w:id="871259360">
      <w:marLeft w:val="0"/>
      <w:marRight w:val="0"/>
      <w:marTop w:val="0"/>
      <w:marBottom w:val="240"/>
      <w:divBdr>
        <w:top w:val="none" w:sz="0" w:space="0" w:color="auto"/>
        <w:left w:val="none" w:sz="0" w:space="0" w:color="auto"/>
        <w:bottom w:val="none" w:sz="0" w:space="0" w:color="auto"/>
        <w:right w:val="none" w:sz="0" w:space="0" w:color="auto"/>
      </w:divBdr>
    </w:div>
    <w:div w:id="874199108">
      <w:marLeft w:val="0"/>
      <w:marRight w:val="0"/>
      <w:marTop w:val="100"/>
      <w:marBottom w:val="0"/>
      <w:divBdr>
        <w:top w:val="none" w:sz="0" w:space="0" w:color="auto"/>
        <w:left w:val="none" w:sz="0" w:space="0" w:color="auto"/>
        <w:bottom w:val="none" w:sz="0" w:space="0" w:color="auto"/>
        <w:right w:val="none" w:sz="0" w:space="0" w:color="auto"/>
      </w:divBdr>
    </w:div>
    <w:div w:id="876048934">
      <w:marLeft w:val="0"/>
      <w:marRight w:val="0"/>
      <w:marTop w:val="120"/>
      <w:marBottom w:val="240"/>
      <w:divBdr>
        <w:top w:val="none" w:sz="0" w:space="0" w:color="auto"/>
        <w:left w:val="none" w:sz="0" w:space="0" w:color="auto"/>
        <w:bottom w:val="none" w:sz="0" w:space="0" w:color="auto"/>
        <w:right w:val="none" w:sz="0" w:space="0" w:color="auto"/>
      </w:divBdr>
    </w:div>
    <w:div w:id="881329941">
      <w:marLeft w:val="0"/>
      <w:marRight w:val="0"/>
      <w:marTop w:val="0"/>
      <w:marBottom w:val="240"/>
      <w:divBdr>
        <w:top w:val="none" w:sz="0" w:space="0" w:color="auto"/>
        <w:left w:val="none" w:sz="0" w:space="0" w:color="auto"/>
        <w:bottom w:val="none" w:sz="0" w:space="0" w:color="auto"/>
        <w:right w:val="none" w:sz="0" w:space="0" w:color="auto"/>
      </w:divBdr>
    </w:div>
    <w:div w:id="882911806">
      <w:marLeft w:val="0"/>
      <w:marRight w:val="0"/>
      <w:marTop w:val="240"/>
      <w:marBottom w:val="0"/>
      <w:divBdr>
        <w:top w:val="none" w:sz="0" w:space="0" w:color="auto"/>
        <w:left w:val="none" w:sz="0" w:space="0" w:color="auto"/>
        <w:bottom w:val="none" w:sz="0" w:space="0" w:color="auto"/>
        <w:right w:val="none" w:sz="0" w:space="0" w:color="auto"/>
      </w:divBdr>
    </w:div>
    <w:div w:id="883907465">
      <w:marLeft w:val="0"/>
      <w:marRight w:val="0"/>
      <w:marTop w:val="100"/>
      <w:marBottom w:val="120"/>
      <w:divBdr>
        <w:top w:val="none" w:sz="0" w:space="0" w:color="auto"/>
        <w:left w:val="none" w:sz="0" w:space="0" w:color="auto"/>
        <w:bottom w:val="none" w:sz="0" w:space="0" w:color="auto"/>
        <w:right w:val="none" w:sz="0" w:space="0" w:color="auto"/>
      </w:divBdr>
    </w:div>
    <w:div w:id="884098779">
      <w:marLeft w:val="0"/>
      <w:marRight w:val="0"/>
      <w:marTop w:val="0"/>
      <w:marBottom w:val="240"/>
      <w:divBdr>
        <w:top w:val="none" w:sz="0" w:space="0" w:color="auto"/>
        <w:left w:val="none" w:sz="0" w:space="0" w:color="auto"/>
        <w:bottom w:val="none" w:sz="0" w:space="0" w:color="auto"/>
        <w:right w:val="none" w:sz="0" w:space="0" w:color="auto"/>
      </w:divBdr>
    </w:div>
    <w:div w:id="886994361">
      <w:marLeft w:val="0"/>
      <w:marRight w:val="0"/>
      <w:marTop w:val="240"/>
      <w:marBottom w:val="0"/>
      <w:divBdr>
        <w:top w:val="none" w:sz="0" w:space="0" w:color="auto"/>
        <w:left w:val="none" w:sz="0" w:space="0" w:color="auto"/>
        <w:bottom w:val="none" w:sz="0" w:space="0" w:color="auto"/>
        <w:right w:val="none" w:sz="0" w:space="0" w:color="auto"/>
      </w:divBdr>
    </w:div>
    <w:div w:id="887304826">
      <w:marLeft w:val="0"/>
      <w:marRight w:val="0"/>
      <w:marTop w:val="0"/>
      <w:marBottom w:val="0"/>
      <w:divBdr>
        <w:top w:val="none" w:sz="0" w:space="0" w:color="auto"/>
        <w:left w:val="none" w:sz="0" w:space="0" w:color="auto"/>
        <w:bottom w:val="none" w:sz="0" w:space="0" w:color="auto"/>
        <w:right w:val="none" w:sz="0" w:space="0" w:color="auto"/>
      </w:divBdr>
      <w:divsChild>
        <w:div w:id="1872500282">
          <w:marLeft w:val="0"/>
          <w:marRight w:val="0"/>
          <w:marTop w:val="0"/>
          <w:marBottom w:val="0"/>
          <w:divBdr>
            <w:top w:val="none" w:sz="0" w:space="0" w:color="auto"/>
            <w:left w:val="none" w:sz="0" w:space="0" w:color="auto"/>
            <w:bottom w:val="none" w:sz="0" w:space="0" w:color="auto"/>
            <w:right w:val="none" w:sz="0" w:space="0" w:color="auto"/>
          </w:divBdr>
        </w:div>
      </w:divsChild>
    </w:div>
    <w:div w:id="888297940">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sChild>
    </w:div>
    <w:div w:id="894899836">
      <w:marLeft w:val="0"/>
      <w:marRight w:val="0"/>
      <w:marTop w:val="0"/>
      <w:marBottom w:val="0"/>
      <w:divBdr>
        <w:top w:val="none" w:sz="0" w:space="0" w:color="auto"/>
        <w:left w:val="none" w:sz="0" w:space="0" w:color="auto"/>
        <w:bottom w:val="none" w:sz="0" w:space="0" w:color="auto"/>
        <w:right w:val="none" w:sz="0" w:space="0" w:color="auto"/>
      </w:divBdr>
    </w:div>
    <w:div w:id="897126482">
      <w:marLeft w:val="0"/>
      <w:marRight w:val="0"/>
      <w:marTop w:val="240"/>
      <w:marBottom w:val="0"/>
      <w:divBdr>
        <w:top w:val="none" w:sz="0" w:space="0" w:color="auto"/>
        <w:left w:val="none" w:sz="0" w:space="0" w:color="auto"/>
        <w:bottom w:val="none" w:sz="0" w:space="0" w:color="auto"/>
        <w:right w:val="none" w:sz="0" w:space="0" w:color="auto"/>
      </w:divBdr>
    </w:div>
    <w:div w:id="902301568">
      <w:marLeft w:val="0"/>
      <w:marRight w:val="0"/>
      <w:marTop w:val="240"/>
      <w:marBottom w:val="240"/>
      <w:divBdr>
        <w:top w:val="none" w:sz="0" w:space="0" w:color="auto"/>
        <w:left w:val="none" w:sz="0" w:space="0" w:color="auto"/>
        <w:bottom w:val="none" w:sz="0" w:space="0" w:color="auto"/>
        <w:right w:val="none" w:sz="0" w:space="0" w:color="auto"/>
      </w:divBdr>
    </w:div>
    <w:div w:id="902443671">
      <w:marLeft w:val="0"/>
      <w:marRight w:val="0"/>
      <w:marTop w:val="0"/>
      <w:marBottom w:val="0"/>
      <w:divBdr>
        <w:top w:val="none" w:sz="0" w:space="0" w:color="auto"/>
        <w:left w:val="none" w:sz="0" w:space="0" w:color="auto"/>
        <w:bottom w:val="none" w:sz="0" w:space="0" w:color="auto"/>
        <w:right w:val="none" w:sz="0" w:space="0" w:color="auto"/>
      </w:divBdr>
      <w:divsChild>
        <w:div w:id="2121760571">
          <w:marLeft w:val="0"/>
          <w:marRight w:val="0"/>
          <w:marTop w:val="0"/>
          <w:marBottom w:val="0"/>
          <w:divBdr>
            <w:top w:val="none" w:sz="0" w:space="0" w:color="auto"/>
            <w:left w:val="none" w:sz="0" w:space="0" w:color="auto"/>
            <w:bottom w:val="none" w:sz="0" w:space="0" w:color="auto"/>
            <w:right w:val="none" w:sz="0" w:space="0" w:color="auto"/>
          </w:divBdr>
        </w:div>
      </w:divsChild>
    </w:div>
    <w:div w:id="906306454">
      <w:marLeft w:val="0"/>
      <w:marRight w:val="0"/>
      <w:marTop w:val="0"/>
      <w:marBottom w:val="240"/>
      <w:divBdr>
        <w:top w:val="none" w:sz="0" w:space="0" w:color="auto"/>
        <w:left w:val="none" w:sz="0" w:space="0" w:color="auto"/>
        <w:bottom w:val="none" w:sz="0" w:space="0" w:color="auto"/>
        <w:right w:val="none" w:sz="0" w:space="0" w:color="auto"/>
      </w:divBdr>
    </w:div>
    <w:div w:id="906913678">
      <w:marLeft w:val="0"/>
      <w:marRight w:val="0"/>
      <w:marTop w:val="240"/>
      <w:marBottom w:val="0"/>
      <w:divBdr>
        <w:top w:val="none" w:sz="0" w:space="0" w:color="auto"/>
        <w:left w:val="none" w:sz="0" w:space="0" w:color="auto"/>
        <w:bottom w:val="none" w:sz="0" w:space="0" w:color="auto"/>
        <w:right w:val="none" w:sz="0" w:space="0" w:color="auto"/>
      </w:divBdr>
    </w:div>
    <w:div w:id="909002809">
      <w:marLeft w:val="0"/>
      <w:marRight w:val="0"/>
      <w:marTop w:val="240"/>
      <w:marBottom w:val="0"/>
      <w:divBdr>
        <w:top w:val="none" w:sz="0" w:space="0" w:color="auto"/>
        <w:left w:val="none" w:sz="0" w:space="0" w:color="auto"/>
        <w:bottom w:val="none" w:sz="0" w:space="0" w:color="auto"/>
        <w:right w:val="none" w:sz="0" w:space="0" w:color="auto"/>
      </w:divBdr>
    </w:div>
    <w:div w:id="909851140">
      <w:marLeft w:val="0"/>
      <w:marRight w:val="0"/>
      <w:marTop w:val="0"/>
      <w:marBottom w:val="0"/>
      <w:divBdr>
        <w:top w:val="none" w:sz="0" w:space="0" w:color="auto"/>
        <w:left w:val="none" w:sz="0" w:space="0" w:color="auto"/>
        <w:bottom w:val="none" w:sz="0" w:space="0" w:color="auto"/>
        <w:right w:val="none" w:sz="0" w:space="0" w:color="auto"/>
      </w:divBdr>
      <w:divsChild>
        <w:div w:id="865098590">
          <w:marLeft w:val="0"/>
          <w:marRight w:val="0"/>
          <w:marTop w:val="0"/>
          <w:marBottom w:val="0"/>
          <w:divBdr>
            <w:top w:val="none" w:sz="0" w:space="0" w:color="auto"/>
            <w:left w:val="none" w:sz="0" w:space="0" w:color="auto"/>
            <w:bottom w:val="none" w:sz="0" w:space="0" w:color="auto"/>
            <w:right w:val="none" w:sz="0" w:space="0" w:color="auto"/>
          </w:divBdr>
        </w:div>
      </w:divsChild>
    </w:div>
    <w:div w:id="912664929">
      <w:marLeft w:val="0"/>
      <w:marRight w:val="0"/>
      <w:marTop w:val="0"/>
      <w:marBottom w:val="240"/>
      <w:divBdr>
        <w:top w:val="none" w:sz="0" w:space="0" w:color="auto"/>
        <w:left w:val="none" w:sz="0" w:space="0" w:color="auto"/>
        <w:bottom w:val="none" w:sz="0" w:space="0" w:color="auto"/>
        <w:right w:val="none" w:sz="0" w:space="0" w:color="auto"/>
      </w:divBdr>
    </w:div>
    <w:div w:id="913202842">
      <w:marLeft w:val="0"/>
      <w:marRight w:val="0"/>
      <w:marTop w:val="240"/>
      <w:marBottom w:val="0"/>
      <w:divBdr>
        <w:top w:val="none" w:sz="0" w:space="0" w:color="auto"/>
        <w:left w:val="none" w:sz="0" w:space="0" w:color="auto"/>
        <w:bottom w:val="none" w:sz="0" w:space="0" w:color="auto"/>
        <w:right w:val="none" w:sz="0" w:space="0" w:color="auto"/>
      </w:divBdr>
    </w:div>
    <w:div w:id="913390426">
      <w:marLeft w:val="0"/>
      <w:marRight w:val="0"/>
      <w:marTop w:val="0"/>
      <w:marBottom w:val="240"/>
      <w:divBdr>
        <w:top w:val="none" w:sz="0" w:space="0" w:color="auto"/>
        <w:left w:val="none" w:sz="0" w:space="0" w:color="auto"/>
        <w:bottom w:val="none" w:sz="0" w:space="0" w:color="auto"/>
        <w:right w:val="none" w:sz="0" w:space="0" w:color="auto"/>
      </w:divBdr>
    </w:div>
    <w:div w:id="913668104">
      <w:marLeft w:val="0"/>
      <w:marRight w:val="0"/>
      <w:marTop w:val="0"/>
      <w:marBottom w:val="240"/>
      <w:divBdr>
        <w:top w:val="none" w:sz="0" w:space="0" w:color="auto"/>
        <w:left w:val="none" w:sz="0" w:space="0" w:color="auto"/>
        <w:bottom w:val="none" w:sz="0" w:space="0" w:color="auto"/>
        <w:right w:val="none" w:sz="0" w:space="0" w:color="auto"/>
      </w:divBdr>
    </w:div>
    <w:div w:id="914778619">
      <w:marLeft w:val="0"/>
      <w:marRight w:val="0"/>
      <w:marTop w:val="240"/>
      <w:marBottom w:val="120"/>
      <w:divBdr>
        <w:top w:val="none" w:sz="0" w:space="0" w:color="auto"/>
        <w:left w:val="none" w:sz="0" w:space="0" w:color="auto"/>
        <w:bottom w:val="none" w:sz="0" w:space="0" w:color="auto"/>
        <w:right w:val="none" w:sz="0" w:space="0" w:color="auto"/>
      </w:divBdr>
    </w:div>
    <w:div w:id="915163197">
      <w:marLeft w:val="0"/>
      <w:marRight w:val="0"/>
      <w:marTop w:val="0"/>
      <w:marBottom w:val="0"/>
      <w:divBdr>
        <w:top w:val="none" w:sz="0" w:space="0" w:color="auto"/>
        <w:left w:val="none" w:sz="0" w:space="0" w:color="auto"/>
        <w:bottom w:val="none" w:sz="0" w:space="0" w:color="auto"/>
        <w:right w:val="none" w:sz="0" w:space="0" w:color="auto"/>
      </w:divBdr>
    </w:div>
    <w:div w:id="919173003">
      <w:marLeft w:val="0"/>
      <w:marRight w:val="0"/>
      <w:marTop w:val="0"/>
      <w:marBottom w:val="0"/>
      <w:divBdr>
        <w:top w:val="none" w:sz="0" w:space="0" w:color="auto"/>
        <w:left w:val="none" w:sz="0" w:space="0" w:color="auto"/>
        <w:bottom w:val="none" w:sz="0" w:space="0" w:color="auto"/>
        <w:right w:val="none" w:sz="0" w:space="0" w:color="auto"/>
      </w:divBdr>
      <w:divsChild>
        <w:div w:id="575483308">
          <w:marLeft w:val="0"/>
          <w:marRight w:val="0"/>
          <w:marTop w:val="0"/>
          <w:marBottom w:val="0"/>
          <w:divBdr>
            <w:top w:val="none" w:sz="0" w:space="0" w:color="auto"/>
            <w:left w:val="none" w:sz="0" w:space="0" w:color="auto"/>
            <w:bottom w:val="none" w:sz="0" w:space="0" w:color="auto"/>
            <w:right w:val="none" w:sz="0" w:space="0" w:color="auto"/>
          </w:divBdr>
        </w:div>
      </w:divsChild>
    </w:div>
    <w:div w:id="927999205">
      <w:marLeft w:val="0"/>
      <w:marRight w:val="0"/>
      <w:marTop w:val="0"/>
      <w:marBottom w:val="240"/>
      <w:divBdr>
        <w:top w:val="none" w:sz="0" w:space="0" w:color="auto"/>
        <w:left w:val="none" w:sz="0" w:space="0" w:color="auto"/>
        <w:bottom w:val="none" w:sz="0" w:space="0" w:color="auto"/>
        <w:right w:val="none" w:sz="0" w:space="0" w:color="auto"/>
      </w:divBdr>
    </w:div>
    <w:div w:id="932053573">
      <w:marLeft w:val="0"/>
      <w:marRight w:val="0"/>
      <w:marTop w:val="0"/>
      <w:marBottom w:val="0"/>
      <w:divBdr>
        <w:top w:val="none" w:sz="0" w:space="0" w:color="auto"/>
        <w:left w:val="none" w:sz="0" w:space="0" w:color="auto"/>
        <w:bottom w:val="none" w:sz="0" w:space="0" w:color="auto"/>
        <w:right w:val="none" w:sz="0" w:space="0" w:color="auto"/>
      </w:divBdr>
      <w:divsChild>
        <w:div w:id="837814311">
          <w:marLeft w:val="0"/>
          <w:marRight w:val="0"/>
          <w:marTop w:val="0"/>
          <w:marBottom w:val="0"/>
          <w:divBdr>
            <w:top w:val="none" w:sz="0" w:space="0" w:color="auto"/>
            <w:left w:val="none" w:sz="0" w:space="0" w:color="auto"/>
            <w:bottom w:val="none" w:sz="0" w:space="0" w:color="auto"/>
            <w:right w:val="none" w:sz="0" w:space="0" w:color="auto"/>
          </w:divBdr>
        </w:div>
      </w:divsChild>
    </w:div>
    <w:div w:id="939987580">
      <w:marLeft w:val="0"/>
      <w:marRight w:val="0"/>
      <w:marTop w:val="0"/>
      <w:marBottom w:val="0"/>
      <w:divBdr>
        <w:top w:val="none" w:sz="0" w:space="0" w:color="auto"/>
        <w:left w:val="none" w:sz="0" w:space="0" w:color="auto"/>
        <w:bottom w:val="none" w:sz="0" w:space="0" w:color="auto"/>
        <w:right w:val="none" w:sz="0" w:space="0" w:color="auto"/>
      </w:divBdr>
      <w:divsChild>
        <w:div w:id="1629628544">
          <w:marLeft w:val="0"/>
          <w:marRight w:val="0"/>
          <w:marTop w:val="0"/>
          <w:marBottom w:val="0"/>
          <w:divBdr>
            <w:top w:val="none" w:sz="0" w:space="0" w:color="auto"/>
            <w:left w:val="none" w:sz="0" w:space="0" w:color="auto"/>
            <w:bottom w:val="none" w:sz="0" w:space="0" w:color="auto"/>
            <w:right w:val="none" w:sz="0" w:space="0" w:color="auto"/>
          </w:divBdr>
        </w:div>
      </w:divsChild>
    </w:div>
    <w:div w:id="942540393">
      <w:marLeft w:val="0"/>
      <w:marRight w:val="0"/>
      <w:marTop w:val="0"/>
      <w:marBottom w:val="240"/>
      <w:divBdr>
        <w:top w:val="none" w:sz="0" w:space="0" w:color="auto"/>
        <w:left w:val="none" w:sz="0" w:space="0" w:color="auto"/>
        <w:bottom w:val="none" w:sz="0" w:space="0" w:color="auto"/>
        <w:right w:val="none" w:sz="0" w:space="0" w:color="auto"/>
      </w:divBdr>
    </w:div>
    <w:div w:id="945619523">
      <w:marLeft w:val="0"/>
      <w:marRight w:val="0"/>
      <w:marTop w:val="240"/>
      <w:marBottom w:val="0"/>
      <w:divBdr>
        <w:top w:val="none" w:sz="0" w:space="0" w:color="auto"/>
        <w:left w:val="none" w:sz="0" w:space="0" w:color="auto"/>
        <w:bottom w:val="none" w:sz="0" w:space="0" w:color="auto"/>
        <w:right w:val="none" w:sz="0" w:space="0" w:color="auto"/>
      </w:divBdr>
    </w:div>
    <w:div w:id="946161094">
      <w:marLeft w:val="0"/>
      <w:marRight w:val="0"/>
      <w:marTop w:val="240"/>
      <w:marBottom w:val="0"/>
      <w:divBdr>
        <w:top w:val="none" w:sz="0" w:space="0" w:color="auto"/>
        <w:left w:val="none" w:sz="0" w:space="0" w:color="auto"/>
        <w:bottom w:val="none" w:sz="0" w:space="0" w:color="auto"/>
        <w:right w:val="none" w:sz="0" w:space="0" w:color="auto"/>
      </w:divBdr>
    </w:div>
    <w:div w:id="947010424">
      <w:marLeft w:val="0"/>
      <w:marRight w:val="0"/>
      <w:marTop w:val="240"/>
      <w:marBottom w:val="0"/>
      <w:divBdr>
        <w:top w:val="none" w:sz="0" w:space="0" w:color="auto"/>
        <w:left w:val="none" w:sz="0" w:space="0" w:color="auto"/>
        <w:bottom w:val="none" w:sz="0" w:space="0" w:color="auto"/>
        <w:right w:val="none" w:sz="0" w:space="0" w:color="auto"/>
      </w:divBdr>
    </w:div>
    <w:div w:id="949703248">
      <w:marLeft w:val="0"/>
      <w:marRight w:val="0"/>
      <w:marTop w:val="0"/>
      <w:marBottom w:val="240"/>
      <w:divBdr>
        <w:top w:val="none" w:sz="0" w:space="0" w:color="auto"/>
        <w:left w:val="none" w:sz="0" w:space="0" w:color="auto"/>
        <w:bottom w:val="none" w:sz="0" w:space="0" w:color="auto"/>
        <w:right w:val="none" w:sz="0" w:space="0" w:color="auto"/>
      </w:divBdr>
    </w:div>
    <w:div w:id="950405694">
      <w:marLeft w:val="0"/>
      <w:marRight w:val="0"/>
      <w:marTop w:val="0"/>
      <w:marBottom w:val="0"/>
      <w:divBdr>
        <w:top w:val="none" w:sz="0" w:space="0" w:color="auto"/>
        <w:left w:val="none" w:sz="0" w:space="0" w:color="auto"/>
        <w:bottom w:val="none" w:sz="0" w:space="0" w:color="auto"/>
        <w:right w:val="none" w:sz="0" w:space="0" w:color="auto"/>
      </w:divBdr>
    </w:div>
    <w:div w:id="955217403">
      <w:marLeft w:val="0"/>
      <w:marRight w:val="0"/>
      <w:marTop w:val="0"/>
      <w:marBottom w:val="0"/>
      <w:divBdr>
        <w:top w:val="none" w:sz="0" w:space="0" w:color="auto"/>
        <w:left w:val="none" w:sz="0" w:space="0" w:color="auto"/>
        <w:bottom w:val="none" w:sz="0" w:space="0" w:color="auto"/>
        <w:right w:val="none" w:sz="0" w:space="0" w:color="auto"/>
      </w:divBdr>
    </w:div>
    <w:div w:id="955866737">
      <w:marLeft w:val="0"/>
      <w:marRight w:val="0"/>
      <w:marTop w:val="0"/>
      <w:marBottom w:val="120"/>
      <w:divBdr>
        <w:top w:val="none" w:sz="0" w:space="0" w:color="auto"/>
        <w:left w:val="none" w:sz="0" w:space="0" w:color="auto"/>
        <w:bottom w:val="none" w:sz="0" w:space="0" w:color="auto"/>
        <w:right w:val="none" w:sz="0" w:space="0" w:color="auto"/>
      </w:divBdr>
    </w:div>
    <w:div w:id="958687504">
      <w:marLeft w:val="0"/>
      <w:marRight w:val="0"/>
      <w:marTop w:val="0"/>
      <w:marBottom w:val="120"/>
      <w:divBdr>
        <w:top w:val="none" w:sz="0" w:space="0" w:color="auto"/>
        <w:left w:val="none" w:sz="0" w:space="0" w:color="auto"/>
        <w:bottom w:val="none" w:sz="0" w:space="0" w:color="auto"/>
        <w:right w:val="none" w:sz="0" w:space="0" w:color="auto"/>
      </w:divBdr>
    </w:div>
    <w:div w:id="962494111">
      <w:marLeft w:val="0"/>
      <w:marRight w:val="0"/>
      <w:marTop w:val="240"/>
      <w:marBottom w:val="0"/>
      <w:divBdr>
        <w:top w:val="none" w:sz="0" w:space="0" w:color="auto"/>
        <w:left w:val="none" w:sz="0" w:space="0" w:color="auto"/>
        <w:bottom w:val="none" w:sz="0" w:space="0" w:color="auto"/>
        <w:right w:val="none" w:sz="0" w:space="0" w:color="auto"/>
      </w:divBdr>
    </w:div>
    <w:div w:id="963265600">
      <w:marLeft w:val="0"/>
      <w:marRight w:val="0"/>
      <w:marTop w:val="100"/>
      <w:marBottom w:val="0"/>
      <w:divBdr>
        <w:top w:val="none" w:sz="0" w:space="0" w:color="auto"/>
        <w:left w:val="none" w:sz="0" w:space="0" w:color="auto"/>
        <w:bottom w:val="none" w:sz="0" w:space="0" w:color="auto"/>
        <w:right w:val="none" w:sz="0" w:space="0" w:color="auto"/>
      </w:divBdr>
    </w:div>
    <w:div w:id="969943167">
      <w:marLeft w:val="0"/>
      <w:marRight w:val="0"/>
      <w:marTop w:val="240"/>
      <w:marBottom w:val="0"/>
      <w:divBdr>
        <w:top w:val="none" w:sz="0" w:space="0" w:color="auto"/>
        <w:left w:val="none" w:sz="0" w:space="0" w:color="auto"/>
        <w:bottom w:val="none" w:sz="0" w:space="0" w:color="auto"/>
        <w:right w:val="none" w:sz="0" w:space="0" w:color="auto"/>
      </w:divBdr>
    </w:div>
    <w:div w:id="975527091">
      <w:marLeft w:val="0"/>
      <w:marRight w:val="0"/>
      <w:marTop w:val="0"/>
      <w:marBottom w:val="0"/>
      <w:divBdr>
        <w:top w:val="none" w:sz="0" w:space="0" w:color="auto"/>
        <w:left w:val="none" w:sz="0" w:space="0" w:color="auto"/>
        <w:bottom w:val="none" w:sz="0" w:space="0" w:color="auto"/>
        <w:right w:val="none" w:sz="0" w:space="0" w:color="auto"/>
      </w:divBdr>
      <w:divsChild>
        <w:div w:id="1308126731">
          <w:marLeft w:val="0"/>
          <w:marRight w:val="0"/>
          <w:marTop w:val="0"/>
          <w:marBottom w:val="0"/>
          <w:divBdr>
            <w:top w:val="none" w:sz="0" w:space="0" w:color="auto"/>
            <w:left w:val="none" w:sz="0" w:space="0" w:color="auto"/>
            <w:bottom w:val="none" w:sz="0" w:space="0" w:color="auto"/>
            <w:right w:val="none" w:sz="0" w:space="0" w:color="auto"/>
          </w:divBdr>
        </w:div>
      </w:divsChild>
    </w:div>
    <w:div w:id="981037226">
      <w:marLeft w:val="0"/>
      <w:marRight w:val="0"/>
      <w:marTop w:val="240"/>
      <w:marBottom w:val="0"/>
      <w:divBdr>
        <w:top w:val="none" w:sz="0" w:space="0" w:color="auto"/>
        <w:left w:val="none" w:sz="0" w:space="0" w:color="auto"/>
        <w:bottom w:val="none" w:sz="0" w:space="0" w:color="auto"/>
        <w:right w:val="none" w:sz="0" w:space="0" w:color="auto"/>
      </w:divBdr>
    </w:div>
    <w:div w:id="982849481">
      <w:marLeft w:val="0"/>
      <w:marRight w:val="0"/>
      <w:marTop w:val="240"/>
      <w:marBottom w:val="240"/>
      <w:divBdr>
        <w:top w:val="none" w:sz="0" w:space="0" w:color="auto"/>
        <w:left w:val="none" w:sz="0" w:space="0" w:color="auto"/>
        <w:bottom w:val="none" w:sz="0" w:space="0" w:color="auto"/>
        <w:right w:val="none" w:sz="0" w:space="0" w:color="auto"/>
      </w:divBdr>
    </w:div>
    <w:div w:id="983048905">
      <w:marLeft w:val="0"/>
      <w:marRight w:val="0"/>
      <w:marTop w:val="240"/>
      <w:marBottom w:val="0"/>
      <w:divBdr>
        <w:top w:val="none" w:sz="0" w:space="0" w:color="auto"/>
        <w:left w:val="none" w:sz="0" w:space="0" w:color="auto"/>
        <w:bottom w:val="none" w:sz="0" w:space="0" w:color="auto"/>
        <w:right w:val="none" w:sz="0" w:space="0" w:color="auto"/>
      </w:divBdr>
    </w:div>
    <w:div w:id="986592605">
      <w:marLeft w:val="0"/>
      <w:marRight w:val="0"/>
      <w:marTop w:val="0"/>
      <w:marBottom w:val="60"/>
      <w:divBdr>
        <w:top w:val="none" w:sz="0" w:space="0" w:color="auto"/>
        <w:left w:val="none" w:sz="0" w:space="0" w:color="auto"/>
        <w:bottom w:val="none" w:sz="0" w:space="0" w:color="auto"/>
        <w:right w:val="none" w:sz="0" w:space="0" w:color="auto"/>
      </w:divBdr>
    </w:div>
    <w:div w:id="991055861">
      <w:marLeft w:val="0"/>
      <w:marRight w:val="0"/>
      <w:marTop w:val="240"/>
      <w:marBottom w:val="0"/>
      <w:divBdr>
        <w:top w:val="none" w:sz="0" w:space="0" w:color="auto"/>
        <w:left w:val="none" w:sz="0" w:space="0" w:color="auto"/>
        <w:bottom w:val="none" w:sz="0" w:space="0" w:color="auto"/>
        <w:right w:val="none" w:sz="0" w:space="0" w:color="auto"/>
      </w:divBdr>
    </w:div>
    <w:div w:id="991063330">
      <w:marLeft w:val="0"/>
      <w:marRight w:val="0"/>
      <w:marTop w:val="240"/>
      <w:marBottom w:val="240"/>
      <w:divBdr>
        <w:top w:val="none" w:sz="0" w:space="0" w:color="auto"/>
        <w:left w:val="none" w:sz="0" w:space="0" w:color="auto"/>
        <w:bottom w:val="none" w:sz="0" w:space="0" w:color="auto"/>
        <w:right w:val="none" w:sz="0" w:space="0" w:color="auto"/>
      </w:divBdr>
    </w:div>
    <w:div w:id="992217633">
      <w:marLeft w:val="0"/>
      <w:marRight w:val="0"/>
      <w:marTop w:val="0"/>
      <w:marBottom w:val="0"/>
      <w:divBdr>
        <w:top w:val="none" w:sz="0" w:space="0" w:color="auto"/>
        <w:left w:val="none" w:sz="0" w:space="0" w:color="auto"/>
        <w:bottom w:val="none" w:sz="0" w:space="0" w:color="auto"/>
        <w:right w:val="none" w:sz="0" w:space="0" w:color="auto"/>
      </w:divBdr>
    </w:div>
    <w:div w:id="992484021">
      <w:marLeft w:val="0"/>
      <w:marRight w:val="0"/>
      <w:marTop w:val="240"/>
      <w:marBottom w:val="0"/>
      <w:divBdr>
        <w:top w:val="none" w:sz="0" w:space="0" w:color="auto"/>
        <w:left w:val="none" w:sz="0" w:space="0" w:color="auto"/>
        <w:bottom w:val="none" w:sz="0" w:space="0" w:color="auto"/>
        <w:right w:val="none" w:sz="0" w:space="0" w:color="auto"/>
      </w:divBdr>
    </w:div>
    <w:div w:id="994796367">
      <w:marLeft w:val="0"/>
      <w:marRight w:val="0"/>
      <w:marTop w:val="240"/>
      <w:marBottom w:val="240"/>
      <w:divBdr>
        <w:top w:val="none" w:sz="0" w:space="0" w:color="auto"/>
        <w:left w:val="none" w:sz="0" w:space="0" w:color="auto"/>
        <w:bottom w:val="none" w:sz="0" w:space="0" w:color="auto"/>
        <w:right w:val="none" w:sz="0" w:space="0" w:color="auto"/>
      </w:divBdr>
    </w:div>
    <w:div w:id="994918047">
      <w:marLeft w:val="0"/>
      <w:marRight w:val="0"/>
      <w:marTop w:val="120"/>
      <w:marBottom w:val="240"/>
      <w:divBdr>
        <w:top w:val="none" w:sz="0" w:space="0" w:color="auto"/>
        <w:left w:val="none" w:sz="0" w:space="0" w:color="auto"/>
        <w:bottom w:val="none" w:sz="0" w:space="0" w:color="auto"/>
        <w:right w:val="none" w:sz="0" w:space="0" w:color="auto"/>
      </w:divBdr>
    </w:div>
    <w:div w:id="996227640">
      <w:marLeft w:val="0"/>
      <w:marRight w:val="0"/>
      <w:marTop w:val="240"/>
      <w:marBottom w:val="0"/>
      <w:divBdr>
        <w:top w:val="none" w:sz="0" w:space="0" w:color="auto"/>
        <w:left w:val="none" w:sz="0" w:space="0" w:color="auto"/>
        <w:bottom w:val="none" w:sz="0" w:space="0" w:color="auto"/>
        <w:right w:val="none" w:sz="0" w:space="0" w:color="auto"/>
      </w:divBdr>
    </w:div>
    <w:div w:id="997655044">
      <w:marLeft w:val="0"/>
      <w:marRight w:val="0"/>
      <w:marTop w:val="0"/>
      <w:marBottom w:val="0"/>
      <w:divBdr>
        <w:top w:val="none" w:sz="0" w:space="0" w:color="auto"/>
        <w:left w:val="none" w:sz="0" w:space="0" w:color="auto"/>
        <w:bottom w:val="none" w:sz="0" w:space="0" w:color="auto"/>
        <w:right w:val="none" w:sz="0" w:space="0" w:color="auto"/>
      </w:divBdr>
      <w:divsChild>
        <w:div w:id="2116705465">
          <w:marLeft w:val="0"/>
          <w:marRight w:val="0"/>
          <w:marTop w:val="0"/>
          <w:marBottom w:val="0"/>
          <w:divBdr>
            <w:top w:val="none" w:sz="0" w:space="0" w:color="auto"/>
            <w:left w:val="none" w:sz="0" w:space="0" w:color="auto"/>
            <w:bottom w:val="none" w:sz="0" w:space="0" w:color="auto"/>
            <w:right w:val="none" w:sz="0" w:space="0" w:color="auto"/>
          </w:divBdr>
        </w:div>
      </w:divsChild>
    </w:div>
    <w:div w:id="1002929745">
      <w:marLeft w:val="0"/>
      <w:marRight w:val="0"/>
      <w:marTop w:val="0"/>
      <w:marBottom w:val="240"/>
      <w:divBdr>
        <w:top w:val="none" w:sz="0" w:space="0" w:color="auto"/>
        <w:left w:val="none" w:sz="0" w:space="0" w:color="auto"/>
        <w:bottom w:val="none" w:sz="0" w:space="0" w:color="auto"/>
        <w:right w:val="none" w:sz="0" w:space="0" w:color="auto"/>
      </w:divBdr>
    </w:div>
    <w:div w:id="1004819890">
      <w:marLeft w:val="0"/>
      <w:marRight w:val="0"/>
      <w:marTop w:val="0"/>
      <w:marBottom w:val="0"/>
      <w:divBdr>
        <w:top w:val="none" w:sz="0" w:space="0" w:color="auto"/>
        <w:left w:val="none" w:sz="0" w:space="0" w:color="auto"/>
        <w:bottom w:val="none" w:sz="0" w:space="0" w:color="auto"/>
        <w:right w:val="none" w:sz="0" w:space="0" w:color="auto"/>
      </w:divBdr>
      <w:divsChild>
        <w:div w:id="877739544">
          <w:marLeft w:val="0"/>
          <w:marRight w:val="0"/>
          <w:marTop w:val="0"/>
          <w:marBottom w:val="0"/>
          <w:divBdr>
            <w:top w:val="none" w:sz="0" w:space="0" w:color="auto"/>
            <w:left w:val="none" w:sz="0" w:space="0" w:color="auto"/>
            <w:bottom w:val="none" w:sz="0" w:space="0" w:color="auto"/>
            <w:right w:val="none" w:sz="0" w:space="0" w:color="auto"/>
          </w:divBdr>
        </w:div>
      </w:divsChild>
    </w:div>
    <w:div w:id="1005598334">
      <w:marLeft w:val="0"/>
      <w:marRight w:val="0"/>
      <w:marTop w:val="240"/>
      <w:marBottom w:val="0"/>
      <w:divBdr>
        <w:top w:val="none" w:sz="0" w:space="0" w:color="auto"/>
        <w:left w:val="none" w:sz="0" w:space="0" w:color="auto"/>
        <w:bottom w:val="none" w:sz="0" w:space="0" w:color="auto"/>
        <w:right w:val="none" w:sz="0" w:space="0" w:color="auto"/>
      </w:divBdr>
    </w:div>
    <w:div w:id="1007096619">
      <w:marLeft w:val="0"/>
      <w:marRight w:val="0"/>
      <w:marTop w:val="240"/>
      <w:marBottom w:val="0"/>
      <w:divBdr>
        <w:top w:val="none" w:sz="0" w:space="0" w:color="auto"/>
        <w:left w:val="none" w:sz="0" w:space="0" w:color="auto"/>
        <w:bottom w:val="none" w:sz="0" w:space="0" w:color="auto"/>
        <w:right w:val="none" w:sz="0" w:space="0" w:color="auto"/>
      </w:divBdr>
    </w:div>
    <w:div w:id="1007172000">
      <w:marLeft w:val="0"/>
      <w:marRight w:val="0"/>
      <w:marTop w:val="0"/>
      <w:marBottom w:val="0"/>
      <w:divBdr>
        <w:top w:val="none" w:sz="0" w:space="0" w:color="auto"/>
        <w:left w:val="none" w:sz="0" w:space="0" w:color="auto"/>
        <w:bottom w:val="none" w:sz="0" w:space="0" w:color="auto"/>
        <w:right w:val="none" w:sz="0" w:space="0" w:color="auto"/>
      </w:divBdr>
      <w:divsChild>
        <w:div w:id="1589004291">
          <w:marLeft w:val="0"/>
          <w:marRight w:val="0"/>
          <w:marTop w:val="0"/>
          <w:marBottom w:val="0"/>
          <w:divBdr>
            <w:top w:val="none" w:sz="0" w:space="0" w:color="auto"/>
            <w:left w:val="none" w:sz="0" w:space="0" w:color="auto"/>
            <w:bottom w:val="none" w:sz="0" w:space="0" w:color="auto"/>
            <w:right w:val="none" w:sz="0" w:space="0" w:color="auto"/>
          </w:divBdr>
        </w:div>
      </w:divsChild>
    </w:div>
    <w:div w:id="1007902921">
      <w:marLeft w:val="0"/>
      <w:marRight w:val="0"/>
      <w:marTop w:val="0"/>
      <w:marBottom w:val="0"/>
      <w:divBdr>
        <w:top w:val="none" w:sz="0" w:space="0" w:color="auto"/>
        <w:left w:val="none" w:sz="0" w:space="0" w:color="auto"/>
        <w:bottom w:val="none" w:sz="0" w:space="0" w:color="auto"/>
        <w:right w:val="none" w:sz="0" w:space="0" w:color="auto"/>
      </w:divBdr>
    </w:div>
    <w:div w:id="1009451514">
      <w:marLeft w:val="0"/>
      <w:marRight w:val="0"/>
      <w:marTop w:val="0"/>
      <w:marBottom w:val="0"/>
      <w:divBdr>
        <w:top w:val="none" w:sz="0" w:space="0" w:color="auto"/>
        <w:left w:val="none" w:sz="0" w:space="0" w:color="auto"/>
        <w:bottom w:val="none" w:sz="0" w:space="0" w:color="auto"/>
        <w:right w:val="none" w:sz="0" w:space="0" w:color="auto"/>
      </w:divBdr>
      <w:divsChild>
        <w:div w:id="1603604629">
          <w:marLeft w:val="0"/>
          <w:marRight w:val="0"/>
          <w:marTop w:val="0"/>
          <w:marBottom w:val="0"/>
          <w:divBdr>
            <w:top w:val="none" w:sz="0" w:space="0" w:color="auto"/>
            <w:left w:val="none" w:sz="0" w:space="0" w:color="auto"/>
            <w:bottom w:val="none" w:sz="0" w:space="0" w:color="auto"/>
            <w:right w:val="none" w:sz="0" w:space="0" w:color="auto"/>
          </w:divBdr>
        </w:div>
      </w:divsChild>
    </w:div>
    <w:div w:id="1009525713">
      <w:marLeft w:val="0"/>
      <w:marRight w:val="0"/>
      <w:marTop w:val="0"/>
      <w:marBottom w:val="0"/>
      <w:divBdr>
        <w:top w:val="none" w:sz="0" w:space="0" w:color="auto"/>
        <w:left w:val="none" w:sz="0" w:space="0" w:color="auto"/>
        <w:bottom w:val="none" w:sz="0" w:space="0" w:color="auto"/>
        <w:right w:val="none" w:sz="0" w:space="0" w:color="auto"/>
      </w:divBdr>
      <w:divsChild>
        <w:div w:id="1453205391">
          <w:marLeft w:val="0"/>
          <w:marRight w:val="0"/>
          <w:marTop w:val="0"/>
          <w:marBottom w:val="0"/>
          <w:divBdr>
            <w:top w:val="none" w:sz="0" w:space="0" w:color="auto"/>
            <w:left w:val="none" w:sz="0" w:space="0" w:color="auto"/>
            <w:bottom w:val="none" w:sz="0" w:space="0" w:color="auto"/>
            <w:right w:val="none" w:sz="0" w:space="0" w:color="auto"/>
          </w:divBdr>
        </w:div>
      </w:divsChild>
    </w:div>
    <w:div w:id="1012340616">
      <w:marLeft w:val="0"/>
      <w:marRight w:val="0"/>
      <w:marTop w:val="0"/>
      <w:marBottom w:val="240"/>
      <w:divBdr>
        <w:top w:val="none" w:sz="0" w:space="0" w:color="auto"/>
        <w:left w:val="none" w:sz="0" w:space="0" w:color="auto"/>
        <w:bottom w:val="none" w:sz="0" w:space="0" w:color="auto"/>
        <w:right w:val="none" w:sz="0" w:space="0" w:color="auto"/>
      </w:divBdr>
    </w:div>
    <w:div w:id="1014378114">
      <w:marLeft w:val="0"/>
      <w:marRight w:val="0"/>
      <w:marTop w:val="240"/>
      <w:marBottom w:val="0"/>
      <w:divBdr>
        <w:top w:val="none" w:sz="0" w:space="0" w:color="auto"/>
        <w:left w:val="none" w:sz="0" w:space="0" w:color="auto"/>
        <w:bottom w:val="none" w:sz="0" w:space="0" w:color="auto"/>
        <w:right w:val="none" w:sz="0" w:space="0" w:color="auto"/>
      </w:divBdr>
    </w:div>
    <w:div w:id="1015690090">
      <w:marLeft w:val="0"/>
      <w:marRight w:val="0"/>
      <w:marTop w:val="240"/>
      <w:marBottom w:val="0"/>
      <w:divBdr>
        <w:top w:val="none" w:sz="0" w:space="0" w:color="auto"/>
        <w:left w:val="none" w:sz="0" w:space="0" w:color="auto"/>
        <w:bottom w:val="none" w:sz="0" w:space="0" w:color="auto"/>
        <w:right w:val="none" w:sz="0" w:space="0" w:color="auto"/>
      </w:divBdr>
    </w:div>
    <w:div w:id="1015770559">
      <w:marLeft w:val="0"/>
      <w:marRight w:val="0"/>
      <w:marTop w:val="240"/>
      <w:marBottom w:val="0"/>
      <w:divBdr>
        <w:top w:val="none" w:sz="0" w:space="0" w:color="auto"/>
        <w:left w:val="none" w:sz="0" w:space="0" w:color="auto"/>
        <w:bottom w:val="none" w:sz="0" w:space="0" w:color="auto"/>
        <w:right w:val="none" w:sz="0" w:space="0" w:color="auto"/>
      </w:divBdr>
    </w:div>
    <w:div w:id="1018585088">
      <w:marLeft w:val="0"/>
      <w:marRight w:val="0"/>
      <w:marTop w:val="0"/>
      <w:marBottom w:val="0"/>
      <w:divBdr>
        <w:top w:val="none" w:sz="0" w:space="0" w:color="auto"/>
        <w:left w:val="none" w:sz="0" w:space="0" w:color="auto"/>
        <w:bottom w:val="none" w:sz="0" w:space="0" w:color="auto"/>
        <w:right w:val="none" w:sz="0" w:space="0" w:color="auto"/>
      </w:divBdr>
    </w:div>
    <w:div w:id="1019817053">
      <w:marLeft w:val="0"/>
      <w:marRight w:val="0"/>
      <w:marTop w:val="0"/>
      <w:marBottom w:val="0"/>
      <w:divBdr>
        <w:top w:val="none" w:sz="0" w:space="0" w:color="auto"/>
        <w:left w:val="none" w:sz="0" w:space="0" w:color="auto"/>
        <w:bottom w:val="none" w:sz="0" w:space="0" w:color="auto"/>
        <w:right w:val="none" w:sz="0" w:space="0" w:color="auto"/>
      </w:divBdr>
      <w:divsChild>
        <w:div w:id="207496897">
          <w:marLeft w:val="0"/>
          <w:marRight w:val="0"/>
          <w:marTop w:val="0"/>
          <w:marBottom w:val="0"/>
          <w:divBdr>
            <w:top w:val="none" w:sz="0" w:space="0" w:color="auto"/>
            <w:left w:val="none" w:sz="0" w:space="0" w:color="auto"/>
            <w:bottom w:val="none" w:sz="0" w:space="0" w:color="auto"/>
            <w:right w:val="none" w:sz="0" w:space="0" w:color="auto"/>
          </w:divBdr>
        </w:div>
      </w:divsChild>
    </w:div>
    <w:div w:id="1022246539">
      <w:marLeft w:val="0"/>
      <w:marRight w:val="0"/>
      <w:marTop w:val="20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sChild>
        <w:div w:id="1710375672">
          <w:marLeft w:val="0"/>
          <w:marRight w:val="0"/>
          <w:marTop w:val="0"/>
          <w:marBottom w:val="0"/>
          <w:divBdr>
            <w:top w:val="none" w:sz="0" w:space="0" w:color="auto"/>
            <w:left w:val="none" w:sz="0" w:space="0" w:color="auto"/>
            <w:bottom w:val="none" w:sz="0" w:space="0" w:color="auto"/>
            <w:right w:val="none" w:sz="0" w:space="0" w:color="auto"/>
          </w:divBdr>
        </w:div>
      </w:divsChild>
    </w:div>
    <w:div w:id="1027829400">
      <w:marLeft w:val="0"/>
      <w:marRight w:val="0"/>
      <w:marTop w:val="240"/>
      <w:marBottom w:val="0"/>
      <w:divBdr>
        <w:top w:val="none" w:sz="0" w:space="0" w:color="auto"/>
        <w:left w:val="none" w:sz="0" w:space="0" w:color="auto"/>
        <w:bottom w:val="none" w:sz="0" w:space="0" w:color="auto"/>
        <w:right w:val="none" w:sz="0" w:space="0" w:color="auto"/>
      </w:divBdr>
    </w:div>
    <w:div w:id="1029070279">
      <w:marLeft w:val="0"/>
      <w:marRight w:val="0"/>
      <w:marTop w:val="0"/>
      <w:marBottom w:val="240"/>
      <w:divBdr>
        <w:top w:val="none" w:sz="0" w:space="0" w:color="auto"/>
        <w:left w:val="none" w:sz="0" w:space="0" w:color="auto"/>
        <w:bottom w:val="none" w:sz="0" w:space="0" w:color="auto"/>
        <w:right w:val="none" w:sz="0" w:space="0" w:color="auto"/>
      </w:divBdr>
    </w:div>
    <w:div w:id="1034572273">
      <w:marLeft w:val="0"/>
      <w:marRight w:val="0"/>
      <w:marTop w:val="120"/>
      <w:marBottom w:val="0"/>
      <w:divBdr>
        <w:top w:val="none" w:sz="0" w:space="0" w:color="auto"/>
        <w:left w:val="none" w:sz="0" w:space="0" w:color="auto"/>
        <w:bottom w:val="none" w:sz="0" w:space="0" w:color="auto"/>
        <w:right w:val="none" w:sz="0" w:space="0" w:color="auto"/>
      </w:divBdr>
    </w:div>
    <w:div w:id="1038354398">
      <w:marLeft w:val="0"/>
      <w:marRight w:val="0"/>
      <w:marTop w:val="240"/>
      <w:marBottom w:val="0"/>
      <w:divBdr>
        <w:top w:val="none" w:sz="0" w:space="0" w:color="auto"/>
        <w:left w:val="none" w:sz="0" w:space="0" w:color="auto"/>
        <w:bottom w:val="none" w:sz="0" w:space="0" w:color="auto"/>
        <w:right w:val="none" w:sz="0" w:space="0" w:color="auto"/>
      </w:divBdr>
    </w:div>
    <w:div w:id="1041704955">
      <w:marLeft w:val="0"/>
      <w:marRight w:val="0"/>
      <w:marTop w:val="0"/>
      <w:marBottom w:val="240"/>
      <w:divBdr>
        <w:top w:val="none" w:sz="0" w:space="0" w:color="auto"/>
        <w:left w:val="none" w:sz="0" w:space="0" w:color="auto"/>
        <w:bottom w:val="none" w:sz="0" w:space="0" w:color="auto"/>
        <w:right w:val="none" w:sz="0" w:space="0" w:color="auto"/>
      </w:divBdr>
    </w:div>
    <w:div w:id="1044211459">
      <w:marLeft w:val="0"/>
      <w:marRight w:val="0"/>
      <w:marTop w:val="0"/>
      <w:marBottom w:val="0"/>
      <w:divBdr>
        <w:top w:val="none" w:sz="0" w:space="0" w:color="auto"/>
        <w:left w:val="none" w:sz="0" w:space="0" w:color="auto"/>
        <w:bottom w:val="none" w:sz="0" w:space="0" w:color="auto"/>
        <w:right w:val="none" w:sz="0" w:space="0" w:color="auto"/>
      </w:divBdr>
      <w:divsChild>
        <w:div w:id="730735226">
          <w:marLeft w:val="0"/>
          <w:marRight w:val="0"/>
          <w:marTop w:val="0"/>
          <w:marBottom w:val="0"/>
          <w:divBdr>
            <w:top w:val="none" w:sz="0" w:space="0" w:color="auto"/>
            <w:left w:val="none" w:sz="0" w:space="0" w:color="auto"/>
            <w:bottom w:val="none" w:sz="0" w:space="0" w:color="auto"/>
            <w:right w:val="none" w:sz="0" w:space="0" w:color="auto"/>
          </w:divBdr>
        </w:div>
      </w:divsChild>
    </w:div>
    <w:div w:id="1044259879">
      <w:marLeft w:val="0"/>
      <w:marRight w:val="0"/>
      <w:marTop w:val="240"/>
      <w:marBottom w:val="240"/>
      <w:divBdr>
        <w:top w:val="none" w:sz="0" w:space="0" w:color="auto"/>
        <w:left w:val="none" w:sz="0" w:space="0" w:color="auto"/>
        <w:bottom w:val="none" w:sz="0" w:space="0" w:color="auto"/>
        <w:right w:val="none" w:sz="0" w:space="0" w:color="auto"/>
      </w:divBdr>
    </w:div>
    <w:div w:id="1046419020">
      <w:marLeft w:val="0"/>
      <w:marRight w:val="0"/>
      <w:marTop w:val="200"/>
      <w:marBottom w:val="0"/>
      <w:divBdr>
        <w:top w:val="none" w:sz="0" w:space="0" w:color="auto"/>
        <w:left w:val="none" w:sz="0" w:space="0" w:color="auto"/>
        <w:bottom w:val="none" w:sz="0" w:space="0" w:color="auto"/>
        <w:right w:val="none" w:sz="0" w:space="0" w:color="auto"/>
      </w:divBdr>
    </w:div>
    <w:div w:id="1047148548">
      <w:marLeft w:val="0"/>
      <w:marRight w:val="0"/>
      <w:marTop w:val="0"/>
      <w:marBottom w:val="0"/>
      <w:divBdr>
        <w:top w:val="none" w:sz="0" w:space="0" w:color="auto"/>
        <w:left w:val="none" w:sz="0" w:space="0" w:color="auto"/>
        <w:bottom w:val="none" w:sz="0" w:space="0" w:color="auto"/>
        <w:right w:val="none" w:sz="0" w:space="0" w:color="auto"/>
      </w:divBdr>
      <w:divsChild>
        <w:div w:id="1051349983">
          <w:marLeft w:val="0"/>
          <w:marRight w:val="0"/>
          <w:marTop w:val="0"/>
          <w:marBottom w:val="0"/>
          <w:divBdr>
            <w:top w:val="none" w:sz="0" w:space="0" w:color="auto"/>
            <w:left w:val="none" w:sz="0" w:space="0" w:color="auto"/>
            <w:bottom w:val="none" w:sz="0" w:space="0" w:color="auto"/>
            <w:right w:val="none" w:sz="0" w:space="0" w:color="auto"/>
          </w:divBdr>
        </w:div>
      </w:divsChild>
    </w:div>
    <w:div w:id="1048068455">
      <w:marLeft w:val="0"/>
      <w:marRight w:val="0"/>
      <w:marTop w:val="100"/>
      <w:marBottom w:val="0"/>
      <w:divBdr>
        <w:top w:val="none" w:sz="0" w:space="0" w:color="auto"/>
        <w:left w:val="none" w:sz="0" w:space="0" w:color="auto"/>
        <w:bottom w:val="none" w:sz="0" w:space="0" w:color="auto"/>
        <w:right w:val="none" w:sz="0" w:space="0" w:color="auto"/>
      </w:divBdr>
    </w:div>
    <w:div w:id="1054044568">
      <w:marLeft w:val="0"/>
      <w:marRight w:val="0"/>
      <w:marTop w:val="0"/>
      <w:marBottom w:val="240"/>
      <w:divBdr>
        <w:top w:val="none" w:sz="0" w:space="0" w:color="auto"/>
        <w:left w:val="none" w:sz="0" w:space="0" w:color="auto"/>
        <w:bottom w:val="none" w:sz="0" w:space="0" w:color="auto"/>
        <w:right w:val="none" w:sz="0" w:space="0" w:color="auto"/>
      </w:divBdr>
    </w:div>
    <w:div w:id="1057121641">
      <w:marLeft w:val="0"/>
      <w:marRight w:val="0"/>
      <w:marTop w:val="240"/>
      <w:marBottom w:val="0"/>
      <w:divBdr>
        <w:top w:val="none" w:sz="0" w:space="0" w:color="auto"/>
        <w:left w:val="none" w:sz="0" w:space="0" w:color="auto"/>
        <w:bottom w:val="none" w:sz="0" w:space="0" w:color="auto"/>
        <w:right w:val="none" w:sz="0" w:space="0" w:color="auto"/>
      </w:divBdr>
    </w:div>
    <w:div w:id="1059523784">
      <w:marLeft w:val="0"/>
      <w:marRight w:val="0"/>
      <w:marTop w:val="0"/>
      <w:marBottom w:val="0"/>
      <w:divBdr>
        <w:top w:val="none" w:sz="0" w:space="0" w:color="auto"/>
        <w:left w:val="none" w:sz="0" w:space="0" w:color="auto"/>
        <w:bottom w:val="none" w:sz="0" w:space="0" w:color="auto"/>
        <w:right w:val="none" w:sz="0" w:space="0" w:color="auto"/>
      </w:divBdr>
      <w:divsChild>
        <w:div w:id="1887178197">
          <w:marLeft w:val="0"/>
          <w:marRight w:val="0"/>
          <w:marTop w:val="0"/>
          <w:marBottom w:val="0"/>
          <w:divBdr>
            <w:top w:val="none" w:sz="0" w:space="0" w:color="auto"/>
            <w:left w:val="none" w:sz="0" w:space="0" w:color="auto"/>
            <w:bottom w:val="none" w:sz="0" w:space="0" w:color="auto"/>
            <w:right w:val="none" w:sz="0" w:space="0" w:color="auto"/>
          </w:divBdr>
        </w:div>
      </w:divsChild>
    </w:div>
    <w:div w:id="1059670537">
      <w:marLeft w:val="0"/>
      <w:marRight w:val="0"/>
      <w:marTop w:val="0"/>
      <w:marBottom w:val="240"/>
      <w:divBdr>
        <w:top w:val="none" w:sz="0" w:space="0" w:color="auto"/>
        <w:left w:val="none" w:sz="0" w:space="0" w:color="auto"/>
        <w:bottom w:val="none" w:sz="0" w:space="0" w:color="auto"/>
        <w:right w:val="none" w:sz="0" w:space="0" w:color="auto"/>
      </w:divBdr>
    </w:div>
    <w:div w:id="1061712308">
      <w:marLeft w:val="0"/>
      <w:marRight w:val="0"/>
      <w:marTop w:val="240"/>
      <w:marBottom w:val="0"/>
      <w:divBdr>
        <w:top w:val="none" w:sz="0" w:space="0" w:color="auto"/>
        <w:left w:val="none" w:sz="0" w:space="0" w:color="auto"/>
        <w:bottom w:val="none" w:sz="0" w:space="0" w:color="auto"/>
        <w:right w:val="none" w:sz="0" w:space="0" w:color="auto"/>
      </w:divBdr>
    </w:div>
    <w:div w:id="1067847772">
      <w:marLeft w:val="0"/>
      <w:marRight w:val="0"/>
      <w:marTop w:val="240"/>
      <w:marBottom w:val="0"/>
      <w:divBdr>
        <w:top w:val="none" w:sz="0" w:space="0" w:color="auto"/>
        <w:left w:val="none" w:sz="0" w:space="0" w:color="auto"/>
        <w:bottom w:val="none" w:sz="0" w:space="0" w:color="auto"/>
        <w:right w:val="none" w:sz="0" w:space="0" w:color="auto"/>
      </w:divBdr>
    </w:div>
    <w:div w:id="1067872718">
      <w:marLeft w:val="0"/>
      <w:marRight w:val="0"/>
      <w:marTop w:val="0"/>
      <w:marBottom w:val="240"/>
      <w:divBdr>
        <w:top w:val="none" w:sz="0" w:space="0" w:color="auto"/>
        <w:left w:val="none" w:sz="0" w:space="0" w:color="auto"/>
        <w:bottom w:val="none" w:sz="0" w:space="0" w:color="auto"/>
        <w:right w:val="none" w:sz="0" w:space="0" w:color="auto"/>
      </w:divBdr>
    </w:div>
    <w:div w:id="1069115992">
      <w:marLeft w:val="0"/>
      <w:marRight w:val="0"/>
      <w:marTop w:val="0"/>
      <w:marBottom w:val="240"/>
      <w:divBdr>
        <w:top w:val="none" w:sz="0" w:space="0" w:color="auto"/>
        <w:left w:val="none" w:sz="0" w:space="0" w:color="auto"/>
        <w:bottom w:val="none" w:sz="0" w:space="0" w:color="auto"/>
        <w:right w:val="none" w:sz="0" w:space="0" w:color="auto"/>
      </w:divBdr>
    </w:div>
    <w:div w:id="1069963458">
      <w:marLeft w:val="0"/>
      <w:marRight w:val="0"/>
      <w:marTop w:val="240"/>
      <w:marBottom w:val="0"/>
      <w:divBdr>
        <w:top w:val="none" w:sz="0" w:space="0" w:color="auto"/>
        <w:left w:val="none" w:sz="0" w:space="0" w:color="auto"/>
        <w:bottom w:val="none" w:sz="0" w:space="0" w:color="auto"/>
        <w:right w:val="none" w:sz="0" w:space="0" w:color="auto"/>
      </w:divBdr>
    </w:div>
    <w:div w:id="1070661862">
      <w:marLeft w:val="0"/>
      <w:marRight w:val="0"/>
      <w:marTop w:val="0"/>
      <w:marBottom w:val="120"/>
      <w:divBdr>
        <w:top w:val="none" w:sz="0" w:space="0" w:color="auto"/>
        <w:left w:val="none" w:sz="0" w:space="0" w:color="auto"/>
        <w:bottom w:val="none" w:sz="0" w:space="0" w:color="auto"/>
        <w:right w:val="none" w:sz="0" w:space="0" w:color="auto"/>
      </w:divBdr>
    </w:div>
    <w:div w:id="1074089364">
      <w:marLeft w:val="0"/>
      <w:marRight w:val="0"/>
      <w:marTop w:val="240"/>
      <w:marBottom w:val="0"/>
      <w:divBdr>
        <w:top w:val="none" w:sz="0" w:space="0" w:color="auto"/>
        <w:left w:val="none" w:sz="0" w:space="0" w:color="auto"/>
        <w:bottom w:val="none" w:sz="0" w:space="0" w:color="auto"/>
        <w:right w:val="none" w:sz="0" w:space="0" w:color="auto"/>
      </w:divBdr>
    </w:div>
    <w:div w:id="1079987576">
      <w:marLeft w:val="0"/>
      <w:marRight w:val="0"/>
      <w:marTop w:val="0"/>
      <w:marBottom w:val="0"/>
      <w:divBdr>
        <w:top w:val="none" w:sz="0" w:space="0" w:color="auto"/>
        <w:left w:val="none" w:sz="0" w:space="0" w:color="auto"/>
        <w:bottom w:val="none" w:sz="0" w:space="0" w:color="auto"/>
        <w:right w:val="none" w:sz="0" w:space="0" w:color="auto"/>
      </w:divBdr>
    </w:div>
    <w:div w:id="1083722734">
      <w:marLeft w:val="0"/>
      <w:marRight w:val="0"/>
      <w:marTop w:val="240"/>
      <w:marBottom w:val="0"/>
      <w:divBdr>
        <w:top w:val="none" w:sz="0" w:space="0" w:color="auto"/>
        <w:left w:val="none" w:sz="0" w:space="0" w:color="auto"/>
        <w:bottom w:val="none" w:sz="0" w:space="0" w:color="auto"/>
        <w:right w:val="none" w:sz="0" w:space="0" w:color="auto"/>
      </w:divBdr>
    </w:div>
    <w:div w:id="1085423121">
      <w:marLeft w:val="0"/>
      <w:marRight w:val="0"/>
      <w:marTop w:val="240"/>
      <w:marBottom w:val="0"/>
      <w:divBdr>
        <w:top w:val="none" w:sz="0" w:space="0" w:color="auto"/>
        <w:left w:val="none" w:sz="0" w:space="0" w:color="auto"/>
        <w:bottom w:val="none" w:sz="0" w:space="0" w:color="auto"/>
        <w:right w:val="none" w:sz="0" w:space="0" w:color="auto"/>
      </w:divBdr>
    </w:div>
    <w:div w:id="1085763077">
      <w:marLeft w:val="0"/>
      <w:marRight w:val="0"/>
      <w:marTop w:val="240"/>
      <w:marBottom w:val="240"/>
      <w:divBdr>
        <w:top w:val="none" w:sz="0" w:space="0" w:color="auto"/>
        <w:left w:val="none" w:sz="0" w:space="0" w:color="auto"/>
        <w:bottom w:val="none" w:sz="0" w:space="0" w:color="auto"/>
        <w:right w:val="none" w:sz="0" w:space="0" w:color="auto"/>
      </w:divBdr>
    </w:div>
    <w:div w:id="1086533415">
      <w:marLeft w:val="0"/>
      <w:marRight w:val="0"/>
      <w:marTop w:val="240"/>
      <w:marBottom w:val="0"/>
      <w:divBdr>
        <w:top w:val="none" w:sz="0" w:space="0" w:color="auto"/>
        <w:left w:val="none" w:sz="0" w:space="0" w:color="auto"/>
        <w:bottom w:val="none" w:sz="0" w:space="0" w:color="auto"/>
        <w:right w:val="none" w:sz="0" w:space="0" w:color="auto"/>
      </w:divBdr>
    </w:div>
    <w:div w:id="1090466834">
      <w:marLeft w:val="0"/>
      <w:marRight w:val="0"/>
      <w:marTop w:val="240"/>
      <w:marBottom w:val="0"/>
      <w:divBdr>
        <w:top w:val="none" w:sz="0" w:space="0" w:color="auto"/>
        <w:left w:val="none" w:sz="0" w:space="0" w:color="auto"/>
        <w:bottom w:val="none" w:sz="0" w:space="0" w:color="auto"/>
        <w:right w:val="none" w:sz="0" w:space="0" w:color="auto"/>
      </w:divBdr>
    </w:div>
    <w:div w:id="1091975167">
      <w:marLeft w:val="0"/>
      <w:marRight w:val="0"/>
      <w:marTop w:val="240"/>
      <w:marBottom w:val="0"/>
      <w:divBdr>
        <w:top w:val="none" w:sz="0" w:space="0" w:color="auto"/>
        <w:left w:val="none" w:sz="0" w:space="0" w:color="auto"/>
        <w:bottom w:val="none" w:sz="0" w:space="0" w:color="auto"/>
        <w:right w:val="none" w:sz="0" w:space="0" w:color="auto"/>
      </w:divBdr>
    </w:div>
    <w:div w:id="1092169400">
      <w:marLeft w:val="0"/>
      <w:marRight w:val="0"/>
      <w:marTop w:val="240"/>
      <w:marBottom w:val="0"/>
      <w:divBdr>
        <w:top w:val="none" w:sz="0" w:space="0" w:color="auto"/>
        <w:left w:val="none" w:sz="0" w:space="0" w:color="auto"/>
        <w:bottom w:val="none" w:sz="0" w:space="0" w:color="auto"/>
        <w:right w:val="none" w:sz="0" w:space="0" w:color="auto"/>
      </w:divBdr>
    </w:div>
    <w:div w:id="1094669873">
      <w:marLeft w:val="0"/>
      <w:marRight w:val="0"/>
      <w:marTop w:val="0"/>
      <w:marBottom w:val="0"/>
      <w:divBdr>
        <w:top w:val="none" w:sz="0" w:space="0" w:color="auto"/>
        <w:left w:val="none" w:sz="0" w:space="0" w:color="auto"/>
        <w:bottom w:val="none" w:sz="0" w:space="0" w:color="auto"/>
        <w:right w:val="none" w:sz="0" w:space="0" w:color="auto"/>
      </w:divBdr>
      <w:divsChild>
        <w:div w:id="430856163">
          <w:marLeft w:val="0"/>
          <w:marRight w:val="0"/>
          <w:marTop w:val="0"/>
          <w:marBottom w:val="0"/>
          <w:divBdr>
            <w:top w:val="none" w:sz="0" w:space="0" w:color="auto"/>
            <w:left w:val="none" w:sz="0" w:space="0" w:color="auto"/>
            <w:bottom w:val="none" w:sz="0" w:space="0" w:color="auto"/>
            <w:right w:val="none" w:sz="0" w:space="0" w:color="auto"/>
          </w:divBdr>
        </w:div>
      </w:divsChild>
    </w:div>
    <w:div w:id="1097825492">
      <w:marLeft w:val="0"/>
      <w:marRight w:val="0"/>
      <w:marTop w:val="0"/>
      <w:marBottom w:val="240"/>
      <w:divBdr>
        <w:top w:val="none" w:sz="0" w:space="0" w:color="auto"/>
        <w:left w:val="none" w:sz="0" w:space="0" w:color="auto"/>
        <w:bottom w:val="none" w:sz="0" w:space="0" w:color="auto"/>
        <w:right w:val="none" w:sz="0" w:space="0" w:color="auto"/>
      </w:divBdr>
    </w:div>
    <w:div w:id="1098404580">
      <w:marLeft w:val="0"/>
      <w:marRight w:val="0"/>
      <w:marTop w:val="0"/>
      <w:marBottom w:val="240"/>
      <w:divBdr>
        <w:top w:val="none" w:sz="0" w:space="0" w:color="auto"/>
        <w:left w:val="none" w:sz="0" w:space="0" w:color="auto"/>
        <w:bottom w:val="none" w:sz="0" w:space="0" w:color="auto"/>
        <w:right w:val="none" w:sz="0" w:space="0" w:color="auto"/>
      </w:divBdr>
    </w:div>
    <w:div w:id="1105266623">
      <w:marLeft w:val="0"/>
      <w:marRight w:val="0"/>
      <w:marTop w:val="0"/>
      <w:marBottom w:val="0"/>
      <w:divBdr>
        <w:top w:val="none" w:sz="0" w:space="0" w:color="auto"/>
        <w:left w:val="none" w:sz="0" w:space="0" w:color="auto"/>
        <w:bottom w:val="none" w:sz="0" w:space="0" w:color="auto"/>
        <w:right w:val="none" w:sz="0" w:space="0" w:color="auto"/>
      </w:divBdr>
    </w:div>
    <w:div w:id="1115175850">
      <w:marLeft w:val="0"/>
      <w:marRight w:val="0"/>
      <w:marTop w:val="120"/>
      <w:marBottom w:val="0"/>
      <w:divBdr>
        <w:top w:val="none" w:sz="0" w:space="0" w:color="auto"/>
        <w:left w:val="none" w:sz="0" w:space="0" w:color="auto"/>
        <w:bottom w:val="none" w:sz="0" w:space="0" w:color="auto"/>
        <w:right w:val="none" w:sz="0" w:space="0" w:color="auto"/>
      </w:divBdr>
    </w:div>
    <w:div w:id="1115716212">
      <w:marLeft w:val="0"/>
      <w:marRight w:val="0"/>
      <w:marTop w:val="0"/>
      <w:marBottom w:val="240"/>
      <w:divBdr>
        <w:top w:val="none" w:sz="0" w:space="0" w:color="auto"/>
        <w:left w:val="none" w:sz="0" w:space="0" w:color="auto"/>
        <w:bottom w:val="none" w:sz="0" w:space="0" w:color="auto"/>
        <w:right w:val="none" w:sz="0" w:space="0" w:color="auto"/>
      </w:divBdr>
    </w:div>
    <w:div w:id="1117791706">
      <w:marLeft w:val="0"/>
      <w:marRight w:val="0"/>
      <w:marTop w:val="240"/>
      <w:marBottom w:val="0"/>
      <w:divBdr>
        <w:top w:val="none" w:sz="0" w:space="0" w:color="auto"/>
        <w:left w:val="none" w:sz="0" w:space="0" w:color="auto"/>
        <w:bottom w:val="none" w:sz="0" w:space="0" w:color="auto"/>
        <w:right w:val="none" w:sz="0" w:space="0" w:color="auto"/>
      </w:divBdr>
    </w:div>
    <w:div w:id="1119421701">
      <w:marLeft w:val="0"/>
      <w:marRight w:val="0"/>
      <w:marTop w:val="0"/>
      <w:marBottom w:val="240"/>
      <w:divBdr>
        <w:top w:val="none" w:sz="0" w:space="0" w:color="auto"/>
        <w:left w:val="none" w:sz="0" w:space="0" w:color="auto"/>
        <w:bottom w:val="none" w:sz="0" w:space="0" w:color="auto"/>
        <w:right w:val="none" w:sz="0" w:space="0" w:color="auto"/>
      </w:divBdr>
    </w:div>
    <w:div w:id="1119570163">
      <w:marLeft w:val="0"/>
      <w:marRight w:val="0"/>
      <w:marTop w:val="240"/>
      <w:marBottom w:val="0"/>
      <w:divBdr>
        <w:top w:val="none" w:sz="0" w:space="0" w:color="auto"/>
        <w:left w:val="none" w:sz="0" w:space="0" w:color="auto"/>
        <w:bottom w:val="none" w:sz="0" w:space="0" w:color="auto"/>
        <w:right w:val="none" w:sz="0" w:space="0" w:color="auto"/>
      </w:divBdr>
    </w:div>
    <w:div w:id="1123378584">
      <w:marLeft w:val="0"/>
      <w:marRight w:val="0"/>
      <w:marTop w:val="240"/>
      <w:marBottom w:val="240"/>
      <w:divBdr>
        <w:top w:val="none" w:sz="0" w:space="0" w:color="auto"/>
        <w:left w:val="none" w:sz="0" w:space="0" w:color="auto"/>
        <w:bottom w:val="none" w:sz="0" w:space="0" w:color="auto"/>
        <w:right w:val="none" w:sz="0" w:space="0" w:color="auto"/>
      </w:divBdr>
    </w:div>
    <w:div w:id="1123690508">
      <w:marLeft w:val="0"/>
      <w:marRight w:val="0"/>
      <w:marTop w:val="0"/>
      <w:marBottom w:val="240"/>
      <w:divBdr>
        <w:top w:val="none" w:sz="0" w:space="0" w:color="auto"/>
        <w:left w:val="none" w:sz="0" w:space="0" w:color="auto"/>
        <w:bottom w:val="none" w:sz="0" w:space="0" w:color="auto"/>
        <w:right w:val="none" w:sz="0" w:space="0" w:color="auto"/>
      </w:divBdr>
    </w:div>
    <w:div w:id="1124233479">
      <w:marLeft w:val="0"/>
      <w:marRight w:val="0"/>
      <w:marTop w:val="240"/>
      <w:marBottom w:val="240"/>
      <w:divBdr>
        <w:top w:val="none" w:sz="0" w:space="0" w:color="auto"/>
        <w:left w:val="none" w:sz="0" w:space="0" w:color="auto"/>
        <w:bottom w:val="none" w:sz="0" w:space="0" w:color="auto"/>
        <w:right w:val="none" w:sz="0" w:space="0" w:color="auto"/>
      </w:divBdr>
    </w:div>
    <w:div w:id="1125126244">
      <w:marLeft w:val="0"/>
      <w:marRight w:val="0"/>
      <w:marTop w:val="0"/>
      <w:marBottom w:val="0"/>
      <w:divBdr>
        <w:top w:val="none" w:sz="0" w:space="0" w:color="auto"/>
        <w:left w:val="none" w:sz="0" w:space="0" w:color="auto"/>
        <w:bottom w:val="none" w:sz="0" w:space="0" w:color="auto"/>
        <w:right w:val="none" w:sz="0" w:space="0" w:color="auto"/>
      </w:divBdr>
    </w:div>
    <w:div w:id="1126436484">
      <w:marLeft w:val="0"/>
      <w:marRight w:val="0"/>
      <w:marTop w:val="0"/>
      <w:marBottom w:val="240"/>
      <w:divBdr>
        <w:top w:val="none" w:sz="0" w:space="0" w:color="auto"/>
        <w:left w:val="none" w:sz="0" w:space="0" w:color="auto"/>
        <w:bottom w:val="none" w:sz="0" w:space="0" w:color="auto"/>
        <w:right w:val="none" w:sz="0" w:space="0" w:color="auto"/>
      </w:divBdr>
    </w:div>
    <w:div w:id="1128088898">
      <w:marLeft w:val="0"/>
      <w:marRight w:val="0"/>
      <w:marTop w:val="100"/>
      <w:marBottom w:val="0"/>
      <w:divBdr>
        <w:top w:val="none" w:sz="0" w:space="0" w:color="auto"/>
        <w:left w:val="none" w:sz="0" w:space="0" w:color="auto"/>
        <w:bottom w:val="none" w:sz="0" w:space="0" w:color="auto"/>
        <w:right w:val="none" w:sz="0" w:space="0" w:color="auto"/>
      </w:divBdr>
    </w:div>
    <w:div w:id="1128544077">
      <w:marLeft w:val="0"/>
      <w:marRight w:val="0"/>
      <w:marTop w:val="0"/>
      <w:marBottom w:val="0"/>
      <w:divBdr>
        <w:top w:val="none" w:sz="0" w:space="0" w:color="auto"/>
        <w:left w:val="none" w:sz="0" w:space="0" w:color="auto"/>
        <w:bottom w:val="none" w:sz="0" w:space="0" w:color="auto"/>
        <w:right w:val="none" w:sz="0" w:space="0" w:color="auto"/>
      </w:divBdr>
      <w:divsChild>
        <w:div w:id="60638558">
          <w:marLeft w:val="0"/>
          <w:marRight w:val="0"/>
          <w:marTop w:val="0"/>
          <w:marBottom w:val="0"/>
          <w:divBdr>
            <w:top w:val="none" w:sz="0" w:space="0" w:color="auto"/>
            <w:left w:val="none" w:sz="0" w:space="0" w:color="auto"/>
            <w:bottom w:val="none" w:sz="0" w:space="0" w:color="auto"/>
            <w:right w:val="none" w:sz="0" w:space="0" w:color="auto"/>
          </w:divBdr>
        </w:div>
      </w:divsChild>
    </w:div>
    <w:div w:id="1131174350">
      <w:marLeft w:val="0"/>
      <w:marRight w:val="0"/>
      <w:marTop w:val="240"/>
      <w:marBottom w:val="0"/>
      <w:divBdr>
        <w:top w:val="none" w:sz="0" w:space="0" w:color="auto"/>
        <w:left w:val="none" w:sz="0" w:space="0" w:color="auto"/>
        <w:bottom w:val="none" w:sz="0" w:space="0" w:color="auto"/>
        <w:right w:val="none" w:sz="0" w:space="0" w:color="auto"/>
      </w:divBdr>
    </w:div>
    <w:div w:id="1131365859">
      <w:marLeft w:val="0"/>
      <w:marRight w:val="0"/>
      <w:marTop w:val="0"/>
      <w:marBottom w:val="240"/>
      <w:divBdr>
        <w:top w:val="none" w:sz="0" w:space="0" w:color="auto"/>
        <w:left w:val="none" w:sz="0" w:space="0" w:color="auto"/>
        <w:bottom w:val="none" w:sz="0" w:space="0" w:color="auto"/>
        <w:right w:val="none" w:sz="0" w:space="0" w:color="auto"/>
      </w:divBdr>
    </w:div>
    <w:div w:id="1133602109">
      <w:marLeft w:val="0"/>
      <w:marRight w:val="0"/>
      <w:marTop w:val="0"/>
      <w:marBottom w:val="0"/>
      <w:divBdr>
        <w:top w:val="none" w:sz="0" w:space="0" w:color="auto"/>
        <w:left w:val="none" w:sz="0" w:space="0" w:color="auto"/>
        <w:bottom w:val="none" w:sz="0" w:space="0" w:color="auto"/>
        <w:right w:val="none" w:sz="0" w:space="0" w:color="auto"/>
      </w:divBdr>
    </w:div>
    <w:div w:id="1133909041">
      <w:marLeft w:val="0"/>
      <w:marRight w:val="0"/>
      <w:marTop w:val="0"/>
      <w:marBottom w:val="240"/>
      <w:divBdr>
        <w:top w:val="none" w:sz="0" w:space="0" w:color="auto"/>
        <w:left w:val="none" w:sz="0" w:space="0" w:color="auto"/>
        <w:bottom w:val="none" w:sz="0" w:space="0" w:color="auto"/>
        <w:right w:val="none" w:sz="0" w:space="0" w:color="auto"/>
      </w:divBdr>
    </w:div>
    <w:div w:id="1134909293">
      <w:marLeft w:val="0"/>
      <w:marRight w:val="0"/>
      <w:marTop w:val="0"/>
      <w:marBottom w:val="240"/>
      <w:divBdr>
        <w:top w:val="none" w:sz="0" w:space="0" w:color="auto"/>
        <w:left w:val="none" w:sz="0" w:space="0" w:color="auto"/>
        <w:bottom w:val="none" w:sz="0" w:space="0" w:color="auto"/>
        <w:right w:val="none" w:sz="0" w:space="0" w:color="auto"/>
      </w:divBdr>
    </w:div>
    <w:div w:id="1136988225">
      <w:marLeft w:val="0"/>
      <w:marRight w:val="0"/>
      <w:marTop w:val="240"/>
      <w:marBottom w:val="0"/>
      <w:divBdr>
        <w:top w:val="none" w:sz="0" w:space="0" w:color="auto"/>
        <w:left w:val="none" w:sz="0" w:space="0" w:color="auto"/>
        <w:bottom w:val="none" w:sz="0" w:space="0" w:color="auto"/>
        <w:right w:val="none" w:sz="0" w:space="0" w:color="auto"/>
      </w:divBdr>
    </w:div>
    <w:div w:id="1138500488">
      <w:marLeft w:val="0"/>
      <w:marRight w:val="0"/>
      <w:marTop w:val="0"/>
      <w:marBottom w:val="0"/>
      <w:divBdr>
        <w:top w:val="none" w:sz="0" w:space="0" w:color="auto"/>
        <w:left w:val="none" w:sz="0" w:space="0" w:color="auto"/>
        <w:bottom w:val="none" w:sz="0" w:space="0" w:color="auto"/>
        <w:right w:val="none" w:sz="0" w:space="0" w:color="auto"/>
      </w:divBdr>
    </w:div>
    <w:div w:id="1141001413">
      <w:marLeft w:val="0"/>
      <w:marRight w:val="0"/>
      <w:marTop w:val="240"/>
      <w:marBottom w:val="0"/>
      <w:divBdr>
        <w:top w:val="none" w:sz="0" w:space="0" w:color="auto"/>
        <w:left w:val="none" w:sz="0" w:space="0" w:color="auto"/>
        <w:bottom w:val="none" w:sz="0" w:space="0" w:color="auto"/>
        <w:right w:val="none" w:sz="0" w:space="0" w:color="auto"/>
      </w:divBdr>
    </w:div>
    <w:div w:id="1145465164">
      <w:marLeft w:val="0"/>
      <w:marRight w:val="0"/>
      <w:marTop w:val="0"/>
      <w:marBottom w:val="240"/>
      <w:divBdr>
        <w:top w:val="none" w:sz="0" w:space="0" w:color="auto"/>
        <w:left w:val="none" w:sz="0" w:space="0" w:color="auto"/>
        <w:bottom w:val="none" w:sz="0" w:space="0" w:color="auto"/>
        <w:right w:val="none" w:sz="0" w:space="0" w:color="auto"/>
      </w:divBdr>
    </w:div>
    <w:div w:id="1151602369">
      <w:marLeft w:val="0"/>
      <w:marRight w:val="0"/>
      <w:marTop w:val="240"/>
      <w:marBottom w:val="0"/>
      <w:divBdr>
        <w:top w:val="none" w:sz="0" w:space="0" w:color="auto"/>
        <w:left w:val="none" w:sz="0" w:space="0" w:color="auto"/>
        <w:bottom w:val="none" w:sz="0" w:space="0" w:color="auto"/>
        <w:right w:val="none" w:sz="0" w:space="0" w:color="auto"/>
      </w:divBdr>
    </w:div>
    <w:div w:id="1156148587">
      <w:marLeft w:val="0"/>
      <w:marRight w:val="0"/>
      <w:marTop w:val="0"/>
      <w:marBottom w:val="240"/>
      <w:divBdr>
        <w:top w:val="none" w:sz="0" w:space="0" w:color="auto"/>
        <w:left w:val="none" w:sz="0" w:space="0" w:color="auto"/>
        <w:bottom w:val="none" w:sz="0" w:space="0" w:color="auto"/>
        <w:right w:val="none" w:sz="0" w:space="0" w:color="auto"/>
      </w:divBdr>
    </w:div>
    <w:div w:id="1159079639">
      <w:marLeft w:val="0"/>
      <w:marRight w:val="0"/>
      <w:marTop w:val="0"/>
      <w:marBottom w:val="0"/>
      <w:divBdr>
        <w:top w:val="none" w:sz="0" w:space="0" w:color="auto"/>
        <w:left w:val="none" w:sz="0" w:space="0" w:color="auto"/>
        <w:bottom w:val="none" w:sz="0" w:space="0" w:color="auto"/>
        <w:right w:val="none" w:sz="0" w:space="0" w:color="auto"/>
      </w:divBdr>
      <w:divsChild>
        <w:div w:id="596065579">
          <w:marLeft w:val="0"/>
          <w:marRight w:val="0"/>
          <w:marTop w:val="0"/>
          <w:marBottom w:val="0"/>
          <w:divBdr>
            <w:top w:val="none" w:sz="0" w:space="0" w:color="auto"/>
            <w:left w:val="none" w:sz="0" w:space="0" w:color="auto"/>
            <w:bottom w:val="none" w:sz="0" w:space="0" w:color="auto"/>
            <w:right w:val="none" w:sz="0" w:space="0" w:color="auto"/>
          </w:divBdr>
        </w:div>
      </w:divsChild>
    </w:div>
    <w:div w:id="1168403563">
      <w:marLeft w:val="0"/>
      <w:marRight w:val="0"/>
      <w:marTop w:val="100"/>
      <w:marBottom w:val="0"/>
      <w:divBdr>
        <w:top w:val="none" w:sz="0" w:space="0" w:color="auto"/>
        <w:left w:val="none" w:sz="0" w:space="0" w:color="auto"/>
        <w:bottom w:val="none" w:sz="0" w:space="0" w:color="auto"/>
        <w:right w:val="none" w:sz="0" w:space="0" w:color="auto"/>
      </w:divBdr>
    </w:div>
    <w:div w:id="1169516034">
      <w:marLeft w:val="0"/>
      <w:marRight w:val="0"/>
      <w:marTop w:val="240"/>
      <w:marBottom w:val="0"/>
      <w:divBdr>
        <w:top w:val="none" w:sz="0" w:space="0" w:color="auto"/>
        <w:left w:val="none" w:sz="0" w:space="0" w:color="auto"/>
        <w:bottom w:val="none" w:sz="0" w:space="0" w:color="auto"/>
        <w:right w:val="none" w:sz="0" w:space="0" w:color="auto"/>
      </w:divBdr>
    </w:div>
    <w:div w:id="1170413792">
      <w:marLeft w:val="0"/>
      <w:marRight w:val="0"/>
      <w:marTop w:val="0"/>
      <w:marBottom w:val="0"/>
      <w:divBdr>
        <w:top w:val="none" w:sz="0" w:space="0" w:color="auto"/>
        <w:left w:val="none" w:sz="0" w:space="0" w:color="auto"/>
        <w:bottom w:val="none" w:sz="0" w:space="0" w:color="auto"/>
        <w:right w:val="none" w:sz="0" w:space="0" w:color="auto"/>
      </w:divBdr>
    </w:div>
    <w:div w:id="1171722002">
      <w:marLeft w:val="0"/>
      <w:marRight w:val="0"/>
      <w:marTop w:val="240"/>
      <w:marBottom w:val="0"/>
      <w:divBdr>
        <w:top w:val="none" w:sz="0" w:space="0" w:color="auto"/>
        <w:left w:val="none" w:sz="0" w:space="0" w:color="auto"/>
        <w:bottom w:val="none" w:sz="0" w:space="0" w:color="auto"/>
        <w:right w:val="none" w:sz="0" w:space="0" w:color="auto"/>
      </w:divBdr>
    </w:div>
    <w:div w:id="1172453204">
      <w:marLeft w:val="0"/>
      <w:marRight w:val="0"/>
      <w:marTop w:val="0"/>
      <w:marBottom w:val="240"/>
      <w:divBdr>
        <w:top w:val="none" w:sz="0" w:space="0" w:color="auto"/>
        <w:left w:val="none" w:sz="0" w:space="0" w:color="auto"/>
        <w:bottom w:val="none" w:sz="0" w:space="0" w:color="auto"/>
        <w:right w:val="none" w:sz="0" w:space="0" w:color="auto"/>
      </w:divBdr>
    </w:div>
    <w:div w:id="1172795306">
      <w:marLeft w:val="0"/>
      <w:marRight w:val="0"/>
      <w:marTop w:val="0"/>
      <w:marBottom w:val="0"/>
      <w:divBdr>
        <w:top w:val="none" w:sz="0" w:space="0" w:color="auto"/>
        <w:left w:val="none" w:sz="0" w:space="0" w:color="auto"/>
        <w:bottom w:val="none" w:sz="0" w:space="0" w:color="auto"/>
        <w:right w:val="none" w:sz="0" w:space="0" w:color="auto"/>
      </w:divBdr>
    </w:div>
    <w:div w:id="1172910752">
      <w:marLeft w:val="0"/>
      <w:marRight w:val="0"/>
      <w:marTop w:val="0"/>
      <w:marBottom w:val="0"/>
      <w:divBdr>
        <w:top w:val="none" w:sz="0" w:space="0" w:color="auto"/>
        <w:left w:val="none" w:sz="0" w:space="0" w:color="auto"/>
        <w:bottom w:val="none" w:sz="0" w:space="0" w:color="auto"/>
        <w:right w:val="none" w:sz="0" w:space="0" w:color="auto"/>
      </w:divBdr>
    </w:div>
    <w:div w:id="1173572209">
      <w:marLeft w:val="0"/>
      <w:marRight w:val="0"/>
      <w:marTop w:val="240"/>
      <w:marBottom w:val="240"/>
      <w:divBdr>
        <w:top w:val="none" w:sz="0" w:space="0" w:color="auto"/>
        <w:left w:val="none" w:sz="0" w:space="0" w:color="auto"/>
        <w:bottom w:val="none" w:sz="0" w:space="0" w:color="auto"/>
        <w:right w:val="none" w:sz="0" w:space="0" w:color="auto"/>
      </w:divBdr>
    </w:div>
    <w:div w:id="1175804288">
      <w:marLeft w:val="0"/>
      <w:marRight w:val="0"/>
      <w:marTop w:val="240"/>
      <w:marBottom w:val="0"/>
      <w:divBdr>
        <w:top w:val="none" w:sz="0" w:space="0" w:color="auto"/>
        <w:left w:val="none" w:sz="0" w:space="0" w:color="auto"/>
        <w:bottom w:val="none" w:sz="0" w:space="0" w:color="auto"/>
        <w:right w:val="none" w:sz="0" w:space="0" w:color="auto"/>
      </w:divBdr>
    </w:div>
    <w:div w:id="1177966699">
      <w:marLeft w:val="0"/>
      <w:marRight w:val="0"/>
      <w:marTop w:val="240"/>
      <w:marBottom w:val="0"/>
      <w:divBdr>
        <w:top w:val="none" w:sz="0" w:space="0" w:color="auto"/>
        <w:left w:val="none" w:sz="0" w:space="0" w:color="auto"/>
        <w:bottom w:val="none" w:sz="0" w:space="0" w:color="auto"/>
        <w:right w:val="none" w:sz="0" w:space="0" w:color="auto"/>
      </w:divBdr>
    </w:div>
    <w:div w:id="1181626370">
      <w:marLeft w:val="0"/>
      <w:marRight w:val="0"/>
      <w:marTop w:val="0"/>
      <w:marBottom w:val="0"/>
      <w:divBdr>
        <w:top w:val="none" w:sz="0" w:space="0" w:color="auto"/>
        <w:left w:val="none" w:sz="0" w:space="0" w:color="auto"/>
        <w:bottom w:val="none" w:sz="0" w:space="0" w:color="auto"/>
        <w:right w:val="none" w:sz="0" w:space="0" w:color="auto"/>
      </w:divBdr>
    </w:div>
    <w:div w:id="1182934017">
      <w:marLeft w:val="0"/>
      <w:marRight w:val="0"/>
      <w:marTop w:val="0"/>
      <w:marBottom w:val="0"/>
      <w:divBdr>
        <w:top w:val="none" w:sz="0" w:space="0" w:color="auto"/>
        <w:left w:val="none" w:sz="0" w:space="0" w:color="auto"/>
        <w:bottom w:val="none" w:sz="0" w:space="0" w:color="auto"/>
        <w:right w:val="none" w:sz="0" w:space="0" w:color="auto"/>
      </w:divBdr>
      <w:divsChild>
        <w:div w:id="1828135199">
          <w:marLeft w:val="0"/>
          <w:marRight w:val="0"/>
          <w:marTop w:val="0"/>
          <w:marBottom w:val="0"/>
          <w:divBdr>
            <w:top w:val="none" w:sz="0" w:space="0" w:color="auto"/>
            <w:left w:val="none" w:sz="0" w:space="0" w:color="auto"/>
            <w:bottom w:val="none" w:sz="0" w:space="0" w:color="auto"/>
            <w:right w:val="none" w:sz="0" w:space="0" w:color="auto"/>
          </w:divBdr>
        </w:div>
      </w:divsChild>
    </w:div>
    <w:div w:id="1183789264">
      <w:marLeft w:val="0"/>
      <w:marRight w:val="0"/>
      <w:marTop w:val="240"/>
      <w:marBottom w:val="0"/>
      <w:divBdr>
        <w:top w:val="none" w:sz="0" w:space="0" w:color="auto"/>
        <w:left w:val="none" w:sz="0" w:space="0" w:color="auto"/>
        <w:bottom w:val="none" w:sz="0" w:space="0" w:color="auto"/>
        <w:right w:val="none" w:sz="0" w:space="0" w:color="auto"/>
      </w:divBdr>
    </w:div>
    <w:div w:id="1184634901">
      <w:marLeft w:val="0"/>
      <w:marRight w:val="0"/>
      <w:marTop w:val="240"/>
      <w:marBottom w:val="0"/>
      <w:divBdr>
        <w:top w:val="none" w:sz="0" w:space="0" w:color="auto"/>
        <w:left w:val="none" w:sz="0" w:space="0" w:color="auto"/>
        <w:bottom w:val="none" w:sz="0" w:space="0" w:color="auto"/>
        <w:right w:val="none" w:sz="0" w:space="0" w:color="auto"/>
      </w:divBdr>
    </w:div>
    <w:div w:id="1185634895">
      <w:marLeft w:val="0"/>
      <w:marRight w:val="0"/>
      <w:marTop w:val="0"/>
      <w:marBottom w:val="0"/>
      <w:divBdr>
        <w:top w:val="none" w:sz="0" w:space="0" w:color="auto"/>
        <w:left w:val="none" w:sz="0" w:space="0" w:color="auto"/>
        <w:bottom w:val="none" w:sz="0" w:space="0" w:color="auto"/>
        <w:right w:val="none" w:sz="0" w:space="0" w:color="auto"/>
      </w:divBdr>
    </w:div>
    <w:div w:id="1191525544">
      <w:marLeft w:val="0"/>
      <w:marRight w:val="0"/>
      <w:marTop w:val="0"/>
      <w:marBottom w:val="0"/>
      <w:divBdr>
        <w:top w:val="none" w:sz="0" w:space="0" w:color="auto"/>
        <w:left w:val="none" w:sz="0" w:space="0" w:color="auto"/>
        <w:bottom w:val="none" w:sz="0" w:space="0" w:color="auto"/>
        <w:right w:val="none" w:sz="0" w:space="0" w:color="auto"/>
      </w:divBdr>
    </w:div>
    <w:div w:id="1192838263">
      <w:marLeft w:val="0"/>
      <w:marRight w:val="0"/>
      <w:marTop w:val="240"/>
      <w:marBottom w:val="240"/>
      <w:divBdr>
        <w:top w:val="none" w:sz="0" w:space="0" w:color="auto"/>
        <w:left w:val="none" w:sz="0" w:space="0" w:color="auto"/>
        <w:bottom w:val="none" w:sz="0" w:space="0" w:color="auto"/>
        <w:right w:val="none" w:sz="0" w:space="0" w:color="auto"/>
      </w:divBdr>
    </w:div>
    <w:div w:id="1193614295">
      <w:marLeft w:val="0"/>
      <w:marRight w:val="0"/>
      <w:marTop w:val="0"/>
      <w:marBottom w:val="0"/>
      <w:divBdr>
        <w:top w:val="none" w:sz="0" w:space="0" w:color="auto"/>
        <w:left w:val="none" w:sz="0" w:space="0" w:color="auto"/>
        <w:bottom w:val="none" w:sz="0" w:space="0" w:color="auto"/>
        <w:right w:val="none" w:sz="0" w:space="0" w:color="auto"/>
      </w:divBdr>
      <w:divsChild>
        <w:div w:id="2037341202">
          <w:marLeft w:val="0"/>
          <w:marRight w:val="0"/>
          <w:marTop w:val="0"/>
          <w:marBottom w:val="0"/>
          <w:divBdr>
            <w:top w:val="none" w:sz="0" w:space="0" w:color="auto"/>
            <w:left w:val="none" w:sz="0" w:space="0" w:color="auto"/>
            <w:bottom w:val="none" w:sz="0" w:space="0" w:color="auto"/>
            <w:right w:val="none" w:sz="0" w:space="0" w:color="auto"/>
          </w:divBdr>
        </w:div>
      </w:divsChild>
    </w:div>
    <w:div w:id="1198395560">
      <w:marLeft w:val="0"/>
      <w:marRight w:val="0"/>
      <w:marTop w:val="240"/>
      <w:marBottom w:val="0"/>
      <w:divBdr>
        <w:top w:val="none" w:sz="0" w:space="0" w:color="auto"/>
        <w:left w:val="none" w:sz="0" w:space="0" w:color="auto"/>
        <w:bottom w:val="none" w:sz="0" w:space="0" w:color="auto"/>
        <w:right w:val="none" w:sz="0" w:space="0" w:color="auto"/>
      </w:divBdr>
    </w:div>
    <w:div w:id="1202858488">
      <w:marLeft w:val="0"/>
      <w:marRight w:val="0"/>
      <w:marTop w:val="0"/>
      <w:marBottom w:val="0"/>
      <w:divBdr>
        <w:top w:val="none" w:sz="0" w:space="0" w:color="auto"/>
        <w:left w:val="none" w:sz="0" w:space="0" w:color="auto"/>
        <w:bottom w:val="none" w:sz="0" w:space="0" w:color="auto"/>
        <w:right w:val="none" w:sz="0" w:space="0" w:color="auto"/>
      </w:divBdr>
      <w:divsChild>
        <w:div w:id="1377924980">
          <w:marLeft w:val="0"/>
          <w:marRight w:val="0"/>
          <w:marTop w:val="0"/>
          <w:marBottom w:val="0"/>
          <w:divBdr>
            <w:top w:val="none" w:sz="0" w:space="0" w:color="auto"/>
            <w:left w:val="none" w:sz="0" w:space="0" w:color="auto"/>
            <w:bottom w:val="none" w:sz="0" w:space="0" w:color="auto"/>
            <w:right w:val="none" w:sz="0" w:space="0" w:color="auto"/>
          </w:divBdr>
        </w:div>
      </w:divsChild>
    </w:div>
    <w:div w:id="1203831954">
      <w:marLeft w:val="0"/>
      <w:marRight w:val="0"/>
      <w:marTop w:val="120"/>
      <w:marBottom w:val="0"/>
      <w:divBdr>
        <w:top w:val="none" w:sz="0" w:space="0" w:color="auto"/>
        <w:left w:val="none" w:sz="0" w:space="0" w:color="auto"/>
        <w:bottom w:val="none" w:sz="0" w:space="0" w:color="auto"/>
        <w:right w:val="none" w:sz="0" w:space="0" w:color="auto"/>
      </w:divBdr>
    </w:div>
    <w:div w:id="1205485022">
      <w:marLeft w:val="0"/>
      <w:marRight w:val="0"/>
      <w:marTop w:val="0"/>
      <w:marBottom w:val="240"/>
      <w:divBdr>
        <w:top w:val="none" w:sz="0" w:space="0" w:color="auto"/>
        <w:left w:val="none" w:sz="0" w:space="0" w:color="auto"/>
        <w:bottom w:val="none" w:sz="0" w:space="0" w:color="auto"/>
        <w:right w:val="none" w:sz="0" w:space="0" w:color="auto"/>
      </w:divBdr>
    </w:div>
    <w:div w:id="1205827896">
      <w:marLeft w:val="0"/>
      <w:marRight w:val="0"/>
      <w:marTop w:val="240"/>
      <w:marBottom w:val="0"/>
      <w:divBdr>
        <w:top w:val="none" w:sz="0" w:space="0" w:color="auto"/>
        <w:left w:val="none" w:sz="0" w:space="0" w:color="auto"/>
        <w:bottom w:val="none" w:sz="0" w:space="0" w:color="auto"/>
        <w:right w:val="none" w:sz="0" w:space="0" w:color="auto"/>
      </w:divBdr>
    </w:div>
    <w:div w:id="1209150610">
      <w:marLeft w:val="0"/>
      <w:marRight w:val="0"/>
      <w:marTop w:val="240"/>
      <w:marBottom w:val="0"/>
      <w:divBdr>
        <w:top w:val="none" w:sz="0" w:space="0" w:color="auto"/>
        <w:left w:val="none" w:sz="0" w:space="0" w:color="auto"/>
        <w:bottom w:val="none" w:sz="0" w:space="0" w:color="auto"/>
        <w:right w:val="none" w:sz="0" w:space="0" w:color="auto"/>
      </w:divBdr>
    </w:div>
    <w:div w:id="1209417975">
      <w:marLeft w:val="0"/>
      <w:marRight w:val="0"/>
      <w:marTop w:val="240"/>
      <w:marBottom w:val="0"/>
      <w:divBdr>
        <w:top w:val="none" w:sz="0" w:space="0" w:color="auto"/>
        <w:left w:val="none" w:sz="0" w:space="0" w:color="auto"/>
        <w:bottom w:val="none" w:sz="0" w:space="0" w:color="auto"/>
        <w:right w:val="none" w:sz="0" w:space="0" w:color="auto"/>
      </w:divBdr>
    </w:div>
    <w:div w:id="1212039471">
      <w:marLeft w:val="0"/>
      <w:marRight w:val="0"/>
      <w:marTop w:val="0"/>
      <w:marBottom w:val="0"/>
      <w:divBdr>
        <w:top w:val="none" w:sz="0" w:space="0" w:color="auto"/>
        <w:left w:val="none" w:sz="0" w:space="0" w:color="auto"/>
        <w:bottom w:val="none" w:sz="0" w:space="0" w:color="auto"/>
        <w:right w:val="none" w:sz="0" w:space="0" w:color="auto"/>
      </w:divBdr>
      <w:divsChild>
        <w:div w:id="805125543">
          <w:marLeft w:val="0"/>
          <w:marRight w:val="0"/>
          <w:marTop w:val="0"/>
          <w:marBottom w:val="0"/>
          <w:divBdr>
            <w:top w:val="none" w:sz="0" w:space="0" w:color="auto"/>
            <w:left w:val="none" w:sz="0" w:space="0" w:color="auto"/>
            <w:bottom w:val="none" w:sz="0" w:space="0" w:color="auto"/>
            <w:right w:val="none" w:sz="0" w:space="0" w:color="auto"/>
          </w:divBdr>
        </w:div>
      </w:divsChild>
    </w:div>
    <w:div w:id="1212234294">
      <w:marLeft w:val="0"/>
      <w:marRight w:val="0"/>
      <w:marTop w:val="0"/>
      <w:marBottom w:val="240"/>
      <w:divBdr>
        <w:top w:val="none" w:sz="0" w:space="0" w:color="auto"/>
        <w:left w:val="none" w:sz="0" w:space="0" w:color="auto"/>
        <w:bottom w:val="none" w:sz="0" w:space="0" w:color="auto"/>
        <w:right w:val="none" w:sz="0" w:space="0" w:color="auto"/>
      </w:divBdr>
    </w:div>
    <w:div w:id="1214080689">
      <w:marLeft w:val="0"/>
      <w:marRight w:val="0"/>
      <w:marTop w:val="240"/>
      <w:marBottom w:val="0"/>
      <w:divBdr>
        <w:top w:val="none" w:sz="0" w:space="0" w:color="auto"/>
        <w:left w:val="none" w:sz="0" w:space="0" w:color="auto"/>
        <w:bottom w:val="none" w:sz="0" w:space="0" w:color="auto"/>
        <w:right w:val="none" w:sz="0" w:space="0" w:color="auto"/>
      </w:divBdr>
    </w:div>
    <w:div w:id="1214540557">
      <w:marLeft w:val="0"/>
      <w:marRight w:val="0"/>
      <w:marTop w:val="120"/>
      <w:marBottom w:val="240"/>
      <w:divBdr>
        <w:top w:val="none" w:sz="0" w:space="0" w:color="auto"/>
        <w:left w:val="none" w:sz="0" w:space="0" w:color="auto"/>
        <w:bottom w:val="none" w:sz="0" w:space="0" w:color="auto"/>
        <w:right w:val="none" w:sz="0" w:space="0" w:color="auto"/>
      </w:divBdr>
    </w:div>
    <w:div w:id="1216508386">
      <w:marLeft w:val="0"/>
      <w:marRight w:val="0"/>
      <w:marTop w:val="240"/>
      <w:marBottom w:val="0"/>
      <w:divBdr>
        <w:top w:val="none" w:sz="0" w:space="0" w:color="auto"/>
        <w:left w:val="none" w:sz="0" w:space="0" w:color="auto"/>
        <w:bottom w:val="none" w:sz="0" w:space="0" w:color="auto"/>
        <w:right w:val="none" w:sz="0" w:space="0" w:color="auto"/>
      </w:divBdr>
    </w:div>
    <w:div w:id="1216889821">
      <w:marLeft w:val="0"/>
      <w:marRight w:val="0"/>
      <w:marTop w:val="240"/>
      <w:marBottom w:val="0"/>
      <w:divBdr>
        <w:top w:val="none" w:sz="0" w:space="0" w:color="auto"/>
        <w:left w:val="none" w:sz="0" w:space="0" w:color="auto"/>
        <w:bottom w:val="none" w:sz="0" w:space="0" w:color="auto"/>
        <w:right w:val="none" w:sz="0" w:space="0" w:color="auto"/>
      </w:divBdr>
    </w:div>
    <w:div w:id="1217163158">
      <w:marLeft w:val="0"/>
      <w:marRight w:val="0"/>
      <w:marTop w:val="0"/>
      <w:marBottom w:val="0"/>
      <w:divBdr>
        <w:top w:val="none" w:sz="0" w:space="0" w:color="auto"/>
        <w:left w:val="none" w:sz="0" w:space="0" w:color="auto"/>
        <w:bottom w:val="none" w:sz="0" w:space="0" w:color="auto"/>
        <w:right w:val="none" w:sz="0" w:space="0" w:color="auto"/>
      </w:divBdr>
    </w:div>
    <w:div w:id="1217621808">
      <w:marLeft w:val="0"/>
      <w:marRight w:val="0"/>
      <w:marTop w:val="0"/>
      <w:marBottom w:val="0"/>
      <w:divBdr>
        <w:top w:val="none" w:sz="0" w:space="0" w:color="auto"/>
        <w:left w:val="none" w:sz="0" w:space="0" w:color="auto"/>
        <w:bottom w:val="none" w:sz="0" w:space="0" w:color="auto"/>
        <w:right w:val="none" w:sz="0" w:space="0" w:color="auto"/>
      </w:divBdr>
    </w:div>
    <w:div w:id="1220630309">
      <w:marLeft w:val="0"/>
      <w:marRight w:val="0"/>
      <w:marTop w:val="0"/>
      <w:marBottom w:val="0"/>
      <w:divBdr>
        <w:top w:val="none" w:sz="0" w:space="0" w:color="auto"/>
        <w:left w:val="none" w:sz="0" w:space="0" w:color="auto"/>
        <w:bottom w:val="none" w:sz="0" w:space="0" w:color="auto"/>
        <w:right w:val="none" w:sz="0" w:space="0" w:color="auto"/>
      </w:divBdr>
    </w:div>
    <w:div w:id="1222253365">
      <w:marLeft w:val="0"/>
      <w:marRight w:val="0"/>
      <w:marTop w:val="0"/>
      <w:marBottom w:val="0"/>
      <w:divBdr>
        <w:top w:val="none" w:sz="0" w:space="0" w:color="auto"/>
        <w:left w:val="none" w:sz="0" w:space="0" w:color="auto"/>
        <w:bottom w:val="none" w:sz="0" w:space="0" w:color="auto"/>
        <w:right w:val="none" w:sz="0" w:space="0" w:color="auto"/>
      </w:divBdr>
    </w:div>
    <w:div w:id="1224679542">
      <w:marLeft w:val="0"/>
      <w:marRight w:val="0"/>
      <w:marTop w:val="0"/>
      <w:marBottom w:val="240"/>
      <w:divBdr>
        <w:top w:val="none" w:sz="0" w:space="0" w:color="auto"/>
        <w:left w:val="none" w:sz="0" w:space="0" w:color="auto"/>
        <w:bottom w:val="none" w:sz="0" w:space="0" w:color="auto"/>
        <w:right w:val="none" w:sz="0" w:space="0" w:color="auto"/>
      </w:divBdr>
    </w:div>
    <w:div w:id="1226986488">
      <w:marLeft w:val="0"/>
      <w:marRight w:val="0"/>
      <w:marTop w:val="120"/>
      <w:marBottom w:val="240"/>
      <w:divBdr>
        <w:top w:val="none" w:sz="0" w:space="0" w:color="auto"/>
        <w:left w:val="none" w:sz="0" w:space="0" w:color="auto"/>
        <w:bottom w:val="none" w:sz="0" w:space="0" w:color="auto"/>
        <w:right w:val="none" w:sz="0" w:space="0" w:color="auto"/>
      </w:divBdr>
    </w:div>
    <w:div w:id="1228153148">
      <w:marLeft w:val="0"/>
      <w:marRight w:val="0"/>
      <w:marTop w:val="240"/>
      <w:marBottom w:val="0"/>
      <w:divBdr>
        <w:top w:val="none" w:sz="0" w:space="0" w:color="auto"/>
        <w:left w:val="none" w:sz="0" w:space="0" w:color="auto"/>
        <w:bottom w:val="none" w:sz="0" w:space="0" w:color="auto"/>
        <w:right w:val="none" w:sz="0" w:space="0" w:color="auto"/>
      </w:divBdr>
    </w:div>
    <w:div w:id="1228565329">
      <w:marLeft w:val="0"/>
      <w:marRight w:val="0"/>
      <w:marTop w:val="0"/>
      <w:marBottom w:val="0"/>
      <w:divBdr>
        <w:top w:val="none" w:sz="0" w:space="0" w:color="auto"/>
        <w:left w:val="none" w:sz="0" w:space="0" w:color="auto"/>
        <w:bottom w:val="none" w:sz="0" w:space="0" w:color="auto"/>
        <w:right w:val="none" w:sz="0" w:space="0" w:color="auto"/>
      </w:divBdr>
      <w:divsChild>
        <w:div w:id="1633360736">
          <w:marLeft w:val="0"/>
          <w:marRight w:val="0"/>
          <w:marTop w:val="0"/>
          <w:marBottom w:val="0"/>
          <w:divBdr>
            <w:top w:val="none" w:sz="0" w:space="0" w:color="auto"/>
            <w:left w:val="none" w:sz="0" w:space="0" w:color="auto"/>
            <w:bottom w:val="none" w:sz="0" w:space="0" w:color="auto"/>
            <w:right w:val="none" w:sz="0" w:space="0" w:color="auto"/>
          </w:divBdr>
        </w:div>
      </w:divsChild>
    </w:div>
    <w:div w:id="1237007586">
      <w:marLeft w:val="0"/>
      <w:marRight w:val="0"/>
      <w:marTop w:val="100"/>
      <w:marBottom w:val="0"/>
      <w:divBdr>
        <w:top w:val="none" w:sz="0" w:space="0" w:color="auto"/>
        <w:left w:val="none" w:sz="0" w:space="0" w:color="auto"/>
        <w:bottom w:val="none" w:sz="0" w:space="0" w:color="auto"/>
        <w:right w:val="none" w:sz="0" w:space="0" w:color="auto"/>
      </w:divBdr>
      <w:divsChild>
        <w:div w:id="143546954">
          <w:marLeft w:val="0"/>
          <w:marRight w:val="0"/>
          <w:marTop w:val="0"/>
          <w:marBottom w:val="0"/>
          <w:divBdr>
            <w:top w:val="none" w:sz="0" w:space="0" w:color="auto"/>
            <w:left w:val="none" w:sz="0" w:space="0" w:color="auto"/>
            <w:bottom w:val="none" w:sz="0" w:space="0" w:color="auto"/>
            <w:right w:val="none" w:sz="0" w:space="0" w:color="auto"/>
          </w:divBdr>
        </w:div>
      </w:divsChild>
    </w:div>
    <w:div w:id="1238131360">
      <w:marLeft w:val="0"/>
      <w:marRight w:val="0"/>
      <w:marTop w:val="240"/>
      <w:marBottom w:val="0"/>
      <w:divBdr>
        <w:top w:val="none" w:sz="0" w:space="0" w:color="auto"/>
        <w:left w:val="none" w:sz="0" w:space="0" w:color="auto"/>
        <w:bottom w:val="none" w:sz="0" w:space="0" w:color="auto"/>
        <w:right w:val="none" w:sz="0" w:space="0" w:color="auto"/>
      </w:divBdr>
    </w:div>
    <w:div w:id="1239747034">
      <w:marLeft w:val="0"/>
      <w:marRight w:val="0"/>
      <w:marTop w:val="240"/>
      <w:marBottom w:val="0"/>
      <w:divBdr>
        <w:top w:val="none" w:sz="0" w:space="0" w:color="auto"/>
        <w:left w:val="none" w:sz="0" w:space="0" w:color="auto"/>
        <w:bottom w:val="none" w:sz="0" w:space="0" w:color="auto"/>
        <w:right w:val="none" w:sz="0" w:space="0" w:color="auto"/>
      </w:divBdr>
    </w:div>
    <w:div w:id="1241871569">
      <w:marLeft w:val="0"/>
      <w:marRight w:val="0"/>
      <w:marTop w:val="0"/>
      <w:marBottom w:val="0"/>
      <w:divBdr>
        <w:top w:val="none" w:sz="0" w:space="0" w:color="auto"/>
        <w:left w:val="none" w:sz="0" w:space="0" w:color="auto"/>
        <w:bottom w:val="none" w:sz="0" w:space="0" w:color="auto"/>
        <w:right w:val="none" w:sz="0" w:space="0" w:color="auto"/>
      </w:divBdr>
    </w:div>
    <w:div w:id="1244142542">
      <w:marLeft w:val="0"/>
      <w:marRight w:val="0"/>
      <w:marTop w:val="0"/>
      <w:marBottom w:val="0"/>
      <w:divBdr>
        <w:top w:val="none" w:sz="0" w:space="0" w:color="auto"/>
        <w:left w:val="none" w:sz="0" w:space="0" w:color="auto"/>
        <w:bottom w:val="none" w:sz="0" w:space="0" w:color="auto"/>
        <w:right w:val="none" w:sz="0" w:space="0" w:color="auto"/>
      </w:divBdr>
    </w:div>
    <w:div w:id="1246767187">
      <w:marLeft w:val="0"/>
      <w:marRight w:val="0"/>
      <w:marTop w:val="240"/>
      <w:marBottom w:val="0"/>
      <w:divBdr>
        <w:top w:val="none" w:sz="0" w:space="0" w:color="auto"/>
        <w:left w:val="none" w:sz="0" w:space="0" w:color="auto"/>
        <w:bottom w:val="none" w:sz="0" w:space="0" w:color="auto"/>
        <w:right w:val="none" w:sz="0" w:space="0" w:color="auto"/>
      </w:divBdr>
    </w:div>
    <w:div w:id="1247106059">
      <w:marLeft w:val="0"/>
      <w:marRight w:val="0"/>
      <w:marTop w:val="0"/>
      <w:marBottom w:val="0"/>
      <w:divBdr>
        <w:top w:val="none" w:sz="0" w:space="0" w:color="auto"/>
        <w:left w:val="none" w:sz="0" w:space="0" w:color="auto"/>
        <w:bottom w:val="none" w:sz="0" w:space="0" w:color="auto"/>
        <w:right w:val="none" w:sz="0" w:space="0" w:color="auto"/>
      </w:divBdr>
      <w:divsChild>
        <w:div w:id="248583915">
          <w:marLeft w:val="0"/>
          <w:marRight w:val="0"/>
          <w:marTop w:val="0"/>
          <w:marBottom w:val="0"/>
          <w:divBdr>
            <w:top w:val="none" w:sz="0" w:space="0" w:color="auto"/>
            <w:left w:val="none" w:sz="0" w:space="0" w:color="auto"/>
            <w:bottom w:val="none" w:sz="0" w:space="0" w:color="auto"/>
            <w:right w:val="none" w:sz="0" w:space="0" w:color="auto"/>
          </w:divBdr>
        </w:div>
      </w:divsChild>
    </w:div>
    <w:div w:id="1247423716">
      <w:marLeft w:val="0"/>
      <w:marRight w:val="0"/>
      <w:marTop w:val="240"/>
      <w:marBottom w:val="240"/>
      <w:divBdr>
        <w:top w:val="none" w:sz="0" w:space="0" w:color="auto"/>
        <w:left w:val="none" w:sz="0" w:space="0" w:color="auto"/>
        <w:bottom w:val="none" w:sz="0" w:space="0" w:color="auto"/>
        <w:right w:val="none" w:sz="0" w:space="0" w:color="auto"/>
      </w:divBdr>
    </w:div>
    <w:div w:id="1247618297">
      <w:marLeft w:val="0"/>
      <w:marRight w:val="0"/>
      <w:marTop w:val="0"/>
      <w:marBottom w:val="0"/>
      <w:divBdr>
        <w:top w:val="none" w:sz="0" w:space="0" w:color="auto"/>
        <w:left w:val="none" w:sz="0" w:space="0" w:color="auto"/>
        <w:bottom w:val="none" w:sz="0" w:space="0" w:color="auto"/>
        <w:right w:val="none" w:sz="0" w:space="0" w:color="auto"/>
      </w:divBdr>
    </w:div>
    <w:div w:id="1247689676">
      <w:marLeft w:val="0"/>
      <w:marRight w:val="0"/>
      <w:marTop w:val="0"/>
      <w:marBottom w:val="0"/>
      <w:divBdr>
        <w:top w:val="none" w:sz="0" w:space="0" w:color="auto"/>
        <w:left w:val="none" w:sz="0" w:space="0" w:color="auto"/>
        <w:bottom w:val="none" w:sz="0" w:space="0" w:color="auto"/>
        <w:right w:val="none" w:sz="0" w:space="0" w:color="auto"/>
      </w:divBdr>
      <w:divsChild>
        <w:div w:id="925766119">
          <w:marLeft w:val="0"/>
          <w:marRight w:val="0"/>
          <w:marTop w:val="0"/>
          <w:marBottom w:val="0"/>
          <w:divBdr>
            <w:top w:val="none" w:sz="0" w:space="0" w:color="auto"/>
            <w:left w:val="none" w:sz="0" w:space="0" w:color="auto"/>
            <w:bottom w:val="none" w:sz="0" w:space="0" w:color="auto"/>
            <w:right w:val="none" w:sz="0" w:space="0" w:color="auto"/>
          </w:divBdr>
        </w:div>
      </w:divsChild>
    </w:div>
    <w:div w:id="1250579327">
      <w:marLeft w:val="0"/>
      <w:marRight w:val="0"/>
      <w:marTop w:val="240"/>
      <w:marBottom w:val="0"/>
      <w:divBdr>
        <w:top w:val="none" w:sz="0" w:space="0" w:color="auto"/>
        <w:left w:val="none" w:sz="0" w:space="0" w:color="auto"/>
        <w:bottom w:val="none" w:sz="0" w:space="0" w:color="auto"/>
        <w:right w:val="none" w:sz="0" w:space="0" w:color="auto"/>
      </w:divBdr>
    </w:div>
    <w:div w:id="1251046198">
      <w:marLeft w:val="0"/>
      <w:marRight w:val="0"/>
      <w:marTop w:val="240"/>
      <w:marBottom w:val="0"/>
      <w:divBdr>
        <w:top w:val="none" w:sz="0" w:space="0" w:color="auto"/>
        <w:left w:val="none" w:sz="0" w:space="0" w:color="auto"/>
        <w:bottom w:val="none" w:sz="0" w:space="0" w:color="auto"/>
        <w:right w:val="none" w:sz="0" w:space="0" w:color="auto"/>
      </w:divBdr>
    </w:div>
    <w:div w:id="1257636465">
      <w:marLeft w:val="0"/>
      <w:marRight w:val="0"/>
      <w:marTop w:val="0"/>
      <w:marBottom w:val="0"/>
      <w:divBdr>
        <w:top w:val="none" w:sz="0" w:space="0" w:color="auto"/>
        <w:left w:val="none" w:sz="0" w:space="0" w:color="auto"/>
        <w:bottom w:val="none" w:sz="0" w:space="0" w:color="auto"/>
        <w:right w:val="none" w:sz="0" w:space="0" w:color="auto"/>
      </w:divBdr>
      <w:divsChild>
        <w:div w:id="2039355849">
          <w:marLeft w:val="0"/>
          <w:marRight w:val="0"/>
          <w:marTop w:val="0"/>
          <w:marBottom w:val="0"/>
          <w:divBdr>
            <w:top w:val="none" w:sz="0" w:space="0" w:color="auto"/>
            <w:left w:val="none" w:sz="0" w:space="0" w:color="auto"/>
            <w:bottom w:val="none" w:sz="0" w:space="0" w:color="auto"/>
            <w:right w:val="none" w:sz="0" w:space="0" w:color="auto"/>
          </w:divBdr>
        </w:div>
      </w:divsChild>
    </w:div>
    <w:div w:id="1264268933">
      <w:marLeft w:val="0"/>
      <w:marRight w:val="0"/>
      <w:marTop w:val="0"/>
      <w:marBottom w:val="0"/>
      <w:divBdr>
        <w:top w:val="none" w:sz="0" w:space="0" w:color="auto"/>
        <w:left w:val="none" w:sz="0" w:space="0" w:color="auto"/>
        <w:bottom w:val="none" w:sz="0" w:space="0" w:color="auto"/>
        <w:right w:val="none" w:sz="0" w:space="0" w:color="auto"/>
      </w:divBdr>
    </w:div>
    <w:div w:id="1267036645">
      <w:marLeft w:val="0"/>
      <w:marRight w:val="0"/>
      <w:marTop w:val="0"/>
      <w:marBottom w:val="0"/>
      <w:divBdr>
        <w:top w:val="none" w:sz="0" w:space="0" w:color="auto"/>
        <w:left w:val="none" w:sz="0" w:space="0" w:color="auto"/>
        <w:bottom w:val="none" w:sz="0" w:space="0" w:color="auto"/>
        <w:right w:val="none" w:sz="0" w:space="0" w:color="auto"/>
      </w:divBdr>
      <w:divsChild>
        <w:div w:id="455300698">
          <w:marLeft w:val="0"/>
          <w:marRight w:val="0"/>
          <w:marTop w:val="0"/>
          <w:marBottom w:val="0"/>
          <w:divBdr>
            <w:top w:val="none" w:sz="0" w:space="0" w:color="auto"/>
            <w:left w:val="none" w:sz="0" w:space="0" w:color="auto"/>
            <w:bottom w:val="none" w:sz="0" w:space="0" w:color="auto"/>
            <w:right w:val="none" w:sz="0" w:space="0" w:color="auto"/>
          </w:divBdr>
        </w:div>
      </w:divsChild>
    </w:div>
    <w:div w:id="1267735564">
      <w:marLeft w:val="0"/>
      <w:marRight w:val="0"/>
      <w:marTop w:val="120"/>
      <w:marBottom w:val="240"/>
      <w:divBdr>
        <w:top w:val="none" w:sz="0" w:space="0" w:color="auto"/>
        <w:left w:val="none" w:sz="0" w:space="0" w:color="auto"/>
        <w:bottom w:val="none" w:sz="0" w:space="0" w:color="auto"/>
        <w:right w:val="none" w:sz="0" w:space="0" w:color="auto"/>
      </w:divBdr>
    </w:div>
    <w:div w:id="1271085781">
      <w:marLeft w:val="0"/>
      <w:marRight w:val="0"/>
      <w:marTop w:val="0"/>
      <w:marBottom w:val="240"/>
      <w:divBdr>
        <w:top w:val="none" w:sz="0" w:space="0" w:color="auto"/>
        <w:left w:val="none" w:sz="0" w:space="0" w:color="auto"/>
        <w:bottom w:val="none" w:sz="0" w:space="0" w:color="auto"/>
        <w:right w:val="none" w:sz="0" w:space="0" w:color="auto"/>
      </w:divBdr>
    </w:div>
    <w:div w:id="1273628555">
      <w:marLeft w:val="0"/>
      <w:marRight w:val="0"/>
      <w:marTop w:val="240"/>
      <w:marBottom w:val="0"/>
      <w:divBdr>
        <w:top w:val="none" w:sz="0" w:space="0" w:color="auto"/>
        <w:left w:val="none" w:sz="0" w:space="0" w:color="auto"/>
        <w:bottom w:val="none" w:sz="0" w:space="0" w:color="auto"/>
        <w:right w:val="none" w:sz="0" w:space="0" w:color="auto"/>
      </w:divBdr>
    </w:div>
    <w:div w:id="1287613850">
      <w:marLeft w:val="0"/>
      <w:marRight w:val="0"/>
      <w:marTop w:val="0"/>
      <w:marBottom w:val="0"/>
      <w:divBdr>
        <w:top w:val="none" w:sz="0" w:space="0" w:color="auto"/>
        <w:left w:val="none" w:sz="0" w:space="0" w:color="auto"/>
        <w:bottom w:val="none" w:sz="0" w:space="0" w:color="auto"/>
        <w:right w:val="none" w:sz="0" w:space="0" w:color="auto"/>
      </w:divBdr>
    </w:div>
    <w:div w:id="1288123041">
      <w:marLeft w:val="0"/>
      <w:marRight w:val="0"/>
      <w:marTop w:val="0"/>
      <w:marBottom w:val="0"/>
      <w:divBdr>
        <w:top w:val="none" w:sz="0" w:space="0" w:color="auto"/>
        <w:left w:val="none" w:sz="0" w:space="0" w:color="auto"/>
        <w:bottom w:val="none" w:sz="0" w:space="0" w:color="auto"/>
        <w:right w:val="none" w:sz="0" w:space="0" w:color="auto"/>
      </w:divBdr>
      <w:divsChild>
        <w:div w:id="648947643">
          <w:marLeft w:val="0"/>
          <w:marRight w:val="0"/>
          <w:marTop w:val="0"/>
          <w:marBottom w:val="0"/>
          <w:divBdr>
            <w:top w:val="none" w:sz="0" w:space="0" w:color="auto"/>
            <w:left w:val="none" w:sz="0" w:space="0" w:color="auto"/>
            <w:bottom w:val="none" w:sz="0" w:space="0" w:color="auto"/>
            <w:right w:val="none" w:sz="0" w:space="0" w:color="auto"/>
          </w:divBdr>
        </w:div>
      </w:divsChild>
    </w:div>
    <w:div w:id="1288664147">
      <w:marLeft w:val="0"/>
      <w:marRight w:val="0"/>
      <w:marTop w:val="0"/>
      <w:marBottom w:val="240"/>
      <w:divBdr>
        <w:top w:val="none" w:sz="0" w:space="0" w:color="auto"/>
        <w:left w:val="none" w:sz="0" w:space="0" w:color="auto"/>
        <w:bottom w:val="none" w:sz="0" w:space="0" w:color="auto"/>
        <w:right w:val="none" w:sz="0" w:space="0" w:color="auto"/>
      </w:divBdr>
    </w:div>
    <w:div w:id="1291088253">
      <w:marLeft w:val="0"/>
      <w:marRight w:val="0"/>
      <w:marTop w:val="240"/>
      <w:marBottom w:val="240"/>
      <w:divBdr>
        <w:top w:val="none" w:sz="0" w:space="0" w:color="auto"/>
        <w:left w:val="none" w:sz="0" w:space="0" w:color="auto"/>
        <w:bottom w:val="none" w:sz="0" w:space="0" w:color="auto"/>
        <w:right w:val="none" w:sz="0" w:space="0" w:color="auto"/>
      </w:divBdr>
    </w:div>
    <w:div w:id="1291859629">
      <w:marLeft w:val="0"/>
      <w:marRight w:val="0"/>
      <w:marTop w:val="0"/>
      <w:marBottom w:val="0"/>
      <w:divBdr>
        <w:top w:val="none" w:sz="0" w:space="0" w:color="auto"/>
        <w:left w:val="none" w:sz="0" w:space="0" w:color="auto"/>
        <w:bottom w:val="none" w:sz="0" w:space="0" w:color="auto"/>
        <w:right w:val="none" w:sz="0" w:space="0" w:color="auto"/>
      </w:divBdr>
      <w:divsChild>
        <w:div w:id="322055066">
          <w:marLeft w:val="0"/>
          <w:marRight w:val="0"/>
          <w:marTop w:val="0"/>
          <w:marBottom w:val="0"/>
          <w:divBdr>
            <w:top w:val="none" w:sz="0" w:space="0" w:color="auto"/>
            <w:left w:val="none" w:sz="0" w:space="0" w:color="auto"/>
            <w:bottom w:val="none" w:sz="0" w:space="0" w:color="auto"/>
            <w:right w:val="none" w:sz="0" w:space="0" w:color="auto"/>
          </w:divBdr>
        </w:div>
      </w:divsChild>
    </w:div>
    <w:div w:id="1292907497">
      <w:marLeft w:val="0"/>
      <w:marRight w:val="0"/>
      <w:marTop w:val="0"/>
      <w:marBottom w:val="0"/>
      <w:divBdr>
        <w:top w:val="none" w:sz="0" w:space="0" w:color="auto"/>
        <w:left w:val="none" w:sz="0" w:space="0" w:color="auto"/>
        <w:bottom w:val="none" w:sz="0" w:space="0" w:color="auto"/>
        <w:right w:val="none" w:sz="0" w:space="0" w:color="auto"/>
      </w:divBdr>
      <w:divsChild>
        <w:div w:id="1521356289">
          <w:marLeft w:val="0"/>
          <w:marRight w:val="0"/>
          <w:marTop w:val="0"/>
          <w:marBottom w:val="0"/>
          <w:divBdr>
            <w:top w:val="none" w:sz="0" w:space="0" w:color="auto"/>
            <w:left w:val="none" w:sz="0" w:space="0" w:color="auto"/>
            <w:bottom w:val="none" w:sz="0" w:space="0" w:color="auto"/>
            <w:right w:val="none" w:sz="0" w:space="0" w:color="auto"/>
          </w:divBdr>
        </w:div>
      </w:divsChild>
    </w:div>
    <w:div w:id="1293635472">
      <w:marLeft w:val="0"/>
      <w:marRight w:val="0"/>
      <w:marTop w:val="240"/>
      <w:marBottom w:val="0"/>
      <w:divBdr>
        <w:top w:val="none" w:sz="0" w:space="0" w:color="auto"/>
        <w:left w:val="none" w:sz="0" w:space="0" w:color="auto"/>
        <w:bottom w:val="none" w:sz="0" w:space="0" w:color="auto"/>
        <w:right w:val="none" w:sz="0" w:space="0" w:color="auto"/>
      </w:divBdr>
    </w:div>
    <w:div w:id="1294674878">
      <w:marLeft w:val="0"/>
      <w:marRight w:val="0"/>
      <w:marTop w:val="0"/>
      <w:marBottom w:val="240"/>
      <w:divBdr>
        <w:top w:val="none" w:sz="0" w:space="0" w:color="auto"/>
        <w:left w:val="none" w:sz="0" w:space="0" w:color="auto"/>
        <w:bottom w:val="none" w:sz="0" w:space="0" w:color="auto"/>
        <w:right w:val="none" w:sz="0" w:space="0" w:color="auto"/>
      </w:divBdr>
    </w:div>
    <w:div w:id="1295983213">
      <w:marLeft w:val="0"/>
      <w:marRight w:val="0"/>
      <w:marTop w:val="240"/>
      <w:marBottom w:val="0"/>
      <w:divBdr>
        <w:top w:val="none" w:sz="0" w:space="0" w:color="auto"/>
        <w:left w:val="none" w:sz="0" w:space="0" w:color="auto"/>
        <w:bottom w:val="none" w:sz="0" w:space="0" w:color="auto"/>
        <w:right w:val="none" w:sz="0" w:space="0" w:color="auto"/>
      </w:divBdr>
    </w:div>
    <w:div w:id="1296331010">
      <w:marLeft w:val="0"/>
      <w:marRight w:val="0"/>
      <w:marTop w:val="0"/>
      <w:marBottom w:val="240"/>
      <w:divBdr>
        <w:top w:val="none" w:sz="0" w:space="0" w:color="auto"/>
        <w:left w:val="none" w:sz="0" w:space="0" w:color="auto"/>
        <w:bottom w:val="none" w:sz="0" w:space="0" w:color="auto"/>
        <w:right w:val="none" w:sz="0" w:space="0" w:color="auto"/>
      </w:divBdr>
    </w:div>
    <w:div w:id="1307735574">
      <w:marLeft w:val="0"/>
      <w:marRight w:val="0"/>
      <w:marTop w:val="240"/>
      <w:marBottom w:val="0"/>
      <w:divBdr>
        <w:top w:val="none" w:sz="0" w:space="0" w:color="auto"/>
        <w:left w:val="none" w:sz="0" w:space="0" w:color="auto"/>
        <w:bottom w:val="none" w:sz="0" w:space="0" w:color="auto"/>
        <w:right w:val="none" w:sz="0" w:space="0" w:color="auto"/>
      </w:divBdr>
    </w:div>
    <w:div w:id="1309090360">
      <w:marLeft w:val="0"/>
      <w:marRight w:val="0"/>
      <w:marTop w:val="0"/>
      <w:marBottom w:val="0"/>
      <w:divBdr>
        <w:top w:val="none" w:sz="0" w:space="0" w:color="auto"/>
        <w:left w:val="none" w:sz="0" w:space="0" w:color="auto"/>
        <w:bottom w:val="none" w:sz="0" w:space="0" w:color="auto"/>
        <w:right w:val="none" w:sz="0" w:space="0" w:color="auto"/>
      </w:divBdr>
      <w:divsChild>
        <w:div w:id="1053580123">
          <w:marLeft w:val="0"/>
          <w:marRight w:val="0"/>
          <w:marTop w:val="0"/>
          <w:marBottom w:val="0"/>
          <w:divBdr>
            <w:top w:val="none" w:sz="0" w:space="0" w:color="auto"/>
            <w:left w:val="none" w:sz="0" w:space="0" w:color="auto"/>
            <w:bottom w:val="none" w:sz="0" w:space="0" w:color="auto"/>
            <w:right w:val="none" w:sz="0" w:space="0" w:color="auto"/>
          </w:divBdr>
        </w:div>
      </w:divsChild>
    </w:div>
    <w:div w:id="1312636563">
      <w:marLeft w:val="0"/>
      <w:marRight w:val="0"/>
      <w:marTop w:val="240"/>
      <w:marBottom w:val="0"/>
      <w:divBdr>
        <w:top w:val="none" w:sz="0" w:space="0" w:color="auto"/>
        <w:left w:val="none" w:sz="0" w:space="0" w:color="auto"/>
        <w:bottom w:val="none" w:sz="0" w:space="0" w:color="auto"/>
        <w:right w:val="none" w:sz="0" w:space="0" w:color="auto"/>
      </w:divBdr>
    </w:div>
    <w:div w:id="1319068654">
      <w:marLeft w:val="0"/>
      <w:marRight w:val="0"/>
      <w:marTop w:val="240"/>
      <w:marBottom w:val="0"/>
      <w:divBdr>
        <w:top w:val="none" w:sz="0" w:space="0" w:color="auto"/>
        <w:left w:val="none" w:sz="0" w:space="0" w:color="auto"/>
        <w:bottom w:val="none" w:sz="0" w:space="0" w:color="auto"/>
        <w:right w:val="none" w:sz="0" w:space="0" w:color="auto"/>
      </w:divBdr>
    </w:div>
    <w:div w:id="1320498807">
      <w:marLeft w:val="0"/>
      <w:marRight w:val="0"/>
      <w:marTop w:val="0"/>
      <w:marBottom w:val="0"/>
      <w:divBdr>
        <w:top w:val="none" w:sz="0" w:space="0" w:color="auto"/>
        <w:left w:val="none" w:sz="0" w:space="0" w:color="auto"/>
        <w:bottom w:val="none" w:sz="0" w:space="0" w:color="auto"/>
        <w:right w:val="none" w:sz="0" w:space="0" w:color="auto"/>
      </w:divBdr>
      <w:divsChild>
        <w:div w:id="869223104">
          <w:marLeft w:val="0"/>
          <w:marRight w:val="0"/>
          <w:marTop w:val="0"/>
          <w:marBottom w:val="0"/>
          <w:divBdr>
            <w:top w:val="none" w:sz="0" w:space="0" w:color="auto"/>
            <w:left w:val="none" w:sz="0" w:space="0" w:color="auto"/>
            <w:bottom w:val="none" w:sz="0" w:space="0" w:color="auto"/>
            <w:right w:val="none" w:sz="0" w:space="0" w:color="auto"/>
          </w:divBdr>
        </w:div>
      </w:divsChild>
    </w:div>
    <w:div w:id="1324745865">
      <w:marLeft w:val="0"/>
      <w:marRight w:val="0"/>
      <w:marTop w:val="0"/>
      <w:marBottom w:val="240"/>
      <w:divBdr>
        <w:top w:val="none" w:sz="0" w:space="0" w:color="auto"/>
        <w:left w:val="none" w:sz="0" w:space="0" w:color="auto"/>
        <w:bottom w:val="none" w:sz="0" w:space="0" w:color="auto"/>
        <w:right w:val="none" w:sz="0" w:space="0" w:color="auto"/>
      </w:divBdr>
    </w:div>
    <w:div w:id="1328360652">
      <w:marLeft w:val="0"/>
      <w:marRight w:val="0"/>
      <w:marTop w:val="240"/>
      <w:marBottom w:val="0"/>
      <w:divBdr>
        <w:top w:val="none" w:sz="0" w:space="0" w:color="auto"/>
        <w:left w:val="none" w:sz="0" w:space="0" w:color="auto"/>
        <w:bottom w:val="none" w:sz="0" w:space="0" w:color="auto"/>
        <w:right w:val="none" w:sz="0" w:space="0" w:color="auto"/>
      </w:divBdr>
    </w:div>
    <w:div w:id="1340696110">
      <w:marLeft w:val="0"/>
      <w:marRight w:val="0"/>
      <w:marTop w:val="0"/>
      <w:marBottom w:val="0"/>
      <w:divBdr>
        <w:top w:val="none" w:sz="0" w:space="0" w:color="auto"/>
        <w:left w:val="none" w:sz="0" w:space="0" w:color="auto"/>
        <w:bottom w:val="none" w:sz="0" w:space="0" w:color="auto"/>
        <w:right w:val="none" w:sz="0" w:space="0" w:color="auto"/>
      </w:divBdr>
      <w:divsChild>
        <w:div w:id="833301946">
          <w:marLeft w:val="0"/>
          <w:marRight w:val="0"/>
          <w:marTop w:val="0"/>
          <w:marBottom w:val="0"/>
          <w:divBdr>
            <w:top w:val="none" w:sz="0" w:space="0" w:color="auto"/>
            <w:left w:val="none" w:sz="0" w:space="0" w:color="auto"/>
            <w:bottom w:val="none" w:sz="0" w:space="0" w:color="auto"/>
            <w:right w:val="none" w:sz="0" w:space="0" w:color="auto"/>
          </w:divBdr>
        </w:div>
      </w:divsChild>
    </w:div>
    <w:div w:id="1341085688">
      <w:marLeft w:val="0"/>
      <w:marRight w:val="0"/>
      <w:marTop w:val="0"/>
      <w:marBottom w:val="0"/>
      <w:divBdr>
        <w:top w:val="none" w:sz="0" w:space="0" w:color="auto"/>
        <w:left w:val="none" w:sz="0" w:space="0" w:color="auto"/>
        <w:bottom w:val="none" w:sz="0" w:space="0" w:color="auto"/>
        <w:right w:val="none" w:sz="0" w:space="0" w:color="auto"/>
      </w:divBdr>
      <w:divsChild>
        <w:div w:id="1868446132">
          <w:marLeft w:val="0"/>
          <w:marRight w:val="0"/>
          <w:marTop w:val="0"/>
          <w:marBottom w:val="0"/>
          <w:divBdr>
            <w:top w:val="none" w:sz="0" w:space="0" w:color="auto"/>
            <w:left w:val="none" w:sz="0" w:space="0" w:color="auto"/>
            <w:bottom w:val="none" w:sz="0" w:space="0" w:color="auto"/>
            <w:right w:val="none" w:sz="0" w:space="0" w:color="auto"/>
          </w:divBdr>
        </w:div>
      </w:divsChild>
    </w:div>
    <w:div w:id="1344627088">
      <w:marLeft w:val="0"/>
      <w:marRight w:val="0"/>
      <w:marTop w:val="0"/>
      <w:marBottom w:val="240"/>
      <w:divBdr>
        <w:top w:val="none" w:sz="0" w:space="0" w:color="auto"/>
        <w:left w:val="none" w:sz="0" w:space="0" w:color="auto"/>
        <w:bottom w:val="none" w:sz="0" w:space="0" w:color="auto"/>
        <w:right w:val="none" w:sz="0" w:space="0" w:color="auto"/>
      </w:divBdr>
    </w:div>
    <w:div w:id="1345328795">
      <w:marLeft w:val="0"/>
      <w:marRight w:val="0"/>
      <w:marTop w:val="0"/>
      <w:marBottom w:val="240"/>
      <w:divBdr>
        <w:top w:val="none" w:sz="0" w:space="0" w:color="auto"/>
        <w:left w:val="none" w:sz="0" w:space="0" w:color="auto"/>
        <w:bottom w:val="none" w:sz="0" w:space="0" w:color="auto"/>
        <w:right w:val="none" w:sz="0" w:space="0" w:color="auto"/>
      </w:divBdr>
    </w:div>
    <w:div w:id="1345476021">
      <w:marLeft w:val="0"/>
      <w:marRight w:val="0"/>
      <w:marTop w:val="0"/>
      <w:marBottom w:val="0"/>
      <w:divBdr>
        <w:top w:val="none" w:sz="0" w:space="0" w:color="auto"/>
        <w:left w:val="none" w:sz="0" w:space="0" w:color="auto"/>
        <w:bottom w:val="none" w:sz="0" w:space="0" w:color="auto"/>
        <w:right w:val="none" w:sz="0" w:space="0" w:color="auto"/>
      </w:divBdr>
      <w:divsChild>
        <w:div w:id="9336142">
          <w:marLeft w:val="0"/>
          <w:marRight w:val="0"/>
          <w:marTop w:val="0"/>
          <w:marBottom w:val="0"/>
          <w:divBdr>
            <w:top w:val="none" w:sz="0" w:space="0" w:color="auto"/>
            <w:left w:val="none" w:sz="0" w:space="0" w:color="auto"/>
            <w:bottom w:val="none" w:sz="0" w:space="0" w:color="auto"/>
            <w:right w:val="none" w:sz="0" w:space="0" w:color="auto"/>
          </w:divBdr>
        </w:div>
      </w:divsChild>
    </w:div>
    <w:div w:id="1347562836">
      <w:marLeft w:val="0"/>
      <w:marRight w:val="0"/>
      <w:marTop w:val="0"/>
      <w:marBottom w:val="0"/>
      <w:divBdr>
        <w:top w:val="none" w:sz="0" w:space="0" w:color="auto"/>
        <w:left w:val="none" w:sz="0" w:space="0" w:color="auto"/>
        <w:bottom w:val="none" w:sz="0" w:space="0" w:color="auto"/>
        <w:right w:val="none" w:sz="0" w:space="0" w:color="auto"/>
      </w:divBdr>
      <w:divsChild>
        <w:div w:id="1460076866">
          <w:marLeft w:val="0"/>
          <w:marRight w:val="0"/>
          <w:marTop w:val="0"/>
          <w:marBottom w:val="0"/>
          <w:divBdr>
            <w:top w:val="none" w:sz="0" w:space="0" w:color="auto"/>
            <w:left w:val="none" w:sz="0" w:space="0" w:color="auto"/>
            <w:bottom w:val="none" w:sz="0" w:space="0" w:color="auto"/>
            <w:right w:val="none" w:sz="0" w:space="0" w:color="auto"/>
          </w:divBdr>
        </w:div>
      </w:divsChild>
    </w:div>
    <w:div w:id="1351685409">
      <w:marLeft w:val="0"/>
      <w:marRight w:val="0"/>
      <w:marTop w:val="0"/>
      <w:marBottom w:val="0"/>
      <w:divBdr>
        <w:top w:val="none" w:sz="0" w:space="0" w:color="auto"/>
        <w:left w:val="none" w:sz="0" w:space="0" w:color="auto"/>
        <w:bottom w:val="none" w:sz="0" w:space="0" w:color="auto"/>
        <w:right w:val="none" w:sz="0" w:space="0" w:color="auto"/>
      </w:divBdr>
      <w:divsChild>
        <w:div w:id="141503159">
          <w:marLeft w:val="0"/>
          <w:marRight w:val="0"/>
          <w:marTop w:val="0"/>
          <w:marBottom w:val="0"/>
          <w:divBdr>
            <w:top w:val="none" w:sz="0" w:space="0" w:color="auto"/>
            <w:left w:val="none" w:sz="0" w:space="0" w:color="auto"/>
            <w:bottom w:val="none" w:sz="0" w:space="0" w:color="auto"/>
            <w:right w:val="none" w:sz="0" w:space="0" w:color="auto"/>
          </w:divBdr>
        </w:div>
      </w:divsChild>
    </w:div>
    <w:div w:id="1352801028">
      <w:marLeft w:val="0"/>
      <w:marRight w:val="0"/>
      <w:marTop w:val="240"/>
      <w:marBottom w:val="0"/>
      <w:divBdr>
        <w:top w:val="none" w:sz="0" w:space="0" w:color="auto"/>
        <w:left w:val="none" w:sz="0" w:space="0" w:color="auto"/>
        <w:bottom w:val="none" w:sz="0" w:space="0" w:color="auto"/>
        <w:right w:val="none" w:sz="0" w:space="0" w:color="auto"/>
      </w:divBdr>
    </w:div>
    <w:div w:id="1353998879">
      <w:marLeft w:val="0"/>
      <w:marRight w:val="0"/>
      <w:marTop w:val="240"/>
      <w:marBottom w:val="240"/>
      <w:divBdr>
        <w:top w:val="none" w:sz="0" w:space="0" w:color="auto"/>
        <w:left w:val="none" w:sz="0" w:space="0" w:color="auto"/>
        <w:bottom w:val="none" w:sz="0" w:space="0" w:color="auto"/>
        <w:right w:val="none" w:sz="0" w:space="0" w:color="auto"/>
      </w:divBdr>
    </w:div>
    <w:div w:id="1354112062">
      <w:marLeft w:val="0"/>
      <w:marRight w:val="0"/>
      <w:marTop w:val="240"/>
      <w:marBottom w:val="0"/>
      <w:divBdr>
        <w:top w:val="none" w:sz="0" w:space="0" w:color="auto"/>
        <w:left w:val="none" w:sz="0" w:space="0" w:color="auto"/>
        <w:bottom w:val="none" w:sz="0" w:space="0" w:color="auto"/>
        <w:right w:val="none" w:sz="0" w:space="0" w:color="auto"/>
      </w:divBdr>
    </w:div>
    <w:div w:id="1354647557">
      <w:marLeft w:val="0"/>
      <w:marRight w:val="0"/>
      <w:marTop w:val="0"/>
      <w:marBottom w:val="240"/>
      <w:divBdr>
        <w:top w:val="none" w:sz="0" w:space="0" w:color="auto"/>
        <w:left w:val="none" w:sz="0" w:space="0" w:color="auto"/>
        <w:bottom w:val="none" w:sz="0" w:space="0" w:color="auto"/>
        <w:right w:val="none" w:sz="0" w:space="0" w:color="auto"/>
      </w:divBdr>
    </w:div>
    <w:div w:id="1357778852">
      <w:marLeft w:val="0"/>
      <w:marRight w:val="0"/>
      <w:marTop w:val="240"/>
      <w:marBottom w:val="0"/>
      <w:divBdr>
        <w:top w:val="none" w:sz="0" w:space="0" w:color="auto"/>
        <w:left w:val="none" w:sz="0" w:space="0" w:color="auto"/>
        <w:bottom w:val="none" w:sz="0" w:space="0" w:color="auto"/>
        <w:right w:val="none" w:sz="0" w:space="0" w:color="auto"/>
      </w:divBdr>
    </w:div>
    <w:div w:id="1362052713">
      <w:marLeft w:val="0"/>
      <w:marRight w:val="0"/>
      <w:marTop w:val="240"/>
      <w:marBottom w:val="0"/>
      <w:divBdr>
        <w:top w:val="none" w:sz="0" w:space="0" w:color="auto"/>
        <w:left w:val="none" w:sz="0" w:space="0" w:color="auto"/>
        <w:bottom w:val="none" w:sz="0" w:space="0" w:color="auto"/>
        <w:right w:val="none" w:sz="0" w:space="0" w:color="auto"/>
      </w:divBdr>
    </w:div>
    <w:div w:id="1362322832">
      <w:marLeft w:val="0"/>
      <w:marRight w:val="0"/>
      <w:marTop w:val="0"/>
      <w:marBottom w:val="240"/>
      <w:divBdr>
        <w:top w:val="none" w:sz="0" w:space="0" w:color="auto"/>
        <w:left w:val="none" w:sz="0" w:space="0" w:color="auto"/>
        <w:bottom w:val="none" w:sz="0" w:space="0" w:color="auto"/>
        <w:right w:val="none" w:sz="0" w:space="0" w:color="auto"/>
      </w:divBdr>
    </w:div>
    <w:div w:id="1366828685">
      <w:marLeft w:val="0"/>
      <w:marRight w:val="0"/>
      <w:marTop w:val="240"/>
      <w:marBottom w:val="0"/>
      <w:divBdr>
        <w:top w:val="none" w:sz="0" w:space="0" w:color="auto"/>
        <w:left w:val="none" w:sz="0" w:space="0" w:color="auto"/>
        <w:bottom w:val="none" w:sz="0" w:space="0" w:color="auto"/>
        <w:right w:val="none" w:sz="0" w:space="0" w:color="auto"/>
      </w:divBdr>
    </w:div>
    <w:div w:id="1367753851">
      <w:marLeft w:val="0"/>
      <w:marRight w:val="0"/>
      <w:marTop w:val="240"/>
      <w:marBottom w:val="0"/>
      <w:divBdr>
        <w:top w:val="none" w:sz="0" w:space="0" w:color="auto"/>
        <w:left w:val="none" w:sz="0" w:space="0" w:color="auto"/>
        <w:bottom w:val="none" w:sz="0" w:space="0" w:color="auto"/>
        <w:right w:val="none" w:sz="0" w:space="0" w:color="auto"/>
      </w:divBdr>
    </w:div>
    <w:div w:id="1368022001">
      <w:marLeft w:val="0"/>
      <w:marRight w:val="0"/>
      <w:marTop w:val="240"/>
      <w:marBottom w:val="0"/>
      <w:divBdr>
        <w:top w:val="none" w:sz="0" w:space="0" w:color="auto"/>
        <w:left w:val="none" w:sz="0" w:space="0" w:color="auto"/>
        <w:bottom w:val="none" w:sz="0" w:space="0" w:color="auto"/>
        <w:right w:val="none" w:sz="0" w:space="0" w:color="auto"/>
      </w:divBdr>
    </w:div>
    <w:div w:id="1369525317">
      <w:marLeft w:val="0"/>
      <w:marRight w:val="0"/>
      <w:marTop w:val="0"/>
      <w:marBottom w:val="240"/>
      <w:divBdr>
        <w:top w:val="none" w:sz="0" w:space="0" w:color="auto"/>
        <w:left w:val="none" w:sz="0" w:space="0" w:color="auto"/>
        <w:bottom w:val="none" w:sz="0" w:space="0" w:color="auto"/>
        <w:right w:val="none" w:sz="0" w:space="0" w:color="auto"/>
      </w:divBdr>
    </w:div>
    <w:div w:id="1372919583">
      <w:marLeft w:val="0"/>
      <w:marRight w:val="0"/>
      <w:marTop w:val="0"/>
      <w:marBottom w:val="240"/>
      <w:divBdr>
        <w:top w:val="none" w:sz="0" w:space="0" w:color="auto"/>
        <w:left w:val="none" w:sz="0" w:space="0" w:color="auto"/>
        <w:bottom w:val="none" w:sz="0" w:space="0" w:color="auto"/>
        <w:right w:val="none" w:sz="0" w:space="0" w:color="auto"/>
      </w:divBdr>
    </w:div>
    <w:div w:id="1374689944">
      <w:marLeft w:val="0"/>
      <w:marRight w:val="0"/>
      <w:marTop w:val="0"/>
      <w:marBottom w:val="0"/>
      <w:divBdr>
        <w:top w:val="none" w:sz="0" w:space="0" w:color="auto"/>
        <w:left w:val="none" w:sz="0" w:space="0" w:color="auto"/>
        <w:bottom w:val="none" w:sz="0" w:space="0" w:color="auto"/>
        <w:right w:val="none" w:sz="0" w:space="0" w:color="auto"/>
      </w:divBdr>
      <w:divsChild>
        <w:div w:id="780758533">
          <w:marLeft w:val="0"/>
          <w:marRight w:val="0"/>
          <w:marTop w:val="0"/>
          <w:marBottom w:val="0"/>
          <w:divBdr>
            <w:top w:val="none" w:sz="0" w:space="0" w:color="auto"/>
            <w:left w:val="none" w:sz="0" w:space="0" w:color="auto"/>
            <w:bottom w:val="none" w:sz="0" w:space="0" w:color="auto"/>
            <w:right w:val="none" w:sz="0" w:space="0" w:color="auto"/>
          </w:divBdr>
        </w:div>
      </w:divsChild>
    </w:div>
    <w:div w:id="1374965025">
      <w:marLeft w:val="0"/>
      <w:marRight w:val="0"/>
      <w:marTop w:val="0"/>
      <w:marBottom w:val="0"/>
      <w:divBdr>
        <w:top w:val="none" w:sz="0" w:space="0" w:color="auto"/>
        <w:left w:val="none" w:sz="0" w:space="0" w:color="auto"/>
        <w:bottom w:val="none" w:sz="0" w:space="0" w:color="auto"/>
        <w:right w:val="none" w:sz="0" w:space="0" w:color="auto"/>
      </w:divBdr>
      <w:divsChild>
        <w:div w:id="528181367">
          <w:marLeft w:val="0"/>
          <w:marRight w:val="0"/>
          <w:marTop w:val="0"/>
          <w:marBottom w:val="0"/>
          <w:divBdr>
            <w:top w:val="none" w:sz="0" w:space="0" w:color="auto"/>
            <w:left w:val="none" w:sz="0" w:space="0" w:color="auto"/>
            <w:bottom w:val="none" w:sz="0" w:space="0" w:color="auto"/>
            <w:right w:val="none" w:sz="0" w:space="0" w:color="auto"/>
          </w:divBdr>
        </w:div>
      </w:divsChild>
    </w:div>
    <w:div w:id="1375079892">
      <w:marLeft w:val="0"/>
      <w:marRight w:val="0"/>
      <w:marTop w:val="0"/>
      <w:marBottom w:val="0"/>
      <w:divBdr>
        <w:top w:val="none" w:sz="0" w:space="0" w:color="auto"/>
        <w:left w:val="none" w:sz="0" w:space="0" w:color="auto"/>
        <w:bottom w:val="none" w:sz="0" w:space="0" w:color="auto"/>
        <w:right w:val="none" w:sz="0" w:space="0" w:color="auto"/>
      </w:divBdr>
      <w:divsChild>
        <w:div w:id="2047874966">
          <w:marLeft w:val="0"/>
          <w:marRight w:val="0"/>
          <w:marTop w:val="0"/>
          <w:marBottom w:val="0"/>
          <w:divBdr>
            <w:top w:val="none" w:sz="0" w:space="0" w:color="auto"/>
            <w:left w:val="none" w:sz="0" w:space="0" w:color="auto"/>
            <w:bottom w:val="none" w:sz="0" w:space="0" w:color="auto"/>
            <w:right w:val="none" w:sz="0" w:space="0" w:color="auto"/>
          </w:divBdr>
        </w:div>
      </w:divsChild>
    </w:div>
    <w:div w:id="1376351141">
      <w:marLeft w:val="0"/>
      <w:marRight w:val="0"/>
      <w:marTop w:val="240"/>
      <w:marBottom w:val="0"/>
      <w:divBdr>
        <w:top w:val="none" w:sz="0" w:space="0" w:color="auto"/>
        <w:left w:val="none" w:sz="0" w:space="0" w:color="auto"/>
        <w:bottom w:val="none" w:sz="0" w:space="0" w:color="auto"/>
        <w:right w:val="none" w:sz="0" w:space="0" w:color="auto"/>
      </w:divBdr>
    </w:div>
    <w:div w:id="1378317792">
      <w:marLeft w:val="0"/>
      <w:marRight w:val="0"/>
      <w:marTop w:val="0"/>
      <w:marBottom w:val="0"/>
      <w:divBdr>
        <w:top w:val="none" w:sz="0" w:space="0" w:color="auto"/>
        <w:left w:val="none" w:sz="0" w:space="0" w:color="auto"/>
        <w:bottom w:val="none" w:sz="0" w:space="0" w:color="auto"/>
        <w:right w:val="none" w:sz="0" w:space="0" w:color="auto"/>
      </w:divBdr>
    </w:div>
    <w:div w:id="1386104642">
      <w:marLeft w:val="0"/>
      <w:marRight w:val="0"/>
      <w:marTop w:val="240"/>
      <w:marBottom w:val="0"/>
      <w:divBdr>
        <w:top w:val="none" w:sz="0" w:space="0" w:color="auto"/>
        <w:left w:val="none" w:sz="0" w:space="0" w:color="auto"/>
        <w:bottom w:val="none" w:sz="0" w:space="0" w:color="auto"/>
        <w:right w:val="none" w:sz="0" w:space="0" w:color="auto"/>
      </w:divBdr>
    </w:div>
    <w:div w:id="1389835786">
      <w:marLeft w:val="0"/>
      <w:marRight w:val="0"/>
      <w:marTop w:val="0"/>
      <w:marBottom w:val="240"/>
      <w:divBdr>
        <w:top w:val="none" w:sz="0" w:space="0" w:color="auto"/>
        <w:left w:val="none" w:sz="0" w:space="0" w:color="auto"/>
        <w:bottom w:val="none" w:sz="0" w:space="0" w:color="auto"/>
        <w:right w:val="none" w:sz="0" w:space="0" w:color="auto"/>
      </w:divBdr>
    </w:div>
    <w:div w:id="1391032504">
      <w:marLeft w:val="0"/>
      <w:marRight w:val="0"/>
      <w:marTop w:val="0"/>
      <w:marBottom w:val="240"/>
      <w:divBdr>
        <w:top w:val="none" w:sz="0" w:space="0" w:color="auto"/>
        <w:left w:val="none" w:sz="0" w:space="0" w:color="auto"/>
        <w:bottom w:val="none" w:sz="0" w:space="0" w:color="auto"/>
        <w:right w:val="none" w:sz="0" w:space="0" w:color="auto"/>
      </w:divBdr>
    </w:div>
    <w:div w:id="1391611250">
      <w:marLeft w:val="0"/>
      <w:marRight w:val="0"/>
      <w:marTop w:val="120"/>
      <w:marBottom w:val="0"/>
      <w:divBdr>
        <w:top w:val="none" w:sz="0" w:space="0" w:color="auto"/>
        <w:left w:val="none" w:sz="0" w:space="0" w:color="auto"/>
        <w:bottom w:val="none" w:sz="0" w:space="0" w:color="auto"/>
        <w:right w:val="none" w:sz="0" w:space="0" w:color="auto"/>
      </w:divBdr>
    </w:div>
    <w:div w:id="1392968020">
      <w:marLeft w:val="0"/>
      <w:marRight w:val="0"/>
      <w:marTop w:val="240"/>
      <w:marBottom w:val="0"/>
      <w:divBdr>
        <w:top w:val="none" w:sz="0" w:space="0" w:color="auto"/>
        <w:left w:val="none" w:sz="0" w:space="0" w:color="auto"/>
        <w:bottom w:val="none" w:sz="0" w:space="0" w:color="auto"/>
        <w:right w:val="none" w:sz="0" w:space="0" w:color="auto"/>
      </w:divBdr>
    </w:div>
    <w:div w:id="1393969576">
      <w:marLeft w:val="0"/>
      <w:marRight w:val="0"/>
      <w:marTop w:val="0"/>
      <w:marBottom w:val="0"/>
      <w:divBdr>
        <w:top w:val="none" w:sz="0" w:space="0" w:color="auto"/>
        <w:left w:val="none" w:sz="0" w:space="0" w:color="auto"/>
        <w:bottom w:val="none" w:sz="0" w:space="0" w:color="auto"/>
        <w:right w:val="none" w:sz="0" w:space="0" w:color="auto"/>
      </w:divBdr>
      <w:divsChild>
        <w:div w:id="48653294">
          <w:marLeft w:val="0"/>
          <w:marRight w:val="0"/>
          <w:marTop w:val="0"/>
          <w:marBottom w:val="0"/>
          <w:divBdr>
            <w:top w:val="none" w:sz="0" w:space="0" w:color="auto"/>
            <w:left w:val="none" w:sz="0" w:space="0" w:color="auto"/>
            <w:bottom w:val="none" w:sz="0" w:space="0" w:color="auto"/>
            <w:right w:val="none" w:sz="0" w:space="0" w:color="auto"/>
          </w:divBdr>
        </w:div>
      </w:divsChild>
    </w:div>
    <w:div w:id="1396124074">
      <w:marLeft w:val="0"/>
      <w:marRight w:val="0"/>
      <w:marTop w:val="0"/>
      <w:marBottom w:val="200"/>
      <w:divBdr>
        <w:top w:val="none" w:sz="0" w:space="0" w:color="auto"/>
        <w:left w:val="none" w:sz="0" w:space="0" w:color="auto"/>
        <w:bottom w:val="none" w:sz="0" w:space="0" w:color="auto"/>
        <w:right w:val="none" w:sz="0" w:space="0" w:color="auto"/>
      </w:divBdr>
    </w:div>
    <w:div w:id="1399481163">
      <w:marLeft w:val="0"/>
      <w:marRight w:val="0"/>
      <w:marTop w:val="240"/>
      <w:marBottom w:val="0"/>
      <w:divBdr>
        <w:top w:val="none" w:sz="0" w:space="0" w:color="auto"/>
        <w:left w:val="none" w:sz="0" w:space="0" w:color="auto"/>
        <w:bottom w:val="none" w:sz="0" w:space="0" w:color="auto"/>
        <w:right w:val="none" w:sz="0" w:space="0" w:color="auto"/>
      </w:divBdr>
    </w:div>
    <w:div w:id="1404984781">
      <w:marLeft w:val="0"/>
      <w:marRight w:val="0"/>
      <w:marTop w:val="0"/>
      <w:marBottom w:val="0"/>
      <w:divBdr>
        <w:top w:val="none" w:sz="0" w:space="0" w:color="auto"/>
        <w:left w:val="none" w:sz="0" w:space="0" w:color="auto"/>
        <w:bottom w:val="none" w:sz="0" w:space="0" w:color="auto"/>
        <w:right w:val="none" w:sz="0" w:space="0" w:color="auto"/>
      </w:divBdr>
      <w:divsChild>
        <w:div w:id="1875463219">
          <w:marLeft w:val="0"/>
          <w:marRight w:val="0"/>
          <w:marTop w:val="0"/>
          <w:marBottom w:val="0"/>
          <w:divBdr>
            <w:top w:val="none" w:sz="0" w:space="0" w:color="auto"/>
            <w:left w:val="none" w:sz="0" w:space="0" w:color="auto"/>
            <w:bottom w:val="none" w:sz="0" w:space="0" w:color="auto"/>
            <w:right w:val="none" w:sz="0" w:space="0" w:color="auto"/>
          </w:divBdr>
        </w:div>
      </w:divsChild>
    </w:div>
    <w:div w:id="1406338558">
      <w:marLeft w:val="0"/>
      <w:marRight w:val="0"/>
      <w:marTop w:val="0"/>
      <w:marBottom w:val="0"/>
      <w:divBdr>
        <w:top w:val="none" w:sz="0" w:space="0" w:color="auto"/>
        <w:left w:val="none" w:sz="0" w:space="0" w:color="auto"/>
        <w:bottom w:val="none" w:sz="0" w:space="0" w:color="auto"/>
        <w:right w:val="none" w:sz="0" w:space="0" w:color="auto"/>
      </w:divBdr>
      <w:divsChild>
        <w:div w:id="557669344">
          <w:marLeft w:val="0"/>
          <w:marRight w:val="0"/>
          <w:marTop w:val="0"/>
          <w:marBottom w:val="0"/>
          <w:divBdr>
            <w:top w:val="none" w:sz="0" w:space="0" w:color="auto"/>
            <w:left w:val="none" w:sz="0" w:space="0" w:color="auto"/>
            <w:bottom w:val="none" w:sz="0" w:space="0" w:color="auto"/>
            <w:right w:val="none" w:sz="0" w:space="0" w:color="auto"/>
          </w:divBdr>
        </w:div>
      </w:divsChild>
    </w:div>
    <w:div w:id="1408380984">
      <w:marLeft w:val="0"/>
      <w:marRight w:val="0"/>
      <w:marTop w:val="0"/>
      <w:marBottom w:val="0"/>
      <w:divBdr>
        <w:top w:val="none" w:sz="0" w:space="0" w:color="auto"/>
        <w:left w:val="none" w:sz="0" w:space="0" w:color="auto"/>
        <w:bottom w:val="none" w:sz="0" w:space="0" w:color="auto"/>
        <w:right w:val="none" w:sz="0" w:space="0" w:color="auto"/>
      </w:divBdr>
    </w:div>
    <w:div w:id="1411121714">
      <w:marLeft w:val="0"/>
      <w:marRight w:val="0"/>
      <w:marTop w:val="0"/>
      <w:marBottom w:val="0"/>
      <w:divBdr>
        <w:top w:val="none" w:sz="0" w:space="0" w:color="auto"/>
        <w:left w:val="none" w:sz="0" w:space="0" w:color="auto"/>
        <w:bottom w:val="none" w:sz="0" w:space="0" w:color="auto"/>
        <w:right w:val="none" w:sz="0" w:space="0" w:color="auto"/>
      </w:divBdr>
    </w:div>
    <w:div w:id="1411466326">
      <w:marLeft w:val="0"/>
      <w:marRight w:val="0"/>
      <w:marTop w:val="240"/>
      <w:marBottom w:val="0"/>
      <w:divBdr>
        <w:top w:val="none" w:sz="0" w:space="0" w:color="auto"/>
        <w:left w:val="none" w:sz="0" w:space="0" w:color="auto"/>
        <w:bottom w:val="none" w:sz="0" w:space="0" w:color="auto"/>
        <w:right w:val="none" w:sz="0" w:space="0" w:color="auto"/>
      </w:divBdr>
    </w:div>
    <w:div w:id="1411737065">
      <w:marLeft w:val="0"/>
      <w:marRight w:val="0"/>
      <w:marTop w:val="240"/>
      <w:marBottom w:val="0"/>
      <w:divBdr>
        <w:top w:val="none" w:sz="0" w:space="0" w:color="auto"/>
        <w:left w:val="none" w:sz="0" w:space="0" w:color="auto"/>
        <w:bottom w:val="none" w:sz="0" w:space="0" w:color="auto"/>
        <w:right w:val="none" w:sz="0" w:space="0" w:color="auto"/>
      </w:divBdr>
    </w:div>
    <w:div w:id="1412854846">
      <w:marLeft w:val="0"/>
      <w:marRight w:val="0"/>
      <w:marTop w:val="240"/>
      <w:marBottom w:val="240"/>
      <w:divBdr>
        <w:top w:val="none" w:sz="0" w:space="0" w:color="auto"/>
        <w:left w:val="none" w:sz="0" w:space="0" w:color="auto"/>
        <w:bottom w:val="none" w:sz="0" w:space="0" w:color="auto"/>
        <w:right w:val="none" w:sz="0" w:space="0" w:color="auto"/>
      </w:divBdr>
    </w:div>
    <w:div w:id="1413745612">
      <w:marLeft w:val="0"/>
      <w:marRight w:val="0"/>
      <w:marTop w:val="0"/>
      <w:marBottom w:val="0"/>
      <w:divBdr>
        <w:top w:val="none" w:sz="0" w:space="0" w:color="auto"/>
        <w:left w:val="none" w:sz="0" w:space="0" w:color="auto"/>
        <w:bottom w:val="none" w:sz="0" w:space="0" w:color="auto"/>
        <w:right w:val="none" w:sz="0" w:space="0" w:color="auto"/>
      </w:divBdr>
      <w:divsChild>
        <w:div w:id="834488911">
          <w:marLeft w:val="0"/>
          <w:marRight w:val="0"/>
          <w:marTop w:val="0"/>
          <w:marBottom w:val="0"/>
          <w:divBdr>
            <w:top w:val="none" w:sz="0" w:space="0" w:color="auto"/>
            <w:left w:val="none" w:sz="0" w:space="0" w:color="auto"/>
            <w:bottom w:val="none" w:sz="0" w:space="0" w:color="auto"/>
            <w:right w:val="none" w:sz="0" w:space="0" w:color="auto"/>
          </w:divBdr>
        </w:div>
      </w:divsChild>
    </w:div>
    <w:div w:id="1418356652">
      <w:marLeft w:val="0"/>
      <w:marRight w:val="0"/>
      <w:marTop w:val="0"/>
      <w:marBottom w:val="0"/>
      <w:divBdr>
        <w:top w:val="none" w:sz="0" w:space="0" w:color="auto"/>
        <w:left w:val="none" w:sz="0" w:space="0" w:color="auto"/>
        <w:bottom w:val="none" w:sz="0" w:space="0" w:color="auto"/>
        <w:right w:val="none" w:sz="0" w:space="0" w:color="auto"/>
      </w:divBdr>
      <w:divsChild>
        <w:div w:id="1393504775">
          <w:marLeft w:val="0"/>
          <w:marRight w:val="0"/>
          <w:marTop w:val="0"/>
          <w:marBottom w:val="0"/>
          <w:divBdr>
            <w:top w:val="none" w:sz="0" w:space="0" w:color="auto"/>
            <w:left w:val="none" w:sz="0" w:space="0" w:color="auto"/>
            <w:bottom w:val="none" w:sz="0" w:space="0" w:color="auto"/>
            <w:right w:val="none" w:sz="0" w:space="0" w:color="auto"/>
          </w:divBdr>
        </w:div>
      </w:divsChild>
    </w:div>
    <w:div w:id="1425809495">
      <w:marLeft w:val="0"/>
      <w:marRight w:val="0"/>
      <w:marTop w:val="240"/>
      <w:marBottom w:val="0"/>
      <w:divBdr>
        <w:top w:val="none" w:sz="0" w:space="0" w:color="auto"/>
        <w:left w:val="none" w:sz="0" w:space="0" w:color="auto"/>
        <w:bottom w:val="none" w:sz="0" w:space="0" w:color="auto"/>
        <w:right w:val="none" w:sz="0" w:space="0" w:color="auto"/>
      </w:divBdr>
    </w:div>
    <w:div w:id="1426926851">
      <w:marLeft w:val="0"/>
      <w:marRight w:val="0"/>
      <w:marTop w:val="0"/>
      <w:marBottom w:val="240"/>
      <w:divBdr>
        <w:top w:val="none" w:sz="0" w:space="0" w:color="auto"/>
        <w:left w:val="none" w:sz="0" w:space="0" w:color="auto"/>
        <w:bottom w:val="none" w:sz="0" w:space="0" w:color="auto"/>
        <w:right w:val="none" w:sz="0" w:space="0" w:color="auto"/>
      </w:divBdr>
    </w:div>
    <w:div w:id="1432161672">
      <w:marLeft w:val="0"/>
      <w:marRight w:val="0"/>
      <w:marTop w:val="0"/>
      <w:marBottom w:val="240"/>
      <w:divBdr>
        <w:top w:val="none" w:sz="0" w:space="0" w:color="auto"/>
        <w:left w:val="none" w:sz="0" w:space="0" w:color="auto"/>
        <w:bottom w:val="none" w:sz="0" w:space="0" w:color="auto"/>
        <w:right w:val="none" w:sz="0" w:space="0" w:color="auto"/>
      </w:divBdr>
    </w:div>
    <w:div w:id="1433624103">
      <w:marLeft w:val="0"/>
      <w:marRight w:val="0"/>
      <w:marTop w:val="0"/>
      <w:marBottom w:val="240"/>
      <w:divBdr>
        <w:top w:val="none" w:sz="0" w:space="0" w:color="auto"/>
        <w:left w:val="none" w:sz="0" w:space="0" w:color="auto"/>
        <w:bottom w:val="none" w:sz="0" w:space="0" w:color="auto"/>
        <w:right w:val="none" w:sz="0" w:space="0" w:color="auto"/>
      </w:divBdr>
    </w:div>
    <w:div w:id="1435394692">
      <w:marLeft w:val="0"/>
      <w:marRight w:val="0"/>
      <w:marTop w:val="240"/>
      <w:marBottom w:val="0"/>
      <w:divBdr>
        <w:top w:val="none" w:sz="0" w:space="0" w:color="auto"/>
        <w:left w:val="none" w:sz="0" w:space="0" w:color="auto"/>
        <w:bottom w:val="none" w:sz="0" w:space="0" w:color="auto"/>
        <w:right w:val="none" w:sz="0" w:space="0" w:color="auto"/>
      </w:divBdr>
    </w:div>
    <w:div w:id="1437024793">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240"/>
      <w:marBottom w:val="0"/>
      <w:divBdr>
        <w:top w:val="none" w:sz="0" w:space="0" w:color="auto"/>
        <w:left w:val="none" w:sz="0" w:space="0" w:color="auto"/>
        <w:bottom w:val="none" w:sz="0" w:space="0" w:color="auto"/>
        <w:right w:val="none" w:sz="0" w:space="0" w:color="auto"/>
      </w:divBdr>
    </w:div>
    <w:div w:id="1437169840">
      <w:marLeft w:val="0"/>
      <w:marRight w:val="0"/>
      <w:marTop w:val="240"/>
      <w:marBottom w:val="0"/>
      <w:divBdr>
        <w:top w:val="none" w:sz="0" w:space="0" w:color="auto"/>
        <w:left w:val="none" w:sz="0" w:space="0" w:color="auto"/>
        <w:bottom w:val="none" w:sz="0" w:space="0" w:color="auto"/>
        <w:right w:val="none" w:sz="0" w:space="0" w:color="auto"/>
      </w:divBdr>
    </w:div>
    <w:div w:id="1440490293">
      <w:marLeft w:val="0"/>
      <w:marRight w:val="0"/>
      <w:marTop w:val="240"/>
      <w:marBottom w:val="0"/>
      <w:divBdr>
        <w:top w:val="none" w:sz="0" w:space="0" w:color="auto"/>
        <w:left w:val="none" w:sz="0" w:space="0" w:color="auto"/>
        <w:bottom w:val="none" w:sz="0" w:space="0" w:color="auto"/>
        <w:right w:val="none" w:sz="0" w:space="0" w:color="auto"/>
      </w:divBdr>
    </w:div>
    <w:div w:id="1441484518">
      <w:marLeft w:val="0"/>
      <w:marRight w:val="0"/>
      <w:marTop w:val="0"/>
      <w:marBottom w:val="240"/>
      <w:divBdr>
        <w:top w:val="none" w:sz="0" w:space="0" w:color="auto"/>
        <w:left w:val="none" w:sz="0" w:space="0" w:color="auto"/>
        <w:bottom w:val="none" w:sz="0" w:space="0" w:color="auto"/>
        <w:right w:val="none" w:sz="0" w:space="0" w:color="auto"/>
      </w:divBdr>
    </w:div>
    <w:div w:id="1441681840">
      <w:marLeft w:val="0"/>
      <w:marRight w:val="0"/>
      <w:marTop w:val="240"/>
      <w:marBottom w:val="0"/>
      <w:divBdr>
        <w:top w:val="none" w:sz="0" w:space="0" w:color="auto"/>
        <w:left w:val="none" w:sz="0" w:space="0" w:color="auto"/>
        <w:bottom w:val="none" w:sz="0" w:space="0" w:color="auto"/>
        <w:right w:val="none" w:sz="0" w:space="0" w:color="auto"/>
      </w:divBdr>
    </w:div>
    <w:div w:id="1442992535">
      <w:marLeft w:val="0"/>
      <w:marRight w:val="0"/>
      <w:marTop w:val="0"/>
      <w:marBottom w:val="240"/>
      <w:divBdr>
        <w:top w:val="none" w:sz="0" w:space="0" w:color="auto"/>
        <w:left w:val="none" w:sz="0" w:space="0" w:color="auto"/>
        <w:bottom w:val="none" w:sz="0" w:space="0" w:color="auto"/>
        <w:right w:val="none" w:sz="0" w:space="0" w:color="auto"/>
      </w:divBdr>
    </w:div>
    <w:div w:id="1443265475">
      <w:marLeft w:val="0"/>
      <w:marRight w:val="0"/>
      <w:marTop w:val="0"/>
      <w:marBottom w:val="240"/>
      <w:divBdr>
        <w:top w:val="none" w:sz="0" w:space="0" w:color="auto"/>
        <w:left w:val="none" w:sz="0" w:space="0" w:color="auto"/>
        <w:bottom w:val="none" w:sz="0" w:space="0" w:color="auto"/>
        <w:right w:val="none" w:sz="0" w:space="0" w:color="auto"/>
      </w:divBdr>
    </w:div>
    <w:div w:id="1443916438">
      <w:marLeft w:val="0"/>
      <w:marRight w:val="0"/>
      <w:marTop w:val="0"/>
      <w:marBottom w:val="0"/>
      <w:divBdr>
        <w:top w:val="none" w:sz="0" w:space="0" w:color="auto"/>
        <w:left w:val="none" w:sz="0" w:space="0" w:color="auto"/>
        <w:bottom w:val="none" w:sz="0" w:space="0" w:color="auto"/>
        <w:right w:val="none" w:sz="0" w:space="0" w:color="auto"/>
      </w:divBdr>
      <w:divsChild>
        <w:div w:id="75518770">
          <w:marLeft w:val="0"/>
          <w:marRight w:val="0"/>
          <w:marTop w:val="0"/>
          <w:marBottom w:val="0"/>
          <w:divBdr>
            <w:top w:val="none" w:sz="0" w:space="0" w:color="auto"/>
            <w:left w:val="none" w:sz="0" w:space="0" w:color="auto"/>
            <w:bottom w:val="none" w:sz="0" w:space="0" w:color="auto"/>
            <w:right w:val="none" w:sz="0" w:space="0" w:color="auto"/>
          </w:divBdr>
        </w:div>
      </w:divsChild>
    </w:div>
    <w:div w:id="1444770159">
      <w:marLeft w:val="0"/>
      <w:marRight w:val="0"/>
      <w:marTop w:val="0"/>
      <w:marBottom w:val="0"/>
      <w:divBdr>
        <w:top w:val="none" w:sz="0" w:space="0" w:color="auto"/>
        <w:left w:val="none" w:sz="0" w:space="0" w:color="auto"/>
        <w:bottom w:val="none" w:sz="0" w:space="0" w:color="auto"/>
        <w:right w:val="none" w:sz="0" w:space="0" w:color="auto"/>
      </w:divBdr>
      <w:divsChild>
        <w:div w:id="405106278">
          <w:marLeft w:val="0"/>
          <w:marRight w:val="0"/>
          <w:marTop w:val="0"/>
          <w:marBottom w:val="0"/>
          <w:divBdr>
            <w:top w:val="none" w:sz="0" w:space="0" w:color="auto"/>
            <w:left w:val="none" w:sz="0" w:space="0" w:color="auto"/>
            <w:bottom w:val="none" w:sz="0" w:space="0" w:color="auto"/>
            <w:right w:val="none" w:sz="0" w:space="0" w:color="auto"/>
          </w:divBdr>
        </w:div>
      </w:divsChild>
    </w:div>
    <w:div w:id="1445030499">
      <w:marLeft w:val="0"/>
      <w:marRight w:val="0"/>
      <w:marTop w:val="0"/>
      <w:marBottom w:val="240"/>
      <w:divBdr>
        <w:top w:val="none" w:sz="0" w:space="0" w:color="auto"/>
        <w:left w:val="none" w:sz="0" w:space="0" w:color="auto"/>
        <w:bottom w:val="none" w:sz="0" w:space="0" w:color="auto"/>
        <w:right w:val="none" w:sz="0" w:space="0" w:color="auto"/>
      </w:divBdr>
    </w:div>
    <w:div w:id="1446269448">
      <w:marLeft w:val="0"/>
      <w:marRight w:val="0"/>
      <w:marTop w:val="240"/>
      <w:marBottom w:val="0"/>
      <w:divBdr>
        <w:top w:val="none" w:sz="0" w:space="0" w:color="auto"/>
        <w:left w:val="none" w:sz="0" w:space="0" w:color="auto"/>
        <w:bottom w:val="none" w:sz="0" w:space="0" w:color="auto"/>
        <w:right w:val="none" w:sz="0" w:space="0" w:color="auto"/>
      </w:divBdr>
    </w:div>
    <w:div w:id="1448040728">
      <w:marLeft w:val="0"/>
      <w:marRight w:val="0"/>
      <w:marTop w:val="240"/>
      <w:marBottom w:val="0"/>
      <w:divBdr>
        <w:top w:val="none" w:sz="0" w:space="0" w:color="auto"/>
        <w:left w:val="none" w:sz="0" w:space="0" w:color="auto"/>
        <w:bottom w:val="none" w:sz="0" w:space="0" w:color="auto"/>
        <w:right w:val="none" w:sz="0" w:space="0" w:color="auto"/>
      </w:divBdr>
    </w:div>
    <w:div w:id="1450007202">
      <w:marLeft w:val="0"/>
      <w:marRight w:val="0"/>
      <w:marTop w:val="0"/>
      <w:marBottom w:val="240"/>
      <w:divBdr>
        <w:top w:val="none" w:sz="0" w:space="0" w:color="auto"/>
        <w:left w:val="none" w:sz="0" w:space="0" w:color="auto"/>
        <w:bottom w:val="none" w:sz="0" w:space="0" w:color="auto"/>
        <w:right w:val="none" w:sz="0" w:space="0" w:color="auto"/>
      </w:divBdr>
    </w:div>
    <w:div w:id="1450512644">
      <w:marLeft w:val="0"/>
      <w:marRight w:val="0"/>
      <w:marTop w:val="0"/>
      <w:marBottom w:val="0"/>
      <w:divBdr>
        <w:top w:val="none" w:sz="0" w:space="0" w:color="auto"/>
        <w:left w:val="none" w:sz="0" w:space="0" w:color="auto"/>
        <w:bottom w:val="none" w:sz="0" w:space="0" w:color="auto"/>
        <w:right w:val="none" w:sz="0" w:space="0" w:color="auto"/>
      </w:divBdr>
      <w:divsChild>
        <w:div w:id="210192808">
          <w:marLeft w:val="0"/>
          <w:marRight w:val="0"/>
          <w:marTop w:val="0"/>
          <w:marBottom w:val="0"/>
          <w:divBdr>
            <w:top w:val="none" w:sz="0" w:space="0" w:color="auto"/>
            <w:left w:val="none" w:sz="0" w:space="0" w:color="auto"/>
            <w:bottom w:val="none" w:sz="0" w:space="0" w:color="auto"/>
            <w:right w:val="none" w:sz="0" w:space="0" w:color="auto"/>
          </w:divBdr>
        </w:div>
      </w:divsChild>
    </w:div>
    <w:div w:id="1451588453">
      <w:marLeft w:val="0"/>
      <w:marRight w:val="0"/>
      <w:marTop w:val="0"/>
      <w:marBottom w:val="0"/>
      <w:divBdr>
        <w:top w:val="none" w:sz="0" w:space="0" w:color="auto"/>
        <w:left w:val="none" w:sz="0" w:space="0" w:color="auto"/>
        <w:bottom w:val="none" w:sz="0" w:space="0" w:color="auto"/>
        <w:right w:val="none" w:sz="0" w:space="0" w:color="auto"/>
      </w:divBdr>
    </w:div>
    <w:div w:id="1452624253">
      <w:marLeft w:val="0"/>
      <w:marRight w:val="0"/>
      <w:marTop w:val="0"/>
      <w:marBottom w:val="0"/>
      <w:divBdr>
        <w:top w:val="none" w:sz="0" w:space="0" w:color="auto"/>
        <w:left w:val="none" w:sz="0" w:space="0" w:color="auto"/>
        <w:bottom w:val="none" w:sz="0" w:space="0" w:color="auto"/>
        <w:right w:val="none" w:sz="0" w:space="0" w:color="auto"/>
      </w:divBdr>
    </w:div>
    <w:div w:id="1458331646">
      <w:marLeft w:val="0"/>
      <w:marRight w:val="0"/>
      <w:marTop w:val="0"/>
      <w:marBottom w:val="0"/>
      <w:divBdr>
        <w:top w:val="none" w:sz="0" w:space="0" w:color="auto"/>
        <w:left w:val="none" w:sz="0" w:space="0" w:color="auto"/>
        <w:bottom w:val="none" w:sz="0" w:space="0" w:color="auto"/>
        <w:right w:val="none" w:sz="0" w:space="0" w:color="auto"/>
      </w:divBdr>
      <w:divsChild>
        <w:div w:id="1497183304">
          <w:marLeft w:val="0"/>
          <w:marRight w:val="0"/>
          <w:marTop w:val="0"/>
          <w:marBottom w:val="0"/>
          <w:divBdr>
            <w:top w:val="none" w:sz="0" w:space="0" w:color="auto"/>
            <w:left w:val="none" w:sz="0" w:space="0" w:color="auto"/>
            <w:bottom w:val="none" w:sz="0" w:space="0" w:color="auto"/>
            <w:right w:val="none" w:sz="0" w:space="0" w:color="auto"/>
          </w:divBdr>
        </w:div>
      </w:divsChild>
    </w:div>
    <w:div w:id="1458717174">
      <w:marLeft w:val="0"/>
      <w:marRight w:val="0"/>
      <w:marTop w:val="0"/>
      <w:marBottom w:val="240"/>
      <w:divBdr>
        <w:top w:val="none" w:sz="0" w:space="0" w:color="auto"/>
        <w:left w:val="none" w:sz="0" w:space="0" w:color="auto"/>
        <w:bottom w:val="none" w:sz="0" w:space="0" w:color="auto"/>
        <w:right w:val="none" w:sz="0" w:space="0" w:color="auto"/>
      </w:divBdr>
    </w:div>
    <w:div w:id="1459374142">
      <w:marLeft w:val="0"/>
      <w:marRight w:val="0"/>
      <w:marTop w:val="0"/>
      <w:marBottom w:val="0"/>
      <w:divBdr>
        <w:top w:val="none" w:sz="0" w:space="0" w:color="auto"/>
        <w:left w:val="none" w:sz="0" w:space="0" w:color="auto"/>
        <w:bottom w:val="none" w:sz="0" w:space="0" w:color="auto"/>
        <w:right w:val="none" w:sz="0" w:space="0" w:color="auto"/>
      </w:divBdr>
      <w:divsChild>
        <w:div w:id="876310381">
          <w:marLeft w:val="0"/>
          <w:marRight w:val="0"/>
          <w:marTop w:val="0"/>
          <w:marBottom w:val="0"/>
          <w:divBdr>
            <w:top w:val="none" w:sz="0" w:space="0" w:color="auto"/>
            <w:left w:val="none" w:sz="0" w:space="0" w:color="auto"/>
            <w:bottom w:val="none" w:sz="0" w:space="0" w:color="auto"/>
            <w:right w:val="none" w:sz="0" w:space="0" w:color="auto"/>
          </w:divBdr>
        </w:div>
      </w:divsChild>
    </w:div>
    <w:div w:id="1460611459">
      <w:marLeft w:val="0"/>
      <w:marRight w:val="0"/>
      <w:marTop w:val="0"/>
      <w:marBottom w:val="1"/>
      <w:divBdr>
        <w:top w:val="none" w:sz="0" w:space="0" w:color="auto"/>
        <w:left w:val="none" w:sz="0" w:space="0" w:color="auto"/>
        <w:bottom w:val="none" w:sz="0" w:space="0" w:color="auto"/>
        <w:right w:val="none" w:sz="0" w:space="0" w:color="auto"/>
      </w:divBdr>
    </w:div>
    <w:div w:id="1461265068">
      <w:marLeft w:val="0"/>
      <w:marRight w:val="0"/>
      <w:marTop w:val="0"/>
      <w:marBottom w:val="240"/>
      <w:divBdr>
        <w:top w:val="none" w:sz="0" w:space="0" w:color="auto"/>
        <w:left w:val="none" w:sz="0" w:space="0" w:color="auto"/>
        <w:bottom w:val="none" w:sz="0" w:space="0" w:color="auto"/>
        <w:right w:val="none" w:sz="0" w:space="0" w:color="auto"/>
      </w:divBdr>
    </w:div>
    <w:div w:id="1462570694">
      <w:marLeft w:val="0"/>
      <w:marRight w:val="0"/>
      <w:marTop w:val="0"/>
      <w:marBottom w:val="240"/>
      <w:divBdr>
        <w:top w:val="none" w:sz="0" w:space="0" w:color="auto"/>
        <w:left w:val="none" w:sz="0" w:space="0" w:color="auto"/>
        <w:bottom w:val="none" w:sz="0" w:space="0" w:color="auto"/>
        <w:right w:val="none" w:sz="0" w:space="0" w:color="auto"/>
      </w:divBdr>
    </w:div>
    <w:div w:id="1462576265">
      <w:marLeft w:val="0"/>
      <w:marRight w:val="0"/>
      <w:marTop w:val="0"/>
      <w:marBottom w:val="240"/>
      <w:divBdr>
        <w:top w:val="none" w:sz="0" w:space="0" w:color="auto"/>
        <w:left w:val="none" w:sz="0" w:space="0" w:color="auto"/>
        <w:bottom w:val="none" w:sz="0" w:space="0" w:color="auto"/>
        <w:right w:val="none" w:sz="0" w:space="0" w:color="auto"/>
      </w:divBdr>
    </w:div>
    <w:div w:id="1466704293">
      <w:marLeft w:val="0"/>
      <w:marRight w:val="0"/>
      <w:marTop w:val="100"/>
      <w:marBottom w:val="0"/>
      <w:divBdr>
        <w:top w:val="none" w:sz="0" w:space="0" w:color="auto"/>
        <w:left w:val="none" w:sz="0" w:space="0" w:color="auto"/>
        <w:bottom w:val="none" w:sz="0" w:space="0" w:color="auto"/>
        <w:right w:val="none" w:sz="0" w:space="0" w:color="auto"/>
      </w:divBdr>
    </w:div>
    <w:div w:id="1468281378">
      <w:marLeft w:val="0"/>
      <w:marRight w:val="0"/>
      <w:marTop w:val="240"/>
      <w:marBottom w:val="0"/>
      <w:divBdr>
        <w:top w:val="none" w:sz="0" w:space="0" w:color="auto"/>
        <w:left w:val="none" w:sz="0" w:space="0" w:color="auto"/>
        <w:bottom w:val="none" w:sz="0" w:space="0" w:color="auto"/>
        <w:right w:val="none" w:sz="0" w:space="0" w:color="auto"/>
      </w:divBdr>
    </w:div>
    <w:div w:id="1469010377">
      <w:marLeft w:val="0"/>
      <w:marRight w:val="0"/>
      <w:marTop w:val="0"/>
      <w:marBottom w:val="0"/>
      <w:divBdr>
        <w:top w:val="none" w:sz="0" w:space="0" w:color="auto"/>
        <w:left w:val="none" w:sz="0" w:space="0" w:color="auto"/>
        <w:bottom w:val="none" w:sz="0" w:space="0" w:color="auto"/>
        <w:right w:val="none" w:sz="0" w:space="0" w:color="auto"/>
      </w:divBdr>
    </w:div>
    <w:div w:id="1471284281">
      <w:marLeft w:val="0"/>
      <w:marRight w:val="0"/>
      <w:marTop w:val="0"/>
      <w:marBottom w:val="0"/>
      <w:divBdr>
        <w:top w:val="none" w:sz="0" w:space="0" w:color="auto"/>
        <w:left w:val="none" w:sz="0" w:space="0" w:color="auto"/>
        <w:bottom w:val="none" w:sz="0" w:space="0" w:color="auto"/>
        <w:right w:val="none" w:sz="0" w:space="0" w:color="auto"/>
      </w:divBdr>
    </w:div>
    <w:div w:id="1474834229">
      <w:marLeft w:val="0"/>
      <w:marRight w:val="0"/>
      <w:marTop w:val="240"/>
      <w:marBottom w:val="0"/>
      <w:divBdr>
        <w:top w:val="none" w:sz="0" w:space="0" w:color="auto"/>
        <w:left w:val="none" w:sz="0" w:space="0" w:color="auto"/>
        <w:bottom w:val="none" w:sz="0" w:space="0" w:color="auto"/>
        <w:right w:val="none" w:sz="0" w:space="0" w:color="auto"/>
      </w:divBdr>
    </w:div>
    <w:div w:id="1478305267">
      <w:marLeft w:val="0"/>
      <w:marRight w:val="0"/>
      <w:marTop w:val="240"/>
      <w:marBottom w:val="0"/>
      <w:divBdr>
        <w:top w:val="none" w:sz="0" w:space="0" w:color="auto"/>
        <w:left w:val="none" w:sz="0" w:space="0" w:color="auto"/>
        <w:bottom w:val="none" w:sz="0" w:space="0" w:color="auto"/>
        <w:right w:val="none" w:sz="0" w:space="0" w:color="auto"/>
      </w:divBdr>
    </w:div>
    <w:div w:id="1479758562">
      <w:marLeft w:val="0"/>
      <w:marRight w:val="0"/>
      <w:marTop w:val="0"/>
      <w:marBottom w:val="0"/>
      <w:divBdr>
        <w:top w:val="none" w:sz="0" w:space="0" w:color="auto"/>
        <w:left w:val="none" w:sz="0" w:space="0" w:color="auto"/>
        <w:bottom w:val="none" w:sz="0" w:space="0" w:color="auto"/>
        <w:right w:val="none" w:sz="0" w:space="0" w:color="auto"/>
      </w:divBdr>
      <w:divsChild>
        <w:div w:id="1864705552">
          <w:marLeft w:val="0"/>
          <w:marRight w:val="0"/>
          <w:marTop w:val="0"/>
          <w:marBottom w:val="0"/>
          <w:divBdr>
            <w:top w:val="none" w:sz="0" w:space="0" w:color="auto"/>
            <w:left w:val="none" w:sz="0" w:space="0" w:color="auto"/>
            <w:bottom w:val="none" w:sz="0" w:space="0" w:color="auto"/>
            <w:right w:val="none" w:sz="0" w:space="0" w:color="auto"/>
          </w:divBdr>
        </w:div>
      </w:divsChild>
    </w:div>
    <w:div w:id="1488211032">
      <w:marLeft w:val="0"/>
      <w:marRight w:val="0"/>
      <w:marTop w:val="240"/>
      <w:marBottom w:val="120"/>
      <w:divBdr>
        <w:top w:val="none" w:sz="0" w:space="0" w:color="auto"/>
        <w:left w:val="none" w:sz="0" w:space="0" w:color="auto"/>
        <w:bottom w:val="none" w:sz="0" w:space="0" w:color="auto"/>
        <w:right w:val="none" w:sz="0" w:space="0" w:color="auto"/>
      </w:divBdr>
    </w:div>
    <w:div w:id="1496653725">
      <w:marLeft w:val="0"/>
      <w:marRight w:val="0"/>
      <w:marTop w:val="120"/>
      <w:marBottom w:val="0"/>
      <w:divBdr>
        <w:top w:val="none" w:sz="0" w:space="0" w:color="auto"/>
        <w:left w:val="none" w:sz="0" w:space="0" w:color="auto"/>
        <w:bottom w:val="none" w:sz="0" w:space="0" w:color="auto"/>
        <w:right w:val="none" w:sz="0" w:space="0" w:color="auto"/>
      </w:divBdr>
    </w:div>
    <w:div w:id="1504857020">
      <w:marLeft w:val="0"/>
      <w:marRight w:val="0"/>
      <w:marTop w:val="0"/>
      <w:marBottom w:val="240"/>
      <w:divBdr>
        <w:top w:val="none" w:sz="0" w:space="0" w:color="auto"/>
        <w:left w:val="none" w:sz="0" w:space="0" w:color="auto"/>
        <w:bottom w:val="none" w:sz="0" w:space="0" w:color="auto"/>
        <w:right w:val="none" w:sz="0" w:space="0" w:color="auto"/>
      </w:divBdr>
    </w:div>
    <w:div w:id="1506433710">
      <w:marLeft w:val="0"/>
      <w:marRight w:val="0"/>
      <w:marTop w:val="0"/>
      <w:marBottom w:val="0"/>
      <w:divBdr>
        <w:top w:val="none" w:sz="0" w:space="0" w:color="auto"/>
        <w:left w:val="none" w:sz="0" w:space="0" w:color="auto"/>
        <w:bottom w:val="none" w:sz="0" w:space="0" w:color="auto"/>
        <w:right w:val="none" w:sz="0" w:space="0" w:color="auto"/>
      </w:divBdr>
    </w:div>
    <w:div w:id="1513834783">
      <w:marLeft w:val="0"/>
      <w:marRight w:val="0"/>
      <w:marTop w:val="0"/>
      <w:marBottom w:val="0"/>
      <w:divBdr>
        <w:top w:val="none" w:sz="0" w:space="0" w:color="auto"/>
        <w:left w:val="none" w:sz="0" w:space="0" w:color="auto"/>
        <w:bottom w:val="none" w:sz="0" w:space="0" w:color="auto"/>
        <w:right w:val="none" w:sz="0" w:space="0" w:color="auto"/>
      </w:divBdr>
    </w:div>
    <w:div w:id="1514152601">
      <w:marLeft w:val="0"/>
      <w:marRight w:val="0"/>
      <w:marTop w:val="240"/>
      <w:marBottom w:val="0"/>
      <w:divBdr>
        <w:top w:val="none" w:sz="0" w:space="0" w:color="auto"/>
        <w:left w:val="none" w:sz="0" w:space="0" w:color="auto"/>
        <w:bottom w:val="none" w:sz="0" w:space="0" w:color="auto"/>
        <w:right w:val="none" w:sz="0" w:space="0" w:color="auto"/>
      </w:divBdr>
    </w:div>
    <w:div w:id="1514606922">
      <w:marLeft w:val="0"/>
      <w:marRight w:val="0"/>
      <w:marTop w:val="240"/>
      <w:marBottom w:val="0"/>
      <w:divBdr>
        <w:top w:val="none" w:sz="0" w:space="0" w:color="auto"/>
        <w:left w:val="none" w:sz="0" w:space="0" w:color="auto"/>
        <w:bottom w:val="none" w:sz="0" w:space="0" w:color="auto"/>
        <w:right w:val="none" w:sz="0" w:space="0" w:color="auto"/>
      </w:divBdr>
    </w:div>
    <w:div w:id="1514608466">
      <w:marLeft w:val="0"/>
      <w:marRight w:val="0"/>
      <w:marTop w:val="120"/>
      <w:marBottom w:val="0"/>
      <w:divBdr>
        <w:top w:val="none" w:sz="0" w:space="0" w:color="auto"/>
        <w:left w:val="none" w:sz="0" w:space="0" w:color="auto"/>
        <w:bottom w:val="none" w:sz="0" w:space="0" w:color="auto"/>
        <w:right w:val="none" w:sz="0" w:space="0" w:color="auto"/>
      </w:divBdr>
    </w:div>
    <w:div w:id="1515072041">
      <w:marLeft w:val="0"/>
      <w:marRight w:val="0"/>
      <w:marTop w:val="240"/>
      <w:marBottom w:val="0"/>
      <w:divBdr>
        <w:top w:val="none" w:sz="0" w:space="0" w:color="auto"/>
        <w:left w:val="none" w:sz="0" w:space="0" w:color="auto"/>
        <w:bottom w:val="none" w:sz="0" w:space="0" w:color="auto"/>
        <w:right w:val="none" w:sz="0" w:space="0" w:color="auto"/>
      </w:divBdr>
    </w:div>
    <w:div w:id="1515535278">
      <w:marLeft w:val="0"/>
      <w:marRight w:val="0"/>
      <w:marTop w:val="240"/>
      <w:marBottom w:val="0"/>
      <w:divBdr>
        <w:top w:val="none" w:sz="0" w:space="0" w:color="auto"/>
        <w:left w:val="none" w:sz="0" w:space="0" w:color="auto"/>
        <w:bottom w:val="none" w:sz="0" w:space="0" w:color="auto"/>
        <w:right w:val="none" w:sz="0" w:space="0" w:color="auto"/>
      </w:divBdr>
    </w:div>
    <w:div w:id="1516193020">
      <w:marLeft w:val="0"/>
      <w:marRight w:val="0"/>
      <w:marTop w:val="240"/>
      <w:marBottom w:val="0"/>
      <w:divBdr>
        <w:top w:val="none" w:sz="0" w:space="0" w:color="auto"/>
        <w:left w:val="none" w:sz="0" w:space="0" w:color="auto"/>
        <w:bottom w:val="none" w:sz="0" w:space="0" w:color="auto"/>
        <w:right w:val="none" w:sz="0" w:space="0" w:color="auto"/>
      </w:divBdr>
    </w:div>
    <w:div w:id="1516962916">
      <w:marLeft w:val="0"/>
      <w:marRight w:val="0"/>
      <w:marTop w:val="240"/>
      <w:marBottom w:val="0"/>
      <w:divBdr>
        <w:top w:val="none" w:sz="0" w:space="0" w:color="auto"/>
        <w:left w:val="none" w:sz="0" w:space="0" w:color="auto"/>
        <w:bottom w:val="none" w:sz="0" w:space="0" w:color="auto"/>
        <w:right w:val="none" w:sz="0" w:space="0" w:color="auto"/>
      </w:divBdr>
    </w:div>
    <w:div w:id="1518539457">
      <w:marLeft w:val="0"/>
      <w:marRight w:val="0"/>
      <w:marTop w:val="0"/>
      <w:marBottom w:val="200"/>
      <w:divBdr>
        <w:top w:val="none" w:sz="0" w:space="0" w:color="auto"/>
        <w:left w:val="none" w:sz="0" w:space="0" w:color="auto"/>
        <w:bottom w:val="none" w:sz="0" w:space="0" w:color="auto"/>
        <w:right w:val="none" w:sz="0" w:space="0" w:color="auto"/>
      </w:divBdr>
    </w:div>
    <w:div w:id="1518692610">
      <w:marLeft w:val="0"/>
      <w:marRight w:val="0"/>
      <w:marTop w:val="240"/>
      <w:marBottom w:val="0"/>
      <w:divBdr>
        <w:top w:val="none" w:sz="0" w:space="0" w:color="auto"/>
        <w:left w:val="none" w:sz="0" w:space="0" w:color="auto"/>
        <w:bottom w:val="none" w:sz="0" w:space="0" w:color="auto"/>
        <w:right w:val="none" w:sz="0" w:space="0" w:color="auto"/>
      </w:divBdr>
    </w:div>
    <w:div w:id="1520460969">
      <w:marLeft w:val="0"/>
      <w:marRight w:val="0"/>
      <w:marTop w:val="0"/>
      <w:marBottom w:val="0"/>
      <w:divBdr>
        <w:top w:val="none" w:sz="0" w:space="0" w:color="auto"/>
        <w:left w:val="none" w:sz="0" w:space="0" w:color="auto"/>
        <w:bottom w:val="none" w:sz="0" w:space="0" w:color="auto"/>
        <w:right w:val="none" w:sz="0" w:space="0" w:color="auto"/>
      </w:divBdr>
    </w:div>
    <w:div w:id="1523518219">
      <w:marLeft w:val="0"/>
      <w:marRight w:val="0"/>
      <w:marTop w:val="0"/>
      <w:marBottom w:val="240"/>
      <w:divBdr>
        <w:top w:val="none" w:sz="0" w:space="0" w:color="auto"/>
        <w:left w:val="none" w:sz="0" w:space="0" w:color="auto"/>
        <w:bottom w:val="none" w:sz="0" w:space="0" w:color="auto"/>
        <w:right w:val="none" w:sz="0" w:space="0" w:color="auto"/>
      </w:divBdr>
    </w:div>
    <w:div w:id="1524632609">
      <w:marLeft w:val="0"/>
      <w:marRight w:val="0"/>
      <w:marTop w:val="0"/>
      <w:marBottom w:val="0"/>
      <w:divBdr>
        <w:top w:val="none" w:sz="0" w:space="0" w:color="auto"/>
        <w:left w:val="none" w:sz="0" w:space="0" w:color="auto"/>
        <w:bottom w:val="none" w:sz="0" w:space="0" w:color="auto"/>
        <w:right w:val="none" w:sz="0" w:space="0" w:color="auto"/>
      </w:divBdr>
      <w:divsChild>
        <w:div w:id="1591889004">
          <w:marLeft w:val="0"/>
          <w:marRight w:val="0"/>
          <w:marTop w:val="0"/>
          <w:marBottom w:val="0"/>
          <w:divBdr>
            <w:top w:val="none" w:sz="0" w:space="0" w:color="auto"/>
            <w:left w:val="none" w:sz="0" w:space="0" w:color="auto"/>
            <w:bottom w:val="none" w:sz="0" w:space="0" w:color="auto"/>
            <w:right w:val="none" w:sz="0" w:space="0" w:color="auto"/>
          </w:divBdr>
        </w:div>
      </w:divsChild>
    </w:div>
    <w:div w:id="1524635509">
      <w:marLeft w:val="0"/>
      <w:marRight w:val="0"/>
      <w:marTop w:val="240"/>
      <w:marBottom w:val="0"/>
      <w:divBdr>
        <w:top w:val="none" w:sz="0" w:space="0" w:color="auto"/>
        <w:left w:val="none" w:sz="0" w:space="0" w:color="auto"/>
        <w:bottom w:val="none" w:sz="0" w:space="0" w:color="auto"/>
        <w:right w:val="none" w:sz="0" w:space="0" w:color="auto"/>
      </w:divBdr>
    </w:div>
    <w:div w:id="1524707813">
      <w:marLeft w:val="0"/>
      <w:marRight w:val="0"/>
      <w:marTop w:val="0"/>
      <w:marBottom w:val="240"/>
      <w:divBdr>
        <w:top w:val="none" w:sz="0" w:space="0" w:color="auto"/>
        <w:left w:val="none" w:sz="0" w:space="0" w:color="auto"/>
        <w:bottom w:val="none" w:sz="0" w:space="0" w:color="auto"/>
        <w:right w:val="none" w:sz="0" w:space="0" w:color="auto"/>
      </w:divBdr>
    </w:div>
    <w:div w:id="1528173729">
      <w:marLeft w:val="0"/>
      <w:marRight w:val="0"/>
      <w:marTop w:val="0"/>
      <w:marBottom w:val="240"/>
      <w:divBdr>
        <w:top w:val="none" w:sz="0" w:space="0" w:color="auto"/>
        <w:left w:val="none" w:sz="0" w:space="0" w:color="auto"/>
        <w:bottom w:val="none" w:sz="0" w:space="0" w:color="auto"/>
        <w:right w:val="none" w:sz="0" w:space="0" w:color="auto"/>
      </w:divBdr>
    </w:div>
    <w:div w:id="1533499484">
      <w:marLeft w:val="0"/>
      <w:marRight w:val="0"/>
      <w:marTop w:val="0"/>
      <w:marBottom w:val="240"/>
      <w:divBdr>
        <w:top w:val="none" w:sz="0" w:space="0" w:color="auto"/>
        <w:left w:val="none" w:sz="0" w:space="0" w:color="auto"/>
        <w:bottom w:val="none" w:sz="0" w:space="0" w:color="auto"/>
        <w:right w:val="none" w:sz="0" w:space="0" w:color="auto"/>
      </w:divBdr>
    </w:div>
    <w:div w:id="1534533053">
      <w:marLeft w:val="0"/>
      <w:marRight w:val="0"/>
      <w:marTop w:val="240"/>
      <w:marBottom w:val="0"/>
      <w:divBdr>
        <w:top w:val="none" w:sz="0" w:space="0" w:color="auto"/>
        <w:left w:val="none" w:sz="0" w:space="0" w:color="auto"/>
        <w:bottom w:val="none" w:sz="0" w:space="0" w:color="auto"/>
        <w:right w:val="none" w:sz="0" w:space="0" w:color="auto"/>
      </w:divBdr>
    </w:div>
    <w:div w:id="1540121072">
      <w:marLeft w:val="0"/>
      <w:marRight w:val="0"/>
      <w:marTop w:val="240"/>
      <w:marBottom w:val="240"/>
      <w:divBdr>
        <w:top w:val="none" w:sz="0" w:space="0" w:color="auto"/>
        <w:left w:val="none" w:sz="0" w:space="0" w:color="auto"/>
        <w:bottom w:val="none" w:sz="0" w:space="0" w:color="auto"/>
        <w:right w:val="none" w:sz="0" w:space="0" w:color="auto"/>
      </w:divBdr>
    </w:div>
    <w:div w:id="1542598380">
      <w:marLeft w:val="0"/>
      <w:marRight w:val="0"/>
      <w:marTop w:val="0"/>
      <w:marBottom w:val="0"/>
      <w:divBdr>
        <w:top w:val="none" w:sz="0" w:space="0" w:color="auto"/>
        <w:left w:val="none" w:sz="0" w:space="0" w:color="auto"/>
        <w:bottom w:val="none" w:sz="0" w:space="0" w:color="auto"/>
        <w:right w:val="none" w:sz="0" w:space="0" w:color="auto"/>
      </w:divBdr>
      <w:divsChild>
        <w:div w:id="893926340">
          <w:marLeft w:val="0"/>
          <w:marRight w:val="0"/>
          <w:marTop w:val="0"/>
          <w:marBottom w:val="0"/>
          <w:divBdr>
            <w:top w:val="none" w:sz="0" w:space="0" w:color="auto"/>
            <w:left w:val="none" w:sz="0" w:space="0" w:color="auto"/>
            <w:bottom w:val="none" w:sz="0" w:space="0" w:color="auto"/>
            <w:right w:val="none" w:sz="0" w:space="0" w:color="auto"/>
          </w:divBdr>
        </w:div>
      </w:divsChild>
    </w:div>
    <w:div w:id="1542790112">
      <w:marLeft w:val="0"/>
      <w:marRight w:val="0"/>
      <w:marTop w:val="240"/>
      <w:marBottom w:val="240"/>
      <w:divBdr>
        <w:top w:val="none" w:sz="0" w:space="0" w:color="auto"/>
        <w:left w:val="none" w:sz="0" w:space="0" w:color="auto"/>
        <w:bottom w:val="none" w:sz="0" w:space="0" w:color="auto"/>
        <w:right w:val="none" w:sz="0" w:space="0" w:color="auto"/>
      </w:divBdr>
    </w:div>
    <w:div w:id="1545291120">
      <w:marLeft w:val="0"/>
      <w:marRight w:val="0"/>
      <w:marTop w:val="240"/>
      <w:marBottom w:val="0"/>
      <w:divBdr>
        <w:top w:val="none" w:sz="0" w:space="0" w:color="auto"/>
        <w:left w:val="none" w:sz="0" w:space="0" w:color="auto"/>
        <w:bottom w:val="none" w:sz="0" w:space="0" w:color="auto"/>
        <w:right w:val="none" w:sz="0" w:space="0" w:color="auto"/>
      </w:divBdr>
    </w:div>
    <w:div w:id="1545630192">
      <w:marLeft w:val="0"/>
      <w:marRight w:val="0"/>
      <w:marTop w:val="0"/>
      <w:marBottom w:val="0"/>
      <w:divBdr>
        <w:top w:val="none" w:sz="0" w:space="0" w:color="auto"/>
        <w:left w:val="none" w:sz="0" w:space="0" w:color="auto"/>
        <w:bottom w:val="none" w:sz="0" w:space="0" w:color="auto"/>
        <w:right w:val="none" w:sz="0" w:space="0" w:color="auto"/>
      </w:divBdr>
      <w:divsChild>
        <w:div w:id="1561212854">
          <w:marLeft w:val="0"/>
          <w:marRight w:val="0"/>
          <w:marTop w:val="0"/>
          <w:marBottom w:val="0"/>
          <w:divBdr>
            <w:top w:val="none" w:sz="0" w:space="0" w:color="auto"/>
            <w:left w:val="none" w:sz="0" w:space="0" w:color="auto"/>
            <w:bottom w:val="none" w:sz="0" w:space="0" w:color="auto"/>
            <w:right w:val="none" w:sz="0" w:space="0" w:color="auto"/>
          </w:divBdr>
        </w:div>
      </w:divsChild>
    </w:div>
    <w:div w:id="1547523638">
      <w:marLeft w:val="0"/>
      <w:marRight w:val="0"/>
      <w:marTop w:val="240"/>
      <w:marBottom w:val="0"/>
      <w:divBdr>
        <w:top w:val="none" w:sz="0" w:space="0" w:color="auto"/>
        <w:left w:val="none" w:sz="0" w:space="0" w:color="auto"/>
        <w:bottom w:val="none" w:sz="0" w:space="0" w:color="auto"/>
        <w:right w:val="none" w:sz="0" w:space="0" w:color="auto"/>
      </w:divBdr>
    </w:div>
    <w:div w:id="1547569080">
      <w:marLeft w:val="0"/>
      <w:marRight w:val="0"/>
      <w:marTop w:val="0"/>
      <w:marBottom w:val="240"/>
      <w:divBdr>
        <w:top w:val="none" w:sz="0" w:space="0" w:color="auto"/>
        <w:left w:val="none" w:sz="0" w:space="0" w:color="auto"/>
        <w:bottom w:val="none" w:sz="0" w:space="0" w:color="auto"/>
        <w:right w:val="none" w:sz="0" w:space="0" w:color="auto"/>
      </w:divBdr>
    </w:div>
    <w:div w:id="1549341621">
      <w:marLeft w:val="0"/>
      <w:marRight w:val="0"/>
      <w:marTop w:val="240"/>
      <w:marBottom w:val="0"/>
      <w:divBdr>
        <w:top w:val="none" w:sz="0" w:space="0" w:color="auto"/>
        <w:left w:val="none" w:sz="0" w:space="0" w:color="auto"/>
        <w:bottom w:val="none" w:sz="0" w:space="0" w:color="auto"/>
        <w:right w:val="none" w:sz="0" w:space="0" w:color="auto"/>
      </w:divBdr>
    </w:div>
    <w:div w:id="1550410193">
      <w:marLeft w:val="0"/>
      <w:marRight w:val="0"/>
      <w:marTop w:val="120"/>
      <w:marBottom w:val="0"/>
      <w:divBdr>
        <w:top w:val="none" w:sz="0" w:space="0" w:color="auto"/>
        <w:left w:val="none" w:sz="0" w:space="0" w:color="auto"/>
        <w:bottom w:val="none" w:sz="0" w:space="0" w:color="auto"/>
        <w:right w:val="none" w:sz="0" w:space="0" w:color="auto"/>
      </w:divBdr>
    </w:div>
    <w:div w:id="1551845451">
      <w:marLeft w:val="0"/>
      <w:marRight w:val="0"/>
      <w:marTop w:val="240"/>
      <w:marBottom w:val="0"/>
      <w:divBdr>
        <w:top w:val="none" w:sz="0" w:space="0" w:color="auto"/>
        <w:left w:val="none" w:sz="0" w:space="0" w:color="auto"/>
        <w:bottom w:val="none" w:sz="0" w:space="0" w:color="auto"/>
        <w:right w:val="none" w:sz="0" w:space="0" w:color="auto"/>
      </w:divBdr>
    </w:div>
    <w:div w:id="1552232857">
      <w:marLeft w:val="0"/>
      <w:marRight w:val="0"/>
      <w:marTop w:val="240"/>
      <w:marBottom w:val="0"/>
      <w:divBdr>
        <w:top w:val="none" w:sz="0" w:space="0" w:color="auto"/>
        <w:left w:val="none" w:sz="0" w:space="0" w:color="auto"/>
        <w:bottom w:val="none" w:sz="0" w:space="0" w:color="auto"/>
        <w:right w:val="none" w:sz="0" w:space="0" w:color="auto"/>
      </w:divBdr>
    </w:div>
    <w:div w:id="1553880186">
      <w:marLeft w:val="0"/>
      <w:marRight w:val="0"/>
      <w:marTop w:val="0"/>
      <w:marBottom w:val="0"/>
      <w:divBdr>
        <w:top w:val="none" w:sz="0" w:space="0" w:color="auto"/>
        <w:left w:val="none" w:sz="0" w:space="0" w:color="auto"/>
        <w:bottom w:val="none" w:sz="0" w:space="0" w:color="auto"/>
        <w:right w:val="none" w:sz="0" w:space="0" w:color="auto"/>
      </w:divBdr>
      <w:divsChild>
        <w:div w:id="923879331">
          <w:marLeft w:val="0"/>
          <w:marRight w:val="0"/>
          <w:marTop w:val="0"/>
          <w:marBottom w:val="0"/>
          <w:divBdr>
            <w:top w:val="none" w:sz="0" w:space="0" w:color="auto"/>
            <w:left w:val="none" w:sz="0" w:space="0" w:color="auto"/>
            <w:bottom w:val="none" w:sz="0" w:space="0" w:color="auto"/>
            <w:right w:val="none" w:sz="0" w:space="0" w:color="auto"/>
          </w:divBdr>
        </w:div>
      </w:divsChild>
    </w:div>
    <w:div w:id="1553955501">
      <w:marLeft w:val="0"/>
      <w:marRight w:val="0"/>
      <w:marTop w:val="0"/>
      <w:marBottom w:val="0"/>
      <w:divBdr>
        <w:top w:val="none" w:sz="0" w:space="0" w:color="auto"/>
        <w:left w:val="none" w:sz="0" w:space="0" w:color="auto"/>
        <w:bottom w:val="none" w:sz="0" w:space="0" w:color="auto"/>
        <w:right w:val="none" w:sz="0" w:space="0" w:color="auto"/>
      </w:divBdr>
      <w:divsChild>
        <w:div w:id="659769438">
          <w:marLeft w:val="0"/>
          <w:marRight w:val="0"/>
          <w:marTop w:val="0"/>
          <w:marBottom w:val="0"/>
          <w:divBdr>
            <w:top w:val="none" w:sz="0" w:space="0" w:color="auto"/>
            <w:left w:val="none" w:sz="0" w:space="0" w:color="auto"/>
            <w:bottom w:val="none" w:sz="0" w:space="0" w:color="auto"/>
            <w:right w:val="none" w:sz="0" w:space="0" w:color="auto"/>
          </w:divBdr>
        </w:div>
      </w:divsChild>
    </w:div>
    <w:div w:id="1555965079">
      <w:marLeft w:val="0"/>
      <w:marRight w:val="0"/>
      <w:marTop w:val="0"/>
      <w:marBottom w:val="240"/>
      <w:divBdr>
        <w:top w:val="none" w:sz="0" w:space="0" w:color="auto"/>
        <w:left w:val="none" w:sz="0" w:space="0" w:color="auto"/>
        <w:bottom w:val="none" w:sz="0" w:space="0" w:color="auto"/>
        <w:right w:val="none" w:sz="0" w:space="0" w:color="auto"/>
      </w:divBdr>
    </w:div>
    <w:div w:id="1556818773">
      <w:marLeft w:val="0"/>
      <w:marRight w:val="0"/>
      <w:marTop w:val="0"/>
      <w:marBottom w:val="240"/>
      <w:divBdr>
        <w:top w:val="none" w:sz="0" w:space="0" w:color="auto"/>
        <w:left w:val="none" w:sz="0" w:space="0" w:color="auto"/>
        <w:bottom w:val="none" w:sz="0" w:space="0" w:color="auto"/>
        <w:right w:val="none" w:sz="0" w:space="0" w:color="auto"/>
      </w:divBdr>
    </w:div>
    <w:div w:id="1558471285">
      <w:marLeft w:val="0"/>
      <w:marRight w:val="0"/>
      <w:marTop w:val="240"/>
      <w:marBottom w:val="0"/>
      <w:divBdr>
        <w:top w:val="none" w:sz="0" w:space="0" w:color="auto"/>
        <w:left w:val="none" w:sz="0" w:space="0" w:color="auto"/>
        <w:bottom w:val="none" w:sz="0" w:space="0" w:color="auto"/>
        <w:right w:val="none" w:sz="0" w:space="0" w:color="auto"/>
      </w:divBdr>
    </w:div>
    <w:div w:id="1559321659">
      <w:marLeft w:val="0"/>
      <w:marRight w:val="0"/>
      <w:marTop w:val="240"/>
      <w:marBottom w:val="0"/>
      <w:divBdr>
        <w:top w:val="none" w:sz="0" w:space="0" w:color="auto"/>
        <w:left w:val="none" w:sz="0" w:space="0" w:color="auto"/>
        <w:bottom w:val="none" w:sz="0" w:space="0" w:color="auto"/>
        <w:right w:val="none" w:sz="0" w:space="0" w:color="auto"/>
      </w:divBdr>
    </w:div>
    <w:div w:id="1565947295">
      <w:marLeft w:val="0"/>
      <w:marRight w:val="0"/>
      <w:marTop w:val="240"/>
      <w:marBottom w:val="0"/>
      <w:divBdr>
        <w:top w:val="none" w:sz="0" w:space="0" w:color="auto"/>
        <w:left w:val="none" w:sz="0" w:space="0" w:color="auto"/>
        <w:bottom w:val="none" w:sz="0" w:space="0" w:color="auto"/>
        <w:right w:val="none" w:sz="0" w:space="0" w:color="auto"/>
      </w:divBdr>
    </w:div>
    <w:div w:id="1568496283">
      <w:marLeft w:val="0"/>
      <w:marRight w:val="0"/>
      <w:marTop w:val="0"/>
      <w:marBottom w:val="240"/>
      <w:divBdr>
        <w:top w:val="none" w:sz="0" w:space="0" w:color="auto"/>
        <w:left w:val="none" w:sz="0" w:space="0" w:color="auto"/>
        <w:bottom w:val="none" w:sz="0" w:space="0" w:color="auto"/>
        <w:right w:val="none" w:sz="0" w:space="0" w:color="auto"/>
      </w:divBdr>
    </w:div>
    <w:div w:id="1568571391">
      <w:marLeft w:val="0"/>
      <w:marRight w:val="0"/>
      <w:marTop w:val="0"/>
      <w:marBottom w:val="240"/>
      <w:divBdr>
        <w:top w:val="none" w:sz="0" w:space="0" w:color="auto"/>
        <w:left w:val="none" w:sz="0" w:space="0" w:color="auto"/>
        <w:bottom w:val="none" w:sz="0" w:space="0" w:color="auto"/>
        <w:right w:val="none" w:sz="0" w:space="0" w:color="auto"/>
      </w:divBdr>
    </w:div>
    <w:div w:id="1569919976">
      <w:marLeft w:val="0"/>
      <w:marRight w:val="0"/>
      <w:marTop w:val="0"/>
      <w:marBottom w:val="240"/>
      <w:divBdr>
        <w:top w:val="none" w:sz="0" w:space="0" w:color="auto"/>
        <w:left w:val="none" w:sz="0" w:space="0" w:color="auto"/>
        <w:bottom w:val="none" w:sz="0" w:space="0" w:color="auto"/>
        <w:right w:val="none" w:sz="0" w:space="0" w:color="auto"/>
      </w:divBdr>
    </w:div>
    <w:div w:id="1572735208">
      <w:marLeft w:val="0"/>
      <w:marRight w:val="0"/>
      <w:marTop w:val="100"/>
      <w:marBottom w:val="0"/>
      <w:divBdr>
        <w:top w:val="none" w:sz="0" w:space="0" w:color="auto"/>
        <w:left w:val="none" w:sz="0" w:space="0" w:color="auto"/>
        <w:bottom w:val="none" w:sz="0" w:space="0" w:color="auto"/>
        <w:right w:val="none" w:sz="0" w:space="0" w:color="auto"/>
      </w:divBdr>
    </w:div>
    <w:div w:id="1574512801">
      <w:marLeft w:val="0"/>
      <w:marRight w:val="0"/>
      <w:marTop w:val="100"/>
      <w:marBottom w:val="0"/>
      <w:divBdr>
        <w:top w:val="none" w:sz="0" w:space="0" w:color="auto"/>
        <w:left w:val="none" w:sz="0" w:space="0" w:color="auto"/>
        <w:bottom w:val="none" w:sz="0" w:space="0" w:color="auto"/>
        <w:right w:val="none" w:sz="0" w:space="0" w:color="auto"/>
      </w:divBdr>
    </w:div>
    <w:div w:id="1577934681">
      <w:marLeft w:val="0"/>
      <w:marRight w:val="0"/>
      <w:marTop w:val="120"/>
      <w:marBottom w:val="240"/>
      <w:divBdr>
        <w:top w:val="none" w:sz="0" w:space="0" w:color="auto"/>
        <w:left w:val="none" w:sz="0" w:space="0" w:color="auto"/>
        <w:bottom w:val="none" w:sz="0" w:space="0" w:color="auto"/>
        <w:right w:val="none" w:sz="0" w:space="0" w:color="auto"/>
      </w:divBdr>
    </w:div>
    <w:div w:id="1578712501">
      <w:marLeft w:val="0"/>
      <w:marRight w:val="0"/>
      <w:marTop w:val="0"/>
      <w:marBottom w:val="240"/>
      <w:divBdr>
        <w:top w:val="none" w:sz="0" w:space="0" w:color="auto"/>
        <w:left w:val="none" w:sz="0" w:space="0" w:color="auto"/>
        <w:bottom w:val="none" w:sz="0" w:space="0" w:color="auto"/>
        <w:right w:val="none" w:sz="0" w:space="0" w:color="auto"/>
      </w:divBdr>
    </w:div>
    <w:div w:id="1578906577">
      <w:marLeft w:val="0"/>
      <w:marRight w:val="0"/>
      <w:marTop w:val="0"/>
      <w:marBottom w:val="240"/>
      <w:divBdr>
        <w:top w:val="none" w:sz="0" w:space="0" w:color="auto"/>
        <w:left w:val="none" w:sz="0" w:space="0" w:color="auto"/>
        <w:bottom w:val="none" w:sz="0" w:space="0" w:color="auto"/>
        <w:right w:val="none" w:sz="0" w:space="0" w:color="auto"/>
      </w:divBdr>
    </w:div>
    <w:div w:id="1580553904">
      <w:marLeft w:val="0"/>
      <w:marRight w:val="0"/>
      <w:marTop w:val="240"/>
      <w:marBottom w:val="0"/>
      <w:divBdr>
        <w:top w:val="none" w:sz="0" w:space="0" w:color="auto"/>
        <w:left w:val="none" w:sz="0" w:space="0" w:color="auto"/>
        <w:bottom w:val="none" w:sz="0" w:space="0" w:color="auto"/>
        <w:right w:val="none" w:sz="0" w:space="0" w:color="auto"/>
      </w:divBdr>
    </w:div>
    <w:div w:id="1581790886">
      <w:marLeft w:val="0"/>
      <w:marRight w:val="0"/>
      <w:marTop w:val="240"/>
      <w:marBottom w:val="0"/>
      <w:divBdr>
        <w:top w:val="none" w:sz="0" w:space="0" w:color="auto"/>
        <w:left w:val="none" w:sz="0" w:space="0" w:color="auto"/>
        <w:bottom w:val="none" w:sz="0" w:space="0" w:color="auto"/>
        <w:right w:val="none" w:sz="0" w:space="0" w:color="auto"/>
      </w:divBdr>
    </w:div>
    <w:div w:id="1583025630">
      <w:marLeft w:val="0"/>
      <w:marRight w:val="0"/>
      <w:marTop w:val="0"/>
      <w:marBottom w:val="0"/>
      <w:divBdr>
        <w:top w:val="none" w:sz="0" w:space="0" w:color="auto"/>
        <w:left w:val="none" w:sz="0" w:space="0" w:color="auto"/>
        <w:bottom w:val="none" w:sz="0" w:space="0" w:color="auto"/>
        <w:right w:val="none" w:sz="0" w:space="0" w:color="auto"/>
      </w:divBdr>
      <w:divsChild>
        <w:div w:id="562526869">
          <w:marLeft w:val="0"/>
          <w:marRight w:val="0"/>
          <w:marTop w:val="0"/>
          <w:marBottom w:val="0"/>
          <w:divBdr>
            <w:top w:val="none" w:sz="0" w:space="0" w:color="auto"/>
            <w:left w:val="none" w:sz="0" w:space="0" w:color="auto"/>
            <w:bottom w:val="none" w:sz="0" w:space="0" w:color="auto"/>
            <w:right w:val="none" w:sz="0" w:space="0" w:color="auto"/>
          </w:divBdr>
        </w:div>
      </w:divsChild>
    </w:div>
    <w:div w:id="1584727862">
      <w:marLeft w:val="0"/>
      <w:marRight w:val="0"/>
      <w:marTop w:val="240"/>
      <w:marBottom w:val="0"/>
      <w:divBdr>
        <w:top w:val="none" w:sz="0" w:space="0" w:color="auto"/>
        <w:left w:val="none" w:sz="0" w:space="0" w:color="auto"/>
        <w:bottom w:val="none" w:sz="0" w:space="0" w:color="auto"/>
        <w:right w:val="none" w:sz="0" w:space="0" w:color="auto"/>
      </w:divBdr>
    </w:div>
    <w:div w:id="1585262835">
      <w:marLeft w:val="0"/>
      <w:marRight w:val="0"/>
      <w:marTop w:val="240"/>
      <w:marBottom w:val="240"/>
      <w:divBdr>
        <w:top w:val="none" w:sz="0" w:space="0" w:color="auto"/>
        <w:left w:val="none" w:sz="0" w:space="0" w:color="auto"/>
        <w:bottom w:val="none" w:sz="0" w:space="0" w:color="auto"/>
        <w:right w:val="none" w:sz="0" w:space="0" w:color="auto"/>
      </w:divBdr>
    </w:div>
    <w:div w:id="1586111756">
      <w:marLeft w:val="0"/>
      <w:marRight w:val="0"/>
      <w:marTop w:val="240"/>
      <w:marBottom w:val="0"/>
      <w:divBdr>
        <w:top w:val="none" w:sz="0" w:space="0" w:color="auto"/>
        <w:left w:val="none" w:sz="0" w:space="0" w:color="auto"/>
        <w:bottom w:val="none" w:sz="0" w:space="0" w:color="auto"/>
        <w:right w:val="none" w:sz="0" w:space="0" w:color="auto"/>
      </w:divBdr>
    </w:div>
    <w:div w:id="1589997515">
      <w:marLeft w:val="0"/>
      <w:marRight w:val="0"/>
      <w:marTop w:val="0"/>
      <w:marBottom w:val="240"/>
      <w:divBdr>
        <w:top w:val="none" w:sz="0" w:space="0" w:color="auto"/>
        <w:left w:val="none" w:sz="0" w:space="0" w:color="auto"/>
        <w:bottom w:val="none" w:sz="0" w:space="0" w:color="auto"/>
        <w:right w:val="none" w:sz="0" w:space="0" w:color="auto"/>
      </w:divBdr>
    </w:div>
    <w:div w:id="1590314656">
      <w:marLeft w:val="0"/>
      <w:marRight w:val="0"/>
      <w:marTop w:val="240"/>
      <w:marBottom w:val="0"/>
      <w:divBdr>
        <w:top w:val="none" w:sz="0" w:space="0" w:color="auto"/>
        <w:left w:val="none" w:sz="0" w:space="0" w:color="auto"/>
        <w:bottom w:val="none" w:sz="0" w:space="0" w:color="auto"/>
        <w:right w:val="none" w:sz="0" w:space="0" w:color="auto"/>
      </w:divBdr>
    </w:div>
    <w:div w:id="1591159439">
      <w:marLeft w:val="0"/>
      <w:marRight w:val="0"/>
      <w:marTop w:val="0"/>
      <w:marBottom w:val="240"/>
      <w:divBdr>
        <w:top w:val="none" w:sz="0" w:space="0" w:color="auto"/>
        <w:left w:val="none" w:sz="0" w:space="0" w:color="auto"/>
        <w:bottom w:val="none" w:sz="0" w:space="0" w:color="auto"/>
        <w:right w:val="none" w:sz="0" w:space="0" w:color="auto"/>
      </w:divBdr>
    </w:div>
    <w:div w:id="1591161236">
      <w:marLeft w:val="0"/>
      <w:marRight w:val="0"/>
      <w:marTop w:val="0"/>
      <w:marBottom w:val="0"/>
      <w:divBdr>
        <w:top w:val="none" w:sz="0" w:space="0" w:color="auto"/>
        <w:left w:val="none" w:sz="0" w:space="0" w:color="auto"/>
        <w:bottom w:val="none" w:sz="0" w:space="0" w:color="auto"/>
        <w:right w:val="none" w:sz="0" w:space="0" w:color="auto"/>
      </w:divBdr>
      <w:divsChild>
        <w:div w:id="1626736846">
          <w:marLeft w:val="0"/>
          <w:marRight w:val="0"/>
          <w:marTop w:val="0"/>
          <w:marBottom w:val="0"/>
          <w:divBdr>
            <w:top w:val="none" w:sz="0" w:space="0" w:color="auto"/>
            <w:left w:val="none" w:sz="0" w:space="0" w:color="auto"/>
            <w:bottom w:val="none" w:sz="0" w:space="0" w:color="auto"/>
            <w:right w:val="none" w:sz="0" w:space="0" w:color="auto"/>
          </w:divBdr>
        </w:div>
      </w:divsChild>
    </w:div>
    <w:div w:id="1592860413">
      <w:marLeft w:val="0"/>
      <w:marRight w:val="0"/>
      <w:marTop w:val="0"/>
      <w:marBottom w:val="0"/>
      <w:divBdr>
        <w:top w:val="none" w:sz="0" w:space="0" w:color="auto"/>
        <w:left w:val="none" w:sz="0" w:space="0" w:color="auto"/>
        <w:bottom w:val="none" w:sz="0" w:space="0" w:color="auto"/>
        <w:right w:val="none" w:sz="0" w:space="0" w:color="auto"/>
      </w:divBdr>
      <w:divsChild>
        <w:div w:id="1774746275">
          <w:marLeft w:val="0"/>
          <w:marRight w:val="0"/>
          <w:marTop w:val="0"/>
          <w:marBottom w:val="0"/>
          <w:divBdr>
            <w:top w:val="none" w:sz="0" w:space="0" w:color="auto"/>
            <w:left w:val="none" w:sz="0" w:space="0" w:color="auto"/>
            <w:bottom w:val="none" w:sz="0" w:space="0" w:color="auto"/>
            <w:right w:val="none" w:sz="0" w:space="0" w:color="auto"/>
          </w:divBdr>
        </w:div>
      </w:divsChild>
    </w:div>
    <w:div w:id="1594435766">
      <w:marLeft w:val="0"/>
      <w:marRight w:val="0"/>
      <w:marTop w:val="0"/>
      <w:marBottom w:val="240"/>
      <w:divBdr>
        <w:top w:val="none" w:sz="0" w:space="0" w:color="auto"/>
        <w:left w:val="none" w:sz="0" w:space="0" w:color="auto"/>
        <w:bottom w:val="none" w:sz="0" w:space="0" w:color="auto"/>
        <w:right w:val="none" w:sz="0" w:space="0" w:color="auto"/>
      </w:divBdr>
    </w:div>
    <w:div w:id="1594778091">
      <w:marLeft w:val="0"/>
      <w:marRight w:val="0"/>
      <w:marTop w:val="240"/>
      <w:marBottom w:val="0"/>
      <w:divBdr>
        <w:top w:val="none" w:sz="0" w:space="0" w:color="auto"/>
        <w:left w:val="none" w:sz="0" w:space="0" w:color="auto"/>
        <w:bottom w:val="none" w:sz="0" w:space="0" w:color="auto"/>
        <w:right w:val="none" w:sz="0" w:space="0" w:color="auto"/>
      </w:divBdr>
    </w:div>
    <w:div w:id="1594892908">
      <w:marLeft w:val="0"/>
      <w:marRight w:val="0"/>
      <w:marTop w:val="0"/>
      <w:marBottom w:val="0"/>
      <w:divBdr>
        <w:top w:val="none" w:sz="0" w:space="0" w:color="auto"/>
        <w:left w:val="none" w:sz="0" w:space="0" w:color="auto"/>
        <w:bottom w:val="none" w:sz="0" w:space="0" w:color="auto"/>
        <w:right w:val="none" w:sz="0" w:space="0" w:color="auto"/>
      </w:divBdr>
      <w:divsChild>
        <w:div w:id="1016037094">
          <w:marLeft w:val="0"/>
          <w:marRight w:val="0"/>
          <w:marTop w:val="0"/>
          <w:marBottom w:val="0"/>
          <w:divBdr>
            <w:top w:val="none" w:sz="0" w:space="0" w:color="auto"/>
            <w:left w:val="none" w:sz="0" w:space="0" w:color="auto"/>
            <w:bottom w:val="none" w:sz="0" w:space="0" w:color="auto"/>
            <w:right w:val="none" w:sz="0" w:space="0" w:color="auto"/>
          </w:divBdr>
        </w:div>
      </w:divsChild>
    </w:div>
    <w:div w:id="1598060584">
      <w:marLeft w:val="0"/>
      <w:marRight w:val="0"/>
      <w:marTop w:val="0"/>
      <w:marBottom w:val="0"/>
      <w:divBdr>
        <w:top w:val="none" w:sz="0" w:space="0" w:color="auto"/>
        <w:left w:val="none" w:sz="0" w:space="0" w:color="auto"/>
        <w:bottom w:val="none" w:sz="0" w:space="0" w:color="auto"/>
        <w:right w:val="none" w:sz="0" w:space="0" w:color="auto"/>
      </w:divBdr>
      <w:divsChild>
        <w:div w:id="755635891">
          <w:marLeft w:val="0"/>
          <w:marRight w:val="0"/>
          <w:marTop w:val="0"/>
          <w:marBottom w:val="0"/>
          <w:divBdr>
            <w:top w:val="none" w:sz="0" w:space="0" w:color="auto"/>
            <w:left w:val="none" w:sz="0" w:space="0" w:color="auto"/>
            <w:bottom w:val="none" w:sz="0" w:space="0" w:color="auto"/>
            <w:right w:val="none" w:sz="0" w:space="0" w:color="auto"/>
          </w:divBdr>
        </w:div>
      </w:divsChild>
    </w:div>
    <w:div w:id="1600484996">
      <w:marLeft w:val="0"/>
      <w:marRight w:val="0"/>
      <w:marTop w:val="240"/>
      <w:marBottom w:val="0"/>
      <w:divBdr>
        <w:top w:val="none" w:sz="0" w:space="0" w:color="auto"/>
        <w:left w:val="none" w:sz="0" w:space="0" w:color="auto"/>
        <w:bottom w:val="none" w:sz="0" w:space="0" w:color="auto"/>
        <w:right w:val="none" w:sz="0" w:space="0" w:color="auto"/>
      </w:divBdr>
    </w:div>
    <w:div w:id="1609501751">
      <w:marLeft w:val="0"/>
      <w:marRight w:val="0"/>
      <w:marTop w:val="0"/>
      <w:marBottom w:val="0"/>
      <w:divBdr>
        <w:top w:val="none" w:sz="0" w:space="0" w:color="auto"/>
        <w:left w:val="none" w:sz="0" w:space="0" w:color="auto"/>
        <w:bottom w:val="none" w:sz="0" w:space="0" w:color="auto"/>
        <w:right w:val="none" w:sz="0" w:space="0" w:color="auto"/>
      </w:divBdr>
    </w:div>
    <w:div w:id="1610508625">
      <w:marLeft w:val="0"/>
      <w:marRight w:val="0"/>
      <w:marTop w:val="0"/>
      <w:marBottom w:val="0"/>
      <w:divBdr>
        <w:top w:val="none" w:sz="0" w:space="0" w:color="auto"/>
        <w:left w:val="none" w:sz="0" w:space="0" w:color="auto"/>
        <w:bottom w:val="none" w:sz="0" w:space="0" w:color="auto"/>
        <w:right w:val="none" w:sz="0" w:space="0" w:color="auto"/>
      </w:divBdr>
      <w:divsChild>
        <w:div w:id="646279388">
          <w:marLeft w:val="0"/>
          <w:marRight w:val="0"/>
          <w:marTop w:val="0"/>
          <w:marBottom w:val="0"/>
          <w:divBdr>
            <w:top w:val="none" w:sz="0" w:space="0" w:color="auto"/>
            <w:left w:val="none" w:sz="0" w:space="0" w:color="auto"/>
            <w:bottom w:val="none" w:sz="0" w:space="0" w:color="auto"/>
            <w:right w:val="none" w:sz="0" w:space="0" w:color="auto"/>
          </w:divBdr>
        </w:div>
        <w:div w:id="1592616726">
          <w:marLeft w:val="0"/>
          <w:marRight w:val="0"/>
          <w:marTop w:val="0"/>
          <w:marBottom w:val="0"/>
          <w:divBdr>
            <w:top w:val="none" w:sz="0" w:space="0" w:color="auto"/>
            <w:left w:val="none" w:sz="0" w:space="0" w:color="auto"/>
            <w:bottom w:val="none" w:sz="0" w:space="0" w:color="auto"/>
            <w:right w:val="none" w:sz="0" w:space="0" w:color="auto"/>
          </w:divBdr>
        </w:div>
      </w:divsChild>
    </w:div>
    <w:div w:id="1612542851">
      <w:marLeft w:val="0"/>
      <w:marRight w:val="0"/>
      <w:marTop w:val="240"/>
      <w:marBottom w:val="240"/>
      <w:divBdr>
        <w:top w:val="none" w:sz="0" w:space="0" w:color="auto"/>
        <w:left w:val="none" w:sz="0" w:space="0" w:color="auto"/>
        <w:bottom w:val="none" w:sz="0" w:space="0" w:color="auto"/>
        <w:right w:val="none" w:sz="0" w:space="0" w:color="auto"/>
      </w:divBdr>
    </w:div>
    <w:div w:id="1618902992">
      <w:marLeft w:val="0"/>
      <w:marRight w:val="0"/>
      <w:marTop w:val="0"/>
      <w:marBottom w:val="120"/>
      <w:divBdr>
        <w:top w:val="none" w:sz="0" w:space="0" w:color="auto"/>
        <w:left w:val="none" w:sz="0" w:space="0" w:color="auto"/>
        <w:bottom w:val="none" w:sz="0" w:space="0" w:color="auto"/>
        <w:right w:val="none" w:sz="0" w:space="0" w:color="auto"/>
      </w:divBdr>
    </w:div>
    <w:div w:id="1619677029">
      <w:marLeft w:val="0"/>
      <w:marRight w:val="0"/>
      <w:marTop w:val="0"/>
      <w:marBottom w:val="240"/>
      <w:divBdr>
        <w:top w:val="none" w:sz="0" w:space="0" w:color="auto"/>
        <w:left w:val="none" w:sz="0" w:space="0" w:color="auto"/>
        <w:bottom w:val="none" w:sz="0" w:space="0" w:color="auto"/>
        <w:right w:val="none" w:sz="0" w:space="0" w:color="auto"/>
      </w:divBdr>
    </w:div>
    <w:div w:id="1620213174">
      <w:marLeft w:val="0"/>
      <w:marRight w:val="0"/>
      <w:marTop w:val="240"/>
      <w:marBottom w:val="60"/>
      <w:divBdr>
        <w:top w:val="none" w:sz="0" w:space="0" w:color="auto"/>
        <w:left w:val="none" w:sz="0" w:space="0" w:color="auto"/>
        <w:bottom w:val="none" w:sz="0" w:space="0" w:color="auto"/>
        <w:right w:val="none" w:sz="0" w:space="0" w:color="auto"/>
      </w:divBdr>
    </w:div>
    <w:div w:id="1622373092">
      <w:marLeft w:val="0"/>
      <w:marRight w:val="0"/>
      <w:marTop w:val="0"/>
      <w:marBottom w:val="0"/>
      <w:divBdr>
        <w:top w:val="none" w:sz="0" w:space="0" w:color="auto"/>
        <w:left w:val="none" w:sz="0" w:space="0" w:color="auto"/>
        <w:bottom w:val="none" w:sz="0" w:space="0" w:color="auto"/>
        <w:right w:val="none" w:sz="0" w:space="0" w:color="auto"/>
      </w:divBdr>
    </w:div>
    <w:div w:id="1625229495">
      <w:marLeft w:val="0"/>
      <w:marRight w:val="0"/>
      <w:marTop w:val="0"/>
      <w:marBottom w:val="0"/>
      <w:divBdr>
        <w:top w:val="none" w:sz="0" w:space="0" w:color="auto"/>
        <w:left w:val="none" w:sz="0" w:space="0" w:color="auto"/>
        <w:bottom w:val="none" w:sz="0" w:space="0" w:color="auto"/>
        <w:right w:val="none" w:sz="0" w:space="0" w:color="auto"/>
      </w:divBdr>
    </w:div>
    <w:div w:id="1627196173">
      <w:marLeft w:val="0"/>
      <w:marRight w:val="0"/>
      <w:marTop w:val="240"/>
      <w:marBottom w:val="0"/>
      <w:divBdr>
        <w:top w:val="none" w:sz="0" w:space="0" w:color="auto"/>
        <w:left w:val="none" w:sz="0" w:space="0" w:color="auto"/>
        <w:bottom w:val="none" w:sz="0" w:space="0" w:color="auto"/>
        <w:right w:val="none" w:sz="0" w:space="0" w:color="auto"/>
      </w:divBdr>
    </w:div>
    <w:div w:id="1629357927">
      <w:marLeft w:val="0"/>
      <w:marRight w:val="0"/>
      <w:marTop w:val="0"/>
      <w:marBottom w:val="0"/>
      <w:divBdr>
        <w:top w:val="none" w:sz="0" w:space="0" w:color="auto"/>
        <w:left w:val="none" w:sz="0" w:space="0" w:color="auto"/>
        <w:bottom w:val="none" w:sz="0" w:space="0" w:color="auto"/>
        <w:right w:val="none" w:sz="0" w:space="0" w:color="auto"/>
      </w:divBdr>
      <w:divsChild>
        <w:div w:id="1734045032">
          <w:marLeft w:val="0"/>
          <w:marRight w:val="0"/>
          <w:marTop w:val="0"/>
          <w:marBottom w:val="0"/>
          <w:divBdr>
            <w:top w:val="none" w:sz="0" w:space="0" w:color="auto"/>
            <w:left w:val="none" w:sz="0" w:space="0" w:color="auto"/>
            <w:bottom w:val="none" w:sz="0" w:space="0" w:color="auto"/>
            <w:right w:val="none" w:sz="0" w:space="0" w:color="auto"/>
          </w:divBdr>
        </w:div>
      </w:divsChild>
    </w:div>
    <w:div w:id="1630821652">
      <w:marLeft w:val="0"/>
      <w:marRight w:val="0"/>
      <w:marTop w:val="0"/>
      <w:marBottom w:val="240"/>
      <w:divBdr>
        <w:top w:val="none" w:sz="0" w:space="0" w:color="auto"/>
        <w:left w:val="none" w:sz="0" w:space="0" w:color="auto"/>
        <w:bottom w:val="none" w:sz="0" w:space="0" w:color="auto"/>
        <w:right w:val="none" w:sz="0" w:space="0" w:color="auto"/>
      </w:divBdr>
    </w:div>
    <w:div w:id="1639410265">
      <w:marLeft w:val="0"/>
      <w:marRight w:val="0"/>
      <w:marTop w:val="240"/>
      <w:marBottom w:val="0"/>
      <w:divBdr>
        <w:top w:val="none" w:sz="0" w:space="0" w:color="auto"/>
        <w:left w:val="none" w:sz="0" w:space="0" w:color="auto"/>
        <w:bottom w:val="none" w:sz="0" w:space="0" w:color="auto"/>
        <w:right w:val="none" w:sz="0" w:space="0" w:color="auto"/>
      </w:divBdr>
    </w:div>
    <w:div w:id="1641182076">
      <w:marLeft w:val="0"/>
      <w:marRight w:val="0"/>
      <w:marTop w:val="0"/>
      <w:marBottom w:val="240"/>
      <w:divBdr>
        <w:top w:val="none" w:sz="0" w:space="0" w:color="auto"/>
        <w:left w:val="none" w:sz="0" w:space="0" w:color="auto"/>
        <w:bottom w:val="none" w:sz="0" w:space="0" w:color="auto"/>
        <w:right w:val="none" w:sz="0" w:space="0" w:color="auto"/>
      </w:divBdr>
    </w:div>
    <w:div w:id="1645697577">
      <w:marLeft w:val="0"/>
      <w:marRight w:val="0"/>
      <w:marTop w:val="0"/>
      <w:marBottom w:val="240"/>
      <w:divBdr>
        <w:top w:val="none" w:sz="0" w:space="0" w:color="auto"/>
        <w:left w:val="none" w:sz="0" w:space="0" w:color="auto"/>
        <w:bottom w:val="none" w:sz="0" w:space="0" w:color="auto"/>
        <w:right w:val="none" w:sz="0" w:space="0" w:color="auto"/>
      </w:divBdr>
    </w:div>
    <w:div w:id="1648584862">
      <w:marLeft w:val="0"/>
      <w:marRight w:val="0"/>
      <w:marTop w:val="240"/>
      <w:marBottom w:val="0"/>
      <w:divBdr>
        <w:top w:val="none" w:sz="0" w:space="0" w:color="auto"/>
        <w:left w:val="none" w:sz="0" w:space="0" w:color="auto"/>
        <w:bottom w:val="none" w:sz="0" w:space="0" w:color="auto"/>
        <w:right w:val="none" w:sz="0" w:space="0" w:color="auto"/>
      </w:divBdr>
    </w:div>
    <w:div w:id="1650209379">
      <w:marLeft w:val="0"/>
      <w:marRight w:val="0"/>
      <w:marTop w:val="240"/>
      <w:marBottom w:val="240"/>
      <w:divBdr>
        <w:top w:val="none" w:sz="0" w:space="0" w:color="auto"/>
        <w:left w:val="none" w:sz="0" w:space="0" w:color="auto"/>
        <w:bottom w:val="none" w:sz="0" w:space="0" w:color="auto"/>
        <w:right w:val="none" w:sz="0" w:space="0" w:color="auto"/>
      </w:divBdr>
    </w:div>
    <w:div w:id="1655404100">
      <w:marLeft w:val="0"/>
      <w:marRight w:val="0"/>
      <w:marTop w:val="0"/>
      <w:marBottom w:val="0"/>
      <w:divBdr>
        <w:top w:val="none" w:sz="0" w:space="0" w:color="auto"/>
        <w:left w:val="none" w:sz="0" w:space="0" w:color="auto"/>
        <w:bottom w:val="none" w:sz="0" w:space="0" w:color="auto"/>
        <w:right w:val="none" w:sz="0" w:space="0" w:color="auto"/>
      </w:divBdr>
    </w:div>
    <w:div w:id="1656641473">
      <w:marLeft w:val="0"/>
      <w:marRight w:val="0"/>
      <w:marTop w:val="0"/>
      <w:marBottom w:val="0"/>
      <w:divBdr>
        <w:top w:val="none" w:sz="0" w:space="0" w:color="auto"/>
        <w:left w:val="none" w:sz="0" w:space="0" w:color="auto"/>
        <w:bottom w:val="none" w:sz="0" w:space="0" w:color="auto"/>
        <w:right w:val="none" w:sz="0" w:space="0" w:color="auto"/>
      </w:divBdr>
    </w:div>
    <w:div w:id="1658072392">
      <w:marLeft w:val="0"/>
      <w:marRight w:val="0"/>
      <w:marTop w:val="0"/>
      <w:marBottom w:val="0"/>
      <w:divBdr>
        <w:top w:val="none" w:sz="0" w:space="0" w:color="auto"/>
        <w:left w:val="none" w:sz="0" w:space="0" w:color="auto"/>
        <w:bottom w:val="none" w:sz="0" w:space="0" w:color="auto"/>
        <w:right w:val="none" w:sz="0" w:space="0" w:color="auto"/>
      </w:divBdr>
    </w:div>
    <w:div w:id="1663661407">
      <w:marLeft w:val="0"/>
      <w:marRight w:val="0"/>
      <w:marTop w:val="240"/>
      <w:marBottom w:val="0"/>
      <w:divBdr>
        <w:top w:val="none" w:sz="0" w:space="0" w:color="auto"/>
        <w:left w:val="none" w:sz="0" w:space="0" w:color="auto"/>
        <w:bottom w:val="none" w:sz="0" w:space="0" w:color="auto"/>
        <w:right w:val="none" w:sz="0" w:space="0" w:color="auto"/>
      </w:divBdr>
    </w:div>
    <w:div w:id="1664893549">
      <w:marLeft w:val="0"/>
      <w:marRight w:val="0"/>
      <w:marTop w:val="0"/>
      <w:marBottom w:val="0"/>
      <w:divBdr>
        <w:top w:val="none" w:sz="0" w:space="0" w:color="auto"/>
        <w:left w:val="none" w:sz="0" w:space="0" w:color="auto"/>
        <w:bottom w:val="none" w:sz="0" w:space="0" w:color="auto"/>
        <w:right w:val="none" w:sz="0" w:space="0" w:color="auto"/>
      </w:divBdr>
      <w:divsChild>
        <w:div w:id="357194607">
          <w:marLeft w:val="0"/>
          <w:marRight w:val="0"/>
          <w:marTop w:val="0"/>
          <w:marBottom w:val="0"/>
          <w:divBdr>
            <w:top w:val="none" w:sz="0" w:space="0" w:color="auto"/>
            <w:left w:val="none" w:sz="0" w:space="0" w:color="auto"/>
            <w:bottom w:val="none" w:sz="0" w:space="0" w:color="auto"/>
            <w:right w:val="none" w:sz="0" w:space="0" w:color="auto"/>
          </w:divBdr>
        </w:div>
      </w:divsChild>
    </w:div>
    <w:div w:id="1668678480">
      <w:marLeft w:val="0"/>
      <w:marRight w:val="0"/>
      <w:marTop w:val="20"/>
      <w:marBottom w:val="0"/>
      <w:divBdr>
        <w:top w:val="none" w:sz="0" w:space="0" w:color="auto"/>
        <w:left w:val="none" w:sz="0" w:space="0" w:color="auto"/>
        <w:bottom w:val="none" w:sz="0" w:space="0" w:color="auto"/>
        <w:right w:val="none" w:sz="0" w:space="0" w:color="auto"/>
      </w:divBdr>
    </w:div>
    <w:div w:id="1668944781">
      <w:marLeft w:val="0"/>
      <w:marRight w:val="0"/>
      <w:marTop w:val="240"/>
      <w:marBottom w:val="0"/>
      <w:divBdr>
        <w:top w:val="none" w:sz="0" w:space="0" w:color="auto"/>
        <w:left w:val="none" w:sz="0" w:space="0" w:color="auto"/>
        <w:bottom w:val="none" w:sz="0" w:space="0" w:color="auto"/>
        <w:right w:val="none" w:sz="0" w:space="0" w:color="auto"/>
      </w:divBdr>
    </w:div>
    <w:div w:id="1674990553">
      <w:marLeft w:val="0"/>
      <w:marRight w:val="0"/>
      <w:marTop w:val="240"/>
      <w:marBottom w:val="0"/>
      <w:divBdr>
        <w:top w:val="none" w:sz="0" w:space="0" w:color="auto"/>
        <w:left w:val="none" w:sz="0" w:space="0" w:color="auto"/>
        <w:bottom w:val="none" w:sz="0" w:space="0" w:color="auto"/>
        <w:right w:val="none" w:sz="0" w:space="0" w:color="auto"/>
      </w:divBdr>
    </w:div>
    <w:div w:id="1677263252">
      <w:marLeft w:val="0"/>
      <w:marRight w:val="0"/>
      <w:marTop w:val="240"/>
      <w:marBottom w:val="0"/>
      <w:divBdr>
        <w:top w:val="none" w:sz="0" w:space="0" w:color="auto"/>
        <w:left w:val="none" w:sz="0" w:space="0" w:color="auto"/>
        <w:bottom w:val="none" w:sz="0" w:space="0" w:color="auto"/>
        <w:right w:val="none" w:sz="0" w:space="0" w:color="auto"/>
      </w:divBdr>
    </w:div>
    <w:div w:id="1677346137">
      <w:marLeft w:val="0"/>
      <w:marRight w:val="0"/>
      <w:marTop w:val="0"/>
      <w:marBottom w:val="0"/>
      <w:divBdr>
        <w:top w:val="none" w:sz="0" w:space="0" w:color="auto"/>
        <w:left w:val="none" w:sz="0" w:space="0" w:color="auto"/>
        <w:bottom w:val="none" w:sz="0" w:space="0" w:color="auto"/>
        <w:right w:val="none" w:sz="0" w:space="0" w:color="auto"/>
      </w:divBdr>
      <w:divsChild>
        <w:div w:id="1777602650">
          <w:marLeft w:val="0"/>
          <w:marRight w:val="0"/>
          <w:marTop w:val="0"/>
          <w:marBottom w:val="0"/>
          <w:divBdr>
            <w:top w:val="none" w:sz="0" w:space="0" w:color="auto"/>
            <w:left w:val="none" w:sz="0" w:space="0" w:color="auto"/>
            <w:bottom w:val="none" w:sz="0" w:space="0" w:color="auto"/>
            <w:right w:val="none" w:sz="0" w:space="0" w:color="auto"/>
          </w:divBdr>
        </w:div>
      </w:divsChild>
    </w:div>
    <w:div w:id="1679498092">
      <w:marLeft w:val="0"/>
      <w:marRight w:val="0"/>
      <w:marTop w:val="240"/>
      <w:marBottom w:val="0"/>
      <w:divBdr>
        <w:top w:val="none" w:sz="0" w:space="0" w:color="auto"/>
        <w:left w:val="none" w:sz="0" w:space="0" w:color="auto"/>
        <w:bottom w:val="none" w:sz="0" w:space="0" w:color="auto"/>
        <w:right w:val="none" w:sz="0" w:space="0" w:color="auto"/>
      </w:divBdr>
    </w:div>
    <w:div w:id="1684548240">
      <w:marLeft w:val="0"/>
      <w:marRight w:val="0"/>
      <w:marTop w:val="0"/>
      <w:marBottom w:val="0"/>
      <w:divBdr>
        <w:top w:val="none" w:sz="0" w:space="0" w:color="auto"/>
        <w:left w:val="none" w:sz="0" w:space="0" w:color="auto"/>
        <w:bottom w:val="none" w:sz="0" w:space="0" w:color="auto"/>
        <w:right w:val="none" w:sz="0" w:space="0" w:color="auto"/>
      </w:divBdr>
      <w:divsChild>
        <w:div w:id="1235118497">
          <w:marLeft w:val="0"/>
          <w:marRight w:val="0"/>
          <w:marTop w:val="0"/>
          <w:marBottom w:val="0"/>
          <w:divBdr>
            <w:top w:val="none" w:sz="0" w:space="0" w:color="auto"/>
            <w:left w:val="none" w:sz="0" w:space="0" w:color="auto"/>
            <w:bottom w:val="none" w:sz="0" w:space="0" w:color="auto"/>
            <w:right w:val="none" w:sz="0" w:space="0" w:color="auto"/>
          </w:divBdr>
        </w:div>
      </w:divsChild>
    </w:div>
    <w:div w:id="1684748177">
      <w:marLeft w:val="0"/>
      <w:marRight w:val="0"/>
      <w:marTop w:val="0"/>
      <w:marBottom w:val="0"/>
      <w:divBdr>
        <w:top w:val="none" w:sz="0" w:space="0" w:color="auto"/>
        <w:left w:val="none" w:sz="0" w:space="0" w:color="auto"/>
        <w:bottom w:val="none" w:sz="0" w:space="0" w:color="auto"/>
        <w:right w:val="none" w:sz="0" w:space="0" w:color="auto"/>
      </w:divBdr>
      <w:divsChild>
        <w:div w:id="1238637129">
          <w:marLeft w:val="0"/>
          <w:marRight w:val="0"/>
          <w:marTop w:val="0"/>
          <w:marBottom w:val="0"/>
          <w:divBdr>
            <w:top w:val="none" w:sz="0" w:space="0" w:color="auto"/>
            <w:left w:val="none" w:sz="0" w:space="0" w:color="auto"/>
            <w:bottom w:val="none" w:sz="0" w:space="0" w:color="auto"/>
            <w:right w:val="none" w:sz="0" w:space="0" w:color="auto"/>
          </w:divBdr>
        </w:div>
      </w:divsChild>
    </w:div>
    <w:div w:id="1684818247">
      <w:marLeft w:val="0"/>
      <w:marRight w:val="0"/>
      <w:marTop w:val="0"/>
      <w:marBottom w:val="240"/>
      <w:divBdr>
        <w:top w:val="none" w:sz="0" w:space="0" w:color="auto"/>
        <w:left w:val="none" w:sz="0" w:space="0" w:color="auto"/>
        <w:bottom w:val="none" w:sz="0" w:space="0" w:color="auto"/>
        <w:right w:val="none" w:sz="0" w:space="0" w:color="auto"/>
      </w:divBdr>
    </w:div>
    <w:div w:id="1685135943">
      <w:marLeft w:val="0"/>
      <w:marRight w:val="0"/>
      <w:marTop w:val="0"/>
      <w:marBottom w:val="240"/>
      <w:divBdr>
        <w:top w:val="none" w:sz="0" w:space="0" w:color="auto"/>
        <w:left w:val="none" w:sz="0" w:space="0" w:color="auto"/>
        <w:bottom w:val="none" w:sz="0" w:space="0" w:color="auto"/>
        <w:right w:val="none" w:sz="0" w:space="0" w:color="auto"/>
      </w:divBdr>
    </w:div>
    <w:div w:id="1685204151">
      <w:marLeft w:val="0"/>
      <w:marRight w:val="0"/>
      <w:marTop w:val="0"/>
      <w:marBottom w:val="240"/>
      <w:divBdr>
        <w:top w:val="none" w:sz="0" w:space="0" w:color="auto"/>
        <w:left w:val="none" w:sz="0" w:space="0" w:color="auto"/>
        <w:bottom w:val="none" w:sz="0" w:space="0" w:color="auto"/>
        <w:right w:val="none" w:sz="0" w:space="0" w:color="auto"/>
      </w:divBdr>
    </w:div>
    <w:div w:id="1691301378">
      <w:marLeft w:val="0"/>
      <w:marRight w:val="0"/>
      <w:marTop w:val="0"/>
      <w:marBottom w:val="0"/>
      <w:divBdr>
        <w:top w:val="none" w:sz="0" w:space="0" w:color="auto"/>
        <w:left w:val="none" w:sz="0" w:space="0" w:color="auto"/>
        <w:bottom w:val="none" w:sz="0" w:space="0" w:color="auto"/>
        <w:right w:val="none" w:sz="0" w:space="0" w:color="auto"/>
      </w:divBdr>
    </w:div>
    <w:div w:id="1691908049">
      <w:marLeft w:val="0"/>
      <w:marRight w:val="0"/>
      <w:marTop w:val="240"/>
      <w:marBottom w:val="0"/>
      <w:divBdr>
        <w:top w:val="none" w:sz="0" w:space="0" w:color="auto"/>
        <w:left w:val="none" w:sz="0" w:space="0" w:color="auto"/>
        <w:bottom w:val="none" w:sz="0" w:space="0" w:color="auto"/>
        <w:right w:val="none" w:sz="0" w:space="0" w:color="auto"/>
      </w:divBdr>
    </w:div>
    <w:div w:id="1693217616">
      <w:marLeft w:val="0"/>
      <w:marRight w:val="0"/>
      <w:marTop w:val="240"/>
      <w:marBottom w:val="0"/>
      <w:divBdr>
        <w:top w:val="none" w:sz="0" w:space="0" w:color="auto"/>
        <w:left w:val="none" w:sz="0" w:space="0" w:color="auto"/>
        <w:bottom w:val="none" w:sz="0" w:space="0" w:color="auto"/>
        <w:right w:val="none" w:sz="0" w:space="0" w:color="auto"/>
      </w:divBdr>
    </w:div>
    <w:div w:id="1698312219">
      <w:marLeft w:val="0"/>
      <w:marRight w:val="0"/>
      <w:marTop w:val="0"/>
      <w:marBottom w:val="240"/>
      <w:divBdr>
        <w:top w:val="none" w:sz="0" w:space="0" w:color="auto"/>
        <w:left w:val="none" w:sz="0" w:space="0" w:color="auto"/>
        <w:bottom w:val="none" w:sz="0" w:space="0" w:color="auto"/>
        <w:right w:val="none" w:sz="0" w:space="0" w:color="auto"/>
      </w:divBdr>
    </w:div>
    <w:div w:id="1702315860">
      <w:marLeft w:val="0"/>
      <w:marRight w:val="0"/>
      <w:marTop w:val="0"/>
      <w:marBottom w:val="0"/>
      <w:divBdr>
        <w:top w:val="none" w:sz="0" w:space="0" w:color="auto"/>
        <w:left w:val="none" w:sz="0" w:space="0" w:color="auto"/>
        <w:bottom w:val="none" w:sz="0" w:space="0" w:color="auto"/>
        <w:right w:val="none" w:sz="0" w:space="0" w:color="auto"/>
      </w:divBdr>
      <w:divsChild>
        <w:div w:id="915825370">
          <w:marLeft w:val="0"/>
          <w:marRight w:val="0"/>
          <w:marTop w:val="0"/>
          <w:marBottom w:val="0"/>
          <w:divBdr>
            <w:top w:val="none" w:sz="0" w:space="0" w:color="auto"/>
            <w:left w:val="none" w:sz="0" w:space="0" w:color="auto"/>
            <w:bottom w:val="none" w:sz="0" w:space="0" w:color="auto"/>
            <w:right w:val="none" w:sz="0" w:space="0" w:color="auto"/>
          </w:divBdr>
        </w:div>
        <w:div w:id="2062820434">
          <w:marLeft w:val="0"/>
          <w:marRight w:val="0"/>
          <w:marTop w:val="0"/>
          <w:marBottom w:val="0"/>
          <w:divBdr>
            <w:top w:val="none" w:sz="0" w:space="0" w:color="auto"/>
            <w:left w:val="none" w:sz="0" w:space="0" w:color="auto"/>
            <w:bottom w:val="none" w:sz="0" w:space="0" w:color="auto"/>
            <w:right w:val="none" w:sz="0" w:space="0" w:color="auto"/>
          </w:divBdr>
        </w:div>
      </w:divsChild>
    </w:div>
    <w:div w:id="1702710150">
      <w:marLeft w:val="0"/>
      <w:marRight w:val="0"/>
      <w:marTop w:val="240"/>
      <w:marBottom w:val="0"/>
      <w:divBdr>
        <w:top w:val="none" w:sz="0" w:space="0" w:color="auto"/>
        <w:left w:val="none" w:sz="0" w:space="0" w:color="auto"/>
        <w:bottom w:val="none" w:sz="0" w:space="0" w:color="auto"/>
        <w:right w:val="none" w:sz="0" w:space="0" w:color="auto"/>
      </w:divBdr>
    </w:div>
    <w:div w:id="1707681158">
      <w:marLeft w:val="0"/>
      <w:marRight w:val="0"/>
      <w:marTop w:val="0"/>
      <w:marBottom w:val="0"/>
      <w:divBdr>
        <w:top w:val="none" w:sz="0" w:space="0" w:color="auto"/>
        <w:left w:val="none" w:sz="0" w:space="0" w:color="auto"/>
        <w:bottom w:val="none" w:sz="0" w:space="0" w:color="auto"/>
        <w:right w:val="none" w:sz="0" w:space="0" w:color="auto"/>
      </w:divBdr>
      <w:divsChild>
        <w:div w:id="1860124472">
          <w:marLeft w:val="0"/>
          <w:marRight w:val="0"/>
          <w:marTop w:val="0"/>
          <w:marBottom w:val="0"/>
          <w:divBdr>
            <w:top w:val="none" w:sz="0" w:space="0" w:color="auto"/>
            <w:left w:val="none" w:sz="0" w:space="0" w:color="auto"/>
            <w:bottom w:val="none" w:sz="0" w:space="0" w:color="auto"/>
            <w:right w:val="none" w:sz="0" w:space="0" w:color="auto"/>
          </w:divBdr>
        </w:div>
      </w:divsChild>
    </w:div>
    <w:div w:id="1710107537">
      <w:marLeft w:val="0"/>
      <w:marRight w:val="0"/>
      <w:marTop w:val="240"/>
      <w:marBottom w:val="0"/>
      <w:divBdr>
        <w:top w:val="none" w:sz="0" w:space="0" w:color="auto"/>
        <w:left w:val="none" w:sz="0" w:space="0" w:color="auto"/>
        <w:bottom w:val="none" w:sz="0" w:space="0" w:color="auto"/>
        <w:right w:val="none" w:sz="0" w:space="0" w:color="auto"/>
      </w:divBdr>
    </w:div>
    <w:div w:id="1716081097">
      <w:marLeft w:val="0"/>
      <w:marRight w:val="0"/>
      <w:marTop w:val="240"/>
      <w:marBottom w:val="120"/>
      <w:divBdr>
        <w:top w:val="none" w:sz="0" w:space="0" w:color="auto"/>
        <w:left w:val="none" w:sz="0" w:space="0" w:color="auto"/>
        <w:bottom w:val="none" w:sz="0" w:space="0" w:color="auto"/>
        <w:right w:val="none" w:sz="0" w:space="0" w:color="auto"/>
      </w:divBdr>
    </w:div>
    <w:div w:id="1719470257">
      <w:marLeft w:val="0"/>
      <w:marRight w:val="0"/>
      <w:marTop w:val="0"/>
      <w:marBottom w:val="240"/>
      <w:divBdr>
        <w:top w:val="none" w:sz="0" w:space="0" w:color="auto"/>
        <w:left w:val="none" w:sz="0" w:space="0" w:color="auto"/>
        <w:bottom w:val="none" w:sz="0" w:space="0" w:color="auto"/>
        <w:right w:val="none" w:sz="0" w:space="0" w:color="auto"/>
      </w:divBdr>
    </w:div>
    <w:div w:id="1720394342">
      <w:marLeft w:val="0"/>
      <w:marRight w:val="0"/>
      <w:marTop w:val="240"/>
      <w:marBottom w:val="0"/>
      <w:divBdr>
        <w:top w:val="none" w:sz="0" w:space="0" w:color="auto"/>
        <w:left w:val="none" w:sz="0" w:space="0" w:color="auto"/>
        <w:bottom w:val="none" w:sz="0" w:space="0" w:color="auto"/>
        <w:right w:val="none" w:sz="0" w:space="0" w:color="auto"/>
      </w:divBdr>
    </w:div>
    <w:div w:id="1721897477">
      <w:marLeft w:val="0"/>
      <w:marRight w:val="0"/>
      <w:marTop w:val="120"/>
      <w:marBottom w:val="0"/>
      <w:divBdr>
        <w:top w:val="none" w:sz="0" w:space="0" w:color="auto"/>
        <w:left w:val="none" w:sz="0" w:space="0" w:color="auto"/>
        <w:bottom w:val="none" w:sz="0" w:space="0" w:color="auto"/>
        <w:right w:val="none" w:sz="0" w:space="0" w:color="auto"/>
      </w:divBdr>
    </w:div>
    <w:div w:id="1722367249">
      <w:marLeft w:val="0"/>
      <w:marRight w:val="0"/>
      <w:marTop w:val="0"/>
      <w:marBottom w:val="0"/>
      <w:divBdr>
        <w:top w:val="none" w:sz="0" w:space="0" w:color="auto"/>
        <w:left w:val="none" w:sz="0" w:space="0" w:color="auto"/>
        <w:bottom w:val="none" w:sz="0" w:space="0" w:color="auto"/>
        <w:right w:val="none" w:sz="0" w:space="0" w:color="auto"/>
      </w:divBdr>
    </w:div>
    <w:div w:id="1722972693">
      <w:marLeft w:val="0"/>
      <w:marRight w:val="0"/>
      <w:marTop w:val="240"/>
      <w:marBottom w:val="0"/>
      <w:divBdr>
        <w:top w:val="none" w:sz="0" w:space="0" w:color="auto"/>
        <w:left w:val="none" w:sz="0" w:space="0" w:color="auto"/>
        <w:bottom w:val="none" w:sz="0" w:space="0" w:color="auto"/>
        <w:right w:val="none" w:sz="0" w:space="0" w:color="auto"/>
      </w:divBdr>
    </w:div>
    <w:div w:id="1723282900">
      <w:marLeft w:val="0"/>
      <w:marRight w:val="0"/>
      <w:marTop w:val="240"/>
      <w:marBottom w:val="0"/>
      <w:divBdr>
        <w:top w:val="none" w:sz="0" w:space="0" w:color="auto"/>
        <w:left w:val="none" w:sz="0" w:space="0" w:color="auto"/>
        <w:bottom w:val="none" w:sz="0" w:space="0" w:color="auto"/>
        <w:right w:val="none" w:sz="0" w:space="0" w:color="auto"/>
      </w:divBdr>
    </w:div>
    <w:div w:id="1726641950">
      <w:marLeft w:val="0"/>
      <w:marRight w:val="0"/>
      <w:marTop w:val="0"/>
      <w:marBottom w:val="0"/>
      <w:divBdr>
        <w:top w:val="none" w:sz="0" w:space="0" w:color="auto"/>
        <w:left w:val="none" w:sz="0" w:space="0" w:color="auto"/>
        <w:bottom w:val="none" w:sz="0" w:space="0" w:color="auto"/>
        <w:right w:val="none" w:sz="0" w:space="0" w:color="auto"/>
      </w:divBdr>
      <w:divsChild>
        <w:div w:id="512648916">
          <w:marLeft w:val="0"/>
          <w:marRight w:val="0"/>
          <w:marTop w:val="0"/>
          <w:marBottom w:val="0"/>
          <w:divBdr>
            <w:top w:val="none" w:sz="0" w:space="0" w:color="auto"/>
            <w:left w:val="none" w:sz="0" w:space="0" w:color="auto"/>
            <w:bottom w:val="none" w:sz="0" w:space="0" w:color="auto"/>
            <w:right w:val="none" w:sz="0" w:space="0" w:color="auto"/>
          </w:divBdr>
        </w:div>
      </w:divsChild>
    </w:div>
    <w:div w:id="1731341439">
      <w:marLeft w:val="0"/>
      <w:marRight w:val="0"/>
      <w:marTop w:val="0"/>
      <w:marBottom w:val="240"/>
      <w:divBdr>
        <w:top w:val="none" w:sz="0" w:space="0" w:color="auto"/>
        <w:left w:val="none" w:sz="0" w:space="0" w:color="auto"/>
        <w:bottom w:val="none" w:sz="0" w:space="0" w:color="auto"/>
        <w:right w:val="none" w:sz="0" w:space="0" w:color="auto"/>
      </w:divBdr>
    </w:div>
    <w:div w:id="1731659804">
      <w:marLeft w:val="0"/>
      <w:marRight w:val="0"/>
      <w:marTop w:val="240"/>
      <w:marBottom w:val="0"/>
      <w:divBdr>
        <w:top w:val="none" w:sz="0" w:space="0" w:color="auto"/>
        <w:left w:val="none" w:sz="0" w:space="0" w:color="auto"/>
        <w:bottom w:val="none" w:sz="0" w:space="0" w:color="auto"/>
        <w:right w:val="none" w:sz="0" w:space="0" w:color="auto"/>
      </w:divBdr>
    </w:div>
    <w:div w:id="1736197014">
      <w:marLeft w:val="0"/>
      <w:marRight w:val="0"/>
      <w:marTop w:val="0"/>
      <w:marBottom w:val="240"/>
      <w:divBdr>
        <w:top w:val="none" w:sz="0" w:space="0" w:color="auto"/>
        <w:left w:val="none" w:sz="0" w:space="0" w:color="auto"/>
        <w:bottom w:val="none" w:sz="0" w:space="0" w:color="auto"/>
        <w:right w:val="none" w:sz="0" w:space="0" w:color="auto"/>
      </w:divBdr>
    </w:div>
    <w:div w:id="1738240730">
      <w:marLeft w:val="0"/>
      <w:marRight w:val="0"/>
      <w:marTop w:val="0"/>
      <w:marBottom w:val="240"/>
      <w:divBdr>
        <w:top w:val="none" w:sz="0" w:space="0" w:color="auto"/>
        <w:left w:val="none" w:sz="0" w:space="0" w:color="auto"/>
        <w:bottom w:val="none" w:sz="0" w:space="0" w:color="auto"/>
        <w:right w:val="none" w:sz="0" w:space="0" w:color="auto"/>
      </w:divBdr>
    </w:div>
    <w:div w:id="1739282949">
      <w:marLeft w:val="0"/>
      <w:marRight w:val="0"/>
      <w:marTop w:val="0"/>
      <w:marBottom w:val="0"/>
      <w:divBdr>
        <w:top w:val="none" w:sz="0" w:space="0" w:color="auto"/>
        <w:left w:val="none" w:sz="0" w:space="0" w:color="auto"/>
        <w:bottom w:val="none" w:sz="0" w:space="0" w:color="auto"/>
        <w:right w:val="none" w:sz="0" w:space="0" w:color="auto"/>
      </w:divBdr>
    </w:div>
    <w:div w:id="1739326344">
      <w:marLeft w:val="0"/>
      <w:marRight w:val="0"/>
      <w:marTop w:val="0"/>
      <w:marBottom w:val="0"/>
      <w:divBdr>
        <w:top w:val="none" w:sz="0" w:space="0" w:color="auto"/>
        <w:left w:val="none" w:sz="0" w:space="0" w:color="auto"/>
        <w:bottom w:val="none" w:sz="0" w:space="0" w:color="auto"/>
        <w:right w:val="none" w:sz="0" w:space="0" w:color="auto"/>
      </w:divBdr>
      <w:divsChild>
        <w:div w:id="1448742038">
          <w:marLeft w:val="0"/>
          <w:marRight w:val="0"/>
          <w:marTop w:val="0"/>
          <w:marBottom w:val="0"/>
          <w:divBdr>
            <w:top w:val="none" w:sz="0" w:space="0" w:color="auto"/>
            <w:left w:val="none" w:sz="0" w:space="0" w:color="auto"/>
            <w:bottom w:val="none" w:sz="0" w:space="0" w:color="auto"/>
            <w:right w:val="none" w:sz="0" w:space="0" w:color="auto"/>
          </w:divBdr>
        </w:div>
      </w:divsChild>
    </w:div>
    <w:div w:id="1740899813">
      <w:marLeft w:val="0"/>
      <w:marRight w:val="0"/>
      <w:marTop w:val="0"/>
      <w:marBottom w:val="240"/>
      <w:divBdr>
        <w:top w:val="none" w:sz="0" w:space="0" w:color="auto"/>
        <w:left w:val="none" w:sz="0" w:space="0" w:color="auto"/>
        <w:bottom w:val="none" w:sz="0" w:space="0" w:color="auto"/>
        <w:right w:val="none" w:sz="0" w:space="0" w:color="auto"/>
      </w:divBdr>
    </w:div>
    <w:div w:id="1741513971">
      <w:marLeft w:val="0"/>
      <w:marRight w:val="0"/>
      <w:marTop w:val="0"/>
      <w:marBottom w:val="0"/>
      <w:divBdr>
        <w:top w:val="none" w:sz="0" w:space="0" w:color="auto"/>
        <w:left w:val="none" w:sz="0" w:space="0" w:color="auto"/>
        <w:bottom w:val="none" w:sz="0" w:space="0" w:color="auto"/>
        <w:right w:val="none" w:sz="0" w:space="0" w:color="auto"/>
      </w:divBdr>
      <w:divsChild>
        <w:div w:id="1303266248">
          <w:marLeft w:val="0"/>
          <w:marRight w:val="0"/>
          <w:marTop w:val="0"/>
          <w:marBottom w:val="0"/>
          <w:divBdr>
            <w:top w:val="none" w:sz="0" w:space="0" w:color="auto"/>
            <w:left w:val="none" w:sz="0" w:space="0" w:color="auto"/>
            <w:bottom w:val="none" w:sz="0" w:space="0" w:color="auto"/>
            <w:right w:val="none" w:sz="0" w:space="0" w:color="auto"/>
          </w:divBdr>
        </w:div>
      </w:divsChild>
    </w:div>
    <w:div w:id="1741520321">
      <w:marLeft w:val="0"/>
      <w:marRight w:val="0"/>
      <w:marTop w:val="0"/>
      <w:marBottom w:val="0"/>
      <w:divBdr>
        <w:top w:val="none" w:sz="0" w:space="0" w:color="auto"/>
        <w:left w:val="none" w:sz="0" w:space="0" w:color="auto"/>
        <w:bottom w:val="none" w:sz="0" w:space="0" w:color="auto"/>
        <w:right w:val="none" w:sz="0" w:space="0" w:color="auto"/>
      </w:divBdr>
      <w:divsChild>
        <w:div w:id="2049257862">
          <w:marLeft w:val="0"/>
          <w:marRight w:val="0"/>
          <w:marTop w:val="0"/>
          <w:marBottom w:val="0"/>
          <w:divBdr>
            <w:top w:val="none" w:sz="0" w:space="0" w:color="auto"/>
            <w:left w:val="none" w:sz="0" w:space="0" w:color="auto"/>
            <w:bottom w:val="none" w:sz="0" w:space="0" w:color="auto"/>
            <w:right w:val="none" w:sz="0" w:space="0" w:color="auto"/>
          </w:divBdr>
        </w:div>
      </w:divsChild>
    </w:div>
    <w:div w:id="1744526404">
      <w:marLeft w:val="0"/>
      <w:marRight w:val="0"/>
      <w:marTop w:val="0"/>
      <w:marBottom w:val="240"/>
      <w:divBdr>
        <w:top w:val="none" w:sz="0" w:space="0" w:color="auto"/>
        <w:left w:val="none" w:sz="0" w:space="0" w:color="auto"/>
        <w:bottom w:val="none" w:sz="0" w:space="0" w:color="auto"/>
        <w:right w:val="none" w:sz="0" w:space="0" w:color="auto"/>
      </w:divBdr>
    </w:div>
    <w:div w:id="1746218788">
      <w:marLeft w:val="0"/>
      <w:marRight w:val="0"/>
      <w:marTop w:val="240"/>
      <w:marBottom w:val="0"/>
      <w:divBdr>
        <w:top w:val="none" w:sz="0" w:space="0" w:color="auto"/>
        <w:left w:val="none" w:sz="0" w:space="0" w:color="auto"/>
        <w:bottom w:val="none" w:sz="0" w:space="0" w:color="auto"/>
        <w:right w:val="none" w:sz="0" w:space="0" w:color="auto"/>
      </w:divBdr>
    </w:div>
    <w:div w:id="1749116176">
      <w:marLeft w:val="0"/>
      <w:marRight w:val="0"/>
      <w:marTop w:val="0"/>
      <w:marBottom w:val="0"/>
      <w:divBdr>
        <w:top w:val="none" w:sz="0" w:space="0" w:color="auto"/>
        <w:left w:val="none" w:sz="0" w:space="0" w:color="auto"/>
        <w:bottom w:val="none" w:sz="0" w:space="0" w:color="auto"/>
        <w:right w:val="none" w:sz="0" w:space="0" w:color="auto"/>
      </w:divBdr>
    </w:div>
    <w:div w:id="1752972278">
      <w:marLeft w:val="0"/>
      <w:marRight w:val="0"/>
      <w:marTop w:val="240"/>
      <w:marBottom w:val="240"/>
      <w:divBdr>
        <w:top w:val="none" w:sz="0" w:space="0" w:color="auto"/>
        <w:left w:val="none" w:sz="0" w:space="0" w:color="auto"/>
        <w:bottom w:val="none" w:sz="0" w:space="0" w:color="auto"/>
        <w:right w:val="none" w:sz="0" w:space="0" w:color="auto"/>
      </w:divBdr>
    </w:div>
    <w:div w:id="1756168878">
      <w:marLeft w:val="0"/>
      <w:marRight w:val="0"/>
      <w:marTop w:val="240"/>
      <w:marBottom w:val="0"/>
      <w:divBdr>
        <w:top w:val="none" w:sz="0" w:space="0" w:color="auto"/>
        <w:left w:val="none" w:sz="0" w:space="0" w:color="auto"/>
        <w:bottom w:val="none" w:sz="0" w:space="0" w:color="auto"/>
        <w:right w:val="none" w:sz="0" w:space="0" w:color="auto"/>
      </w:divBdr>
    </w:div>
    <w:div w:id="1756826728">
      <w:marLeft w:val="0"/>
      <w:marRight w:val="0"/>
      <w:marTop w:val="240"/>
      <w:marBottom w:val="0"/>
      <w:divBdr>
        <w:top w:val="none" w:sz="0" w:space="0" w:color="auto"/>
        <w:left w:val="none" w:sz="0" w:space="0" w:color="auto"/>
        <w:bottom w:val="none" w:sz="0" w:space="0" w:color="auto"/>
        <w:right w:val="none" w:sz="0" w:space="0" w:color="auto"/>
      </w:divBdr>
    </w:div>
    <w:div w:id="1763794208">
      <w:marLeft w:val="0"/>
      <w:marRight w:val="0"/>
      <w:marTop w:val="0"/>
      <w:marBottom w:val="0"/>
      <w:divBdr>
        <w:top w:val="none" w:sz="0" w:space="0" w:color="auto"/>
        <w:left w:val="none" w:sz="0" w:space="0" w:color="auto"/>
        <w:bottom w:val="none" w:sz="0" w:space="0" w:color="auto"/>
        <w:right w:val="none" w:sz="0" w:space="0" w:color="auto"/>
      </w:divBdr>
      <w:divsChild>
        <w:div w:id="738138143">
          <w:marLeft w:val="0"/>
          <w:marRight w:val="0"/>
          <w:marTop w:val="0"/>
          <w:marBottom w:val="0"/>
          <w:divBdr>
            <w:top w:val="none" w:sz="0" w:space="0" w:color="auto"/>
            <w:left w:val="none" w:sz="0" w:space="0" w:color="auto"/>
            <w:bottom w:val="none" w:sz="0" w:space="0" w:color="auto"/>
            <w:right w:val="none" w:sz="0" w:space="0" w:color="auto"/>
          </w:divBdr>
        </w:div>
      </w:divsChild>
    </w:div>
    <w:div w:id="1766344441">
      <w:marLeft w:val="0"/>
      <w:marRight w:val="0"/>
      <w:marTop w:val="0"/>
      <w:marBottom w:val="0"/>
      <w:divBdr>
        <w:top w:val="none" w:sz="0" w:space="0" w:color="auto"/>
        <w:left w:val="none" w:sz="0" w:space="0" w:color="auto"/>
        <w:bottom w:val="none" w:sz="0" w:space="0" w:color="auto"/>
        <w:right w:val="none" w:sz="0" w:space="0" w:color="auto"/>
      </w:divBdr>
    </w:div>
    <w:div w:id="1770269199">
      <w:marLeft w:val="0"/>
      <w:marRight w:val="0"/>
      <w:marTop w:val="240"/>
      <w:marBottom w:val="0"/>
      <w:divBdr>
        <w:top w:val="none" w:sz="0" w:space="0" w:color="auto"/>
        <w:left w:val="none" w:sz="0" w:space="0" w:color="auto"/>
        <w:bottom w:val="none" w:sz="0" w:space="0" w:color="auto"/>
        <w:right w:val="none" w:sz="0" w:space="0" w:color="auto"/>
      </w:divBdr>
    </w:div>
    <w:div w:id="1777023479">
      <w:marLeft w:val="0"/>
      <w:marRight w:val="0"/>
      <w:marTop w:val="0"/>
      <w:marBottom w:val="240"/>
      <w:divBdr>
        <w:top w:val="none" w:sz="0" w:space="0" w:color="auto"/>
        <w:left w:val="none" w:sz="0" w:space="0" w:color="auto"/>
        <w:bottom w:val="none" w:sz="0" w:space="0" w:color="auto"/>
        <w:right w:val="none" w:sz="0" w:space="0" w:color="auto"/>
      </w:divBdr>
    </w:div>
    <w:div w:id="1778984350">
      <w:marLeft w:val="0"/>
      <w:marRight w:val="0"/>
      <w:marTop w:val="0"/>
      <w:marBottom w:val="240"/>
      <w:divBdr>
        <w:top w:val="none" w:sz="0" w:space="0" w:color="auto"/>
        <w:left w:val="none" w:sz="0" w:space="0" w:color="auto"/>
        <w:bottom w:val="none" w:sz="0" w:space="0" w:color="auto"/>
        <w:right w:val="none" w:sz="0" w:space="0" w:color="auto"/>
      </w:divBdr>
    </w:div>
    <w:div w:id="1780252238">
      <w:marLeft w:val="0"/>
      <w:marRight w:val="0"/>
      <w:marTop w:val="0"/>
      <w:marBottom w:val="0"/>
      <w:divBdr>
        <w:top w:val="none" w:sz="0" w:space="0" w:color="auto"/>
        <w:left w:val="none" w:sz="0" w:space="0" w:color="auto"/>
        <w:bottom w:val="none" w:sz="0" w:space="0" w:color="auto"/>
        <w:right w:val="none" w:sz="0" w:space="0" w:color="auto"/>
      </w:divBdr>
      <w:divsChild>
        <w:div w:id="1524317982">
          <w:marLeft w:val="0"/>
          <w:marRight w:val="0"/>
          <w:marTop w:val="0"/>
          <w:marBottom w:val="0"/>
          <w:divBdr>
            <w:top w:val="none" w:sz="0" w:space="0" w:color="auto"/>
            <w:left w:val="none" w:sz="0" w:space="0" w:color="auto"/>
            <w:bottom w:val="none" w:sz="0" w:space="0" w:color="auto"/>
            <w:right w:val="none" w:sz="0" w:space="0" w:color="auto"/>
          </w:divBdr>
        </w:div>
      </w:divsChild>
    </w:div>
    <w:div w:id="1783263202">
      <w:marLeft w:val="0"/>
      <w:marRight w:val="0"/>
      <w:marTop w:val="100"/>
      <w:marBottom w:val="0"/>
      <w:divBdr>
        <w:top w:val="none" w:sz="0" w:space="0" w:color="auto"/>
        <w:left w:val="none" w:sz="0" w:space="0" w:color="auto"/>
        <w:bottom w:val="none" w:sz="0" w:space="0" w:color="auto"/>
        <w:right w:val="none" w:sz="0" w:space="0" w:color="auto"/>
      </w:divBdr>
    </w:div>
    <w:div w:id="1783377577">
      <w:marLeft w:val="0"/>
      <w:marRight w:val="0"/>
      <w:marTop w:val="0"/>
      <w:marBottom w:val="240"/>
      <w:divBdr>
        <w:top w:val="none" w:sz="0" w:space="0" w:color="auto"/>
        <w:left w:val="none" w:sz="0" w:space="0" w:color="auto"/>
        <w:bottom w:val="none" w:sz="0" w:space="0" w:color="auto"/>
        <w:right w:val="none" w:sz="0" w:space="0" w:color="auto"/>
      </w:divBdr>
    </w:div>
    <w:div w:id="1784306150">
      <w:marLeft w:val="0"/>
      <w:marRight w:val="0"/>
      <w:marTop w:val="0"/>
      <w:marBottom w:val="0"/>
      <w:divBdr>
        <w:top w:val="none" w:sz="0" w:space="0" w:color="auto"/>
        <w:left w:val="none" w:sz="0" w:space="0" w:color="auto"/>
        <w:bottom w:val="none" w:sz="0" w:space="0" w:color="auto"/>
        <w:right w:val="none" w:sz="0" w:space="0" w:color="auto"/>
      </w:divBdr>
      <w:divsChild>
        <w:div w:id="528838833">
          <w:marLeft w:val="0"/>
          <w:marRight w:val="0"/>
          <w:marTop w:val="0"/>
          <w:marBottom w:val="0"/>
          <w:divBdr>
            <w:top w:val="none" w:sz="0" w:space="0" w:color="auto"/>
            <w:left w:val="none" w:sz="0" w:space="0" w:color="auto"/>
            <w:bottom w:val="none" w:sz="0" w:space="0" w:color="auto"/>
            <w:right w:val="none" w:sz="0" w:space="0" w:color="auto"/>
          </w:divBdr>
        </w:div>
      </w:divsChild>
    </w:div>
    <w:div w:id="1786344737">
      <w:marLeft w:val="0"/>
      <w:marRight w:val="0"/>
      <w:marTop w:val="240"/>
      <w:marBottom w:val="240"/>
      <w:divBdr>
        <w:top w:val="none" w:sz="0" w:space="0" w:color="auto"/>
        <w:left w:val="none" w:sz="0" w:space="0" w:color="auto"/>
        <w:bottom w:val="none" w:sz="0" w:space="0" w:color="auto"/>
        <w:right w:val="none" w:sz="0" w:space="0" w:color="auto"/>
      </w:divBdr>
    </w:div>
    <w:div w:id="1786582092">
      <w:marLeft w:val="0"/>
      <w:marRight w:val="0"/>
      <w:marTop w:val="240"/>
      <w:marBottom w:val="0"/>
      <w:divBdr>
        <w:top w:val="none" w:sz="0" w:space="0" w:color="auto"/>
        <w:left w:val="none" w:sz="0" w:space="0" w:color="auto"/>
        <w:bottom w:val="none" w:sz="0" w:space="0" w:color="auto"/>
        <w:right w:val="none" w:sz="0" w:space="0" w:color="auto"/>
      </w:divBdr>
    </w:div>
    <w:div w:id="1788699416">
      <w:marLeft w:val="0"/>
      <w:marRight w:val="0"/>
      <w:marTop w:val="240"/>
      <w:marBottom w:val="0"/>
      <w:divBdr>
        <w:top w:val="none" w:sz="0" w:space="0" w:color="auto"/>
        <w:left w:val="none" w:sz="0" w:space="0" w:color="auto"/>
        <w:bottom w:val="none" w:sz="0" w:space="0" w:color="auto"/>
        <w:right w:val="none" w:sz="0" w:space="0" w:color="auto"/>
      </w:divBdr>
    </w:div>
    <w:div w:id="1792551845">
      <w:marLeft w:val="0"/>
      <w:marRight w:val="0"/>
      <w:marTop w:val="0"/>
      <w:marBottom w:val="0"/>
      <w:divBdr>
        <w:top w:val="none" w:sz="0" w:space="0" w:color="auto"/>
        <w:left w:val="none" w:sz="0" w:space="0" w:color="auto"/>
        <w:bottom w:val="none" w:sz="0" w:space="0" w:color="auto"/>
        <w:right w:val="none" w:sz="0" w:space="0" w:color="auto"/>
      </w:divBdr>
      <w:divsChild>
        <w:div w:id="1858155943">
          <w:marLeft w:val="0"/>
          <w:marRight w:val="0"/>
          <w:marTop w:val="0"/>
          <w:marBottom w:val="0"/>
          <w:divBdr>
            <w:top w:val="none" w:sz="0" w:space="0" w:color="auto"/>
            <w:left w:val="none" w:sz="0" w:space="0" w:color="auto"/>
            <w:bottom w:val="none" w:sz="0" w:space="0" w:color="auto"/>
            <w:right w:val="none" w:sz="0" w:space="0" w:color="auto"/>
          </w:divBdr>
        </w:div>
      </w:divsChild>
    </w:div>
    <w:div w:id="1794056380">
      <w:marLeft w:val="0"/>
      <w:marRight w:val="0"/>
      <w:marTop w:val="240"/>
      <w:marBottom w:val="0"/>
      <w:divBdr>
        <w:top w:val="none" w:sz="0" w:space="0" w:color="auto"/>
        <w:left w:val="none" w:sz="0" w:space="0" w:color="auto"/>
        <w:bottom w:val="none" w:sz="0" w:space="0" w:color="auto"/>
        <w:right w:val="none" w:sz="0" w:space="0" w:color="auto"/>
      </w:divBdr>
    </w:div>
    <w:div w:id="1798333814">
      <w:marLeft w:val="0"/>
      <w:marRight w:val="0"/>
      <w:marTop w:val="0"/>
      <w:marBottom w:val="0"/>
      <w:divBdr>
        <w:top w:val="none" w:sz="0" w:space="0" w:color="auto"/>
        <w:left w:val="none" w:sz="0" w:space="0" w:color="auto"/>
        <w:bottom w:val="none" w:sz="0" w:space="0" w:color="auto"/>
        <w:right w:val="none" w:sz="0" w:space="0" w:color="auto"/>
      </w:divBdr>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801605011">
      <w:marLeft w:val="0"/>
      <w:marRight w:val="0"/>
      <w:marTop w:val="0"/>
      <w:marBottom w:val="240"/>
      <w:divBdr>
        <w:top w:val="none" w:sz="0" w:space="0" w:color="auto"/>
        <w:left w:val="none" w:sz="0" w:space="0" w:color="auto"/>
        <w:bottom w:val="none" w:sz="0" w:space="0" w:color="auto"/>
        <w:right w:val="none" w:sz="0" w:space="0" w:color="auto"/>
      </w:divBdr>
    </w:div>
    <w:div w:id="1802923678">
      <w:marLeft w:val="0"/>
      <w:marRight w:val="0"/>
      <w:marTop w:val="240"/>
      <w:marBottom w:val="240"/>
      <w:divBdr>
        <w:top w:val="none" w:sz="0" w:space="0" w:color="auto"/>
        <w:left w:val="none" w:sz="0" w:space="0" w:color="auto"/>
        <w:bottom w:val="none" w:sz="0" w:space="0" w:color="auto"/>
        <w:right w:val="none" w:sz="0" w:space="0" w:color="auto"/>
      </w:divBdr>
    </w:div>
    <w:div w:id="1803840553">
      <w:marLeft w:val="0"/>
      <w:marRight w:val="0"/>
      <w:marTop w:val="0"/>
      <w:marBottom w:val="240"/>
      <w:divBdr>
        <w:top w:val="none" w:sz="0" w:space="0" w:color="auto"/>
        <w:left w:val="none" w:sz="0" w:space="0" w:color="auto"/>
        <w:bottom w:val="none" w:sz="0" w:space="0" w:color="auto"/>
        <w:right w:val="none" w:sz="0" w:space="0" w:color="auto"/>
      </w:divBdr>
    </w:div>
    <w:div w:id="1804734829">
      <w:marLeft w:val="0"/>
      <w:marRight w:val="0"/>
      <w:marTop w:val="240"/>
      <w:marBottom w:val="0"/>
      <w:divBdr>
        <w:top w:val="none" w:sz="0" w:space="0" w:color="auto"/>
        <w:left w:val="none" w:sz="0" w:space="0" w:color="auto"/>
        <w:bottom w:val="none" w:sz="0" w:space="0" w:color="auto"/>
        <w:right w:val="none" w:sz="0" w:space="0" w:color="auto"/>
      </w:divBdr>
    </w:div>
    <w:div w:id="1804958830">
      <w:marLeft w:val="0"/>
      <w:marRight w:val="0"/>
      <w:marTop w:val="120"/>
      <w:marBottom w:val="240"/>
      <w:divBdr>
        <w:top w:val="none" w:sz="0" w:space="0" w:color="auto"/>
        <w:left w:val="none" w:sz="0" w:space="0" w:color="auto"/>
        <w:bottom w:val="none" w:sz="0" w:space="0" w:color="auto"/>
        <w:right w:val="none" w:sz="0" w:space="0" w:color="auto"/>
      </w:divBdr>
    </w:div>
    <w:div w:id="1807697944">
      <w:marLeft w:val="0"/>
      <w:marRight w:val="0"/>
      <w:marTop w:val="240"/>
      <w:marBottom w:val="0"/>
      <w:divBdr>
        <w:top w:val="none" w:sz="0" w:space="0" w:color="auto"/>
        <w:left w:val="none" w:sz="0" w:space="0" w:color="auto"/>
        <w:bottom w:val="none" w:sz="0" w:space="0" w:color="auto"/>
        <w:right w:val="none" w:sz="0" w:space="0" w:color="auto"/>
      </w:divBdr>
    </w:div>
    <w:div w:id="1808666079">
      <w:marLeft w:val="0"/>
      <w:marRight w:val="0"/>
      <w:marTop w:val="0"/>
      <w:marBottom w:val="0"/>
      <w:divBdr>
        <w:top w:val="none" w:sz="0" w:space="0" w:color="auto"/>
        <w:left w:val="none" w:sz="0" w:space="0" w:color="auto"/>
        <w:bottom w:val="none" w:sz="0" w:space="0" w:color="auto"/>
        <w:right w:val="none" w:sz="0" w:space="0" w:color="auto"/>
      </w:divBdr>
    </w:div>
    <w:div w:id="1809014271">
      <w:marLeft w:val="0"/>
      <w:marRight w:val="0"/>
      <w:marTop w:val="24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sChild>
    </w:div>
    <w:div w:id="1815293330">
      <w:marLeft w:val="0"/>
      <w:marRight w:val="0"/>
      <w:marTop w:val="100"/>
      <w:marBottom w:val="0"/>
      <w:divBdr>
        <w:top w:val="none" w:sz="0" w:space="0" w:color="auto"/>
        <w:left w:val="none" w:sz="0" w:space="0" w:color="auto"/>
        <w:bottom w:val="none" w:sz="0" w:space="0" w:color="auto"/>
        <w:right w:val="none" w:sz="0" w:space="0" w:color="auto"/>
      </w:divBdr>
    </w:div>
    <w:div w:id="1816605815">
      <w:marLeft w:val="0"/>
      <w:marRight w:val="0"/>
      <w:marTop w:val="0"/>
      <w:marBottom w:val="240"/>
      <w:divBdr>
        <w:top w:val="none" w:sz="0" w:space="0" w:color="auto"/>
        <w:left w:val="none" w:sz="0" w:space="0" w:color="auto"/>
        <w:bottom w:val="none" w:sz="0" w:space="0" w:color="auto"/>
        <w:right w:val="none" w:sz="0" w:space="0" w:color="auto"/>
      </w:divBdr>
    </w:div>
    <w:div w:id="1817842027">
      <w:marLeft w:val="0"/>
      <w:marRight w:val="0"/>
      <w:marTop w:val="0"/>
      <w:marBottom w:val="0"/>
      <w:divBdr>
        <w:top w:val="none" w:sz="0" w:space="0" w:color="auto"/>
        <w:left w:val="none" w:sz="0" w:space="0" w:color="auto"/>
        <w:bottom w:val="none" w:sz="0" w:space="0" w:color="auto"/>
        <w:right w:val="none" w:sz="0" w:space="0" w:color="auto"/>
      </w:divBdr>
    </w:div>
    <w:div w:id="1818716316">
      <w:marLeft w:val="0"/>
      <w:marRight w:val="0"/>
      <w:marTop w:val="240"/>
      <w:marBottom w:val="0"/>
      <w:divBdr>
        <w:top w:val="none" w:sz="0" w:space="0" w:color="auto"/>
        <w:left w:val="none" w:sz="0" w:space="0" w:color="auto"/>
        <w:bottom w:val="none" w:sz="0" w:space="0" w:color="auto"/>
        <w:right w:val="none" w:sz="0" w:space="0" w:color="auto"/>
      </w:divBdr>
    </w:div>
    <w:div w:id="1820919933">
      <w:marLeft w:val="0"/>
      <w:marRight w:val="0"/>
      <w:marTop w:val="0"/>
      <w:marBottom w:val="240"/>
      <w:divBdr>
        <w:top w:val="none" w:sz="0" w:space="0" w:color="auto"/>
        <w:left w:val="none" w:sz="0" w:space="0" w:color="auto"/>
        <w:bottom w:val="none" w:sz="0" w:space="0" w:color="auto"/>
        <w:right w:val="none" w:sz="0" w:space="0" w:color="auto"/>
      </w:divBdr>
    </w:div>
    <w:div w:id="1822965557">
      <w:marLeft w:val="0"/>
      <w:marRight w:val="0"/>
      <w:marTop w:val="240"/>
      <w:marBottom w:val="0"/>
      <w:divBdr>
        <w:top w:val="none" w:sz="0" w:space="0" w:color="auto"/>
        <w:left w:val="none" w:sz="0" w:space="0" w:color="auto"/>
        <w:bottom w:val="none" w:sz="0" w:space="0" w:color="auto"/>
        <w:right w:val="none" w:sz="0" w:space="0" w:color="auto"/>
      </w:divBdr>
    </w:div>
    <w:div w:id="1824614180">
      <w:marLeft w:val="0"/>
      <w:marRight w:val="0"/>
      <w:marTop w:val="0"/>
      <w:marBottom w:val="0"/>
      <w:divBdr>
        <w:top w:val="none" w:sz="0" w:space="0" w:color="auto"/>
        <w:left w:val="none" w:sz="0" w:space="0" w:color="auto"/>
        <w:bottom w:val="none" w:sz="0" w:space="0" w:color="auto"/>
        <w:right w:val="none" w:sz="0" w:space="0" w:color="auto"/>
      </w:divBdr>
    </w:div>
    <w:div w:id="1825052007">
      <w:marLeft w:val="0"/>
      <w:marRight w:val="0"/>
      <w:marTop w:val="0"/>
      <w:marBottom w:val="0"/>
      <w:divBdr>
        <w:top w:val="none" w:sz="0" w:space="0" w:color="auto"/>
        <w:left w:val="none" w:sz="0" w:space="0" w:color="auto"/>
        <w:bottom w:val="none" w:sz="0" w:space="0" w:color="auto"/>
        <w:right w:val="none" w:sz="0" w:space="0" w:color="auto"/>
      </w:divBdr>
      <w:divsChild>
        <w:div w:id="38864165">
          <w:marLeft w:val="0"/>
          <w:marRight w:val="0"/>
          <w:marTop w:val="0"/>
          <w:marBottom w:val="0"/>
          <w:divBdr>
            <w:top w:val="none" w:sz="0" w:space="0" w:color="auto"/>
            <w:left w:val="none" w:sz="0" w:space="0" w:color="auto"/>
            <w:bottom w:val="none" w:sz="0" w:space="0" w:color="auto"/>
            <w:right w:val="none" w:sz="0" w:space="0" w:color="auto"/>
          </w:divBdr>
        </w:div>
      </w:divsChild>
    </w:div>
    <w:div w:id="1832720141">
      <w:marLeft w:val="0"/>
      <w:marRight w:val="0"/>
      <w:marTop w:val="240"/>
      <w:marBottom w:val="0"/>
      <w:divBdr>
        <w:top w:val="none" w:sz="0" w:space="0" w:color="auto"/>
        <w:left w:val="none" w:sz="0" w:space="0" w:color="auto"/>
        <w:bottom w:val="none" w:sz="0" w:space="0" w:color="auto"/>
        <w:right w:val="none" w:sz="0" w:space="0" w:color="auto"/>
      </w:divBdr>
    </w:div>
    <w:div w:id="1834486638">
      <w:marLeft w:val="0"/>
      <w:marRight w:val="0"/>
      <w:marTop w:val="0"/>
      <w:marBottom w:val="240"/>
      <w:divBdr>
        <w:top w:val="none" w:sz="0" w:space="0" w:color="auto"/>
        <w:left w:val="none" w:sz="0" w:space="0" w:color="auto"/>
        <w:bottom w:val="none" w:sz="0" w:space="0" w:color="auto"/>
        <w:right w:val="none" w:sz="0" w:space="0" w:color="auto"/>
      </w:divBdr>
    </w:div>
    <w:div w:id="1836719956">
      <w:marLeft w:val="0"/>
      <w:marRight w:val="0"/>
      <w:marTop w:val="240"/>
      <w:marBottom w:val="0"/>
      <w:divBdr>
        <w:top w:val="none" w:sz="0" w:space="0" w:color="auto"/>
        <w:left w:val="none" w:sz="0" w:space="0" w:color="auto"/>
        <w:bottom w:val="none" w:sz="0" w:space="0" w:color="auto"/>
        <w:right w:val="none" w:sz="0" w:space="0" w:color="auto"/>
      </w:divBdr>
    </w:div>
    <w:div w:id="1843470289">
      <w:marLeft w:val="0"/>
      <w:marRight w:val="0"/>
      <w:marTop w:val="240"/>
      <w:marBottom w:val="0"/>
      <w:divBdr>
        <w:top w:val="none" w:sz="0" w:space="0" w:color="auto"/>
        <w:left w:val="none" w:sz="0" w:space="0" w:color="auto"/>
        <w:bottom w:val="none" w:sz="0" w:space="0" w:color="auto"/>
        <w:right w:val="none" w:sz="0" w:space="0" w:color="auto"/>
      </w:divBdr>
    </w:div>
    <w:div w:id="1844346803">
      <w:marLeft w:val="0"/>
      <w:marRight w:val="0"/>
      <w:marTop w:val="240"/>
      <w:marBottom w:val="0"/>
      <w:divBdr>
        <w:top w:val="none" w:sz="0" w:space="0" w:color="auto"/>
        <w:left w:val="none" w:sz="0" w:space="0" w:color="auto"/>
        <w:bottom w:val="none" w:sz="0" w:space="0" w:color="auto"/>
        <w:right w:val="none" w:sz="0" w:space="0" w:color="auto"/>
      </w:divBdr>
    </w:div>
    <w:div w:id="1844978818">
      <w:marLeft w:val="0"/>
      <w:marRight w:val="0"/>
      <w:marTop w:val="240"/>
      <w:marBottom w:val="0"/>
      <w:divBdr>
        <w:top w:val="none" w:sz="0" w:space="0" w:color="auto"/>
        <w:left w:val="none" w:sz="0" w:space="0" w:color="auto"/>
        <w:bottom w:val="none" w:sz="0" w:space="0" w:color="auto"/>
        <w:right w:val="none" w:sz="0" w:space="0" w:color="auto"/>
      </w:divBdr>
    </w:div>
    <w:div w:id="1846550856">
      <w:marLeft w:val="0"/>
      <w:marRight w:val="0"/>
      <w:marTop w:val="0"/>
      <w:marBottom w:val="240"/>
      <w:divBdr>
        <w:top w:val="none" w:sz="0" w:space="0" w:color="auto"/>
        <w:left w:val="none" w:sz="0" w:space="0" w:color="auto"/>
        <w:bottom w:val="none" w:sz="0" w:space="0" w:color="auto"/>
        <w:right w:val="none" w:sz="0" w:space="0" w:color="auto"/>
      </w:divBdr>
    </w:div>
    <w:div w:id="1851066162">
      <w:marLeft w:val="0"/>
      <w:marRight w:val="0"/>
      <w:marTop w:val="0"/>
      <w:marBottom w:val="240"/>
      <w:divBdr>
        <w:top w:val="none" w:sz="0" w:space="0" w:color="auto"/>
        <w:left w:val="none" w:sz="0" w:space="0" w:color="auto"/>
        <w:bottom w:val="none" w:sz="0" w:space="0" w:color="auto"/>
        <w:right w:val="none" w:sz="0" w:space="0" w:color="auto"/>
      </w:divBdr>
    </w:div>
    <w:div w:id="1851219899">
      <w:marLeft w:val="0"/>
      <w:marRight w:val="0"/>
      <w:marTop w:val="0"/>
      <w:marBottom w:val="0"/>
      <w:divBdr>
        <w:top w:val="none" w:sz="0" w:space="0" w:color="auto"/>
        <w:left w:val="none" w:sz="0" w:space="0" w:color="auto"/>
        <w:bottom w:val="none" w:sz="0" w:space="0" w:color="auto"/>
        <w:right w:val="none" w:sz="0" w:space="0" w:color="auto"/>
      </w:divBdr>
    </w:div>
    <w:div w:id="1851481379">
      <w:marLeft w:val="0"/>
      <w:marRight w:val="0"/>
      <w:marTop w:val="0"/>
      <w:marBottom w:val="240"/>
      <w:divBdr>
        <w:top w:val="none" w:sz="0" w:space="0" w:color="auto"/>
        <w:left w:val="none" w:sz="0" w:space="0" w:color="auto"/>
        <w:bottom w:val="none" w:sz="0" w:space="0" w:color="auto"/>
        <w:right w:val="none" w:sz="0" w:space="0" w:color="auto"/>
      </w:divBdr>
    </w:div>
    <w:div w:id="1853448985">
      <w:marLeft w:val="0"/>
      <w:marRight w:val="0"/>
      <w:marTop w:val="0"/>
      <w:marBottom w:val="240"/>
      <w:divBdr>
        <w:top w:val="none" w:sz="0" w:space="0" w:color="auto"/>
        <w:left w:val="none" w:sz="0" w:space="0" w:color="auto"/>
        <w:bottom w:val="none" w:sz="0" w:space="0" w:color="auto"/>
        <w:right w:val="none" w:sz="0" w:space="0" w:color="auto"/>
      </w:divBdr>
    </w:div>
    <w:div w:id="1857377621">
      <w:marLeft w:val="0"/>
      <w:marRight w:val="0"/>
      <w:marTop w:val="100"/>
      <w:marBottom w:val="0"/>
      <w:divBdr>
        <w:top w:val="none" w:sz="0" w:space="0" w:color="auto"/>
        <w:left w:val="none" w:sz="0" w:space="0" w:color="auto"/>
        <w:bottom w:val="none" w:sz="0" w:space="0" w:color="auto"/>
        <w:right w:val="none" w:sz="0" w:space="0" w:color="auto"/>
      </w:divBdr>
    </w:div>
    <w:div w:id="1864124239">
      <w:marLeft w:val="0"/>
      <w:marRight w:val="0"/>
      <w:marTop w:val="0"/>
      <w:marBottom w:val="0"/>
      <w:divBdr>
        <w:top w:val="none" w:sz="0" w:space="0" w:color="auto"/>
        <w:left w:val="none" w:sz="0" w:space="0" w:color="auto"/>
        <w:bottom w:val="none" w:sz="0" w:space="0" w:color="auto"/>
        <w:right w:val="none" w:sz="0" w:space="0" w:color="auto"/>
      </w:divBdr>
      <w:divsChild>
        <w:div w:id="754129948">
          <w:marLeft w:val="0"/>
          <w:marRight w:val="0"/>
          <w:marTop w:val="0"/>
          <w:marBottom w:val="0"/>
          <w:divBdr>
            <w:top w:val="none" w:sz="0" w:space="0" w:color="auto"/>
            <w:left w:val="none" w:sz="0" w:space="0" w:color="auto"/>
            <w:bottom w:val="none" w:sz="0" w:space="0" w:color="auto"/>
            <w:right w:val="none" w:sz="0" w:space="0" w:color="auto"/>
          </w:divBdr>
        </w:div>
      </w:divsChild>
    </w:div>
    <w:div w:id="1866021243">
      <w:marLeft w:val="0"/>
      <w:marRight w:val="0"/>
      <w:marTop w:val="240"/>
      <w:marBottom w:val="0"/>
      <w:divBdr>
        <w:top w:val="none" w:sz="0" w:space="0" w:color="auto"/>
        <w:left w:val="none" w:sz="0" w:space="0" w:color="auto"/>
        <w:bottom w:val="none" w:sz="0" w:space="0" w:color="auto"/>
        <w:right w:val="none" w:sz="0" w:space="0" w:color="auto"/>
      </w:divBdr>
    </w:div>
    <w:div w:id="1866745746">
      <w:marLeft w:val="0"/>
      <w:marRight w:val="0"/>
      <w:marTop w:val="240"/>
      <w:marBottom w:val="0"/>
      <w:divBdr>
        <w:top w:val="none" w:sz="0" w:space="0" w:color="auto"/>
        <w:left w:val="none" w:sz="0" w:space="0" w:color="auto"/>
        <w:bottom w:val="none" w:sz="0" w:space="0" w:color="auto"/>
        <w:right w:val="none" w:sz="0" w:space="0" w:color="auto"/>
      </w:divBdr>
    </w:div>
    <w:div w:id="1867063121">
      <w:marLeft w:val="0"/>
      <w:marRight w:val="0"/>
      <w:marTop w:val="240"/>
      <w:marBottom w:val="0"/>
      <w:divBdr>
        <w:top w:val="none" w:sz="0" w:space="0" w:color="auto"/>
        <w:left w:val="none" w:sz="0" w:space="0" w:color="auto"/>
        <w:bottom w:val="none" w:sz="0" w:space="0" w:color="auto"/>
        <w:right w:val="none" w:sz="0" w:space="0" w:color="auto"/>
      </w:divBdr>
    </w:div>
    <w:div w:id="1867866193">
      <w:marLeft w:val="0"/>
      <w:marRight w:val="0"/>
      <w:marTop w:val="240"/>
      <w:marBottom w:val="0"/>
      <w:divBdr>
        <w:top w:val="none" w:sz="0" w:space="0" w:color="auto"/>
        <w:left w:val="none" w:sz="0" w:space="0" w:color="auto"/>
        <w:bottom w:val="none" w:sz="0" w:space="0" w:color="auto"/>
        <w:right w:val="none" w:sz="0" w:space="0" w:color="auto"/>
      </w:divBdr>
    </w:div>
    <w:div w:id="1868367460">
      <w:marLeft w:val="0"/>
      <w:marRight w:val="0"/>
      <w:marTop w:val="0"/>
      <w:marBottom w:val="240"/>
      <w:divBdr>
        <w:top w:val="none" w:sz="0" w:space="0" w:color="auto"/>
        <w:left w:val="none" w:sz="0" w:space="0" w:color="auto"/>
        <w:bottom w:val="none" w:sz="0" w:space="0" w:color="auto"/>
        <w:right w:val="none" w:sz="0" w:space="0" w:color="auto"/>
      </w:divBdr>
    </w:div>
    <w:div w:id="1869903468">
      <w:marLeft w:val="0"/>
      <w:marRight w:val="0"/>
      <w:marTop w:val="240"/>
      <w:marBottom w:val="0"/>
      <w:divBdr>
        <w:top w:val="none" w:sz="0" w:space="0" w:color="auto"/>
        <w:left w:val="none" w:sz="0" w:space="0" w:color="auto"/>
        <w:bottom w:val="none" w:sz="0" w:space="0" w:color="auto"/>
        <w:right w:val="none" w:sz="0" w:space="0" w:color="auto"/>
      </w:divBdr>
    </w:div>
    <w:div w:id="1872105220">
      <w:marLeft w:val="0"/>
      <w:marRight w:val="0"/>
      <w:marTop w:val="240"/>
      <w:marBottom w:val="0"/>
      <w:divBdr>
        <w:top w:val="none" w:sz="0" w:space="0" w:color="auto"/>
        <w:left w:val="none" w:sz="0" w:space="0" w:color="auto"/>
        <w:bottom w:val="none" w:sz="0" w:space="0" w:color="auto"/>
        <w:right w:val="none" w:sz="0" w:space="0" w:color="auto"/>
      </w:divBdr>
    </w:div>
    <w:div w:id="1873180982">
      <w:marLeft w:val="0"/>
      <w:marRight w:val="0"/>
      <w:marTop w:val="0"/>
      <w:marBottom w:val="0"/>
      <w:divBdr>
        <w:top w:val="none" w:sz="0" w:space="0" w:color="auto"/>
        <w:left w:val="none" w:sz="0" w:space="0" w:color="auto"/>
        <w:bottom w:val="none" w:sz="0" w:space="0" w:color="auto"/>
        <w:right w:val="none" w:sz="0" w:space="0" w:color="auto"/>
      </w:divBdr>
      <w:divsChild>
        <w:div w:id="1978878730">
          <w:marLeft w:val="0"/>
          <w:marRight w:val="0"/>
          <w:marTop w:val="0"/>
          <w:marBottom w:val="0"/>
          <w:divBdr>
            <w:top w:val="none" w:sz="0" w:space="0" w:color="auto"/>
            <w:left w:val="none" w:sz="0" w:space="0" w:color="auto"/>
            <w:bottom w:val="none" w:sz="0" w:space="0" w:color="auto"/>
            <w:right w:val="none" w:sz="0" w:space="0" w:color="auto"/>
          </w:divBdr>
        </w:div>
      </w:divsChild>
    </w:div>
    <w:div w:id="1873691230">
      <w:marLeft w:val="0"/>
      <w:marRight w:val="0"/>
      <w:marTop w:val="240"/>
      <w:marBottom w:val="0"/>
      <w:divBdr>
        <w:top w:val="none" w:sz="0" w:space="0" w:color="auto"/>
        <w:left w:val="none" w:sz="0" w:space="0" w:color="auto"/>
        <w:bottom w:val="none" w:sz="0" w:space="0" w:color="auto"/>
        <w:right w:val="none" w:sz="0" w:space="0" w:color="auto"/>
      </w:divBdr>
    </w:div>
    <w:div w:id="1873956779">
      <w:marLeft w:val="0"/>
      <w:marRight w:val="0"/>
      <w:marTop w:val="0"/>
      <w:marBottom w:val="0"/>
      <w:divBdr>
        <w:top w:val="none" w:sz="0" w:space="0" w:color="auto"/>
        <w:left w:val="none" w:sz="0" w:space="0" w:color="auto"/>
        <w:bottom w:val="none" w:sz="0" w:space="0" w:color="auto"/>
        <w:right w:val="none" w:sz="0" w:space="0" w:color="auto"/>
      </w:divBdr>
      <w:divsChild>
        <w:div w:id="357121558">
          <w:marLeft w:val="0"/>
          <w:marRight w:val="0"/>
          <w:marTop w:val="0"/>
          <w:marBottom w:val="0"/>
          <w:divBdr>
            <w:top w:val="none" w:sz="0" w:space="0" w:color="auto"/>
            <w:left w:val="none" w:sz="0" w:space="0" w:color="auto"/>
            <w:bottom w:val="none" w:sz="0" w:space="0" w:color="auto"/>
            <w:right w:val="none" w:sz="0" w:space="0" w:color="auto"/>
          </w:divBdr>
        </w:div>
      </w:divsChild>
    </w:div>
    <w:div w:id="1874880040">
      <w:marLeft w:val="0"/>
      <w:marRight w:val="0"/>
      <w:marTop w:val="0"/>
      <w:marBottom w:val="0"/>
      <w:divBdr>
        <w:top w:val="none" w:sz="0" w:space="0" w:color="auto"/>
        <w:left w:val="none" w:sz="0" w:space="0" w:color="auto"/>
        <w:bottom w:val="none" w:sz="0" w:space="0" w:color="auto"/>
        <w:right w:val="none" w:sz="0" w:space="0" w:color="auto"/>
      </w:divBdr>
      <w:divsChild>
        <w:div w:id="2098746634">
          <w:marLeft w:val="0"/>
          <w:marRight w:val="0"/>
          <w:marTop w:val="0"/>
          <w:marBottom w:val="0"/>
          <w:divBdr>
            <w:top w:val="none" w:sz="0" w:space="0" w:color="auto"/>
            <w:left w:val="none" w:sz="0" w:space="0" w:color="auto"/>
            <w:bottom w:val="none" w:sz="0" w:space="0" w:color="auto"/>
            <w:right w:val="none" w:sz="0" w:space="0" w:color="auto"/>
          </w:divBdr>
        </w:div>
      </w:divsChild>
    </w:div>
    <w:div w:id="1877699266">
      <w:marLeft w:val="0"/>
      <w:marRight w:val="0"/>
      <w:marTop w:val="0"/>
      <w:marBottom w:val="0"/>
      <w:divBdr>
        <w:top w:val="none" w:sz="0" w:space="0" w:color="auto"/>
        <w:left w:val="none" w:sz="0" w:space="0" w:color="auto"/>
        <w:bottom w:val="none" w:sz="0" w:space="0" w:color="auto"/>
        <w:right w:val="none" w:sz="0" w:space="0" w:color="auto"/>
      </w:divBdr>
    </w:div>
    <w:div w:id="1881631156">
      <w:marLeft w:val="0"/>
      <w:marRight w:val="0"/>
      <w:marTop w:val="0"/>
      <w:marBottom w:val="0"/>
      <w:divBdr>
        <w:top w:val="none" w:sz="0" w:space="0" w:color="auto"/>
        <w:left w:val="none" w:sz="0" w:space="0" w:color="auto"/>
        <w:bottom w:val="none" w:sz="0" w:space="0" w:color="auto"/>
        <w:right w:val="none" w:sz="0" w:space="0" w:color="auto"/>
      </w:divBdr>
    </w:div>
    <w:div w:id="1882085230">
      <w:marLeft w:val="0"/>
      <w:marRight w:val="0"/>
      <w:marTop w:val="240"/>
      <w:marBottom w:val="0"/>
      <w:divBdr>
        <w:top w:val="none" w:sz="0" w:space="0" w:color="auto"/>
        <w:left w:val="none" w:sz="0" w:space="0" w:color="auto"/>
        <w:bottom w:val="none" w:sz="0" w:space="0" w:color="auto"/>
        <w:right w:val="none" w:sz="0" w:space="0" w:color="auto"/>
      </w:divBdr>
    </w:div>
    <w:div w:id="1882548602">
      <w:marLeft w:val="0"/>
      <w:marRight w:val="0"/>
      <w:marTop w:val="240"/>
      <w:marBottom w:val="0"/>
      <w:divBdr>
        <w:top w:val="none" w:sz="0" w:space="0" w:color="auto"/>
        <w:left w:val="none" w:sz="0" w:space="0" w:color="auto"/>
        <w:bottom w:val="none" w:sz="0" w:space="0" w:color="auto"/>
        <w:right w:val="none" w:sz="0" w:space="0" w:color="auto"/>
      </w:divBdr>
    </w:div>
    <w:div w:id="1886212444">
      <w:marLeft w:val="0"/>
      <w:marRight w:val="0"/>
      <w:marTop w:val="0"/>
      <w:marBottom w:val="0"/>
      <w:divBdr>
        <w:top w:val="none" w:sz="0" w:space="0" w:color="auto"/>
        <w:left w:val="none" w:sz="0" w:space="0" w:color="auto"/>
        <w:bottom w:val="none" w:sz="0" w:space="0" w:color="auto"/>
        <w:right w:val="none" w:sz="0" w:space="0" w:color="auto"/>
      </w:divBdr>
      <w:divsChild>
        <w:div w:id="574978900">
          <w:marLeft w:val="0"/>
          <w:marRight w:val="0"/>
          <w:marTop w:val="0"/>
          <w:marBottom w:val="0"/>
          <w:divBdr>
            <w:top w:val="none" w:sz="0" w:space="0" w:color="auto"/>
            <w:left w:val="none" w:sz="0" w:space="0" w:color="auto"/>
            <w:bottom w:val="none" w:sz="0" w:space="0" w:color="auto"/>
            <w:right w:val="none" w:sz="0" w:space="0" w:color="auto"/>
          </w:divBdr>
        </w:div>
      </w:divsChild>
    </w:div>
    <w:div w:id="1887254496">
      <w:marLeft w:val="0"/>
      <w:marRight w:val="0"/>
      <w:marTop w:val="240"/>
      <w:marBottom w:val="240"/>
      <w:divBdr>
        <w:top w:val="none" w:sz="0" w:space="0" w:color="auto"/>
        <w:left w:val="none" w:sz="0" w:space="0" w:color="auto"/>
        <w:bottom w:val="none" w:sz="0" w:space="0" w:color="auto"/>
        <w:right w:val="none" w:sz="0" w:space="0" w:color="auto"/>
      </w:divBdr>
    </w:div>
    <w:div w:id="1887595188">
      <w:marLeft w:val="0"/>
      <w:marRight w:val="0"/>
      <w:marTop w:val="0"/>
      <w:marBottom w:val="0"/>
      <w:divBdr>
        <w:top w:val="none" w:sz="0" w:space="0" w:color="auto"/>
        <w:left w:val="none" w:sz="0" w:space="0" w:color="auto"/>
        <w:bottom w:val="none" w:sz="0" w:space="0" w:color="auto"/>
        <w:right w:val="none" w:sz="0" w:space="0" w:color="auto"/>
      </w:divBdr>
    </w:div>
    <w:div w:id="1888367810">
      <w:marLeft w:val="0"/>
      <w:marRight w:val="0"/>
      <w:marTop w:val="0"/>
      <w:marBottom w:val="0"/>
      <w:divBdr>
        <w:top w:val="none" w:sz="0" w:space="0" w:color="auto"/>
        <w:left w:val="none" w:sz="0" w:space="0" w:color="auto"/>
        <w:bottom w:val="none" w:sz="0" w:space="0" w:color="auto"/>
        <w:right w:val="none" w:sz="0" w:space="0" w:color="auto"/>
      </w:divBdr>
    </w:div>
    <w:div w:id="1888367875">
      <w:marLeft w:val="0"/>
      <w:marRight w:val="0"/>
      <w:marTop w:val="240"/>
      <w:marBottom w:val="240"/>
      <w:divBdr>
        <w:top w:val="none" w:sz="0" w:space="0" w:color="auto"/>
        <w:left w:val="none" w:sz="0" w:space="0" w:color="auto"/>
        <w:bottom w:val="none" w:sz="0" w:space="0" w:color="auto"/>
        <w:right w:val="none" w:sz="0" w:space="0" w:color="auto"/>
      </w:divBdr>
    </w:div>
    <w:div w:id="1890917176">
      <w:marLeft w:val="0"/>
      <w:marRight w:val="0"/>
      <w:marTop w:val="240"/>
      <w:marBottom w:val="0"/>
      <w:divBdr>
        <w:top w:val="none" w:sz="0" w:space="0" w:color="auto"/>
        <w:left w:val="none" w:sz="0" w:space="0" w:color="auto"/>
        <w:bottom w:val="none" w:sz="0" w:space="0" w:color="auto"/>
        <w:right w:val="none" w:sz="0" w:space="0" w:color="auto"/>
      </w:divBdr>
    </w:div>
    <w:div w:id="1890991296">
      <w:marLeft w:val="0"/>
      <w:marRight w:val="0"/>
      <w:marTop w:val="0"/>
      <w:marBottom w:val="0"/>
      <w:divBdr>
        <w:top w:val="none" w:sz="0" w:space="0" w:color="auto"/>
        <w:left w:val="none" w:sz="0" w:space="0" w:color="auto"/>
        <w:bottom w:val="none" w:sz="0" w:space="0" w:color="auto"/>
        <w:right w:val="none" w:sz="0" w:space="0" w:color="auto"/>
      </w:divBdr>
      <w:divsChild>
        <w:div w:id="601962376">
          <w:marLeft w:val="0"/>
          <w:marRight w:val="0"/>
          <w:marTop w:val="0"/>
          <w:marBottom w:val="0"/>
          <w:divBdr>
            <w:top w:val="none" w:sz="0" w:space="0" w:color="auto"/>
            <w:left w:val="none" w:sz="0" w:space="0" w:color="auto"/>
            <w:bottom w:val="none" w:sz="0" w:space="0" w:color="auto"/>
            <w:right w:val="none" w:sz="0" w:space="0" w:color="auto"/>
          </w:divBdr>
        </w:div>
      </w:divsChild>
    </w:div>
    <w:div w:id="1896117393">
      <w:marLeft w:val="0"/>
      <w:marRight w:val="0"/>
      <w:marTop w:val="0"/>
      <w:marBottom w:val="0"/>
      <w:divBdr>
        <w:top w:val="none" w:sz="0" w:space="0" w:color="auto"/>
        <w:left w:val="none" w:sz="0" w:space="0" w:color="auto"/>
        <w:bottom w:val="none" w:sz="0" w:space="0" w:color="auto"/>
        <w:right w:val="none" w:sz="0" w:space="0" w:color="auto"/>
      </w:divBdr>
    </w:div>
    <w:div w:id="1896240210">
      <w:marLeft w:val="0"/>
      <w:marRight w:val="0"/>
      <w:marTop w:val="120"/>
      <w:marBottom w:val="240"/>
      <w:divBdr>
        <w:top w:val="none" w:sz="0" w:space="0" w:color="auto"/>
        <w:left w:val="none" w:sz="0" w:space="0" w:color="auto"/>
        <w:bottom w:val="none" w:sz="0" w:space="0" w:color="auto"/>
        <w:right w:val="none" w:sz="0" w:space="0" w:color="auto"/>
      </w:divBdr>
    </w:div>
    <w:div w:id="1897274997">
      <w:marLeft w:val="0"/>
      <w:marRight w:val="0"/>
      <w:marTop w:val="240"/>
      <w:marBottom w:val="0"/>
      <w:divBdr>
        <w:top w:val="none" w:sz="0" w:space="0" w:color="auto"/>
        <w:left w:val="none" w:sz="0" w:space="0" w:color="auto"/>
        <w:bottom w:val="none" w:sz="0" w:space="0" w:color="auto"/>
        <w:right w:val="none" w:sz="0" w:space="0" w:color="auto"/>
      </w:divBdr>
    </w:div>
    <w:div w:id="1899658132">
      <w:marLeft w:val="0"/>
      <w:marRight w:val="0"/>
      <w:marTop w:val="0"/>
      <w:marBottom w:val="0"/>
      <w:divBdr>
        <w:top w:val="none" w:sz="0" w:space="0" w:color="auto"/>
        <w:left w:val="none" w:sz="0" w:space="0" w:color="auto"/>
        <w:bottom w:val="none" w:sz="0" w:space="0" w:color="auto"/>
        <w:right w:val="none" w:sz="0" w:space="0" w:color="auto"/>
      </w:divBdr>
      <w:divsChild>
        <w:div w:id="878277106">
          <w:marLeft w:val="0"/>
          <w:marRight w:val="0"/>
          <w:marTop w:val="0"/>
          <w:marBottom w:val="0"/>
          <w:divBdr>
            <w:top w:val="none" w:sz="0" w:space="0" w:color="auto"/>
            <w:left w:val="none" w:sz="0" w:space="0" w:color="auto"/>
            <w:bottom w:val="none" w:sz="0" w:space="0" w:color="auto"/>
            <w:right w:val="none" w:sz="0" w:space="0" w:color="auto"/>
          </w:divBdr>
        </w:div>
      </w:divsChild>
    </w:div>
    <w:div w:id="1903516422">
      <w:marLeft w:val="0"/>
      <w:marRight w:val="0"/>
      <w:marTop w:val="0"/>
      <w:marBottom w:val="0"/>
      <w:divBdr>
        <w:top w:val="none" w:sz="0" w:space="0" w:color="auto"/>
        <w:left w:val="none" w:sz="0" w:space="0" w:color="auto"/>
        <w:bottom w:val="none" w:sz="0" w:space="0" w:color="auto"/>
        <w:right w:val="none" w:sz="0" w:space="0" w:color="auto"/>
      </w:divBdr>
      <w:divsChild>
        <w:div w:id="1633167506">
          <w:marLeft w:val="0"/>
          <w:marRight w:val="0"/>
          <w:marTop w:val="0"/>
          <w:marBottom w:val="0"/>
          <w:divBdr>
            <w:top w:val="none" w:sz="0" w:space="0" w:color="auto"/>
            <w:left w:val="none" w:sz="0" w:space="0" w:color="auto"/>
            <w:bottom w:val="none" w:sz="0" w:space="0" w:color="auto"/>
            <w:right w:val="none" w:sz="0" w:space="0" w:color="auto"/>
          </w:divBdr>
        </w:div>
      </w:divsChild>
    </w:div>
    <w:div w:id="1904951966">
      <w:marLeft w:val="0"/>
      <w:marRight w:val="0"/>
      <w:marTop w:val="240"/>
      <w:marBottom w:val="240"/>
      <w:divBdr>
        <w:top w:val="none" w:sz="0" w:space="0" w:color="auto"/>
        <w:left w:val="none" w:sz="0" w:space="0" w:color="auto"/>
        <w:bottom w:val="none" w:sz="0" w:space="0" w:color="auto"/>
        <w:right w:val="none" w:sz="0" w:space="0" w:color="auto"/>
      </w:divBdr>
    </w:div>
    <w:div w:id="1907955252">
      <w:marLeft w:val="0"/>
      <w:marRight w:val="0"/>
      <w:marTop w:val="0"/>
      <w:marBottom w:val="0"/>
      <w:divBdr>
        <w:top w:val="none" w:sz="0" w:space="0" w:color="auto"/>
        <w:left w:val="none" w:sz="0" w:space="0" w:color="auto"/>
        <w:bottom w:val="none" w:sz="0" w:space="0" w:color="auto"/>
        <w:right w:val="none" w:sz="0" w:space="0" w:color="auto"/>
      </w:divBdr>
      <w:divsChild>
        <w:div w:id="350646479">
          <w:marLeft w:val="0"/>
          <w:marRight w:val="0"/>
          <w:marTop w:val="0"/>
          <w:marBottom w:val="0"/>
          <w:divBdr>
            <w:top w:val="none" w:sz="0" w:space="0" w:color="auto"/>
            <w:left w:val="none" w:sz="0" w:space="0" w:color="auto"/>
            <w:bottom w:val="none" w:sz="0" w:space="0" w:color="auto"/>
            <w:right w:val="none" w:sz="0" w:space="0" w:color="auto"/>
          </w:divBdr>
        </w:div>
      </w:divsChild>
    </w:div>
    <w:div w:id="1910575698">
      <w:marLeft w:val="0"/>
      <w:marRight w:val="0"/>
      <w:marTop w:val="0"/>
      <w:marBottom w:val="240"/>
      <w:divBdr>
        <w:top w:val="none" w:sz="0" w:space="0" w:color="auto"/>
        <w:left w:val="none" w:sz="0" w:space="0" w:color="auto"/>
        <w:bottom w:val="none" w:sz="0" w:space="0" w:color="auto"/>
        <w:right w:val="none" w:sz="0" w:space="0" w:color="auto"/>
      </w:divBdr>
    </w:div>
    <w:div w:id="1912276846">
      <w:marLeft w:val="0"/>
      <w:marRight w:val="0"/>
      <w:marTop w:val="240"/>
      <w:marBottom w:val="0"/>
      <w:divBdr>
        <w:top w:val="none" w:sz="0" w:space="0" w:color="auto"/>
        <w:left w:val="none" w:sz="0" w:space="0" w:color="auto"/>
        <w:bottom w:val="none" w:sz="0" w:space="0" w:color="auto"/>
        <w:right w:val="none" w:sz="0" w:space="0" w:color="auto"/>
      </w:divBdr>
    </w:div>
    <w:div w:id="1913546349">
      <w:marLeft w:val="0"/>
      <w:marRight w:val="0"/>
      <w:marTop w:val="0"/>
      <w:marBottom w:val="0"/>
      <w:divBdr>
        <w:top w:val="none" w:sz="0" w:space="0" w:color="auto"/>
        <w:left w:val="none" w:sz="0" w:space="0" w:color="auto"/>
        <w:bottom w:val="none" w:sz="0" w:space="0" w:color="auto"/>
        <w:right w:val="none" w:sz="0" w:space="0" w:color="auto"/>
      </w:divBdr>
    </w:div>
    <w:div w:id="1914314183">
      <w:marLeft w:val="0"/>
      <w:marRight w:val="0"/>
      <w:marTop w:val="240"/>
      <w:marBottom w:val="0"/>
      <w:divBdr>
        <w:top w:val="none" w:sz="0" w:space="0" w:color="auto"/>
        <w:left w:val="none" w:sz="0" w:space="0" w:color="auto"/>
        <w:bottom w:val="none" w:sz="0" w:space="0" w:color="auto"/>
        <w:right w:val="none" w:sz="0" w:space="0" w:color="auto"/>
      </w:divBdr>
    </w:div>
    <w:div w:id="1916470406">
      <w:marLeft w:val="0"/>
      <w:marRight w:val="0"/>
      <w:marTop w:val="0"/>
      <w:marBottom w:val="240"/>
      <w:divBdr>
        <w:top w:val="none" w:sz="0" w:space="0" w:color="auto"/>
        <w:left w:val="none" w:sz="0" w:space="0" w:color="auto"/>
        <w:bottom w:val="none" w:sz="0" w:space="0" w:color="auto"/>
        <w:right w:val="none" w:sz="0" w:space="0" w:color="auto"/>
      </w:divBdr>
    </w:div>
    <w:div w:id="1916668640">
      <w:marLeft w:val="0"/>
      <w:marRight w:val="0"/>
      <w:marTop w:val="0"/>
      <w:marBottom w:val="0"/>
      <w:divBdr>
        <w:top w:val="none" w:sz="0" w:space="0" w:color="auto"/>
        <w:left w:val="none" w:sz="0" w:space="0" w:color="auto"/>
        <w:bottom w:val="none" w:sz="0" w:space="0" w:color="auto"/>
        <w:right w:val="none" w:sz="0" w:space="0" w:color="auto"/>
      </w:divBdr>
      <w:divsChild>
        <w:div w:id="460616335">
          <w:marLeft w:val="0"/>
          <w:marRight w:val="0"/>
          <w:marTop w:val="0"/>
          <w:marBottom w:val="0"/>
          <w:divBdr>
            <w:top w:val="none" w:sz="0" w:space="0" w:color="auto"/>
            <w:left w:val="none" w:sz="0" w:space="0" w:color="auto"/>
            <w:bottom w:val="none" w:sz="0" w:space="0" w:color="auto"/>
            <w:right w:val="none" w:sz="0" w:space="0" w:color="auto"/>
          </w:divBdr>
        </w:div>
      </w:divsChild>
    </w:div>
    <w:div w:id="1920601104">
      <w:marLeft w:val="0"/>
      <w:marRight w:val="0"/>
      <w:marTop w:val="0"/>
      <w:marBottom w:val="240"/>
      <w:divBdr>
        <w:top w:val="none" w:sz="0" w:space="0" w:color="auto"/>
        <w:left w:val="none" w:sz="0" w:space="0" w:color="auto"/>
        <w:bottom w:val="none" w:sz="0" w:space="0" w:color="auto"/>
        <w:right w:val="none" w:sz="0" w:space="0" w:color="auto"/>
      </w:divBdr>
    </w:div>
    <w:div w:id="1921789931">
      <w:marLeft w:val="0"/>
      <w:marRight w:val="0"/>
      <w:marTop w:val="0"/>
      <w:marBottom w:val="240"/>
      <w:divBdr>
        <w:top w:val="none" w:sz="0" w:space="0" w:color="auto"/>
        <w:left w:val="none" w:sz="0" w:space="0" w:color="auto"/>
        <w:bottom w:val="none" w:sz="0" w:space="0" w:color="auto"/>
        <w:right w:val="none" w:sz="0" w:space="0" w:color="auto"/>
      </w:divBdr>
    </w:div>
    <w:div w:id="1922254262">
      <w:marLeft w:val="0"/>
      <w:marRight w:val="0"/>
      <w:marTop w:val="240"/>
      <w:marBottom w:val="0"/>
      <w:divBdr>
        <w:top w:val="none" w:sz="0" w:space="0" w:color="auto"/>
        <w:left w:val="none" w:sz="0" w:space="0" w:color="auto"/>
        <w:bottom w:val="none" w:sz="0" w:space="0" w:color="auto"/>
        <w:right w:val="none" w:sz="0" w:space="0" w:color="auto"/>
      </w:divBdr>
    </w:div>
    <w:div w:id="1924875433">
      <w:marLeft w:val="0"/>
      <w:marRight w:val="0"/>
      <w:marTop w:val="0"/>
      <w:marBottom w:val="120"/>
      <w:divBdr>
        <w:top w:val="none" w:sz="0" w:space="0" w:color="auto"/>
        <w:left w:val="none" w:sz="0" w:space="0" w:color="auto"/>
        <w:bottom w:val="none" w:sz="0" w:space="0" w:color="auto"/>
        <w:right w:val="none" w:sz="0" w:space="0" w:color="auto"/>
      </w:divBdr>
    </w:div>
    <w:div w:id="1930043333">
      <w:marLeft w:val="0"/>
      <w:marRight w:val="0"/>
      <w:marTop w:val="0"/>
      <w:marBottom w:val="240"/>
      <w:divBdr>
        <w:top w:val="none" w:sz="0" w:space="0" w:color="auto"/>
        <w:left w:val="none" w:sz="0" w:space="0" w:color="auto"/>
        <w:bottom w:val="none" w:sz="0" w:space="0" w:color="auto"/>
        <w:right w:val="none" w:sz="0" w:space="0" w:color="auto"/>
      </w:divBdr>
    </w:div>
    <w:div w:id="1930194125">
      <w:marLeft w:val="0"/>
      <w:marRight w:val="0"/>
      <w:marTop w:val="0"/>
      <w:marBottom w:val="0"/>
      <w:divBdr>
        <w:top w:val="none" w:sz="0" w:space="0" w:color="auto"/>
        <w:left w:val="none" w:sz="0" w:space="0" w:color="auto"/>
        <w:bottom w:val="none" w:sz="0" w:space="0" w:color="auto"/>
        <w:right w:val="none" w:sz="0" w:space="0" w:color="auto"/>
      </w:divBdr>
    </w:div>
    <w:div w:id="1930649713">
      <w:marLeft w:val="0"/>
      <w:marRight w:val="0"/>
      <w:marTop w:val="240"/>
      <w:marBottom w:val="0"/>
      <w:divBdr>
        <w:top w:val="none" w:sz="0" w:space="0" w:color="auto"/>
        <w:left w:val="none" w:sz="0" w:space="0" w:color="auto"/>
        <w:bottom w:val="none" w:sz="0" w:space="0" w:color="auto"/>
        <w:right w:val="none" w:sz="0" w:space="0" w:color="auto"/>
      </w:divBdr>
    </w:div>
    <w:div w:id="1932547319">
      <w:marLeft w:val="0"/>
      <w:marRight w:val="0"/>
      <w:marTop w:val="120"/>
      <w:marBottom w:val="240"/>
      <w:divBdr>
        <w:top w:val="none" w:sz="0" w:space="0" w:color="auto"/>
        <w:left w:val="none" w:sz="0" w:space="0" w:color="auto"/>
        <w:bottom w:val="none" w:sz="0" w:space="0" w:color="auto"/>
        <w:right w:val="none" w:sz="0" w:space="0" w:color="auto"/>
      </w:divBdr>
    </w:div>
    <w:div w:id="1932857208">
      <w:marLeft w:val="0"/>
      <w:marRight w:val="0"/>
      <w:marTop w:val="240"/>
      <w:marBottom w:val="0"/>
      <w:divBdr>
        <w:top w:val="none" w:sz="0" w:space="0" w:color="auto"/>
        <w:left w:val="none" w:sz="0" w:space="0" w:color="auto"/>
        <w:bottom w:val="none" w:sz="0" w:space="0" w:color="auto"/>
        <w:right w:val="none" w:sz="0" w:space="0" w:color="auto"/>
      </w:divBdr>
    </w:div>
    <w:div w:id="1933052785">
      <w:marLeft w:val="0"/>
      <w:marRight w:val="0"/>
      <w:marTop w:val="240"/>
      <w:marBottom w:val="0"/>
      <w:divBdr>
        <w:top w:val="none" w:sz="0" w:space="0" w:color="auto"/>
        <w:left w:val="none" w:sz="0" w:space="0" w:color="auto"/>
        <w:bottom w:val="none" w:sz="0" w:space="0" w:color="auto"/>
        <w:right w:val="none" w:sz="0" w:space="0" w:color="auto"/>
      </w:divBdr>
    </w:div>
    <w:div w:id="1933514176">
      <w:marLeft w:val="0"/>
      <w:marRight w:val="0"/>
      <w:marTop w:val="0"/>
      <w:marBottom w:val="0"/>
      <w:divBdr>
        <w:top w:val="none" w:sz="0" w:space="0" w:color="auto"/>
        <w:left w:val="none" w:sz="0" w:space="0" w:color="auto"/>
        <w:bottom w:val="none" w:sz="0" w:space="0" w:color="auto"/>
        <w:right w:val="none" w:sz="0" w:space="0" w:color="auto"/>
      </w:divBdr>
    </w:div>
    <w:div w:id="1933853856">
      <w:marLeft w:val="0"/>
      <w:marRight w:val="0"/>
      <w:marTop w:val="0"/>
      <w:marBottom w:val="0"/>
      <w:divBdr>
        <w:top w:val="none" w:sz="0" w:space="0" w:color="auto"/>
        <w:left w:val="none" w:sz="0" w:space="0" w:color="auto"/>
        <w:bottom w:val="none" w:sz="0" w:space="0" w:color="auto"/>
        <w:right w:val="none" w:sz="0" w:space="0" w:color="auto"/>
      </w:divBdr>
      <w:divsChild>
        <w:div w:id="1485274250">
          <w:marLeft w:val="0"/>
          <w:marRight w:val="0"/>
          <w:marTop w:val="0"/>
          <w:marBottom w:val="0"/>
          <w:divBdr>
            <w:top w:val="none" w:sz="0" w:space="0" w:color="auto"/>
            <w:left w:val="none" w:sz="0" w:space="0" w:color="auto"/>
            <w:bottom w:val="none" w:sz="0" w:space="0" w:color="auto"/>
            <w:right w:val="none" w:sz="0" w:space="0" w:color="auto"/>
          </w:divBdr>
        </w:div>
      </w:divsChild>
    </w:div>
    <w:div w:id="1937403579">
      <w:marLeft w:val="0"/>
      <w:marRight w:val="0"/>
      <w:marTop w:val="0"/>
      <w:marBottom w:val="0"/>
      <w:divBdr>
        <w:top w:val="none" w:sz="0" w:space="0" w:color="auto"/>
        <w:left w:val="none" w:sz="0" w:space="0" w:color="auto"/>
        <w:bottom w:val="none" w:sz="0" w:space="0" w:color="auto"/>
        <w:right w:val="none" w:sz="0" w:space="0" w:color="auto"/>
      </w:divBdr>
      <w:divsChild>
        <w:div w:id="1860002963">
          <w:marLeft w:val="0"/>
          <w:marRight w:val="0"/>
          <w:marTop w:val="0"/>
          <w:marBottom w:val="0"/>
          <w:divBdr>
            <w:top w:val="none" w:sz="0" w:space="0" w:color="auto"/>
            <w:left w:val="none" w:sz="0" w:space="0" w:color="auto"/>
            <w:bottom w:val="none" w:sz="0" w:space="0" w:color="auto"/>
            <w:right w:val="none" w:sz="0" w:space="0" w:color="auto"/>
          </w:divBdr>
        </w:div>
      </w:divsChild>
    </w:div>
    <w:div w:id="1942178857">
      <w:marLeft w:val="0"/>
      <w:marRight w:val="0"/>
      <w:marTop w:val="240"/>
      <w:marBottom w:val="0"/>
      <w:divBdr>
        <w:top w:val="none" w:sz="0" w:space="0" w:color="auto"/>
        <w:left w:val="none" w:sz="0" w:space="0" w:color="auto"/>
        <w:bottom w:val="none" w:sz="0" w:space="0" w:color="auto"/>
        <w:right w:val="none" w:sz="0" w:space="0" w:color="auto"/>
      </w:divBdr>
    </w:div>
    <w:div w:id="1945728745">
      <w:marLeft w:val="0"/>
      <w:marRight w:val="0"/>
      <w:marTop w:val="0"/>
      <w:marBottom w:val="200"/>
      <w:divBdr>
        <w:top w:val="none" w:sz="0" w:space="0" w:color="auto"/>
        <w:left w:val="none" w:sz="0" w:space="0" w:color="auto"/>
        <w:bottom w:val="none" w:sz="0" w:space="0" w:color="auto"/>
        <w:right w:val="none" w:sz="0" w:space="0" w:color="auto"/>
      </w:divBdr>
    </w:div>
    <w:div w:id="1946229585">
      <w:marLeft w:val="0"/>
      <w:marRight w:val="0"/>
      <w:marTop w:val="0"/>
      <w:marBottom w:val="240"/>
      <w:divBdr>
        <w:top w:val="none" w:sz="0" w:space="0" w:color="auto"/>
        <w:left w:val="none" w:sz="0" w:space="0" w:color="auto"/>
        <w:bottom w:val="none" w:sz="0" w:space="0" w:color="auto"/>
        <w:right w:val="none" w:sz="0" w:space="0" w:color="auto"/>
      </w:divBdr>
    </w:div>
    <w:div w:id="1947812202">
      <w:marLeft w:val="0"/>
      <w:marRight w:val="0"/>
      <w:marTop w:val="180"/>
      <w:marBottom w:val="120"/>
      <w:divBdr>
        <w:top w:val="none" w:sz="0" w:space="0" w:color="auto"/>
        <w:left w:val="none" w:sz="0" w:space="0" w:color="auto"/>
        <w:bottom w:val="none" w:sz="0" w:space="0" w:color="auto"/>
        <w:right w:val="none" w:sz="0" w:space="0" w:color="auto"/>
      </w:divBdr>
    </w:div>
    <w:div w:id="1948003170">
      <w:marLeft w:val="0"/>
      <w:marRight w:val="0"/>
      <w:marTop w:val="240"/>
      <w:marBottom w:val="0"/>
      <w:divBdr>
        <w:top w:val="none" w:sz="0" w:space="0" w:color="auto"/>
        <w:left w:val="none" w:sz="0" w:space="0" w:color="auto"/>
        <w:bottom w:val="none" w:sz="0" w:space="0" w:color="auto"/>
        <w:right w:val="none" w:sz="0" w:space="0" w:color="auto"/>
      </w:divBdr>
    </w:div>
    <w:div w:id="1948155826">
      <w:marLeft w:val="0"/>
      <w:marRight w:val="0"/>
      <w:marTop w:val="240"/>
      <w:marBottom w:val="0"/>
      <w:divBdr>
        <w:top w:val="none" w:sz="0" w:space="0" w:color="auto"/>
        <w:left w:val="none" w:sz="0" w:space="0" w:color="auto"/>
        <w:bottom w:val="none" w:sz="0" w:space="0" w:color="auto"/>
        <w:right w:val="none" w:sz="0" w:space="0" w:color="auto"/>
      </w:divBdr>
    </w:div>
    <w:div w:id="1948779105">
      <w:marLeft w:val="0"/>
      <w:marRight w:val="0"/>
      <w:marTop w:val="100"/>
      <w:marBottom w:val="0"/>
      <w:divBdr>
        <w:top w:val="none" w:sz="0" w:space="0" w:color="auto"/>
        <w:left w:val="none" w:sz="0" w:space="0" w:color="auto"/>
        <w:bottom w:val="none" w:sz="0" w:space="0" w:color="auto"/>
        <w:right w:val="none" w:sz="0" w:space="0" w:color="auto"/>
      </w:divBdr>
    </w:div>
    <w:div w:id="1952206578">
      <w:marLeft w:val="0"/>
      <w:marRight w:val="0"/>
      <w:marTop w:val="0"/>
      <w:marBottom w:val="0"/>
      <w:divBdr>
        <w:top w:val="none" w:sz="0" w:space="0" w:color="auto"/>
        <w:left w:val="none" w:sz="0" w:space="0" w:color="auto"/>
        <w:bottom w:val="none" w:sz="0" w:space="0" w:color="auto"/>
        <w:right w:val="none" w:sz="0" w:space="0" w:color="auto"/>
      </w:divBdr>
      <w:divsChild>
        <w:div w:id="1126309906">
          <w:marLeft w:val="0"/>
          <w:marRight w:val="0"/>
          <w:marTop w:val="0"/>
          <w:marBottom w:val="0"/>
          <w:divBdr>
            <w:top w:val="none" w:sz="0" w:space="0" w:color="auto"/>
            <w:left w:val="none" w:sz="0" w:space="0" w:color="auto"/>
            <w:bottom w:val="none" w:sz="0" w:space="0" w:color="auto"/>
            <w:right w:val="none" w:sz="0" w:space="0" w:color="auto"/>
          </w:divBdr>
        </w:div>
      </w:divsChild>
    </w:div>
    <w:div w:id="1955212340">
      <w:marLeft w:val="0"/>
      <w:marRight w:val="0"/>
      <w:marTop w:val="0"/>
      <w:marBottom w:val="0"/>
      <w:divBdr>
        <w:top w:val="none" w:sz="0" w:space="0" w:color="auto"/>
        <w:left w:val="none" w:sz="0" w:space="0" w:color="auto"/>
        <w:bottom w:val="none" w:sz="0" w:space="0" w:color="auto"/>
        <w:right w:val="none" w:sz="0" w:space="0" w:color="auto"/>
      </w:divBdr>
      <w:divsChild>
        <w:div w:id="2097090834">
          <w:marLeft w:val="0"/>
          <w:marRight w:val="0"/>
          <w:marTop w:val="0"/>
          <w:marBottom w:val="0"/>
          <w:divBdr>
            <w:top w:val="none" w:sz="0" w:space="0" w:color="auto"/>
            <w:left w:val="none" w:sz="0" w:space="0" w:color="auto"/>
            <w:bottom w:val="none" w:sz="0" w:space="0" w:color="auto"/>
            <w:right w:val="none" w:sz="0" w:space="0" w:color="auto"/>
          </w:divBdr>
        </w:div>
      </w:divsChild>
    </w:div>
    <w:div w:id="1957252643">
      <w:marLeft w:val="0"/>
      <w:marRight w:val="0"/>
      <w:marTop w:val="240"/>
      <w:marBottom w:val="0"/>
      <w:divBdr>
        <w:top w:val="none" w:sz="0" w:space="0" w:color="auto"/>
        <w:left w:val="none" w:sz="0" w:space="0" w:color="auto"/>
        <w:bottom w:val="none" w:sz="0" w:space="0" w:color="auto"/>
        <w:right w:val="none" w:sz="0" w:space="0" w:color="auto"/>
      </w:divBdr>
    </w:div>
    <w:div w:id="1957325503">
      <w:marLeft w:val="0"/>
      <w:marRight w:val="0"/>
      <w:marTop w:val="240"/>
      <w:marBottom w:val="0"/>
      <w:divBdr>
        <w:top w:val="none" w:sz="0" w:space="0" w:color="auto"/>
        <w:left w:val="none" w:sz="0" w:space="0" w:color="auto"/>
        <w:bottom w:val="none" w:sz="0" w:space="0" w:color="auto"/>
        <w:right w:val="none" w:sz="0" w:space="0" w:color="auto"/>
      </w:divBdr>
    </w:div>
    <w:div w:id="1962296572">
      <w:marLeft w:val="0"/>
      <w:marRight w:val="0"/>
      <w:marTop w:val="0"/>
      <w:marBottom w:val="0"/>
      <w:divBdr>
        <w:top w:val="none" w:sz="0" w:space="0" w:color="auto"/>
        <w:left w:val="none" w:sz="0" w:space="0" w:color="auto"/>
        <w:bottom w:val="none" w:sz="0" w:space="0" w:color="auto"/>
        <w:right w:val="none" w:sz="0" w:space="0" w:color="auto"/>
      </w:divBdr>
    </w:div>
    <w:div w:id="1969823568">
      <w:marLeft w:val="0"/>
      <w:marRight w:val="0"/>
      <w:marTop w:val="240"/>
      <w:marBottom w:val="0"/>
      <w:divBdr>
        <w:top w:val="none" w:sz="0" w:space="0" w:color="auto"/>
        <w:left w:val="none" w:sz="0" w:space="0" w:color="auto"/>
        <w:bottom w:val="none" w:sz="0" w:space="0" w:color="auto"/>
        <w:right w:val="none" w:sz="0" w:space="0" w:color="auto"/>
      </w:divBdr>
    </w:div>
    <w:div w:id="1976713161">
      <w:marLeft w:val="0"/>
      <w:marRight w:val="0"/>
      <w:marTop w:val="240"/>
      <w:marBottom w:val="0"/>
      <w:divBdr>
        <w:top w:val="none" w:sz="0" w:space="0" w:color="auto"/>
        <w:left w:val="none" w:sz="0" w:space="0" w:color="auto"/>
        <w:bottom w:val="none" w:sz="0" w:space="0" w:color="auto"/>
        <w:right w:val="none" w:sz="0" w:space="0" w:color="auto"/>
      </w:divBdr>
    </w:div>
    <w:div w:id="1976793396">
      <w:marLeft w:val="0"/>
      <w:marRight w:val="0"/>
      <w:marTop w:val="0"/>
      <w:marBottom w:val="240"/>
      <w:divBdr>
        <w:top w:val="none" w:sz="0" w:space="0" w:color="auto"/>
        <w:left w:val="none" w:sz="0" w:space="0" w:color="auto"/>
        <w:bottom w:val="none" w:sz="0" w:space="0" w:color="auto"/>
        <w:right w:val="none" w:sz="0" w:space="0" w:color="auto"/>
      </w:divBdr>
    </w:div>
    <w:div w:id="1982727611">
      <w:marLeft w:val="0"/>
      <w:marRight w:val="0"/>
      <w:marTop w:val="0"/>
      <w:marBottom w:val="0"/>
      <w:divBdr>
        <w:top w:val="none" w:sz="0" w:space="0" w:color="auto"/>
        <w:left w:val="none" w:sz="0" w:space="0" w:color="auto"/>
        <w:bottom w:val="none" w:sz="0" w:space="0" w:color="auto"/>
        <w:right w:val="none" w:sz="0" w:space="0" w:color="auto"/>
      </w:divBdr>
      <w:divsChild>
        <w:div w:id="2107531350">
          <w:marLeft w:val="0"/>
          <w:marRight w:val="0"/>
          <w:marTop w:val="0"/>
          <w:marBottom w:val="0"/>
          <w:divBdr>
            <w:top w:val="none" w:sz="0" w:space="0" w:color="auto"/>
            <w:left w:val="none" w:sz="0" w:space="0" w:color="auto"/>
            <w:bottom w:val="none" w:sz="0" w:space="0" w:color="auto"/>
            <w:right w:val="none" w:sz="0" w:space="0" w:color="auto"/>
          </w:divBdr>
        </w:div>
      </w:divsChild>
    </w:div>
    <w:div w:id="1983652928">
      <w:marLeft w:val="0"/>
      <w:marRight w:val="0"/>
      <w:marTop w:val="240"/>
      <w:marBottom w:val="0"/>
      <w:divBdr>
        <w:top w:val="none" w:sz="0" w:space="0" w:color="auto"/>
        <w:left w:val="none" w:sz="0" w:space="0" w:color="auto"/>
        <w:bottom w:val="none" w:sz="0" w:space="0" w:color="auto"/>
        <w:right w:val="none" w:sz="0" w:space="0" w:color="auto"/>
      </w:divBdr>
    </w:div>
    <w:div w:id="1985308737">
      <w:marLeft w:val="0"/>
      <w:marRight w:val="0"/>
      <w:marTop w:val="0"/>
      <w:marBottom w:val="240"/>
      <w:divBdr>
        <w:top w:val="none" w:sz="0" w:space="0" w:color="auto"/>
        <w:left w:val="none" w:sz="0" w:space="0" w:color="auto"/>
        <w:bottom w:val="none" w:sz="0" w:space="0" w:color="auto"/>
        <w:right w:val="none" w:sz="0" w:space="0" w:color="auto"/>
      </w:divBdr>
    </w:div>
    <w:div w:id="1985351683">
      <w:marLeft w:val="0"/>
      <w:marRight w:val="0"/>
      <w:marTop w:val="240"/>
      <w:marBottom w:val="240"/>
      <w:divBdr>
        <w:top w:val="none" w:sz="0" w:space="0" w:color="auto"/>
        <w:left w:val="none" w:sz="0" w:space="0" w:color="auto"/>
        <w:bottom w:val="none" w:sz="0" w:space="0" w:color="auto"/>
        <w:right w:val="none" w:sz="0" w:space="0" w:color="auto"/>
      </w:divBdr>
    </w:div>
    <w:div w:id="1985812346">
      <w:marLeft w:val="0"/>
      <w:marRight w:val="0"/>
      <w:marTop w:val="120"/>
      <w:marBottom w:val="0"/>
      <w:divBdr>
        <w:top w:val="none" w:sz="0" w:space="0" w:color="auto"/>
        <w:left w:val="none" w:sz="0" w:space="0" w:color="auto"/>
        <w:bottom w:val="none" w:sz="0" w:space="0" w:color="auto"/>
        <w:right w:val="none" w:sz="0" w:space="0" w:color="auto"/>
      </w:divBdr>
    </w:div>
    <w:div w:id="1985818400">
      <w:marLeft w:val="0"/>
      <w:marRight w:val="0"/>
      <w:marTop w:val="240"/>
      <w:marBottom w:val="240"/>
      <w:divBdr>
        <w:top w:val="none" w:sz="0" w:space="0" w:color="auto"/>
        <w:left w:val="none" w:sz="0" w:space="0" w:color="auto"/>
        <w:bottom w:val="none" w:sz="0" w:space="0" w:color="auto"/>
        <w:right w:val="none" w:sz="0" w:space="0" w:color="auto"/>
      </w:divBdr>
    </w:div>
    <w:div w:id="1992102576">
      <w:marLeft w:val="0"/>
      <w:marRight w:val="0"/>
      <w:marTop w:val="0"/>
      <w:marBottom w:val="0"/>
      <w:divBdr>
        <w:top w:val="none" w:sz="0" w:space="0" w:color="auto"/>
        <w:left w:val="none" w:sz="0" w:space="0" w:color="auto"/>
        <w:bottom w:val="none" w:sz="0" w:space="0" w:color="auto"/>
        <w:right w:val="none" w:sz="0" w:space="0" w:color="auto"/>
      </w:divBdr>
    </w:div>
    <w:div w:id="1993681906">
      <w:marLeft w:val="0"/>
      <w:marRight w:val="0"/>
      <w:marTop w:val="0"/>
      <w:marBottom w:val="0"/>
      <w:divBdr>
        <w:top w:val="none" w:sz="0" w:space="0" w:color="auto"/>
        <w:left w:val="none" w:sz="0" w:space="0" w:color="auto"/>
        <w:bottom w:val="none" w:sz="0" w:space="0" w:color="auto"/>
        <w:right w:val="none" w:sz="0" w:space="0" w:color="auto"/>
      </w:divBdr>
      <w:divsChild>
        <w:div w:id="240139548">
          <w:marLeft w:val="0"/>
          <w:marRight w:val="0"/>
          <w:marTop w:val="0"/>
          <w:marBottom w:val="0"/>
          <w:divBdr>
            <w:top w:val="none" w:sz="0" w:space="0" w:color="auto"/>
            <w:left w:val="none" w:sz="0" w:space="0" w:color="auto"/>
            <w:bottom w:val="none" w:sz="0" w:space="0" w:color="auto"/>
            <w:right w:val="none" w:sz="0" w:space="0" w:color="auto"/>
          </w:divBdr>
        </w:div>
      </w:divsChild>
    </w:div>
    <w:div w:id="1996103451">
      <w:marLeft w:val="0"/>
      <w:marRight w:val="0"/>
      <w:marTop w:val="0"/>
      <w:marBottom w:val="240"/>
      <w:divBdr>
        <w:top w:val="none" w:sz="0" w:space="0" w:color="auto"/>
        <w:left w:val="none" w:sz="0" w:space="0" w:color="auto"/>
        <w:bottom w:val="none" w:sz="0" w:space="0" w:color="auto"/>
        <w:right w:val="none" w:sz="0" w:space="0" w:color="auto"/>
      </w:divBdr>
    </w:div>
    <w:div w:id="1998073368">
      <w:marLeft w:val="0"/>
      <w:marRight w:val="0"/>
      <w:marTop w:val="0"/>
      <w:marBottom w:val="240"/>
      <w:divBdr>
        <w:top w:val="none" w:sz="0" w:space="0" w:color="auto"/>
        <w:left w:val="none" w:sz="0" w:space="0" w:color="auto"/>
        <w:bottom w:val="none" w:sz="0" w:space="0" w:color="auto"/>
        <w:right w:val="none" w:sz="0" w:space="0" w:color="auto"/>
      </w:divBdr>
    </w:div>
    <w:div w:id="2000226237">
      <w:marLeft w:val="0"/>
      <w:marRight w:val="0"/>
      <w:marTop w:val="240"/>
      <w:marBottom w:val="0"/>
      <w:divBdr>
        <w:top w:val="none" w:sz="0" w:space="0" w:color="auto"/>
        <w:left w:val="none" w:sz="0" w:space="0" w:color="auto"/>
        <w:bottom w:val="none" w:sz="0" w:space="0" w:color="auto"/>
        <w:right w:val="none" w:sz="0" w:space="0" w:color="auto"/>
      </w:divBdr>
    </w:div>
    <w:div w:id="2000232828">
      <w:marLeft w:val="0"/>
      <w:marRight w:val="0"/>
      <w:marTop w:val="240"/>
      <w:marBottom w:val="0"/>
      <w:divBdr>
        <w:top w:val="none" w:sz="0" w:space="0" w:color="auto"/>
        <w:left w:val="none" w:sz="0" w:space="0" w:color="auto"/>
        <w:bottom w:val="none" w:sz="0" w:space="0" w:color="auto"/>
        <w:right w:val="none" w:sz="0" w:space="0" w:color="auto"/>
      </w:divBdr>
    </w:div>
    <w:div w:id="2001080674">
      <w:marLeft w:val="0"/>
      <w:marRight w:val="0"/>
      <w:marTop w:val="240"/>
      <w:marBottom w:val="0"/>
      <w:divBdr>
        <w:top w:val="none" w:sz="0" w:space="0" w:color="auto"/>
        <w:left w:val="none" w:sz="0" w:space="0" w:color="auto"/>
        <w:bottom w:val="none" w:sz="0" w:space="0" w:color="auto"/>
        <w:right w:val="none" w:sz="0" w:space="0" w:color="auto"/>
      </w:divBdr>
    </w:div>
    <w:div w:id="2003578244">
      <w:marLeft w:val="0"/>
      <w:marRight w:val="0"/>
      <w:marTop w:val="0"/>
      <w:marBottom w:val="0"/>
      <w:divBdr>
        <w:top w:val="none" w:sz="0" w:space="0" w:color="auto"/>
        <w:left w:val="none" w:sz="0" w:space="0" w:color="auto"/>
        <w:bottom w:val="none" w:sz="0" w:space="0" w:color="auto"/>
        <w:right w:val="none" w:sz="0" w:space="0" w:color="auto"/>
      </w:divBdr>
      <w:divsChild>
        <w:div w:id="160313567">
          <w:marLeft w:val="0"/>
          <w:marRight w:val="0"/>
          <w:marTop w:val="0"/>
          <w:marBottom w:val="0"/>
          <w:divBdr>
            <w:top w:val="none" w:sz="0" w:space="0" w:color="auto"/>
            <w:left w:val="none" w:sz="0" w:space="0" w:color="auto"/>
            <w:bottom w:val="none" w:sz="0" w:space="0" w:color="auto"/>
            <w:right w:val="none" w:sz="0" w:space="0" w:color="auto"/>
          </w:divBdr>
        </w:div>
      </w:divsChild>
    </w:div>
    <w:div w:id="2004431692">
      <w:marLeft w:val="0"/>
      <w:marRight w:val="0"/>
      <w:marTop w:val="240"/>
      <w:marBottom w:val="240"/>
      <w:divBdr>
        <w:top w:val="none" w:sz="0" w:space="0" w:color="auto"/>
        <w:left w:val="none" w:sz="0" w:space="0" w:color="auto"/>
        <w:bottom w:val="none" w:sz="0" w:space="0" w:color="auto"/>
        <w:right w:val="none" w:sz="0" w:space="0" w:color="auto"/>
      </w:divBdr>
    </w:div>
    <w:div w:id="2005742399">
      <w:marLeft w:val="0"/>
      <w:marRight w:val="0"/>
      <w:marTop w:val="0"/>
      <w:marBottom w:val="240"/>
      <w:divBdr>
        <w:top w:val="none" w:sz="0" w:space="0" w:color="auto"/>
        <w:left w:val="none" w:sz="0" w:space="0" w:color="auto"/>
        <w:bottom w:val="none" w:sz="0" w:space="0" w:color="auto"/>
        <w:right w:val="none" w:sz="0" w:space="0" w:color="auto"/>
      </w:divBdr>
    </w:div>
    <w:div w:id="2009021410">
      <w:marLeft w:val="0"/>
      <w:marRight w:val="0"/>
      <w:marTop w:val="240"/>
      <w:marBottom w:val="0"/>
      <w:divBdr>
        <w:top w:val="none" w:sz="0" w:space="0" w:color="auto"/>
        <w:left w:val="none" w:sz="0" w:space="0" w:color="auto"/>
        <w:bottom w:val="none" w:sz="0" w:space="0" w:color="auto"/>
        <w:right w:val="none" w:sz="0" w:space="0" w:color="auto"/>
      </w:divBdr>
    </w:div>
    <w:div w:id="2009672211">
      <w:marLeft w:val="0"/>
      <w:marRight w:val="0"/>
      <w:marTop w:val="0"/>
      <w:marBottom w:val="240"/>
      <w:divBdr>
        <w:top w:val="none" w:sz="0" w:space="0" w:color="auto"/>
        <w:left w:val="none" w:sz="0" w:space="0" w:color="auto"/>
        <w:bottom w:val="none" w:sz="0" w:space="0" w:color="auto"/>
        <w:right w:val="none" w:sz="0" w:space="0" w:color="auto"/>
      </w:divBdr>
    </w:div>
    <w:div w:id="2013988227">
      <w:marLeft w:val="0"/>
      <w:marRight w:val="0"/>
      <w:marTop w:val="0"/>
      <w:marBottom w:val="240"/>
      <w:divBdr>
        <w:top w:val="none" w:sz="0" w:space="0" w:color="auto"/>
        <w:left w:val="none" w:sz="0" w:space="0" w:color="auto"/>
        <w:bottom w:val="none" w:sz="0" w:space="0" w:color="auto"/>
        <w:right w:val="none" w:sz="0" w:space="0" w:color="auto"/>
      </w:divBdr>
    </w:div>
    <w:div w:id="2014529868">
      <w:marLeft w:val="0"/>
      <w:marRight w:val="0"/>
      <w:marTop w:val="0"/>
      <w:marBottom w:val="0"/>
      <w:divBdr>
        <w:top w:val="none" w:sz="0" w:space="0" w:color="auto"/>
        <w:left w:val="none" w:sz="0" w:space="0" w:color="auto"/>
        <w:bottom w:val="none" w:sz="0" w:space="0" w:color="auto"/>
        <w:right w:val="none" w:sz="0" w:space="0" w:color="auto"/>
      </w:divBdr>
    </w:div>
    <w:div w:id="2014603909">
      <w:marLeft w:val="0"/>
      <w:marRight w:val="0"/>
      <w:marTop w:val="240"/>
      <w:marBottom w:val="0"/>
      <w:divBdr>
        <w:top w:val="none" w:sz="0" w:space="0" w:color="auto"/>
        <w:left w:val="none" w:sz="0" w:space="0" w:color="auto"/>
        <w:bottom w:val="none" w:sz="0" w:space="0" w:color="auto"/>
        <w:right w:val="none" w:sz="0" w:space="0" w:color="auto"/>
      </w:divBdr>
    </w:div>
    <w:div w:id="2015645432">
      <w:marLeft w:val="0"/>
      <w:marRight w:val="0"/>
      <w:marTop w:val="240"/>
      <w:marBottom w:val="240"/>
      <w:divBdr>
        <w:top w:val="none" w:sz="0" w:space="0" w:color="auto"/>
        <w:left w:val="none" w:sz="0" w:space="0" w:color="auto"/>
        <w:bottom w:val="none" w:sz="0" w:space="0" w:color="auto"/>
        <w:right w:val="none" w:sz="0" w:space="0" w:color="auto"/>
      </w:divBdr>
    </w:div>
    <w:div w:id="2015721747">
      <w:marLeft w:val="0"/>
      <w:marRight w:val="0"/>
      <w:marTop w:val="240"/>
      <w:marBottom w:val="0"/>
      <w:divBdr>
        <w:top w:val="none" w:sz="0" w:space="0" w:color="auto"/>
        <w:left w:val="none" w:sz="0" w:space="0" w:color="auto"/>
        <w:bottom w:val="none" w:sz="0" w:space="0" w:color="auto"/>
        <w:right w:val="none" w:sz="0" w:space="0" w:color="auto"/>
      </w:divBdr>
    </w:div>
    <w:div w:id="2017687657">
      <w:marLeft w:val="0"/>
      <w:marRight w:val="0"/>
      <w:marTop w:val="240"/>
      <w:marBottom w:val="240"/>
      <w:divBdr>
        <w:top w:val="none" w:sz="0" w:space="0" w:color="auto"/>
        <w:left w:val="none" w:sz="0" w:space="0" w:color="auto"/>
        <w:bottom w:val="none" w:sz="0" w:space="0" w:color="auto"/>
        <w:right w:val="none" w:sz="0" w:space="0" w:color="auto"/>
      </w:divBdr>
    </w:div>
    <w:div w:id="2018728417">
      <w:marLeft w:val="0"/>
      <w:marRight w:val="0"/>
      <w:marTop w:val="240"/>
      <w:marBottom w:val="0"/>
      <w:divBdr>
        <w:top w:val="none" w:sz="0" w:space="0" w:color="auto"/>
        <w:left w:val="none" w:sz="0" w:space="0" w:color="auto"/>
        <w:bottom w:val="none" w:sz="0" w:space="0" w:color="auto"/>
        <w:right w:val="none" w:sz="0" w:space="0" w:color="auto"/>
      </w:divBdr>
    </w:div>
    <w:div w:id="2024092948">
      <w:marLeft w:val="0"/>
      <w:marRight w:val="0"/>
      <w:marTop w:val="120"/>
      <w:marBottom w:val="240"/>
      <w:divBdr>
        <w:top w:val="none" w:sz="0" w:space="0" w:color="auto"/>
        <w:left w:val="none" w:sz="0" w:space="0" w:color="auto"/>
        <w:bottom w:val="none" w:sz="0" w:space="0" w:color="auto"/>
        <w:right w:val="none" w:sz="0" w:space="0" w:color="auto"/>
      </w:divBdr>
    </w:div>
    <w:div w:id="2025862458">
      <w:marLeft w:val="0"/>
      <w:marRight w:val="0"/>
      <w:marTop w:val="0"/>
      <w:marBottom w:val="0"/>
      <w:divBdr>
        <w:top w:val="none" w:sz="0" w:space="0" w:color="auto"/>
        <w:left w:val="none" w:sz="0" w:space="0" w:color="auto"/>
        <w:bottom w:val="none" w:sz="0" w:space="0" w:color="auto"/>
        <w:right w:val="none" w:sz="0" w:space="0" w:color="auto"/>
      </w:divBdr>
    </w:div>
    <w:div w:id="2026127337">
      <w:marLeft w:val="0"/>
      <w:marRight w:val="0"/>
      <w:marTop w:val="0"/>
      <w:marBottom w:val="0"/>
      <w:divBdr>
        <w:top w:val="none" w:sz="0" w:space="0" w:color="auto"/>
        <w:left w:val="none" w:sz="0" w:space="0" w:color="auto"/>
        <w:bottom w:val="none" w:sz="0" w:space="0" w:color="auto"/>
        <w:right w:val="none" w:sz="0" w:space="0" w:color="auto"/>
      </w:divBdr>
      <w:divsChild>
        <w:div w:id="587152288">
          <w:marLeft w:val="0"/>
          <w:marRight w:val="0"/>
          <w:marTop w:val="0"/>
          <w:marBottom w:val="0"/>
          <w:divBdr>
            <w:top w:val="none" w:sz="0" w:space="0" w:color="auto"/>
            <w:left w:val="none" w:sz="0" w:space="0" w:color="auto"/>
            <w:bottom w:val="none" w:sz="0" w:space="0" w:color="auto"/>
            <w:right w:val="none" w:sz="0" w:space="0" w:color="auto"/>
          </w:divBdr>
        </w:div>
      </w:divsChild>
    </w:div>
    <w:div w:id="2027099800">
      <w:marLeft w:val="0"/>
      <w:marRight w:val="0"/>
      <w:marTop w:val="240"/>
      <w:marBottom w:val="0"/>
      <w:divBdr>
        <w:top w:val="none" w:sz="0" w:space="0" w:color="auto"/>
        <w:left w:val="none" w:sz="0" w:space="0" w:color="auto"/>
        <w:bottom w:val="none" w:sz="0" w:space="0" w:color="auto"/>
        <w:right w:val="none" w:sz="0" w:space="0" w:color="auto"/>
      </w:divBdr>
    </w:div>
    <w:div w:id="2031638619">
      <w:marLeft w:val="0"/>
      <w:marRight w:val="0"/>
      <w:marTop w:val="0"/>
      <w:marBottom w:val="240"/>
      <w:divBdr>
        <w:top w:val="none" w:sz="0" w:space="0" w:color="auto"/>
        <w:left w:val="none" w:sz="0" w:space="0" w:color="auto"/>
        <w:bottom w:val="none" w:sz="0" w:space="0" w:color="auto"/>
        <w:right w:val="none" w:sz="0" w:space="0" w:color="auto"/>
      </w:divBdr>
    </w:div>
    <w:div w:id="2032679952">
      <w:marLeft w:val="0"/>
      <w:marRight w:val="0"/>
      <w:marTop w:val="240"/>
      <w:marBottom w:val="0"/>
      <w:divBdr>
        <w:top w:val="none" w:sz="0" w:space="0" w:color="auto"/>
        <w:left w:val="none" w:sz="0" w:space="0" w:color="auto"/>
        <w:bottom w:val="none" w:sz="0" w:space="0" w:color="auto"/>
        <w:right w:val="none" w:sz="0" w:space="0" w:color="auto"/>
      </w:divBdr>
    </w:div>
    <w:div w:id="2040275544">
      <w:marLeft w:val="0"/>
      <w:marRight w:val="0"/>
      <w:marTop w:val="0"/>
      <w:marBottom w:val="0"/>
      <w:divBdr>
        <w:top w:val="none" w:sz="0" w:space="0" w:color="auto"/>
        <w:left w:val="none" w:sz="0" w:space="0" w:color="auto"/>
        <w:bottom w:val="none" w:sz="0" w:space="0" w:color="auto"/>
        <w:right w:val="none" w:sz="0" w:space="0" w:color="auto"/>
      </w:divBdr>
    </w:div>
    <w:div w:id="2042196707">
      <w:marLeft w:val="0"/>
      <w:marRight w:val="0"/>
      <w:marTop w:val="240"/>
      <w:marBottom w:val="0"/>
      <w:divBdr>
        <w:top w:val="none" w:sz="0" w:space="0" w:color="auto"/>
        <w:left w:val="none" w:sz="0" w:space="0" w:color="auto"/>
        <w:bottom w:val="none" w:sz="0" w:space="0" w:color="auto"/>
        <w:right w:val="none" w:sz="0" w:space="0" w:color="auto"/>
      </w:divBdr>
    </w:div>
    <w:div w:id="2043285772">
      <w:marLeft w:val="0"/>
      <w:marRight w:val="0"/>
      <w:marTop w:val="0"/>
      <w:marBottom w:val="0"/>
      <w:divBdr>
        <w:top w:val="none" w:sz="0" w:space="0" w:color="auto"/>
        <w:left w:val="none" w:sz="0" w:space="0" w:color="auto"/>
        <w:bottom w:val="none" w:sz="0" w:space="0" w:color="auto"/>
        <w:right w:val="none" w:sz="0" w:space="0" w:color="auto"/>
      </w:divBdr>
      <w:divsChild>
        <w:div w:id="2132087542">
          <w:marLeft w:val="0"/>
          <w:marRight w:val="0"/>
          <w:marTop w:val="0"/>
          <w:marBottom w:val="0"/>
          <w:divBdr>
            <w:top w:val="none" w:sz="0" w:space="0" w:color="auto"/>
            <w:left w:val="none" w:sz="0" w:space="0" w:color="auto"/>
            <w:bottom w:val="none" w:sz="0" w:space="0" w:color="auto"/>
            <w:right w:val="none" w:sz="0" w:space="0" w:color="auto"/>
          </w:divBdr>
        </w:div>
      </w:divsChild>
    </w:div>
    <w:div w:id="2045398241">
      <w:marLeft w:val="0"/>
      <w:marRight w:val="0"/>
      <w:marTop w:val="240"/>
      <w:marBottom w:val="0"/>
      <w:divBdr>
        <w:top w:val="none" w:sz="0" w:space="0" w:color="auto"/>
        <w:left w:val="none" w:sz="0" w:space="0" w:color="auto"/>
        <w:bottom w:val="none" w:sz="0" w:space="0" w:color="auto"/>
        <w:right w:val="none" w:sz="0" w:space="0" w:color="auto"/>
      </w:divBdr>
    </w:div>
    <w:div w:id="2045859213">
      <w:marLeft w:val="0"/>
      <w:marRight w:val="0"/>
      <w:marTop w:val="120"/>
      <w:marBottom w:val="240"/>
      <w:divBdr>
        <w:top w:val="none" w:sz="0" w:space="0" w:color="auto"/>
        <w:left w:val="none" w:sz="0" w:space="0" w:color="auto"/>
        <w:bottom w:val="none" w:sz="0" w:space="0" w:color="auto"/>
        <w:right w:val="none" w:sz="0" w:space="0" w:color="auto"/>
      </w:divBdr>
    </w:div>
    <w:div w:id="2048793403">
      <w:marLeft w:val="0"/>
      <w:marRight w:val="0"/>
      <w:marTop w:val="120"/>
      <w:marBottom w:val="0"/>
      <w:divBdr>
        <w:top w:val="none" w:sz="0" w:space="0" w:color="auto"/>
        <w:left w:val="none" w:sz="0" w:space="0" w:color="auto"/>
        <w:bottom w:val="none" w:sz="0" w:space="0" w:color="auto"/>
        <w:right w:val="none" w:sz="0" w:space="0" w:color="auto"/>
      </w:divBdr>
    </w:div>
    <w:div w:id="2052222521">
      <w:marLeft w:val="0"/>
      <w:marRight w:val="0"/>
      <w:marTop w:val="0"/>
      <w:marBottom w:val="240"/>
      <w:divBdr>
        <w:top w:val="none" w:sz="0" w:space="0" w:color="auto"/>
        <w:left w:val="none" w:sz="0" w:space="0" w:color="auto"/>
        <w:bottom w:val="none" w:sz="0" w:space="0" w:color="auto"/>
        <w:right w:val="none" w:sz="0" w:space="0" w:color="auto"/>
      </w:divBdr>
    </w:div>
    <w:div w:id="2056536233">
      <w:marLeft w:val="0"/>
      <w:marRight w:val="0"/>
      <w:marTop w:val="0"/>
      <w:marBottom w:val="240"/>
      <w:divBdr>
        <w:top w:val="none" w:sz="0" w:space="0" w:color="auto"/>
        <w:left w:val="none" w:sz="0" w:space="0" w:color="auto"/>
        <w:bottom w:val="none" w:sz="0" w:space="0" w:color="auto"/>
        <w:right w:val="none" w:sz="0" w:space="0" w:color="auto"/>
      </w:divBdr>
    </w:div>
    <w:div w:id="2056811573">
      <w:marLeft w:val="0"/>
      <w:marRight w:val="0"/>
      <w:marTop w:val="0"/>
      <w:marBottom w:val="0"/>
      <w:divBdr>
        <w:top w:val="none" w:sz="0" w:space="0" w:color="auto"/>
        <w:left w:val="none" w:sz="0" w:space="0" w:color="auto"/>
        <w:bottom w:val="none" w:sz="0" w:space="0" w:color="auto"/>
        <w:right w:val="none" w:sz="0" w:space="0" w:color="auto"/>
      </w:divBdr>
    </w:div>
    <w:div w:id="2058238137">
      <w:marLeft w:val="0"/>
      <w:marRight w:val="0"/>
      <w:marTop w:val="0"/>
      <w:marBottom w:val="0"/>
      <w:divBdr>
        <w:top w:val="none" w:sz="0" w:space="0" w:color="auto"/>
        <w:left w:val="none" w:sz="0" w:space="0" w:color="auto"/>
        <w:bottom w:val="none" w:sz="0" w:space="0" w:color="auto"/>
        <w:right w:val="none" w:sz="0" w:space="0" w:color="auto"/>
      </w:divBdr>
      <w:divsChild>
        <w:div w:id="1610895806">
          <w:marLeft w:val="0"/>
          <w:marRight w:val="0"/>
          <w:marTop w:val="0"/>
          <w:marBottom w:val="0"/>
          <w:divBdr>
            <w:top w:val="none" w:sz="0" w:space="0" w:color="auto"/>
            <w:left w:val="none" w:sz="0" w:space="0" w:color="auto"/>
            <w:bottom w:val="none" w:sz="0" w:space="0" w:color="auto"/>
            <w:right w:val="none" w:sz="0" w:space="0" w:color="auto"/>
          </w:divBdr>
        </w:div>
      </w:divsChild>
    </w:div>
    <w:div w:id="2059939351">
      <w:marLeft w:val="0"/>
      <w:marRight w:val="0"/>
      <w:marTop w:val="120"/>
      <w:marBottom w:val="0"/>
      <w:divBdr>
        <w:top w:val="none" w:sz="0" w:space="0" w:color="auto"/>
        <w:left w:val="none" w:sz="0" w:space="0" w:color="auto"/>
        <w:bottom w:val="none" w:sz="0" w:space="0" w:color="auto"/>
        <w:right w:val="none" w:sz="0" w:space="0" w:color="auto"/>
      </w:divBdr>
    </w:div>
    <w:div w:id="2061442951">
      <w:marLeft w:val="0"/>
      <w:marRight w:val="0"/>
      <w:marTop w:val="200"/>
      <w:marBottom w:val="0"/>
      <w:divBdr>
        <w:top w:val="none" w:sz="0" w:space="0" w:color="auto"/>
        <w:left w:val="none" w:sz="0" w:space="0" w:color="auto"/>
        <w:bottom w:val="none" w:sz="0" w:space="0" w:color="auto"/>
        <w:right w:val="none" w:sz="0" w:space="0" w:color="auto"/>
      </w:divBdr>
    </w:div>
    <w:div w:id="2063164857">
      <w:marLeft w:val="0"/>
      <w:marRight w:val="0"/>
      <w:marTop w:val="240"/>
      <w:marBottom w:val="0"/>
      <w:divBdr>
        <w:top w:val="none" w:sz="0" w:space="0" w:color="auto"/>
        <w:left w:val="none" w:sz="0" w:space="0" w:color="auto"/>
        <w:bottom w:val="none" w:sz="0" w:space="0" w:color="auto"/>
        <w:right w:val="none" w:sz="0" w:space="0" w:color="auto"/>
      </w:divBdr>
    </w:div>
    <w:div w:id="2064020012">
      <w:marLeft w:val="0"/>
      <w:marRight w:val="0"/>
      <w:marTop w:val="0"/>
      <w:marBottom w:val="240"/>
      <w:divBdr>
        <w:top w:val="none" w:sz="0" w:space="0" w:color="auto"/>
        <w:left w:val="none" w:sz="0" w:space="0" w:color="auto"/>
        <w:bottom w:val="none" w:sz="0" w:space="0" w:color="auto"/>
        <w:right w:val="none" w:sz="0" w:space="0" w:color="auto"/>
      </w:divBdr>
    </w:div>
    <w:div w:id="2065837310">
      <w:marLeft w:val="0"/>
      <w:marRight w:val="0"/>
      <w:marTop w:val="0"/>
      <w:marBottom w:val="240"/>
      <w:divBdr>
        <w:top w:val="none" w:sz="0" w:space="0" w:color="auto"/>
        <w:left w:val="none" w:sz="0" w:space="0" w:color="auto"/>
        <w:bottom w:val="none" w:sz="0" w:space="0" w:color="auto"/>
        <w:right w:val="none" w:sz="0" w:space="0" w:color="auto"/>
      </w:divBdr>
    </w:div>
    <w:div w:id="2067412221">
      <w:marLeft w:val="0"/>
      <w:marRight w:val="0"/>
      <w:marTop w:val="240"/>
      <w:marBottom w:val="240"/>
      <w:divBdr>
        <w:top w:val="none" w:sz="0" w:space="0" w:color="auto"/>
        <w:left w:val="none" w:sz="0" w:space="0" w:color="auto"/>
        <w:bottom w:val="none" w:sz="0" w:space="0" w:color="auto"/>
        <w:right w:val="none" w:sz="0" w:space="0" w:color="auto"/>
      </w:divBdr>
    </w:div>
    <w:div w:id="2068843540">
      <w:marLeft w:val="0"/>
      <w:marRight w:val="0"/>
      <w:marTop w:val="0"/>
      <w:marBottom w:val="120"/>
      <w:divBdr>
        <w:top w:val="none" w:sz="0" w:space="0" w:color="auto"/>
        <w:left w:val="none" w:sz="0" w:space="0" w:color="auto"/>
        <w:bottom w:val="none" w:sz="0" w:space="0" w:color="auto"/>
        <w:right w:val="none" w:sz="0" w:space="0" w:color="auto"/>
      </w:divBdr>
    </w:div>
    <w:div w:id="2070641173">
      <w:marLeft w:val="0"/>
      <w:marRight w:val="0"/>
      <w:marTop w:val="240"/>
      <w:marBottom w:val="240"/>
      <w:divBdr>
        <w:top w:val="none" w:sz="0" w:space="0" w:color="auto"/>
        <w:left w:val="none" w:sz="0" w:space="0" w:color="auto"/>
        <w:bottom w:val="none" w:sz="0" w:space="0" w:color="auto"/>
        <w:right w:val="none" w:sz="0" w:space="0" w:color="auto"/>
      </w:divBdr>
    </w:div>
    <w:div w:id="2072847892">
      <w:marLeft w:val="0"/>
      <w:marRight w:val="0"/>
      <w:marTop w:val="100"/>
      <w:marBottom w:val="0"/>
      <w:divBdr>
        <w:top w:val="none" w:sz="0" w:space="0" w:color="auto"/>
        <w:left w:val="none" w:sz="0" w:space="0" w:color="auto"/>
        <w:bottom w:val="none" w:sz="0" w:space="0" w:color="auto"/>
        <w:right w:val="none" w:sz="0" w:space="0" w:color="auto"/>
      </w:divBdr>
    </w:div>
    <w:div w:id="2074741596">
      <w:marLeft w:val="0"/>
      <w:marRight w:val="0"/>
      <w:marTop w:val="240"/>
      <w:marBottom w:val="0"/>
      <w:divBdr>
        <w:top w:val="none" w:sz="0" w:space="0" w:color="auto"/>
        <w:left w:val="none" w:sz="0" w:space="0" w:color="auto"/>
        <w:bottom w:val="none" w:sz="0" w:space="0" w:color="auto"/>
        <w:right w:val="none" w:sz="0" w:space="0" w:color="auto"/>
      </w:divBdr>
    </w:div>
    <w:div w:id="2074769267">
      <w:marLeft w:val="0"/>
      <w:marRight w:val="0"/>
      <w:marTop w:val="0"/>
      <w:marBottom w:val="240"/>
      <w:divBdr>
        <w:top w:val="none" w:sz="0" w:space="0" w:color="auto"/>
        <w:left w:val="none" w:sz="0" w:space="0" w:color="auto"/>
        <w:bottom w:val="none" w:sz="0" w:space="0" w:color="auto"/>
        <w:right w:val="none" w:sz="0" w:space="0" w:color="auto"/>
      </w:divBdr>
    </w:div>
    <w:div w:id="2075931094">
      <w:marLeft w:val="0"/>
      <w:marRight w:val="0"/>
      <w:marTop w:val="0"/>
      <w:marBottom w:val="0"/>
      <w:divBdr>
        <w:top w:val="none" w:sz="0" w:space="0" w:color="auto"/>
        <w:left w:val="none" w:sz="0" w:space="0" w:color="auto"/>
        <w:bottom w:val="none" w:sz="0" w:space="0" w:color="auto"/>
        <w:right w:val="none" w:sz="0" w:space="0" w:color="auto"/>
      </w:divBdr>
      <w:divsChild>
        <w:div w:id="1731464723">
          <w:marLeft w:val="0"/>
          <w:marRight w:val="0"/>
          <w:marTop w:val="0"/>
          <w:marBottom w:val="0"/>
          <w:divBdr>
            <w:top w:val="none" w:sz="0" w:space="0" w:color="auto"/>
            <w:left w:val="none" w:sz="0" w:space="0" w:color="auto"/>
            <w:bottom w:val="none" w:sz="0" w:space="0" w:color="auto"/>
            <w:right w:val="none" w:sz="0" w:space="0" w:color="auto"/>
          </w:divBdr>
        </w:div>
      </w:divsChild>
    </w:div>
    <w:div w:id="2076511445">
      <w:marLeft w:val="0"/>
      <w:marRight w:val="0"/>
      <w:marTop w:val="0"/>
      <w:marBottom w:val="240"/>
      <w:divBdr>
        <w:top w:val="none" w:sz="0" w:space="0" w:color="auto"/>
        <w:left w:val="none" w:sz="0" w:space="0" w:color="auto"/>
        <w:bottom w:val="none" w:sz="0" w:space="0" w:color="auto"/>
        <w:right w:val="none" w:sz="0" w:space="0" w:color="auto"/>
      </w:divBdr>
    </w:div>
    <w:div w:id="2077702711">
      <w:marLeft w:val="0"/>
      <w:marRight w:val="0"/>
      <w:marTop w:val="0"/>
      <w:marBottom w:val="120"/>
      <w:divBdr>
        <w:top w:val="none" w:sz="0" w:space="0" w:color="auto"/>
        <w:left w:val="none" w:sz="0" w:space="0" w:color="auto"/>
        <w:bottom w:val="none" w:sz="0" w:space="0" w:color="auto"/>
        <w:right w:val="none" w:sz="0" w:space="0" w:color="auto"/>
      </w:divBdr>
    </w:div>
    <w:div w:id="2078088500">
      <w:marLeft w:val="0"/>
      <w:marRight w:val="0"/>
      <w:marTop w:val="240"/>
      <w:marBottom w:val="0"/>
      <w:divBdr>
        <w:top w:val="none" w:sz="0" w:space="0" w:color="auto"/>
        <w:left w:val="none" w:sz="0" w:space="0" w:color="auto"/>
        <w:bottom w:val="none" w:sz="0" w:space="0" w:color="auto"/>
        <w:right w:val="none" w:sz="0" w:space="0" w:color="auto"/>
      </w:divBdr>
    </w:div>
    <w:div w:id="2079327881">
      <w:marLeft w:val="0"/>
      <w:marRight w:val="0"/>
      <w:marTop w:val="240"/>
      <w:marBottom w:val="0"/>
      <w:divBdr>
        <w:top w:val="none" w:sz="0" w:space="0" w:color="auto"/>
        <w:left w:val="none" w:sz="0" w:space="0" w:color="auto"/>
        <w:bottom w:val="none" w:sz="0" w:space="0" w:color="auto"/>
        <w:right w:val="none" w:sz="0" w:space="0" w:color="auto"/>
      </w:divBdr>
    </w:div>
    <w:div w:id="2082021916">
      <w:marLeft w:val="0"/>
      <w:marRight w:val="0"/>
      <w:marTop w:val="240"/>
      <w:marBottom w:val="240"/>
      <w:divBdr>
        <w:top w:val="none" w:sz="0" w:space="0" w:color="auto"/>
        <w:left w:val="none" w:sz="0" w:space="0" w:color="auto"/>
        <w:bottom w:val="none" w:sz="0" w:space="0" w:color="auto"/>
        <w:right w:val="none" w:sz="0" w:space="0" w:color="auto"/>
      </w:divBdr>
    </w:div>
    <w:div w:id="2082363847">
      <w:marLeft w:val="0"/>
      <w:marRight w:val="0"/>
      <w:marTop w:val="0"/>
      <w:marBottom w:val="240"/>
      <w:divBdr>
        <w:top w:val="none" w:sz="0" w:space="0" w:color="auto"/>
        <w:left w:val="none" w:sz="0" w:space="0" w:color="auto"/>
        <w:bottom w:val="none" w:sz="0" w:space="0" w:color="auto"/>
        <w:right w:val="none" w:sz="0" w:space="0" w:color="auto"/>
      </w:divBdr>
    </w:div>
    <w:div w:id="2083260733">
      <w:marLeft w:val="0"/>
      <w:marRight w:val="0"/>
      <w:marTop w:val="240"/>
      <w:marBottom w:val="0"/>
      <w:divBdr>
        <w:top w:val="none" w:sz="0" w:space="0" w:color="auto"/>
        <w:left w:val="none" w:sz="0" w:space="0" w:color="auto"/>
        <w:bottom w:val="none" w:sz="0" w:space="0" w:color="auto"/>
        <w:right w:val="none" w:sz="0" w:space="0" w:color="auto"/>
      </w:divBdr>
    </w:div>
    <w:div w:id="2083678190">
      <w:marLeft w:val="0"/>
      <w:marRight w:val="0"/>
      <w:marTop w:val="0"/>
      <w:marBottom w:val="0"/>
      <w:divBdr>
        <w:top w:val="none" w:sz="0" w:space="0" w:color="auto"/>
        <w:left w:val="none" w:sz="0" w:space="0" w:color="auto"/>
        <w:bottom w:val="none" w:sz="0" w:space="0" w:color="auto"/>
        <w:right w:val="none" w:sz="0" w:space="0" w:color="auto"/>
      </w:divBdr>
    </w:div>
    <w:div w:id="2083722136">
      <w:marLeft w:val="0"/>
      <w:marRight w:val="0"/>
      <w:marTop w:val="100"/>
      <w:marBottom w:val="0"/>
      <w:divBdr>
        <w:top w:val="none" w:sz="0" w:space="0" w:color="auto"/>
        <w:left w:val="none" w:sz="0" w:space="0" w:color="auto"/>
        <w:bottom w:val="none" w:sz="0" w:space="0" w:color="auto"/>
        <w:right w:val="none" w:sz="0" w:space="0" w:color="auto"/>
      </w:divBdr>
    </w:div>
    <w:div w:id="2087997412">
      <w:marLeft w:val="0"/>
      <w:marRight w:val="0"/>
      <w:marTop w:val="0"/>
      <w:marBottom w:val="240"/>
      <w:divBdr>
        <w:top w:val="none" w:sz="0" w:space="0" w:color="auto"/>
        <w:left w:val="none" w:sz="0" w:space="0" w:color="auto"/>
        <w:bottom w:val="none" w:sz="0" w:space="0" w:color="auto"/>
        <w:right w:val="none" w:sz="0" w:space="0" w:color="auto"/>
      </w:divBdr>
    </w:div>
    <w:div w:id="2088376882">
      <w:marLeft w:val="0"/>
      <w:marRight w:val="0"/>
      <w:marTop w:val="0"/>
      <w:marBottom w:val="0"/>
      <w:divBdr>
        <w:top w:val="none" w:sz="0" w:space="0" w:color="auto"/>
        <w:left w:val="none" w:sz="0" w:space="0" w:color="auto"/>
        <w:bottom w:val="none" w:sz="0" w:space="0" w:color="auto"/>
        <w:right w:val="none" w:sz="0" w:space="0" w:color="auto"/>
      </w:divBdr>
    </w:div>
    <w:div w:id="2089305800">
      <w:marLeft w:val="0"/>
      <w:marRight w:val="0"/>
      <w:marTop w:val="240"/>
      <w:marBottom w:val="0"/>
      <w:divBdr>
        <w:top w:val="none" w:sz="0" w:space="0" w:color="auto"/>
        <w:left w:val="none" w:sz="0" w:space="0" w:color="auto"/>
        <w:bottom w:val="none" w:sz="0" w:space="0" w:color="auto"/>
        <w:right w:val="none" w:sz="0" w:space="0" w:color="auto"/>
      </w:divBdr>
    </w:div>
    <w:div w:id="2091850914">
      <w:marLeft w:val="0"/>
      <w:marRight w:val="0"/>
      <w:marTop w:val="100"/>
      <w:marBottom w:val="0"/>
      <w:divBdr>
        <w:top w:val="none" w:sz="0" w:space="0" w:color="auto"/>
        <w:left w:val="none" w:sz="0" w:space="0" w:color="auto"/>
        <w:bottom w:val="none" w:sz="0" w:space="0" w:color="auto"/>
        <w:right w:val="none" w:sz="0" w:space="0" w:color="auto"/>
      </w:divBdr>
    </w:div>
    <w:div w:id="2094275525">
      <w:marLeft w:val="0"/>
      <w:marRight w:val="0"/>
      <w:marTop w:val="240"/>
      <w:marBottom w:val="240"/>
      <w:divBdr>
        <w:top w:val="none" w:sz="0" w:space="0" w:color="auto"/>
        <w:left w:val="none" w:sz="0" w:space="0" w:color="auto"/>
        <w:bottom w:val="none" w:sz="0" w:space="0" w:color="auto"/>
        <w:right w:val="none" w:sz="0" w:space="0" w:color="auto"/>
      </w:divBdr>
    </w:div>
    <w:div w:id="2094348979">
      <w:marLeft w:val="0"/>
      <w:marRight w:val="0"/>
      <w:marTop w:val="100"/>
      <w:marBottom w:val="0"/>
      <w:divBdr>
        <w:top w:val="none" w:sz="0" w:space="0" w:color="auto"/>
        <w:left w:val="none" w:sz="0" w:space="0" w:color="auto"/>
        <w:bottom w:val="none" w:sz="0" w:space="0" w:color="auto"/>
        <w:right w:val="none" w:sz="0" w:space="0" w:color="auto"/>
      </w:divBdr>
    </w:div>
    <w:div w:id="2095545725">
      <w:marLeft w:val="0"/>
      <w:marRight w:val="0"/>
      <w:marTop w:val="0"/>
      <w:marBottom w:val="0"/>
      <w:divBdr>
        <w:top w:val="none" w:sz="0" w:space="0" w:color="auto"/>
        <w:left w:val="none" w:sz="0" w:space="0" w:color="auto"/>
        <w:bottom w:val="none" w:sz="0" w:space="0" w:color="auto"/>
        <w:right w:val="none" w:sz="0" w:space="0" w:color="auto"/>
      </w:divBdr>
    </w:div>
    <w:div w:id="2098289117">
      <w:marLeft w:val="0"/>
      <w:marRight w:val="0"/>
      <w:marTop w:val="0"/>
      <w:marBottom w:val="240"/>
      <w:divBdr>
        <w:top w:val="none" w:sz="0" w:space="0" w:color="auto"/>
        <w:left w:val="none" w:sz="0" w:space="0" w:color="auto"/>
        <w:bottom w:val="none" w:sz="0" w:space="0" w:color="auto"/>
        <w:right w:val="none" w:sz="0" w:space="0" w:color="auto"/>
      </w:divBdr>
    </w:div>
    <w:div w:id="2098822158">
      <w:marLeft w:val="0"/>
      <w:marRight w:val="0"/>
      <w:marTop w:val="240"/>
      <w:marBottom w:val="0"/>
      <w:divBdr>
        <w:top w:val="none" w:sz="0" w:space="0" w:color="auto"/>
        <w:left w:val="none" w:sz="0" w:space="0" w:color="auto"/>
        <w:bottom w:val="none" w:sz="0" w:space="0" w:color="auto"/>
        <w:right w:val="none" w:sz="0" w:space="0" w:color="auto"/>
      </w:divBdr>
    </w:div>
    <w:div w:id="2100828037">
      <w:marLeft w:val="0"/>
      <w:marRight w:val="0"/>
      <w:marTop w:val="0"/>
      <w:marBottom w:val="0"/>
      <w:divBdr>
        <w:top w:val="none" w:sz="0" w:space="0" w:color="auto"/>
        <w:left w:val="none" w:sz="0" w:space="0" w:color="auto"/>
        <w:bottom w:val="none" w:sz="0" w:space="0" w:color="auto"/>
        <w:right w:val="none" w:sz="0" w:space="0" w:color="auto"/>
      </w:divBdr>
      <w:divsChild>
        <w:div w:id="2015066090">
          <w:marLeft w:val="0"/>
          <w:marRight w:val="0"/>
          <w:marTop w:val="0"/>
          <w:marBottom w:val="0"/>
          <w:divBdr>
            <w:top w:val="none" w:sz="0" w:space="0" w:color="auto"/>
            <w:left w:val="none" w:sz="0" w:space="0" w:color="auto"/>
            <w:bottom w:val="none" w:sz="0" w:space="0" w:color="auto"/>
            <w:right w:val="none" w:sz="0" w:space="0" w:color="auto"/>
          </w:divBdr>
        </w:div>
      </w:divsChild>
    </w:div>
    <w:div w:id="2102414121">
      <w:marLeft w:val="0"/>
      <w:marRight w:val="0"/>
      <w:marTop w:val="240"/>
      <w:marBottom w:val="0"/>
      <w:divBdr>
        <w:top w:val="none" w:sz="0" w:space="0" w:color="auto"/>
        <w:left w:val="none" w:sz="0" w:space="0" w:color="auto"/>
        <w:bottom w:val="none" w:sz="0" w:space="0" w:color="auto"/>
        <w:right w:val="none" w:sz="0" w:space="0" w:color="auto"/>
      </w:divBdr>
    </w:div>
    <w:div w:id="2106293986">
      <w:marLeft w:val="0"/>
      <w:marRight w:val="0"/>
      <w:marTop w:val="0"/>
      <w:marBottom w:val="0"/>
      <w:divBdr>
        <w:top w:val="none" w:sz="0" w:space="0" w:color="auto"/>
        <w:left w:val="none" w:sz="0" w:space="0" w:color="auto"/>
        <w:bottom w:val="none" w:sz="0" w:space="0" w:color="auto"/>
        <w:right w:val="none" w:sz="0" w:space="0" w:color="auto"/>
      </w:divBdr>
      <w:divsChild>
        <w:div w:id="1523981140">
          <w:marLeft w:val="0"/>
          <w:marRight w:val="0"/>
          <w:marTop w:val="0"/>
          <w:marBottom w:val="0"/>
          <w:divBdr>
            <w:top w:val="none" w:sz="0" w:space="0" w:color="auto"/>
            <w:left w:val="none" w:sz="0" w:space="0" w:color="auto"/>
            <w:bottom w:val="none" w:sz="0" w:space="0" w:color="auto"/>
            <w:right w:val="none" w:sz="0" w:space="0" w:color="auto"/>
          </w:divBdr>
        </w:div>
      </w:divsChild>
    </w:div>
    <w:div w:id="2106419109">
      <w:marLeft w:val="0"/>
      <w:marRight w:val="0"/>
      <w:marTop w:val="120"/>
      <w:marBottom w:val="240"/>
      <w:divBdr>
        <w:top w:val="none" w:sz="0" w:space="0" w:color="auto"/>
        <w:left w:val="none" w:sz="0" w:space="0" w:color="auto"/>
        <w:bottom w:val="none" w:sz="0" w:space="0" w:color="auto"/>
        <w:right w:val="none" w:sz="0" w:space="0" w:color="auto"/>
      </w:divBdr>
    </w:div>
    <w:div w:id="2107457967">
      <w:marLeft w:val="0"/>
      <w:marRight w:val="0"/>
      <w:marTop w:val="240"/>
      <w:marBottom w:val="0"/>
      <w:divBdr>
        <w:top w:val="none" w:sz="0" w:space="0" w:color="auto"/>
        <w:left w:val="none" w:sz="0" w:space="0" w:color="auto"/>
        <w:bottom w:val="none" w:sz="0" w:space="0" w:color="auto"/>
        <w:right w:val="none" w:sz="0" w:space="0" w:color="auto"/>
      </w:divBdr>
    </w:div>
    <w:div w:id="2107459525">
      <w:marLeft w:val="0"/>
      <w:marRight w:val="0"/>
      <w:marTop w:val="240"/>
      <w:marBottom w:val="0"/>
      <w:divBdr>
        <w:top w:val="none" w:sz="0" w:space="0" w:color="auto"/>
        <w:left w:val="none" w:sz="0" w:space="0" w:color="auto"/>
        <w:bottom w:val="none" w:sz="0" w:space="0" w:color="auto"/>
        <w:right w:val="none" w:sz="0" w:space="0" w:color="auto"/>
      </w:divBdr>
    </w:div>
    <w:div w:id="2108115309">
      <w:marLeft w:val="0"/>
      <w:marRight w:val="0"/>
      <w:marTop w:val="240"/>
      <w:marBottom w:val="0"/>
      <w:divBdr>
        <w:top w:val="none" w:sz="0" w:space="0" w:color="auto"/>
        <w:left w:val="none" w:sz="0" w:space="0" w:color="auto"/>
        <w:bottom w:val="none" w:sz="0" w:space="0" w:color="auto"/>
        <w:right w:val="none" w:sz="0" w:space="0" w:color="auto"/>
      </w:divBdr>
    </w:div>
    <w:div w:id="2108452944">
      <w:marLeft w:val="0"/>
      <w:marRight w:val="0"/>
      <w:marTop w:val="240"/>
      <w:marBottom w:val="0"/>
      <w:divBdr>
        <w:top w:val="none" w:sz="0" w:space="0" w:color="auto"/>
        <w:left w:val="none" w:sz="0" w:space="0" w:color="auto"/>
        <w:bottom w:val="none" w:sz="0" w:space="0" w:color="auto"/>
        <w:right w:val="none" w:sz="0" w:space="0" w:color="auto"/>
      </w:divBdr>
    </w:div>
    <w:div w:id="2115048291">
      <w:marLeft w:val="0"/>
      <w:marRight w:val="0"/>
      <w:marTop w:val="240"/>
      <w:marBottom w:val="0"/>
      <w:divBdr>
        <w:top w:val="none" w:sz="0" w:space="0" w:color="auto"/>
        <w:left w:val="none" w:sz="0" w:space="0" w:color="auto"/>
        <w:bottom w:val="none" w:sz="0" w:space="0" w:color="auto"/>
        <w:right w:val="none" w:sz="0" w:space="0" w:color="auto"/>
      </w:divBdr>
    </w:div>
    <w:div w:id="2115245561">
      <w:marLeft w:val="0"/>
      <w:marRight w:val="0"/>
      <w:marTop w:val="0"/>
      <w:marBottom w:val="240"/>
      <w:divBdr>
        <w:top w:val="none" w:sz="0" w:space="0" w:color="auto"/>
        <w:left w:val="none" w:sz="0" w:space="0" w:color="auto"/>
        <w:bottom w:val="none" w:sz="0" w:space="0" w:color="auto"/>
        <w:right w:val="none" w:sz="0" w:space="0" w:color="auto"/>
      </w:divBdr>
    </w:div>
    <w:div w:id="2117360426">
      <w:marLeft w:val="0"/>
      <w:marRight w:val="0"/>
      <w:marTop w:val="100"/>
      <w:marBottom w:val="0"/>
      <w:divBdr>
        <w:top w:val="none" w:sz="0" w:space="0" w:color="auto"/>
        <w:left w:val="none" w:sz="0" w:space="0" w:color="auto"/>
        <w:bottom w:val="none" w:sz="0" w:space="0" w:color="auto"/>
        <w:right w:val="none" w:sz="0" w:space="0" w:color="auto"/>
      </w:divBdr>
    </w:div>
    <w:div w:id="2121145950">
      <w:marLeft w:val="0"/>
      <w:marRight w:val="0"/>
      <w:marTop w:val="0"/>
      <w:marBottom w:val="0"/>
      <w:divBdr>
        <w:top w:val="none" w:sz="0" w:space="0" w:color="auto"/>
        <w:left w:val="none" w:sz="0" w:space="0" w:color="auto"/>
        <w:bottom w:val="none" w:sz="0" w:space="0" w:color="auto"/>
        <w:right w:val="none" w:sz="0" w:space="0" w:color="auto"/>
      </w:divBdr>
      <w:divsChild>
        <w:div w:id="449789513">
          <w:marLeft w:val="0"/>
          <w:marRight w:val="0"/>
          <w:marTop w:val="0"/>
          <w:marBottom w:val="0"/>
          <w:divBdr>
            <w:top w:val="none" w:sz="0" w:space="0" w:color="auto"/>
            <w:left w:val="none" w:sz="0" w:space="0" w:color="auto"/>
            <w:bottom w:val="none" w:sz="0" w:space="0" w:color="auto"/>
            <w:right w:val="none" w:sz="0" w:space="0" w:color="auto"/>
          </w:divBdr>
        </w:div>
      </w:divsChild>
    </w:div>
    <w:div w:id="2122218313">
      <w:marLeft w:val="0"/>
      <w:marRight w:val="0"/>
      <w:marTop w:val="0"/>
      <w:marBottom w:val="240"/>
      <w:divBdr>
        <w:top w:val="none" w:sz="0" w:space="0" w:color="auto"/>
        <w:left w:val="none" w:sz="0" w:space="0" w:color="auto"/>
        <w:bottom w:val="none" w:sz="0" w:space="0" w:color="auto"/>
        <w:right w:val="none" w:sz="0" w:space="0" w:color="auto"/>
      </w:divBdr>
    </w:div>
    <w:div w:id="2122332370">
      <w:marLeft w:val="0"/>
      <w:marRight w:val="0"/>
      <w:marTop w:val="0"/>
      <w:marBottom w:val="0"/>
      <w:divBdr>
        <w:top w:val="none" w:sz="0" w:space="0" w:color="auto"/>
        <w:left w:val="none" w:sz="0" w:space="0" w:color="auto"/>
        <w:bottom w:val="none" w:sz="0" w:space="0" w:color="auto"/>
        <w:right w:val="none" w:sz="0" w:space="0" w:color="auto"/>
      </w:divBdr>
      <w:divsChild>
        <w:div w:id="220167687">
          <w:marLeft w:val="0"/>
          <w:marRight w:val="0"/>
          <w:marTop w:val="0"/>
          <w:marBottom w:val="0"/>
          <w:divBdr>
            <w:top w:val="none" w:sz="0" w:space="0" w:color="auto"/>
            <w:left w:val="none" w:sz="0" w:space="0" w:color="auto"/>
            <w:bottom w:val="none" w:sz="0" w:space="0" w:color="auto"/>
            <w:right w:val="none" w:sz="0" w:space="0" w:color="auto"/>
          </w:divBdr>
        </w:div>
      </w:divsChild>
    </w:div>
    <w:div w:id="2136173373">
      <w:marLeft w:val="0"/>
      <w:marRight w:val="0"/>
      <w:marTop w:val="0"/>
      <w:marBottom w:val="0"/>
      <w:divBdr>
        <w:top w:val="none" w:sz="0" w:space="0" w:color="auto"/>
        <w:left w:val="none" w:sz="0" w:space="0" w:color="auto"/>
        <w:bottom w:val="none" w:sz="0" w:space="0" w:color="auto"/>
        <w:right w:val="none" w:sz="0" w:space="0" w:color="auto"/>
      </w:divBdr>
      <w:divsChild>
        <w:div w:id="1668633963">
          <w:marLeft w:val="0"/>
          <w:marRight w:val="0"/>
          <w:marTop w:val="0"/>
          <w:marBottom w:val="0"/>
          <w:divBdr>
            <w:top w:val="none" w:sz="0" w:space="0" w:color="auto"/>
            <w:left w:val="none" w:sz="0" w:space="0" w:color="auto"/>
            <w:bottom w:val="none" w:sz="0" w:space="0" w:color="auto"/>
            <w:right w:val="none" w:sz="0" w:space="0" w:color="auto"/>
          </w:divBdr>
        </w:div>
      </w:divsChild>
    </w:div>
    <w:div w:id="2138375146">
      <w:marLeft w:val="0"/>
      <w:marRight w:val="0"/>
      <w:marTop w:val="0"/>
      <w:marBottom w:val="240"/>
      <w:divBdr>
        <w:top w:val="none" w:sz="0" w:space="0" w:color="auto"/>
        <w:left w:val="none" w:sz="0" w:space="0" w:color="auto"/>
        <w:bottom w:val="none" w:sz="0" w:space="0" w:color="auto"/>
        <w:right w:val="none" w:sz="0" w:space="0" w:color="auto"/>
      </w:divBdr>
    </w:div>
    <w:div w:id="2138990401">
      <w:marLeft w:val="0"/>
      <w:marRight w:val="0"/>
      <w:marTop w:val="240"/>
      <w:marBottom w:val="0"/>
      <w:divBdr>
        <w:top w:val="none" w:sz="0" w:space="0" w:color="auto"/>
        <w:left w:val="none" w:sz="0" w:space="0" w:color="auto"/>
        <w:bottom w:val="none" w:sz="0" w:space="0" w:color="auto"/>
        <w:right w:val="none" w:sz="0" w:space="0" w:color="auto"/>
      </w:divBdr>
    </w:div>
    <w:div w:id="2139032047">
      <w:marLeft w:val="0"/>
      <w:marRight w:val="0"/>
      <w:marTop w:val="0"/>
      <w:marBottom w:val="240"/>
      <w:divBdr>
        <w:top w:val="none" w:sz="0" w:space="0" w:color="auto"/>
        <w:left w:val="none" w:sz="0" w:space="0" w:color="auto"/>
        <w:bottom w:val="none" w:sz="0" w:space="0" w:color="auto"/>
        <w:right w:val="none" w:sz="0" w:space="0" w:color="auto"/>
      </w:divBdr>
    </w:div>
    <w:div w:id="2140225250">
      <w:marLeft w:val="0"/>
      <w:marRight w:val="0"/>
      <w:marTop w:val="240"/>
      <w:marBottom w:val="0"/>
      <w:divBdr>
        <w:top w:val="none" w:sz="0" w:space="0" w:color="auto"/>
        <w:left w:val="none" w:sz="0" w:space="0" w:color="auto"/>
        <w:bottom w:val="none" w:sz="0" w:space="0" w:color="auto"/>
        <w:right w:val="none" w:sz="0" w:space="0" w:color="auto"/>
      </w:divBdr>
    </w:div>
    <w:div w:id="2141799825">
      <w:marLeft w:val="0"/>
      <w:marRight w:val="0"/>
      <w:marTop w:val="240"/>
      <w:marBottom w:val="0"/>
      <w:divBdr>
        <w:top w:val="none" w:sz="0" w:space="0" w:color="auto"/>
        <w:left w:val="none" w:sz="0" w:space="0" w:color="auto"/>
        <w:bottom w:val="none" w:sz="0" w:space="0" w:color="auto"/>
        <w:right w:val="none" w:sz="0" w:space="0" w:color="auto"/>
      </w:divBdr>
    </w:div>
    <w:div w:id="2142843825">
      <w:marLeft w:val="0"/>
      <w:marRight w:val="0"/>
      <w:marTop w:val="0"/>
      <w:marBottom w:val="0"/>
      <w:divBdr>
        <w:top w:val="none" w:sz="0" w:space="0" w:color="auto"/>
        <w:left w:val="none" w:sz="0" w:space="0" w:color="auto"/>
        <w:bottom w:val="none" w:sz="0" w:space="0" w:color="auto"/>
        <w:right w:val="none" w:sz="0" w:space="0" w:color="auto"/>
      </w:divBdr>
    </w:div>
    <w:div w:id="2146388935">
      <w:marLeft w:val="0"/>
      <w:marRight w:val="0"/>
      <w:marTop w:val="240"/>
      <w:marBottom w:val="240"/>
      <w:divBdr>
        <w:top w:val="none" w:sz="0" w:space="0" w:color="auto"/>
        <w:left w:val="none" w:sz="0" w:space="0" w:color="auto"/>
        <w:bottom w:val="none" w:sz="0" w:space="0" w:color="auto"/>
        <w:right w:val="none" w:sz="0" w:space="0" w:color="auto"/>
      </w:divBdr>
    </w:div>
    <w:div w:id="2147115004">
      <w:marLeft w:val="0"/>
      <w:marRight w:val="0"/>
      <w:marTop w:val="24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1393311/000139331122000010/psa-123121xex4_2.htm" TargetMode="External"/><Relationship Id="rId21" Type="http://schemas.openxmlformats.org/officeDocument/2006/relationships/hyperlink" Target="https://www.sec.gov/Archives/edgar/data/1393311/000119312521243371/d187599dex31.htm" TargetMode="External"/><Relationship Id="rId42" Type="http://schemas.openxmlformats.org/officeDocument/2006/relationships/hyperlink" Target="http://www.sec.gov/Archives/edgar/data/1393311/000119312517287377/d443739dex41.htm" TargetMode="External"/><Relationship Id="rId47" Type="http://schemas.openxmlformats.org/officeDocument/2006/relationships/hyperlink" Target="https://www.sec.gov/Archives/edgar/data/1393311/000119312521128967/d135565dex42.htm" TargetMode="External"/><Relationship Id="rId63" Type="http://schemas.openxmlformats.org/officeDocument/2006/relationships/hyperlink" Target="http://www.sec.gov/Archives/edgar/data/1393311/000139331114000011/psa-20140501ex101aec3ff.htm" TargetMode="External"/><Relationship Id="rId68" Type="http://schemas.openxmlformats.org/officeDocument/2006/relationships/hyperlink" Target="http://www.sec.gov/Archives/edgar/data/1393311/000139331116000036/psa-20151231ex101308fcd.htm" TargetMode="External"/><Relationship Id="rId84" Type="http://schemas.openxmlformats.org/officeDocument/2006/relationships/hyperlink" Target="psa-123122xex23_1.htm" TargetMode="External"/><Relationship Id="rId89" Type="http://schemas.openxmlformats.org/officeDocument/2006/relationships/theme" Target="theme/theme1.xml"/><Relationship Id="rId16" Type="http://schemas.openxmlformats.org/officeDocument/2006/relationships/hyperlink" Target="https://www.sec.gov/Archives/edgar/data/1393311/000119312520165668/d941759dex31.htm" TargetMode="External"/><Relationship Id="rId11" Type="http://schemas.openxmlformats.org/officeDocument/2006/relationships/hyperlink" Target="https://www.sec.gov/Archives/edgar/data/1393311/000119312517244616/d431375dex31.htm" TargetMode="External"/><Relationship Id="rId32" Type="http://schemas.openxmlformats.org/officeDocument/2006/relationships/hyperlink" Target="https://www.sec.gov/Archives/edgar/data/1393311/000139331122000010/psa-123121xex4_2.htm" TargetMode="External"/><Relationship Id="rId37" Type="http://schemas.openxmlformats.org/officeDocument/2006/relationships/hyperlink" Target="http://www.sec.gov/Archives/edgar/data/1393311/000119312507130364/dex101.htm" TargetMode="External"/><Relationship Id="rId53" Type="http://schemas.openxmlformats.org/officeDocument/2006/relationships/hyperlink" Target="https://www.sec.gov/Archives/edgar/data/1393311/000119312521324419/d257375dex44.htm" TargetMode="External"/><Relationship Id="rId58" Type="http://schemas.openxmlformats.org/officeDocument/2006/relationships/hyperlink" Target="https://www.sec.gov/Archives/edgar/data/1393311/000139331116000038/psa-20160413xex10_1.htm" TargetMode="External"/><Relationship Id="rId74" Type="http://schemas.openxmlformats.org/officeDocument/2006/relationships/hyperlink" Target="http://www.sec.gov/Archives/edgar/data/1393311/000139331119000004/psa-20181231xex10_30.htm" TargetMode="External"/><Relationship Id="rId79" Type="http://schemas.openxmlformats.org/officeDocument/2006/relationships/hyperlink" Target="http://www.sec.gov/Archives/edgar/data/1393311/000139331122000018/exhibit101-2022psaformofem.htm" TargetMode="External"/><Relationship Id="rId5" Type="http://schemas.openxmlformats.org/officeDocument/2006/relationships/hyperlink" Target="psa-123122xex3_1restatedde.htm" TargetMode="External"/><Relationship Id="rId14" Type="http://schemas.openxmlformats.org/officeDocument/2006/relationships/hyperlink" Target="http://www.sec.gov/Archives/edgar/data/1393311/000119312519286081/d820234dex31.htm" TargetMode="External"/><Relationship Id="rId22" Type="http://schemas.openxmlformats.org/officeDocument/2006/relationships/hyperlink" Target="https://www.sec.gov/Archives/edgar/data/1393311/000119312521325998/d240102dex31.htm" TargetMode="External"/><Relationship Id="rId27" Type="http://schemas.openxmlformats.org/officeDocument/2006/relationships/hyperlink" Target="https://www.sec.gov/Archives/edgar/data/1393311/000139331122000010/psa-123121xex4_2.htm" TargetMode="External"/><Relationship Id="rId30" Type="http://schemas.openxmlformats.org/officeDocument/2006/relationships/hyperlink" Target="https://www.sec.gov/Archives/edgar/data/1393311/000139331122000010/psa-123121xex4_2.htm" TargetMode="External"/><Relationship Id="rId35" Type="http://schemas.openxmlformats.org/officeDocument/2006/relationships/hyperlink" Target="https://www.sec.gov/Archives/edgar/data/1393311/000139331122000010/psa-123121xex4_2.htm" TargetMode="External"/><Relationship Id="rId43" Type="http://schemas.openxmlformats.org/officeDocument/2006/relationships/hyperlink" Target="http://www.sec.gov/Archives/edgar/data/1393311/000119312517287377/d443739dex42.htm" TargetMode="External"/><Relationship Id="rId48" Type="http://schemas.openxmlformats.org/officeDocument/2006/relationships/hyperlink" Target="https://www.sec.gov/Archives/edgar/data/1393311/000119312521128967/d135565dex43.htm" TargetMode="External"/><Relationship Id="rId56" Type="http://schemas.openxmlformats.org/officeDocument/2006/relationships/hyperlink" Target="https://www.sec.gov/Archives/edgar/data/1393311/000139331115000031/psa-20151104ex101c7717b.htm" TargetMode="External"/><Relationship Id="rId64" Type="http://schemas.openxmlformats.org/officeDocument/2006/relationships/hyperlink" Target="psa-123122xex10_62016plan.htm" TargetMode="External"/><Relationship Id="rId69" Type="http://schemas.openxmlformats.org/officeDocument/2006/relationships/hyperlink" Target="http://www.sec.gov/Archives/edgar/data/1393311/000139331116000036/psa-20151231ex10145e220.htm" TargetMode="External"/><Relationship Id="rId77" Type="http://schemas.openxmlformats.org/officeDocument/2006/relationships/hyperlink" Target="https://www.sec.gov/Archives/edgar/data/1393311/000156276220000160/psa-20200331xex10_5.htm" TargetMode="External"/><Relationship Id="rId8" Type="http://schemas.openxmlformats.org/officeDocument/2006/relationships/hyperlink" Target="psa-123122xex3_1restatedde.htm" TargetMode="External"/><Relationship Id="rId51" Type="http://schemas.openxmlformats.org/officeDocument/2006/relationships/hyperlink" Target="https://www.sec.gov/Archives/edgar/data/1393311/000119312521324419/d257375dex42.htm" TargetMode="External"/><Relationship Id="rId72" Type="http://schemas.openxmlformats.org/officeDocument/2006/relationships/hyperlink" Target="http://www.sec.gov/Archives/edgar/data/1393311/000139331119000004/psa-20181231xex10_26.htm" TargetMode="External"/><Relationship Id="rId80" Type="http://schemas.openxmlformats.org/officeDocument/2006/relationships/hyperlink" Target="http://www.sec.gov/Archives/edgar/data/1393311/000139331122000029/psa-63022xex10_1formoftrus.htm" TargetMode="External"/><Relationship Id="rId85" Type="http://schemas.openxmlformats.org/officeDocument/2006/relationships/hyperlink" Target="psa-123122xex31_1.htm" TargetMode="External"/><Relationship Id="rId3" Type="http://schemas.openxmlformats.org/officeDocument/2006/relationships/webSettings" Target="webSettings.xml"/><Relationship Id="rId12" Type="http://schemas.openxmlformats.org/officeDocument/2006/relationships/hyperlink" Target="http://www.sec.gov/Archives/edgar/data/1393311/000119312519060872/d707503dex31.htm" TargetMode="External"/><Relationship Id="rId17" Type="http://schemas.openxmlformats.org/officeDocument/2006/relationships/hyperlink" Target="https://www.sec.gov/Archives/edgar/data/1393311/000119312520219127/d43890dex31.htm" TargetMode="External"/><Relationship Id="rId25" Type="http://schemas.openxmlformats.org/officeDocument/2006/relationships/hyperlink" Target="https://www.sec.gov/Archives/edgar/data/1393311/000139331122000010/psa-123121xex4_2.htm" TargetMode="External"/><Relationship Id="rId33" Type="http://schemas.openxmlformats.org/officeDocument/2006/relationships/hyperlink" Target="https://www.sec.gov/Archives/edgar/data/1393311/000139331122000010/psa-123121xex4_2.htm" TargetMode="External"/><Relationship Id="rId38" Type="http://schemas.openxmlformats.org/officeDocument/2006/relationships/hyperlink" Target="http://www.sec.gov/Archives/edgar/data/1393311/000119312507130364/dex101.htm" TargetMode="External"/><Relationship Id="rId46" Type="http://schemas.openxmlformats.org/officeDocument/2006/relationships/hyperlink" Target="https://www.sec.gov/Archives/edgar/data/0001393311/000119312521011436/d105642dex42.htm" TargetMode="External"/><Relationship Id="rId59" Type="http://schemas.openxmlformats.org/officeDocument/2006/relationships/hyperlink" Target="https://www.sec.gov/Archives/edgar/data/1393311/000139331116000038/psa-20160413xex10_1.htm" TargetMode="External"/><Relationship Id="rId67" Type="http://schemas.openxmlformats.org/officeDocument/2006/relationships/hyperlink" Target="http://www.sec.gov/Archives/edgar/data/1393311/000139331116000036/psa-20151231ex101227ce4.htm" TargetMode="External"/><Relationship Id="rId20" Type="http://schemas.openxmlformats.org/officeDocument/2006/relationships/hyperlink" Target="https://www.sec.gov/Archives/edgar/data/1393311/000119312521186733/d180655dex31.htm" TargetMode="External"/><Relationship Id="rId41" Type="http://schemas.openxmlformats.org/officeDocument/2006/relationships/hyperlink" Target="http://www.sec.gov/Archives/edgar/data/1393311/000119312507130364/dex101.htm" TargetMode="External"/><Relationship Id="rId54" Type="http://schemas.openxmlformats.org/officeDocument/2006/relationships/hyperlink" Target="https://www.sec.gov/Archives/edgar/data/1393311/000139331115000031/psa-20151104ex101c7717b.htm" TargetMode="External"/><Relationship Id="rId62" Type="http://schemas.openxmlformats.org/officeDocument/2006/relationships/hyperlink" Target="http://www.sec.gov/Archives/edgar/data/1393311/000139331117000008/psa-20161231xex10_19.htm" TargetMode="External"/><Relationship Id="rId70" Type="http://schemas.openxmlformats.org/officeDocument/2006/relationships/hyperlink" Target="http://www.sec.gov/Archives/edgar/data/1393311/000139331117000008/psa-20161231xex10_16.htm" TargetMode="External"/><Relationship Id="rId75" Type="http://schemas.openxmlformats.org/officeDocument/2006/relationships/hyperlink" Target="https://www.sec.gov/Archives/edgar/data/1393311/000156276220000160/psa-20200331xex10_2.htm" TargetMode="External"/><Relationship Id="rId83" Type="http://schemas.openxmlformats.org/officeDocument/2006/relationships/hyperlink" Target="psa-123122xex21.htm"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psa-123122xex3_1restatedde.htm" TargetMode="External"/><Relationship Id="rId15" Type="http://schemas.openxmlformats.org/officeDocument/2006/relationships/hyperlink" Target="http://www.sec.gov/Archives/edgar/data/1393311/000119312519312789/d847836dex31.htm" TargetMode="External"/><Relationship Id="rId23" Type="http://schemas.openxmlformats.org/officeDocument/2006/relationships/hyperlink" Target="https://www.sec.gov/Archives/edgar/data/1393311/000119312522002641/d278496dex31.htm" TargetMode="External"/><Relationship Id="rId28" Type="http://schemas.openxmlformats.org/officeDocument/2006/relationships/hyperlink" Target="https://www.sec.gov/Archives/edgar/data/1393311/000139331122000010/psa-123121xex4_2.htm" TargetMode="External"/><Relationship Id="rId36" Type="http://schemas.openxmlformats.org/officeDocument/2006/relationships/hyperlink" Target="https://www.sec.gov/Archives/edgar/data/1393311/000139331122000010/psa-123121xex4_2.htm" TargetMode="External"/><Relationship Id="rId49" Type="http://schemas.openxmlformats.org/officeDocument/2006/relationships/hyperlink" Target="https://www.sec.gov/Archives/edgar/data/1393311/000119312521128967/d135565dex44.htm" TargetMode="External"/><Relationship Id="rId57" Type="http://schemas.openxmlformats.org/officeDocument/2006/relationships/hyperlink" Target="https://www.sec.gov/Archives/edgar/data/1393311/000139331115000031/psa-20151104ex101c7717b.htm" TargetMode="External"/><Relationship Id="rId10" Type="http://schemas.openxmlformats.org/officeDocument/2006/relationships/hyperlink" Target="https://www.sec.gov/Archives/edgar/data/1393311/000119312517181653/d403845dex31.htm" TargetMode="External"/><Relationship Id="rId31" Type="http://schemas.openxmlformats.org/officeDocument/2006/relationships/hyperlink" Target="https://www.sec.gov/Archives/edgar/data/1393311/000139331122000010/psa-123121xex4_2.htm" TargetMode="External"/><Relationship Id="rId44" Type="http://schemas.openxmlformats.org/officeDocument/2006/relationships/hyperlink" Target="http://www.sec.gov/Archives/edgar/data/1393311/000119312519105162/d735473dex42.htm" TargetMode="External"/><Relationship Id="rId52" Type="http://schemas.openxmlformats.org/officeDocument/2006/relationships/hyperlink" Target="https://www.sec.gov/Archives/edgar/data/1393311/000119312521324419/d257375dex43.htm" TargetMode="External"/><Relationship Id="rId60" Type="http://schemas.openxmlformats.org/officeDocument/2006/relationships/hyperlink" Target="https://www.sec.gov/Archives/edgar/data/1393311/000139331116000038/psa-20160413xex10_1.htm" TargetMode="External"/><Relationship Id="rId65" Type="http://schemas.openxmlformats.org/officeDocument/2006/relationships/hyperlink" Target="psa-123122xex10_72021plan.htm" TargetMode="External"/><Relationship Id="rId73" Type="http://schemas.openxmlformats.org/officeDocument/2006/relationships/hyperlink" Target="http://www.sec.gov/Archives/edgar/data/1393311/000139331119000004/psa-20181231xex10_29.htm" TargetMode="External"/><Relationship Id="rId78" Type="http://schemas.openxmlformats.org/officeDocument/2006/relationships/hyperlink" Target="https://www.sec.gov/Archives/edgar/data/1393311/000156276221000287/psa-20210630xex10_1.htm" TargetMode="External"/><Relationship Id="rId81" Type="http://schemas.openxmlformats.org/officeDocument/2006/relationships/hyperlink" Target="http://www.sec.gov/Archives/edgar/data/1393311/000139331122000029/psa-63022xex10_2formofperf.htm" TargetMode="External"/><Relationship Id="rId86" Type="http://schemas.openxmlformats.org/officeDocument/2006/relationships/hyperlink" Target="psa-123122xex31_2.htm" TargetMode="External"/><Relationship Id="rId4" Type="http://schemas.openxmlformats.org/officeDocument/2006/relationships/image" Target="file:///E:\projects\LLMs\new_data_collection\data_new\htm\Public%20Storage\psa-20221231_g1.jpg" TargetMode="External"/><Relationship Id="rId9" Type="http://schemas.openxmlformats.org/officeDocument/2006/relationships/hyperlink" Target="https://www.sec.gov/Archives/edgar/data/1393311/000156276221000166/psa-20210331xex3_2.htm" TargetMode="External"/><Relationship Id="rId13" Type="http://schemas.openxmlformats.org/officeDocument/2006/relationships/hyperlink" Target="http://www.sec.gov/Archives/edgar/data/1393311/000119312519240029/d95914dex31.htm" TargetMode="External"/><Relationship Id="rId18" Type="http://schemas.openxmlformats.org/officeDocument/2006/relationships/hyperlink" Target="https://www.sec.gov/Archives/edgar/data/1393311/000119312520259620/d824439dex31.htm" TargetMode="External"/><Relationship Id="rId39" Type="http://schemas.openxmlformats.org/officeDocument/2006/relationships/hyperlink" Target="http://www.sec.gov/Archives/edgar/data/1393311/000119312507130364/dex101.htm" TargetMode="External"/><Relationship Id="rId34" Type="http://schemas.openxmlformats.org/officeDocument/2006/relationships/hyperlink" Target="https://www.sec.gov/Archives/edgar/data/1393311/000139331122000010/psa-123121xex4_2.htm" TargetMode="External"/><Relationship Id="rId50" Type="http://schemas.openxmlformats.org/officeDocument/2006/relationships/hyperlink" Target="https://www.sec.gov/Archives/edgar/data/1393311/000119312521268821/d228573dex42.htm" TargetMode="External"/><Relationship Id="rId55" Type="http://schemas.openxmlformats.org/officeDocument/2006/relationships/hyperlink" Target="https://www.sec.gov/Archives/edgar/data/1393311/000139331115000031/psa-20151104ex101c7717b.htm" TargetMode="External"/><Relationship Id="rId76" Type="http://schemas.openxmlformats.org/officeDocument/2006/relationships/hyperlink" Target="https://www.sec.gov/Archives/edgar/data/1393311/000156276220000160/psa-20200331xex10_4.htm" TargetMode="External"/><Relationship Id="rId7" Type="http://schemas.openxmlformats.org/officeDocument/2006/relationships/hyperlink" Target="psa-123122xex3_1restatedde.htm" TargetMode="External"/><Relationship Id="rId71" Type="http://schemas.openxmlformats.org/officeDocument/2006/relationships/hyperlink" Target="http://www.sec.gov/Archives/edgar/data/1393311/000139331117000008/psa-20161231xex10_18.htm" TargetMode="External"/><Relationship Id="rId2" Type="http://schemas.openxmlformats.org/officeDocument/2006/relationships/settings" Target="settings.xml"/><Relationship Id="rId29" Type="http://schemas.openxmlformats.org/officeDocument/2006/relationships/hyperlink" Target="https://www.sec.gov/Archives/edgar/data/1393311/000139331122000010/psa-123121xex4_2.htm" TargetMode="External"/><Relationship Id="rId24" Type="http://schemas.openxmlformats.org/officeDocument/2006/relationships/hyperlink" Target="https://www.sec.gov/Archives/edgar/data/1393311/000139331122000010/psa-123121xex4_2.htm" TargetMode="External"/><Relationship Id="rId40" Type="http://schemas.openxmlformats.org/officeDocument/2006/relationships/hyperlink" Target="http://www.sec.gov/Archives/edgar/data/1393311/000119312507130364/dex101.htm" TargetMode="External"/><Relationship Id="rId45" Type="http://schemas.openxmlformats.org/officeDocument/2006/relationships/hyperlink" Target="http://www.sec.gov/Archives/edgar/data/1393311/000119312520014211/d877682dex42.htm" TargetMode="External"/><Relationship Id="rId66" Type="http://schemas.openxmlformats.org/officeDocument/2006/relationships/hyperlink" Target="http://www.sec.gov/Archives/edgar/data/1393311/000139331116000036/psa-20151231ex10116996e.htm" TargetMode="External"/><Relationship Id="rId87" Type="http://schemas.openxmlformats.org/officeDocument/2006/relationships/hyperlink" Target="psa-123122xex32.htm" TargetMode="External"/><Relationship Id="rId61" Type="http://schemas.openxmlformats.org/officeDocument/2006/relationships/hyperlink" Target="http://www.sec.gov/Archives/edgar/data/1393311/000119312519112437/d738199dex101.htm" TargetMode="External"/><Relationship Id="rId82" Type="http://schemas.openxmlformats.org/officeDocument/2006/relationships/hyperlink" Target="http://www.sec.gov/Archives/edgar/data/1393311/000139331122000029/psa-63022xex10_3formofperf.htm" TargetMode="External"/><Relationship Id="rId19" Type="http://schemas.openxmlformats.org/officeDocument/2006/relationships/hyperlink" Target="https://www.sec.gov/Archives/edgar/data/1393311/000119312520293004/d24818dex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55208</Words>
  <Characters>314686</Characters>
  <Application>Microsoft Office Word</Application>
  <DocSecurity>0</DocSecurity>
  <Lines>2622</Lines>
  <Paragraphs>738</Paragraphs>
  <ScaleCrop>false</ScaleCrop>
  <Company/>
  <LinksUpToDate>false</LinksUpToDate>
  <CharactersWithSpaces>369156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psa-20221231</dc:title>
  <dc:subject/>
  <dc:creator>Chongjian.Yue</dc:creator>
  <cp:keywords/>
  <dc:description/>
  <cp:lastModifiedBy>Yue Chongjian</cp:lastModifiedBy>
  <cp:revision>1</cp:revision>
  <dcterms:created xsi:type="dcterms:W3CDTF">2024-01-04T15:58:00Z</dcterms:created>
  <dcterms:modified xsi:type="dcterms:W3CDTF">2024-01-04T15:58:00Z</dcterms:modified>
</cp:coreProperties>
</file>