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02C02">
      <w:pPr>
        <w:divId w:val="221454713"/>
        <w:rPr>
          <w:rFonts w:eastAsia="Times New Roman"/>
          <w:vanish/>
        </w:rPr>
      </w:pPr>
      <w:r>
        <w:rPr>
          <w:rFonts w:eastAsia="Times New Roman"/>
          <w:vanish/>
        </w:rPr>
        <w:t>QUALCOMM INC/DE00008043282020Q2FALSE--09-27P0Y6M0DP1Y0M0DP1Y0M0DP1Y0M0DP1Y0M0DP1Y0M0D00008043282019-09-302020-03-29xbrli:shares00008043282020-04-27iso4217:USD00008043282020-03-2900008043282019-09-29iso4217:USDxbrli:shares00008043282019-12-30</w:t>
      </w:r>
      <w:r>
        <w:rPr>
          <w:rFonts w:eastAsia="Times New Roman"/>
          <w:vanish/>
        </w:rPr>
        <w:t>2020-03-2900008043282018-12-312019-03-3100008043282018-10-012019-03-3100008043282018-09-3000008043282019-03-3100008043282019-12-2900008043282018-12-300000804328us-gaap:CommonStockIncludingAdditionalPaidInCapitalMember2019-12-290000804328us-gaap:CommonStock</w:t>
      </w:r>
      <w:r>
        <w:rPr>
          <w:rFonts w:eastAsia="Times New Roman"/>
          <w:vanish/>
        </w:rPr>
        <w:t>IncludingAdditionalPaidInCapitalMember2018-12-300000804328us-gaap:CommonStockIncludingAdditionalPaidInCapitalMember2019-09-290000804328us-gaap:CommonStockIncludingAdditionalPaidInCapitalMember2018-09-300000804328us-gaap:CommonStockIncludingAdditionalPaidIn</w:t>
      </w:r>
      <w:r>
        <w:rPr>
          <w:rFonts w:eastAsia="Times New Roman"/>
          <w:vanish/>
        </w:rPr>
        <w:t>CapitalMember2019-12-302020-03-290000804328us-gaap:CommonStockIncludingAdditionalPaidInCapitalMember2018-12-312019-03-310000804328us-gaap:CommonStockIncludingAdditionalPaidInCapitalMember2019-09-302020-03-290000804328us-gaap:CommonStockIncludingAdditionalP</w:t>
      </w:r>
      <w:r>
        <w:rPr>
          <w:rFonts w:eastAsia="Times New Roman"/>
          <w:vanish/>
        </w:rPr>
        <w:t>aidInCapitalMember2018-10-012019-03-310000804328us-gaap:CommonStockIncludingAdditionalPaidInCapitalMember2020-03-290000804328us-gaap:CommonStockIncludingAdditionalPaidInCapitalMember2019-03-310000804328us-gaap:RetainedEarningsMember2019-12-290000804328us-g</w:t>
      </w:r>
      <w:r>
        <w:rPr>
          <w:rFonts w:eastAsia="Times New Roman"/>
          <w:vanish/>
        </w:rPr>
        <w:t>aap:RetainedEarningsMember2018-12-300000804328us-gaap:RetainedEarningsMember2019-09-290000804328us-gaap:RetainedEarningsMember2018-09-300000804328us-gaap:RetainedEarningsMember2019-12-302020-03-290000804328us-gaap:RetainedEarningsMember2018-12-312019-03-31</w:t>
      </w:r>
      <w:r>
        <w:rPr>
          <w:rFonts w:eastAsia="Times New Roman"/>
          <w:vanish/>
        </w:rPr>
        <w:t>0000804328us-gaap:RetainedEarningsMember2019-09-302020-03-290000804328us-gaap:RetainedEarningsMember2018-10-012019-03-310000804328us-gaap:RetainedEarningsMember2020-03-290000804328us-gaap:RetainedEarningsMember2019-03-310000804328us-gaap:AccumulatedOtherCo</w:t>
      </w:r>
      <w:r>
        <w:rPr>
          <w:rFonts w:eastAsia="Times New Roman"/>
          <w:vanish/>
        </w:rPr>
        <w:t>mprehensiveIncomeMember2019-12-290000804328us-gaap:AccumulatedOtherComprehensiveIncomeMember2018-12-300000804328us-gaap:AccumulatedOtherComprehensiveIncomeMember2019-09-290000804328us-gaap:AccumulatedOtherComprehensiveIncomeMember2018-09-300000804328us-gaa</w:t>
      </w:r>
      <w:r>
        <w:rPr>
          <w:rFonts w:eastAsia="Times New Roman"/>
          <w:vanish/>
        </w:rPr>
        <w:t>p:AccumulatedOtherComprehensiveIncomeMember2019-12-302020-03-290000804328us-gaap:AccumulatedOtherComprehensiveIncomeMember2018-12-312019-03-310000804328us-gaap:AccumulatedOtherComprehensiveIncomeMember2019-09-302020-03-290000804328us-gaap:AccumulatedOtherC</w:t>
      </w:r>
      <w:r>
        <w:rPr>
          <w:rFonts w:eastAsia="Times New Roman"/>
          <w:vanish/>
        </w:rPr>
        <w:t>omprehensiveIncomeMember2018-10-012019-03-310000804328us-gaap:AccumulatedOtherComprehensiveIncomeMember2020-03-290000804328us-gaap:AccumulatedOtherComprehensiveIncomeMember2019-03-3100008043282019-09-300000804328us-gaap:CommercialPaperMemberqcom:November20</w:t>
      </w:r>
      <w:r>
        <w:rPr>
          <w:rFonts w:eastAsia="Times New Roman"/>
          <w:vanish/>
        </w:rPr>
        <w:t>21Member2020-03-290000804328us-gaap:CommercialPaperMemberqcom:November2021Memberus-gaap:SubsequentEventMember2020-03-300000804328us-gaap:RevolvingCreditFacilityMemberqcom:November2021Member2020-03-290000804328us-gaap:InterestRateSwapMember2020-03-290000804</w:t>
      </w:r>
      <w:r>
        <w:rPr>
          <w:rFonts w:eastAsia="Times New Roman"/>
          <w:vanish/>
        </w:rPr>
        <w:t>328us-gaap:InterestRateSwapMember2019-09-29xbrli:pure0000804328qcom:FixedRate300NotesDueMay202022Member2020-03-2900008043282020-03-302020-03-2900008043282020-09-282020-03-2900008043282021-09-272020-03-2900008043282022-09-262020-03-2900008043282023-09-25202</w:t>
      </w:r>
      <w:r>
        <w:rPr>
          <w:rFonts w:eastAsia="Times New Roman"/>
          <w:vanish/>
        </w:rPr>
        <w:t>0-03-2900008043282024-09-302020-03-290000804328qcom:KFTCMember2018-12-312019-03-310000804328qcom:KFTCMember2018-10-012019-03-310000804328srt:ScenarioForecastMember2019-09-302020-09-270000804328srt:ScenarioForecastMemberqcom:FDIIEffectiveTaxRateMember2019-0</w:t>
      </w:r>
      <w:r>
        <w:rPr>
          <w:rFonts w:eastAsia="Times New Roman"/>
          <w:vanish/>
        </w:rPr>
        <w:t>9-302020-09-270000804328us-gaap:InternalRevenueServiceIRSMember2019-12-302020-03-2900008043282018-07-260000804328qcom:OpenMarketRepurchasesMember2019-09-302020-03-290000804328qcom:OpenMarketRepurchasesMember2018-10-012019-03-310000804328qcom:A10Bstockrepur</w:t>
      </w:r>
      <w:r>
        <w:rPr>
          <w:rFonts w:eastAsia="Times New Roman"/>
          <w:vanish/>
        </w:rPr>
        <w:t>chaseprogramannouncedMay92018Member2020-03-2900008043282020-03-100000804328us-gaap:SubsequentEventMember2020-04-212020-04-210000804328us-gaap:SubsequentEventMember2020-06-252020-06-250000804328us-gaap:SubsequentEventMember2020-06-042020-06-04iso4217:KRW000</w:t>
      </w:r>
      <w:r>
        <w:rPr>
          <w:rFonts w:eastAsia="Times New Roman"/>
          <w:vanish/>
        </w:rPr>
        <w:t>0804328qcom:KFTCMembercurrency:KRW2017-09-252017-12-240000804328qcom:KFTCMember2017-03-302017-03-30iso4217:EUR0000804328qcom:IceraComplainttoECMembercurrency:EUR2019-07-182019-07-180000804328qcom:IceraComplainttoECMember2019-04-012019-06-300000804328qcom:I</w:t>
      </w:r>
      <w:r>
        <w:rPr>
          <w:rFonts w:eastAsia="Times New Roman"/>
          <w:vanish/>
        </w:rPr>
        <w:t>ceraComplainttoECMember2020-03-290000804328qcom:ECMembercurrency:EUR2018-01-242018-01-240000804328qcom:ECMember2017-09-252017-12-240000804328qcom:ECMember2020-03-290000804328qcom:QctMember2019-12-302020-03-290000804328qcom:QctMember2018-12-312019-03-310000</w:t>
      </w:r>
      <w:r>
        <w:rPr>
          <w:rFonts w:eastAsia="Times New Roman"/>
          <w:vanish/>
        </w:rPr>
        <w:t>804328qcom:QctMember2019-09-302020-03-290000804328qcom:QctMember2018-10-012019-03-310000804328qcom:QtlMember2019-12-302020-03-290000804328qcom:QtlMember2018-12-312019-03-310000804328qcom:QtlMember2019-09-302020-03-290000804328qcom:QtlMember2018-10-012019-0</w:t>
      </w:r>
      <w:r>
        <w:rPr>
          <w:rFonts w:eastAsia="Times New Roman"/>
          <w:vanish/>
        </w:rPr>
        <w:t>3-310000804328qcom:QsiMember2019-12-302020-03-290000804328qcom:QsiMember2018-12-312019-03-310000804328qcom:QsiMember2019-09-302020-03-290000804328qcom:QsiMember2018-10-012019-03-310000804328us-gaap:MaterialReconcilingItemsMember2019-12-302020-03-2900008043</w:t>
      </w:r>
      <w:r>
        <w:rPr>
          <w:rFonts w:eastAsia="Times New Roman"/>
          <w:vanish/>
        </w:rPr>
        <w:t>28us-gaap:MaterialReconcilingItemsMember2018-12-312019-03-310000804328us-gaap:MaterialReconcilingItemsMember2019-09-302020-03-290000804328us-gaap:MaterialReconcilingItemsMember2018-10-012019-03-310000804328qcom:QctMember2020-03-290000804328qcom:QctMember20</w:t>
      </w:r>
      <w:r>
        <w:rPr>
          <w:rFonts w:eastAsia="Times New Roman"/>
          <w:vanish/>
        </w:rPr>
        <w:t>19-09-290000804328qcom:QtlMember2020-03-290000804328qcom:QtlMember2019-09-290000804328qcom:QsiMember2020-03-290000804328qcom:QsiMember2019-09-290000804328us-gaap:MaterialReconcilingItemsMember2020-03-290000804328us-gaap:MaterialReconcilingItemsMember2019-0</w:t>
      </w:r>
      <w:r>
        <w:rPr>
          <w:rFonts w:eastAsia="Times New Roman"/>
          <w:vanish/>
        </w:rPr>
        <w:t>9-290000804328us-gaap:AllOtherSegmentsMember2019-12-302020-03-290000804328us-gaap:AllOtherSegmentsMember2018-12-312019-03-310000804328us-gaap:AllOtherSegmentsMember2019-09-302020-03-290000804328us-gaap:AllOtherSegmentsMember2018-10-012019-03-310000804328us</w:t>
      </w:r>
      <w:r>
        <w:rPr>
          <w:rFonts w:eastAsia="Times New Roman"/>
          <w:vanish/>
        </w:rPr>
        <w:t>-gaap:FairValueInputsLevel1Memberus-gaap:FairValueMeasurementsRecurringMember2020-03-290000804328us-gaap:FairValueInputsLevel2Memberus-gaap:FairValueMeasurementsRecurringMember2020-03-290000804328us-gaap:FairValueInputsLevel3Memberus-gaap:FairValueMeasurem</w:t>
      </w:r>
      <w:r>
        <w:rPr>
          <w:rFonts w:eastAsia="Times New Roman"/>
          <w:vanish/>
        </w:rPr>
        <w:t>entsRecurringMember2020-03-290000804328us-gaap:FairValueMeasurementsRecurringMember2020-03-290000804328us-gaap:FairValueInputsLevel1Memberus-gaap:USTreasuryAndGovernmentMemberus-gaap:FairValueMeasurementsRecurringMember2020-03-290000804328us-gaap:USTreasur</w:t>
      </w:r>
      <w:r>
        <w:rPr>
          <w:rFonts w:eastAsia="Times New Roman"/>
          <w:vanish/>
        </w:rPr>
        <w:t>yAndGovernmentMemberus-gaap:FairValueInputsLevel2Memberus-gaap:FairValueMeasurementsRecurringMember2020-03-290000804328us-gaap:FairValueInputsLevel3Memberus-gaap:USTreasuryAndGovernmentMemberus-gaap:FairValueMeasurementsRecurringMember2020-03-290000804328u</w:t>
      </w:r>
      <w:r>
        <w:rPr>
          <w:rFonts w:eastAsia="Times New Roman"/>
          <w:vanish/>
        </w:rPr>
        <w:t>s-gaap:USTreasuryAndGovernmentMemberus-gaap:FairValueMeasurementsRecurringMember2020-03-290000804328us-gaap:CorporateDebtSecuritiesMemberus-gaap:FairValueInputsLevel1Memberus-gaap:FairValueMeasurementsRecurringMember2020-03-290000804328us-gaap:CorporateDeb</w:t>
      </w:r>
      <w:r>
        <w:rPr>
          <w:rFonts w:eastAsia="Times New Roman"/>
          <w:vanish/>
        </w:rPr>
        <w:t>tSecuritiesMemberus-gaap:FairValueInputsLevel2Memberus-gaap:FairValueMeasurementsRecurringMember2020-03-290000804328us-gaap:FairValueInputsLevel3Memberus-gaap:CorporateDebtSecuritiesMemberus-gaap:FairValueMeasurementsRecurringMember2020-03-290000804328us-g</w:t>
      </w:r>
      <w:r>
        <w:rPr>
          <w:rFonts w:eastAsia="Times New Roman"/>
          <w:vanish/>
        </w:rPr>
        <w:t>aap:CorporateDebtSecuritiesMemberus-gaap:FairValueMeasurementsRecurringMember2020-03-290000804328us-gaap:FairValueInputsLevel1Memberus-gaap:FairValueMeasurementsRecurringMemberqcom:MortgageandassetbackedandauctionratesecuritiesMember2020-03-290000804328us-</w:t>
      </w:r>
      <w:r>
        <w:rPr>
          <w:rFonts w:eastAsia="Times New Roman"/>
          <w:vanish/>
        </w:rPr>
        <w:t>gaap:FairValueInputsLevel2Memberus-gaap:FairValueMeasurementsRecurringMemberqcom:MortgageandassetbackedandauctionratesecuritiesMember2020-03-290000804328us-gaap:FairValueInputsLevel3Memberus-gaap:FairValueMeasurementsRecurringMemberqcom:Mortgageandassetbac</w:t>
      </w:r>
      <w:r>
        <w:rPr>
          <w:rFonts w:eastAsia="Times New Roman"/>
          <w:vanish/>
        </w:rPr>
        <w:t>kedandauctionratesecuritiesMember2020-03-290000804328qcom:MortgageandassetbackedandauctionratesecuritiesMemberus-gaap:FairValueMeasurementsRecurringMember2020-03-290000804328us-gaap:FairValueInputsLevel1Memberus-gaap:EquitySecuritiesMemberus-gaap:FairValue</w:t>
      </w:r>
      <w:r>
        <w:rPr>
          <w:rFonts w:eastAsia="Times New Roman"/>
          <w:vanish/>
        </w:rPr>
        <w:t>MeasurementsRecurringMember2020-03-290000804328us-gaap:EquitySecuritiesMemberus-gaap:FairValueInputsLevel2Memberus-gaap:FairValueMeasurementsRecurringMember2020-03-290000804328us-gaap:FairValueInputsLevel3Memberus-gaap:EquitySecuritiesMemberus-gaap:FairVal</w:t>
      </w:r>
      <w:r>
        <w:rPr>
          <w:rFonts w:eastAsia="Times New Roman"/>
          <w:vanish/>
        </w:rPr>
        <w:t>ueMeasurementsRecurringMember2020-03-290000804328us-gaap:EquitySecuritiesMemberus-gaap:FairValueMeasurementsRecurringMember2020-03-290000804328us-gaap:USTreasuryAndGovernmentMember2020-03-290000804328us-gaap:USTreasuryAndGovernmentMember2019-09-29000080432</w:t>
      </w:r>
      <w:r>
        <w:rPr>
          <w:rFonts w:eastAsia="Times New Roman"/>
          <w:vanish/>
        </w:rPr>
        <w:t>8us-gaap:CorporateBondSecuritiesMember2020-03-290000804328us-gaap:CorporateBondSecuritiesMember2019-09-290000804328qcom:MortgageandassetbackedandauctionratesecuritiesMember2020-03-290000804328qcom:MortgageandassetbackedandauctionratesecuritiesMember2019-09</w:t>
      </w:r>
      <w:r>
        <w:rPr>
          <w:rFonts w:eastAsia="Times New Roman"/>
          <w:vanish/>
        </w:rPr>
        <w:t>-290000804328us-gaap:EquitySecuritiesMember2020-03-290000804328us-gaap:EquitySecuritiesMember2019-09-29</w:t>
      </w:r>
    </w:p>
    <w:p w:rsidR="00000000" w:rsidRDefault="00602C02">
      <w:pPr>
        <w:jc w:val="center"/>
        <w:divId w:val="498547050"/>
        <w:rPr>
          <w:rFonts w:eastAsia="Times New Roman"/>
        </w:rPr>
      </w:pPr>
    </w:p>
    <w:tbl>
      <w:tblPr>
        <w:tblW w:w="4947" w:type="pct"/>
        <w:jc w:val="center"/>
        <w:tblCellMar>
          <w:top w:w="15" w:type="dxa"/>
          <w:left w:w="15" w:type="dxa"/>
          <w:bottom w:w="15" w:type="dxa"/>
          <w:right w:w="15" w:type="dxa"/>
        </w:tblCellMar>
        <w:tblLook w:val="04A0" w:firstRow="1" w:lastRow="0" w:firstColumn="1" w:lastColumn="0" w:noHBand="0" w:noVBand="1"/>
      </w:tblPr>
      <w:tblGrid>
        <w:gridCol w:w="83"/>
        <w:gridCol w:w="1480"/>
        <w:gridCol w:w="83"/>
        <w:gridCol w:w="82"/>
        <w:gridCol w:w="1479"/>
        <w:gridCol w:w="82"/>
        <w:gridCol w:w="82"/>
        <w:gridCol w:w="1479"/>
        <w:gridCol w:w="82"/>
        <w:gridCol w:w="82"/>
        <w:gridCol w:w="1479"/>
        <w:gridCol w:w="82"/>
        <w:gridCol w:w="82"/>
        <w:gridCol w:w="1479"/>
        <w:gridCol w:w="82"/>
      </w:tblGrid>
      <w:tr w:rsidR="00000000">
        <w:trPr>
          <w:divId w:val="1519393144"/>
          <w:jc w:val="center"/>
        </w:trPr>
        <w:tc>
          <w:tcPr>
            <w:tcW w:w="50" w:type="pct"/>
            <w:vAlign w:val="center"/>
            <w:hideMark/>
          </w:tcPr>
          <w:p w:rsidR="00000000" w:rsidRDefault="00602C02">
            <w:pPr>
              <w:jc w:val="center"/>
              <w:rPr>
                <w:rFonts w:eastAsia="Times New Roman"/>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519393144"/>
          <w:trHeight w:val="60"/>
          <w:jc w:val="center"/>
        </w:trPr>
        <w:tc>
          <w:tcPr>
            <w:tcW w:w="0" w:type="auto"/>
            <w:gridSpan w:val="3"/>
            <w:tcBorders>
              <w:bottom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r>
    </w:tbl>
    <w:p w:rsidR="00000000" w:rsidRDefault="00602C02">
      <w:pPr>
        <w:jc w:val="center"/>
        <w:rPr>
          <w:rFonts w:eastAsia="Times New Roman"/>
        </w:rPr>
      </w:pPr>
      <w:r>
        <w:rPr>
          <w:rFonts w:eastAsia="Times New Roman"/>
          <w:b/>
          <w:bCs/>
          <w:color w:val="000000"/>
        </w:rPr>
        <w:t>UNITED STATE</w:t>
      </w:r>
      <w:r>
        <w:rPr>
          <w:rFonts w:eastAsia="Times New Roman"/>
          <w:b/>
          <w:bCs/>
          <w:color w:val="000000"/>
        </w:rPr>
        <w:t>S</w:t>
      </w:r>
    </w:p>
    <w:p w:rsidR="00000000" w:rsidRDefault="00602C02">
      <w:pPr>
        <w:jc w:val="center"/>
        <w:rPr>
          <w:rFonts w:eastAsia="Times New Roman"/>
        </w:rPr>
      </w:pPr>
      <w:r>
        <w:rPr>
          <w:rFonts w:eastAsia="Times New Roman"/>
          <w:b/>
          <w:bCs/>
          <w:color w:val="000000"/>
        </w:rPr>
        <w:t>SECURITIES AND EXCHANGE COMMISSIO</w:t>
      </w:r>
      <w:r>
        <w:rPr>
          <w:rFonts w:eastAsia="Times New Roman"/>
          <w:b/>
          <w:bCs/>
          <w:color w:val="000000"/>
        </w:rPr>
        <w:t>N</w:t>
      </w:r>
    </w:p>
    <w:p w:rsidR="00000000" w:rsidRDefault="00602C02">
      <w:pPr>
        <w:jc w:val="center"/>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rsidR="00000000" w:rsidRDefault="00602C02">
      <w:pPr>
        <w:jc w:val="center"/>
        <w:rPr>
          <w:rFonts w:eastAsia="Times New Roman"/>
        </w:rPr>
      </w:pPr>
      <w:r>
        <w:rPr>
          <w:rFonts w:eastAsia="Times New Roman"/>
          <w:b/>
          <w:bCs/>
          <w:color w:val="000000"/>
        </w:rPr>
        <w:t>____________________</w:t>
      </w:r>
      <w:r>
        <w:rPr>
          <w:rFonts w:eastAsia="Times New Roman"/>
          <w:b/>
          <w:bCs/>
          <w:color w:val="000000"/>
        </w:rPr>
        <w:t>_</w:t>
      </w:r>
    </w:p>
    <w:p w:rsidR="00000000" w:rsidRDefault="00602C02">
      <w:pPr>
        <w:jc w:val="center"/>
        <w:divId w:val="323748340"/>
        <w:rPr>
          <w:rFonts w:eastAsia="Times New Roman"/>
        </w:rPr>
      </w:pPr>
      <w:r>
        <w:rPr>
          <w:rFonts w:eastAsia="Times New Roman"/>
          <w:b/>
          <w:bCs/>
          <w:color w:val="000000"/>
          <w:sz w:val="36"/>
          <w:szCs w:val="36"/>
        </w:rPr>
        <w:t>FORM 10-Q</w:t>
      </w:r>
      <w:r>
        <w:rPr>
          <w:rFonts w:eastAsia="Times New Roman"/>
          <w:b/>
          <w:bCs/>
          <w:color w:val="000000"/>
          <w:sz w:val="36"/>
          <w:szCs w:val="36"/>
        </w:rPr>
        <w:t xml:space="preserve"> </w:t>
      </w:r>
    </w:p>
    <w:p w:rsidR="00000000" w:rsidRDefault="00602C02">
      <w:pPr>
        <w:jc w:val="center"/>
        <w:rPr>
          <w:rFonts w:eastAsia="Times New Roman"/>
        </w:rPr>
      </w:pPr>
      <w:r>
        <w:rPr>
          <w:rFonts w:eastAsia="Times New Roman"/>
          <w:b/>
          <w:bCs/>
          <w:color w:val="000000"/>
        </w:rPr>
        <w:t>____________________</w:t>
      </w:r>
      <w:r>
        <w:rPr>
          <w:rFonts w:eastAsia="Times New Roman"/>
          <w:b/>
          <w:bCs/>
          <w:color w:val="000000"/>
        </w:rPr>
        <w:t>_</w:t>
      </w:r>
    </w:p>
    <w:p w:rsidR="00000000" w:rsidRDefault="00602C02">
      <w:pPr>
        <w:divId w:val="2031831327"/>
        <w:rPr>
          <w:rFonts w:eastAsia="Times New Roman"/>
        </w:rPr>
      </w:pPr>
      <w:r>
        <w:rPr>
          <w:rFonts w:eastAsia="Times New Roman"/>
          <w:b/>
          <w:bCs/>
          <w:color w:val="000000"/>
          <w:sz w:val="20"/>
          <w:szCs w:val="20"/>
        </w:rPr>
        <w:t>(Mark one</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389"/>
        <w:gridCol w:w="83"/>
        <w:gridCol w:w="83"/>
        <w:gridCol w:w="7585"/>
        <w:gridCol w:w="83"/>
      </w:tblGrid>
      <w:tr w:rsidR="00000000">
        <w:trPr>
          <w:divId w:val="2004778137"/>
        </w:trPr>
        <w:tc>
          <w:tcPr>
            <w:tcW w:w="50" w:type="pct"/>
            <w:vAlign w:val="center"/>
            <w:hideMark/>
          </w:tcPr>
          <w:p w:rsidR="00000000" w:rsidRDefault="00602C02">
            <w:pPr>
              <w:rPr>
                <w:rFonts w:eastAsia="Times New Roman"/>
              </w:rPr>
            </w:pPr>
          </w:p>
        </w:tc>
        <w:tc>
          <w:tcPr>
            <w:tcW w:w="23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56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2004778137"/>
        </w:trPr>
        <w:tc>
          <w:tcPr>
            <w:tcW w:w="0" w:type="auto"/>
            <w:gridSpan w:val="3"/>
            <w:tcMar>
              <w:top w:w="30" w:type="dxa"/>
              <w:left w:w="20" w:type="dxa"/>
              <w:bottom w:w="30" w:type="dxa"/>
              <w:right w:w="20" w:type="dxa"/>
            </w:tcMar>
            <w:hideMark/>
          </w:tcPr>
          <w:p w:rsidR="00000000" w:rsidRDefault="00602C02">
            <w:pPr>
              <w:jc w:val="center"/>
              <w:divId w:val="1274020605"/>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20"/>
                <w:szCs w:val="20"/>
              </w:rPr>
              <w:t>QUARTERLY REPORT PURSUANT TO SECTION 13 OR 15(d) OF THE SECURITIES EXCHANGE ACT OF 193</w:t>
            </w:r>
            <w:r>
              <w:rPr>
                <w:rFonts w:eastAsia="Times New Roman"/>
                <w:b/>
                <w:bCs/>
                <w:color w:val="000000"/>
                <w:sz w:val="20"/>
                <w:szCs w:val="20"/>
              </w:rPr>
              <w:t>4</w:t>
            </w:r>
          </w:p>
        </w:tc>
      </w:tr>
    </w:tbl>
    <w:p w:rsidR="00000000" w:rsidRDefault="00602C02">
      <w:pPr>
        <w:jc w:val="center"/>
        <w:rPr>
          <w:rFonts w:eastAsia="Times New Roman"/>
        </w:rPr>
      </w:pPr>
      <w:r>
        <w:rPr>
          <w:rFonts w:eastAsia="Times New Roman"/>
          <w:b/>
          <w:bCs/>
          <w:color w:val="000000"/>
          <w:sz w:val="20"/>
          <w:szCs w:val="20"/>
        </w:rPr>
        <w:t>For the quarterly period ended March 29, 202</w:t>
      </w:r>
      <w:r>
        <w:rPr>
          <w:rFonts w:eastAsia="Times New Roman"/>
          <w:b/>
          <w:bCs/>
          <w:color w:val="000000"/>
          <w:sz w:val="20"/>
          <w:szCs w:val="20"/>
        </w:rPr>
        <w:t>0</w:t>
      </w:r>
    </w:p>
    <w:p w:rsidR="00000000" w:rsidRDefault="00602C02">
      <w:pPr>
        <w:jc w:val="center"/>
        <w:divId w:val="727416174"/>
        <w:rPr>
          <w:rFonts w:eastAsia="Times New Roman"/>
        </w:rPr>
      </w:pPr>
      <w:r>
        <w:rPr>
          <w:rFonts w:eastAsia="Times New Roman"/>
          <w:b/>
          <w:bCs/>
          <w:color w:val="000000"/>
          <w:sz w:val="20"/>
          <w:szCs w:val="20"/>
        </w:rPr>
        <w:t>O</w:t>
      </w:r>
      <w:r>
        <w:rPr>
          <w:rFonts w:eastAsia="Times New Roman"/>
          <w:b/>
          <w:bCs/>
          <w:color w:val="000000"/>
          <w:sz w:val="20"/>
          <w:szCs w:val="20"/>
        </w:rPr>
        <w:t>R</w:t>
      </w:r>
    </w:p>
    <w:tbl>
      <w:tblPr>
        <w:tblW w:w="5000" w:type="pct"/>
        <w:tblCellMar>
          <w:top w:w="15" w:type="dxa"/>
          <w:left w:w="15" w:type="dxa"/>
          <w:bottom w:w="15" w:type="dxa"/>
          <w:right w:w="15" w:type="dxa"/>
        </w:tblCellMar>
        <w:tblLook w:val="04A0" w:firstRow="1" w:lastRow="0" w:firstColumn="1" w:lastColumn="0" w:noHBand="0" w:noVBand="1"/>
      </w:tblPr>
      <w:tblGrid>
        <w:gridCol w:w="83"/>
        <w:gridCol w:w="389"/>
        <w:gridCol w:w="83"/>
        <w:gridCol w:w="83"/>
        <w:gridCol w:w="7585"/>
        <w:gridCol w:w="83"/>
      </w:tblGrid>
      <w:tr w:rsidR="00000000">
        <w:trPr>
          <w:divId w:val="1344282614"/>
        </w:trPr>
        <w:tc>
          <w:tcPr>
            <w:tcW w:w="50" w:type="pct"/>
            <w:vAlign w:val="center"/>
            <w:hideMark/>
          </w:tcPr>
          <w:p w:rsidR="00000000" w:rsidRDefault="00602C02">
            <w:pPr>
              <w:jc w:val="center"/>
              <w:rPr>
                <w:rFonts w:eastAsia="Times New Roman"/>
              </w:rPr>
            </w:pPr>
          </w:p>
        </w:tc>
        <w:tc>
          <w:tcPr>
            <w:tcW w:w="23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56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344282614"/>
        </w:trPr>
        <w:tc>
          <w:tcPr>
            <w:tcW w:w="0" w:type="auto"/>
            <w:gridSpan w:val="3"/>
            <w:tcMar>
              <w:top w:w="30" w:type="dxa"/>
              <w:left w:w="20" w:type="dxa"/>
              <w:bottom w:w="30" w:type="dxa"/>
              <w:right w:w="20" w:type="dxa"/>
            </w:tcMar>
            <w:hideMark/>
          </w:tcPr>
          <w:p w:rsidR="00000000" w:rsidRDefault="00602C02">
            <w:pPr>
              <w:jc w:val="center"/>
              <w:divId w:val="28722168"/>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20"/>
                <w:szCs w:val="20"/>
              </w:rPr>
              <w:t>TRANSITION REPORT PURSUANT TO SECTION 13 OR 15(d) OF THE SECURITIES EXCHANGE ACT OF 193</w:t>
            </w:r>
            <w:r>
              <w:rPr>
                <w:rFonts w:eastAsia="Times New Roman"/>
                <w:b/>
                <w:bCs/>
                <w:color w:val="000000"/>
                <w:sz w:val="20"/>
                <w:szCs w:val="20"/>
              </w:rPr>
              <w:t>4</w:t>
            </w:r>
          </w:p>
        </w:tc>
      </w:tr>
    </w:tbl>
    <w:p w:rsidR="00000000" w:rsidRDefault="00602C02">
      <w:pPr>
        <w:jc w:val="center"/>
        <w:divId w:val="529537912"/>
        <w:rPr>
          <w:rFonts w:eastAsia="Times New Roman"/>
        </w:rPr>
      </w:pPr>
      <w:r>
        <w:rPr>
          <w:rFonts w:eastAsia="Times New Roman"/>
          <w:b/>
          <w:bCs/>
          <w:color w:val="000000"/>
          <w:sz w:val="20"/>
          <w:szCs w:val="20"/>
        </w:rPr>
        <w:t>For the transition period from</w:t>
      </w:r>
      <w:r>
        <w:rPr>
          <w:rFonts w:eastAsia="Times New Roman"/>
          <w:b/>
          <w:bCs/>
          <w:color w:val="000000"/>
          <w:sz w:val="20"/>
          <w:szCs w:val="20"/>
        </w:rPr>
        <w:t xml:space="preserve"> </w:t>
      </w:r>
      <w:r>
        <w:rPr>
          <w:rFonts w:eastAsia="Times New Roman"/>
          <w:b/>
          <w:bCs/>
          <w:color w:val="000000"/>
          <w:sz w:val="20"/>
          <w:szCs w:val="20"/>
          <w:u w:val="single"/>
        </w:rPr>
        <w:t>                   </w:t>
      </w:r>
      <w:r>
        <w:rPr>
          <w:rFonts w:eastAsia="Times New Roman"/>
          <w:b/>
          <w:bCs/>
          <w:color w:val="000000"/>
          <w:sz w:val="20"/>
          <w:szCs w:val="20"/>
          <w:u w:val="single"/>
        </w:rPr>
        <w:t> </w:t>
      </w:r>
      <w:r>
        <w:rPr>
          <w:rFonts w:eastAsia="Times New Roman"/>
          <w:b/>
          <w:bCs/>
          <w:color w:val="000000"/>
          <w:sz w:val="20"/>
          <w:szCs w:val="20"/>
        </w:rPr>
        <w:t xml:space="preserve"> to</w:t>
      </w:r>
      <w:r>
        <w:rPr>
          <w:rFonts w:eastAsia="Times New Roman"/>
          <w:b/>
          <w:bCs/>
          <w:color w:val="000000"/>
          <w:sz w:val="20"/>
          <w:szCs w:val="20"/>
        </w:rPr>
        <w:t xml:space="preserve"> </w:t>
      </w:r>
      <w:r>
        <w:rPr>
          <w:rFonts w:eastAsia="Times New Roman"/>
          <w:b/>
          <w:bCs/>
          <w:color w:val="000000"/>
          <w:sz w:val="20"/>
          <w:szCs w:val="20"/>
          <w:u w:val="single"/>
        </w:rPr>
        <w:t>                   </w:t>
      </w:r>
      <w:r>
        <w:rPr>
          <w:rFonts w:eastAsia="Times New Roman"/>
          <w:b/>
          <w:bCs/>
          <w:color w:val="000000"/>
          <w:sz w:val="20"/>
          <w:szCs w:val="20"/>
          <w:u w:val="single"/>
        </w:rPr>
        <w:t> </w:t>
      </w:r>
      <w:r>
        <w:rPr>
          <w:rFonts w:eastAsia="Times New Roman"/>
          <w:b/>
          <w:bCs/>
          <w:color w:val="000000"/>
          <w:sz w:val="20"/>
          <w:szCs w:val="20"/>
        </w:rPr>
        <w:t xml:space="preserve"> </w:t>
      </w:r>
      <w:r>
        <w:rPr>
          <w:rFonts w:eastAsia="Times New Roman"/>
          <w:b/>
          <w:bCs/>
          <w:color w:val="000000"/>
          <w:sz w:val="20"/>
          <w:szCs w:val="20"/>
        </w:rPr>
        <w:t>.</w:t>
      </w:r>
    </w:p>
    <w:p w:rsidR="00000000" w:rsidRDefault="00602C02">
      <w:pPr>
        <w:jc w:val="center"/>
        <w:divId w:val="1519350557"/>
        <w:rPr>
          <w:rFonts w:eastAsia="Times New Roman"/>
        </w:rPr>
      </w:pPr>
      <w:r>
        <w:rPr>
          <w:rFonts w:eastAsia="Times New Roman"/>
          <w:b/>
          <w:bCs/>
          <w:color w:val="000000"/>
          <w:sz w:val="20"/>
          <w:szCs w:val="20"/>
        </w:rPr>
        <w:t>Commission File Number 0-19528</w:t>
      </w:r>
      <w:r>
        <w:rPr>
          <w:rFonts w:eastAsia="Times New Roman"/>
          <w:b/>
          <w:bCs/>
          <w:color w:val="000000"/>
          <w:sz w:val="20"/>
          <w:szCs w:val="20"/>
        </w:rPr>
        <w:t xml:space="preserve"> </w:t>
      </w:r>
    </w:p>
    <w:p w:rsidR="00000000" w:rsidRDefault="00602C02">
      <w:pPr>
        <w:jc w:val="center"/>
        <w:divId w:val="1039477882"/>
        <w:rPr>
          <w:rFonts w:eastAsia="Times New Roman"/>
        </w:rPr>
      </w:pPr>
      <w:r>
        <w:rPr>
          <w:rFonts w:eastAsia="Times New Roman"/>
          <w:b/>
          <w:bCs/>
          <w:color w:val="000000"/>
          <w:sz w:val="56"/>
          <w:szCs w:val="56"/>
        </w:rPr>
        <w:t>QUALCOMM Incorporate</w:t>
      </w:r>
      <w:r>
        <w:rPr>
          <w:rFonts w:eastAsia="Times New Roman"/>
          <w:b/>
          <w:bCs/>
          <w:color w:val="000000"/>
          <w:sz w:val="56"/>
          <w:szCs w:val="56"/>
        </w:rPr>
        <w:t>d</w:t>
      </w:r>
    </w:p>
    <w:p w:rsidR="00000000" w:rsidRDefault="00602C02">
      <w:pPr>
        <w:jc w:val="center"/>
        <w:rPr>
          <w:rFonts w:eastAsia="Times New Roman"/>
        </w:rPr>
      </w:pPr>
      <w:r>
        <w:rPr>
          <w:rFonts w:eastAsia="Times New Roman"/>
          <w:b/>
          <w:bCs/>
          <w:color w:val="000000"/>
          <w:sz w:val="20"/>
          <w:szCs w:val="20"/>
        </w:rPr>
        <w:t>(Exact name of registrant as specified in its charter</w:t>
      </w:r>
      <w:r>
        <w:rPr>
          <w:rFonts w:eastAsia="Times New Roman"/>
          <w:b/>
          <w:bCs/>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
        <w:gridCol w:w="163"/>
        <w:gridCol w:w="36"/>
        <w:gridCol w:w="78"/>
        <w:gridCol w:w="2231"/>
        <w:gridCol w:w="79"/>
        <w:gridCol w:w="79"/>
        <w:gridCol w:w="2383"/>
        <w:gridCol w:w="79"/>
        <w:gridCol w:w="79"/>
        <w:gridCol w:w="1837"/>
        <w:gridCol w:w="79"/>
        <w:gridCol w:w="79"/>
        <w:gridCol w:w="989"/>
        <w:gridCol w:w="79"/>
      </w:tblGrid>
      <w:tr w:rsidR="00000000">
        <w:trPr>
          <w:divId w:val="1979071731"/>
        </w:trPr>
        <w:tc>
          <w:tcPr>
            <w:tcW w:w="5" w:type="pct"/>
            <w:vAlign w:val="center"/>
            <w:hideMark/>
          </w:tcPr>
          <w:p w:rsidR="00000000" w:rsidRDefault="00602C02">
            <w:pPr>
              <w:jc w:val="center"/>
              <w:rPr>
                <w:rFonts w:eastAsia="Times New Roman"/>
              </w:rPr>
            </w:pPr>
          </w:p>
        </w:tc>
        <w:tc>
          <w:tcPr>
            <w:tcW w:w="101"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134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1436"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110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9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979071731"/>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6"/>
                <w:szCs w:val="16"/>
              </w:rPr>
              <w:t>Delawar</w:t>
            </w:r>
            <w:r>
              <w:rPr>
                <w:rFonts w:eastAsia="Times New Roman"/>
                <w:b/>
                <w:bCs/>
                <w:color w:val="000000"/>
                <w:sz w:val="16"/>
                <w:szCs w:val="16"/>
              </w:rPr>
              <w:t>e</w:t>
            </w:r>
          </w:p>
        </w:tc>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6"/>
                <w:szCs w:val="16"/>
              </w:rPr>
              <w:t>95-368593</w:t>
            </w:r>
            <w:r>
              <w:rPr>
                <w:rFonts w:eastAsia="Times New Roman"/>
                <w:b/>
                <w:bCs/>
                <w:color w:val="000000"/>
                <w:sz w:val="16"/>
                <w:szCs w:val="16"/>
              </w:rPr>
              <w:t>4</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r>
      <w:tr w:rsidR="00000000">
        <w:trPr>
          <w:divId w:val="1979071731"/>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hideMark/>
          </w:tcPr>
          <w:p w:rsidR="00000000" w:rsidRDefault="00602C02">
            <w:pPr>
              <w:jc w:val="center"/>
              <w:rPr>
                <w:rFonts w:eastAsia="Times New Roman"/>
              </w:rPr>
            </w:pPr>
            <w:r>
              <w:rPr>
                <w:rFonts w:eastAsia="Times New Roman"/>
                <w:b/>
                <w:bCs/>
                <w:color w:val="000000"/>
                <w:sz w:val="16"/>
                <w:szCs w:val="16"/>
              </w:rPr>
              <w:t>(State or Other Jurisdiction of</w:t>
            </w:r>
            <w:r>
              <w:rPr>
                <w:rFonts w:eastAsia="Times New Roman"/>
                <w:b/>
                <w:bCs/>
                <w:color w:val="000000"/>
                <w:sz w:val="16"/>
                <w:szCs w:val="16"/>
              </w:rPr>
              <w:br/>
              <w:t>Incorporation or Organization</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hideMark/>
          </w:tcPr>
          <w:p w:rsidR="00000000" w:rsidRDefault="00602C02">
            <w:pPr>
              <w:jc w:val="center"/>
              <w:rPr>
                <w:rFonts w:eastAsia="Times New Roman"/>
              </w:rPr>
            </w:pPr>
            <w:r>
              <w:rPr>
                <w:rFonts w:eastAsia="Times New Roman"/>
                <w:b/>
                <w:bCs/>
                <w:color w:val="000000"/>
                <w:sz w:val="16"/>
                <w:szCs w:val="16"/>
              </w:rPr>
              <w:t>(I.R.S. Employer</w:t>
            </w:r>
            <w:r>
              <w:rPr>
                <w:rFonts w:eastAsia="Times New Roman"/>
                <w:b/>
                <w:bCs/>
                <w:color w:val="000000"/>
                <w:sz w:val="16"/>
                <w:szCs w:val="16"/>
              </w:rPr>
              <w:br/>
              <w:t>Identification No.</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r>
      <w:tr w:rsidR="00000000">
        <w:trPr>
          <w:divId w:val="1979071731"/>
          <w:trHeight w:val="60"/>
        </w:trPr>
        <w:tc>
          <w:tcPr>
            <w:tcW w:w="0" w:type="auto"/>
            <w:gridSpan w:val="3"/>
            <w:tcMar>
              <w:top w:w="15" w:type="dxa"/>
              <w:left w:w="20" w:type="dxa"/>
              <w:bottom w:w="15" w:type="dxa"/>
              <w:right w:w="20" w:type="dxa"/>
            </w:tcMa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sz w:val="20"/>
                <w:szCs w:val="20"/>
              </w:rPr>
            </w:pPr>
          </w:p>
        </w:tc>
      </w:tr>
      <w:tr w:rsidR="00000000">
        <w:trPr>
          <w:divId w:val="1979071731"/>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6"/>
                <w:szCs w:val="16"/>
              </w:rPr>
              <w:t>5775 Morehouse Dr., San Diego, Californi</w:t>
            </w:r>
            <w:r>
              <w:rPr>
                <w:rFonts w:eastAsia="Times New Roman"/>
                <w:b/>
                <w:bCs/>
                <w:color w:val="000000"/>
                <w:sz w:val="16"/>
                <w:szCs w:val="16"/>
              </w:rPr>
              <w:t>a</w:t>
            </w:r>
          </w:p>
        </w:tc>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6"/>
                <w:szCs w:val="16"/>
              </w:rPr>
              <w:t>92121-171</w:t>
            </w:r>
            <w:r>
              <w:rPr>
                <w:rFonts w:eastAsia="Times New Roman"/>
                <w:b/>
                <w:bCs/>
                <w:color w:val="000000"/>
                <w:sz w:val="16"/>
                <w:szCs w:val="16"/>
              </w:rPr>
              <w:t>4</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r>
      <w:tr w:rsidR="00000000">
        <w:trPr>
          <w:divId w:val="1979071731"/>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6"/>
                <w:szCs w:val="16"/>
              </w:rPr>
              <w:t>(Address of Principal Executive Offices</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6"/>
                <w:szCs w:val="16"/>
              </w:rPr>
              <w:t>(Zip Code</w:t>
            </w:r>
            <w:r>
              <w:rPr>
                <w:rFonts w:eastAsia="Times New Roman"/>
                <w:b/>
                <w:bCs/>
                <w:color w:val="000000"/>
                <w:sz w:val="16"/>
                <w:szCs w:val="16"/>
              </w:rPr>
              <w:t>)</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r>
    </w:tbl>
    <w:p w:rsidR="00000000" w:rsidRDefault="00602C02">
      <w:pPr>
        <w:jc w:val="center"/>
        <w:divId w:val="1630166418"/>
        <w:rPr>
          <w:rFonts w:eastAsia="Times New Roman"/>
        </w:rPr>
      </w:pPr>
      <w:r>
        <w:rPr>
          <w:rFonts w:eastAsia="Times New Roman"/>
          <w:b/>
          <w:bCs/>
          <w:color w:val="000000"/>
          <w:sz w:val="20"/>
          <w:szCs w:val="20"/>
        </w:rPr>
        <w:t>(858) 587-1121</w:t>
      </w:r>
      <w:r>
        <w:rPr>
          <w:rFonts w:eastAsia="Times New Roman"/>
          <w:b/>
          <w:bCs/>
          <w:color w:val="000000"/>
          <w:sz w:val="20"/>
          <w:szCs w:val="20"/>
        </w:rPr>
        <w:t xml:space="preserve"> </w:t>
      </w:r>
    </w:p>
    <w:p w:rsidR="00000000" w:rsidRDefault="00602C02">
      <w:pPr>
        <w:jc w:val="center"/>
        <w:rPr>
          <w:rFonts w:eastAsia="Times New Roman"/>
        </w:rPr>
      </w:pPr>
      <w:r>
        <w:rPr>
          <w:rFonts w:eastAsia="Times New Roman"/>
          <w:b/>
          <w:bCs/>
          <w:color w:val="000000"/>
          <w:sz w:val="16"/>
          <w:szCs w:val="16"/>
        </w:rPr>
        <w:t>(Registrant’s telephone number, including area code</w:t>
      </w:r>
      <w:r>
        <w:rPr>
          <w:rFonts w:eastAsia="Times New Roman"/>
          <w:b/>
          <w:bCs/>
          <w:color w:val="000000"/>
          <w:sz w:val="16"/>
          <w:szCs w:val="16"/>
        </w:rPr>
        <w:t>)</w:t>
      </w:r>
    </w:p>
    <w:p w:rsidR="00000000" w:rsidRDefault="00602C02">
      <w:pPr>
        <w:divId w:val="1356420559"/>
        <w:rPr>
          <w:rFonts w:eastAsia="Times New Roman"/>
        </w:rPr>
      </w:pPr>
      <w:r>
        <w:rPr>
          <w:rFonts w:eastAsia="Times New Roman"/>
          <w:color w:val="000000"/>
          <w:sz w:val="20"/>
          <w:szCs w:val="20"/>
        </w:rPr>
        <w:t>Securities registered pursuant to Section 12(b) of the Act</w:t>
      </w:r>
      <w:r>
        <w:rPr>
          <w:rFonts w:eastAsia="Times New Roman"/>
          <w:color w:val="000000"/>
          <w:sz w:val="20"/>
          <w:szCs w:val="20"/>
        </w:rPr>
        <w:t>:</w:t>
      </w:r>
    </w:p>
    <w:tbl>
      <w:tblPr>
        <w:tblW w:w="4843" w:type="pct"/>
        <w:tblCellMar>
          <w:top w:w="15" w:type="dxa"/>
          <w:left w:w="15" w:type="dxa"/>
          <w:bottom w:w="15" w:type="dxa"/>
          <w:right w:w="15" w:type="dxa"/>
        </w:tblCellMar>
        <w:tblLook w:val="04A0" w:firstRow="1" w:lastRow="0" w:firstColumn="1" w:lastColumn="0" w:noHBand="0" w:noVBand="1"/>
      </w:tblPr>
      <w:tblGrid>
        <w:gridCol w:w="81"/>
        <w:gridCol w:w="3436"/>
        <w:gridCol w:w="81"/>
        <w:gridCol w:w="81"/>
        <w:gridCol w:w="988"/>
        <w:gridCol w:w="80"/>
        <w:gridCol w:w="80"/>
        <w:gridCol w:w="3138"/>
        <w:gridCol w:w="80"/>
      </w:tblGrid>
      <w:tr w:rsidR="00000000">
        <w:trPr>
          <w:divId w:val="1788044334"/>
        </w:trPr>
        <w:tc>
          <w:tcPr>
            <w:tcW w:w="50" w:type="pct"/>
            <w:vAlign w:val="center"/>
            <w:hideMark/>
          </w:tcPr>
          <w:p w:rsidR="00000000" w:rsidRDefault="00602C02">
            <w:pPr>
              <w:rPr>
                <w:rFonts w:eastAsia="Times New Roman"/>
              </w:rPr>
            </w:pPr>
          </w:p>
        </w:tc>
        <w:tc>
          <w:tcPr>
            <w:tcW w:w="213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61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19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788044334"/>
        </w:trPr>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color w:val="000000"/>
                <w:sz w:val="16"/>
                <w:szCs w:val="16"/>
                <w:u w:val="single"/>
              </w:rPr>
              <w:t>Title of each clas</w:t>
            </w:r>
            <w:r>
              <w:rPr>
                <w:rFonts w:eastAsia="Times New Roman"/>
                <w:color w:val="000000"/>
                <w:sz w:val="16"/>
                <w:szCs w:val="16"/>
                <w:u w:val="single"/>
              </w:rPr>
              <w:t>s</w:t>
            </w: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color w:val="000000"/>
                <w:sz w:val="16"/>
                <w:szCs w:val="16"/>
              </w:rPr>
              <w:t> </w:t>
            </w:r>
            <w:r>
              <w:rPr>
                <w:rFonts w:eastAsia="Times New Roman"/>
                <w:color w:val="000000"/>
                <w:sz w:val="16"/>
                <w:szCs w:val="16"/>
                <w:u w:val="single"/>
              </w:rPr>
              <w:t>Trading Symbol(s</w:t>
            </w:r>
            <w:r>
              <w:rPr>
                <w:rFonts w:eastAsia="Times New Roman"/>
                <w:color w:val="000000"/>
                <w:sz w:val="16"/>
                <w:szCs w:val="16"/>
                <w:u w:val="single"/>
              </w:rPr>
              <w:t>)</w:t>
            </w: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color w:val="000000"/>
                <w:sz w:val="16"/>
                <w:szCs w:val="16"/>
                <w:u w:val="single"/>
              </w:rPr>
              <w:t>Name of each exchange on which registere</w:t>
            </w:r>
            <w:r>
              <w:rPr>
                <w:rFonts w:eastAsia="Times New Roman"/>
                <w:color w:val="000000"/>
                <w:sz w:val="16"/>
                <w:szCs w:val="16"/>
                <w:u w:val="single"/>
              </w:rPr>
              <w:t>d</w:t>
            </w:r>
          </w:p>
        </w:tc>
      </w:tr>
      <w:tr w:rsidR="00000000">
        <w:trPr>
          <w:divId w:val="1788044334"/>
        </w:trPr>
        <w:tc>
          <w:tcPr>
            <w:tcW w:w="0" w:type="auto"/>
            <w:gridSpan w:val="3"/>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20"/>
                <w:szCs w:val="20"/>
              </w:rPr>
              <w:t>Common Stock, $0.0001 par valu</w:t>
            </w:r>
            <w:r>
              <w:rPr>
                <w:rFonts w:eastAsia="Times New Roman"/>
                <w:color w:val="000000"/>
                <w:sz w:val="20"/>
                <w:szCs w:val="20"/>
              </w:rPr>
              <w:t>e</w:t>
            </w: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color w:val="000000"/>
                <w:sz w:val="20"/>
                <w:szCs w:val="20"/>
              </w:rPr>
              <w:t> QCO</w:t>
            </w:r>
            <w:r>
              <w:rPr>
                <w:rFonts w:eastAsia="Times New Roman"/>
                <w:color w:val="000000"/>
                <w:sz w:val="20"/>
                <w:szCs w:val="20"/>
              </w:rPr>
              <w:t>M</w:t>
            </w: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color w:val="000000"/>
                <w:sz w:val="20"/>
                <w:szCs w:val="20"/>
              </w:rPr>
              <w:t>Nasdaq Stock Marke</w:t>
            </w:r>
            <w:r>
              <w:rPr>
                <w:rFonts w:eastAsia="Times New Roman"/>
                <w:color w:val="000000"/>
                <w:sz w:val="20"/>
                <w:szCs w:val="20"/>
              </w:rPr>
              <w:t>t</w:t>
            </w:r>
          </w:p>
        </w:tc>
      </w:tr>
    </w:tbl>
    <w:p w:rsidR="00000000" w:rsidRDefault="00602C02">
      <w:pPr>
        <w:divId w:val="1582329980"/>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 Yes</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602C02">
      <w:pPr>
        <w:divId w:val="1810589191"/>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405 of Regu</w:t>
      </w:r>
      <w:r>
        <w:rPr>
          <w:rFonts w:eastAsia="Times New Roman"/>
          <w:color w:val="000000"/>
          <w:sz w:val="20"/>
          <w:szCs w:val="20"/>
        </w:rPr>
        <w:t>lation S-T (§ 232.405 of this chapter) during the preceding 12 months (or for such shorter period that the registrant was required to submit such files). Yes</w:t>
      </w:r>
      <w:r>
        <w:rPr>
          <w:rFonts w:eastAsia="Times New Roman"/>
          <w:color w:val="000000"/>
          <w:sz w:val="20"/>
          <w:szCs w:val="20"/>
        </w:rPr>
        <w:t> </w:t>
      </w:r>
      <w:r>
        <w:rPr>
          <w:rFonts w:ascii="Segoe UI Symbol" w:eastAsia="Times New Roman" w:hAnsi="Segoe UI Symbol" w:cs="Segoe UI Symbol"/>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602C02">
      <w:pPr>
        <w:divId w:val="905457921"/>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 “s</w:t>
      </w:r>
      <w:r>
        <w:rPr>
          <w:rFonts w:eastAsia="Times New Roman"/>
          <w:color w:val="000000"/>
          <w:sz w:val="20"/>
          <w:szCs w:val="20"/>
        </w:rPr>
        <w:t>maller reporting company,” and “emerging growth company” in Rule 12b-2 of the Exchange Act.</w:t>
      </w:r>
      <w:r>
        <w:rPr>
          <w:rFonts w:eastAsia="Times New Roman"/>
          <w:color w:val="000000"/>
          <w:sz w:val="20"/>
          <w:szCs w:val="20"/>
        </w:rPr>
        <w:t xml:space="preserve"> </w:t>
      </w:r>
    </w:p>
    <w:tbl>
      <w:tblPr>
        <w:tblW w:w="4985" w:type="pct"/>
        <w:tblCellMar>
          <w:top w:w="15" w:type="dxa"/>
          <w:left w:w="15" w:type="dxa"/>
          <w:bottom w:w="15" w:type="dxa"/>
          <w:right w:w="15" w:type="dxa"/>
        </w:tblCellMar>
        <w:tblLook w:val="04A0" w:firstRow="1" w:lastRow="0" w:firstColumn="1" w:lastColumn="0" w:noHBand="0" w:noVBand="1"/>
      </w:tblPr>
      <w:tblGrid>
        <w:gridCol w:w="69"/>
        <w:gridCol w:w="1404"/>
        <w:gridCol w:w="69"/>
        <w:gridCol w:w="69"/>
        <w:gridCol w:w="79"/>
        <w:gridCol w:w="69"/>
        <w:gridCol w:w="70"/>
        <w:gridCol w:w="1020"/>
        <w:gridCol w:w="70"/>
        <w:gridCol w:w="37"/>
        <w:gridCol w:w="196"/>
        <w:gridCol w:w="36"/>
        <w:gridCol w:w="70"/>
        <w:gridCol w:w="1317"/>
        <w:gridCol w:w="70"/>
        <w:gridCol w:w="37"/>
        <w:gridCol w:w="196"/>
        <w:gridCol w:w="36"/>
        <w:gridCol w:w="70"/>
        <w:gridCol w:w="1305"/>
        <w:gridCol w:w="70"/>
        <w:gridCol w:w="37"/>
        <w:gridCol w:w="196"/>
        <w:gridCol w:w="36"/>
        <w:gridCol w:w="70"/>
        <w:gridCol w:w="1244"/>
        <w:gridCol w:w="70"/>
        <w:gridCol w:w="37"/>
        <w:gridCol w:w="196"/>
        <w:gridCol w:w="36"/>
      </w:tblGrid>
      <w:tr w:rsidR="00000000">
        <w:trPr>
          <w:divId w:val="1569337136"/>
        </w:trPr>
        <w:tc>
          <w:tcPr>
            <w:tcW w:w="50" w:type="pct"/>
            <w:vAlign w:val="center"/>
            <w:hideMark/>
          </w:tcPr>
          <w:p w:rsidR="00000000" w:rsidRDefault="00602C02">
            <w:pPr>
              <w:rPr>
                <w:rFonts w:eastAsia="Times New Roman"/>
              </w:rPr>
            </w:pPr>
          </w:p>
        </w:tc>
        <w:tc>
          <w:tcPr>
            <w:tcW w:w="85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6"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62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116"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8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116"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79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116"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75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11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r>
      <w:tr w:rsidR="00000000">
        <w:trPr>
          <w:divId w:val="1569337136"/>
        </w:trPr>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color w:val="000000"/>
                <w:sz w:val="20"/>
                <w:szCs w:val="20"/>
              </w:rPr>
              <w:lastRenderedPageBreak/>
              <w:t>Large accelerated file</w:t>
            </w:r>
            <w:r>
              <w:rPr>
                <w:rFonts w:eastAsia="Times New Roman"/>
                <w:color w:val="000000"/>
                <w:sz w:val="20"/>
                <w:szCs w:val="20"/>
              </w:rPr>
              <w:t>r</w:t>
            </w:r>
          </w:p>
        </w:tc>
        <w:tc>
          <w:tcPr>
            <w:tcW w:w="0" w:type="auto"/>
            <w:gridSpan w:val="3"/>
            <w:tcMar>
              <w:top w:w="30" w:type="dxa"/>
              <w:left w:w="20" w:type="dxa"/>
              <w:bottom w:w="30" w:type="dxa"/>
              <w:right w:w="20" w:type="dxa"/>
            </w:tcMar>
            <w:vAlign w:val="center"/>
            <w:hideMark/>
          </w:tcPr>
          <w:p w:rsidR="00000000" w:rsidRDefault="00602C02">
            <w:pPr>
              <w:jc w:val="center"/>
              <w:divId w:val="234781882"/>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color w:val="000000"/>
                <w:sz w:val="20"/>
                <w:szCs w:val="20"/>
              </w:rPr>
              <w:t>Accelerated file</w:t>
            </w:r>
            <w:r>
              <w:rPr>
                <w:rFonts w:eastAsia="Times New Roman"/>
                <w:color w:val="000000"/>
                <w:sz w:val="20"/>
                <w:szCs w:val="20"/>
              </w:rPr>
              <w:t>r</w:t>
            </w:r>
          </w:p>
        </w:tc>
        <w:tc>
          <w:tcPr>
            <w:tcW w:w="0" w:type="auto"/>
            <w:gridSpan w:val="3"/>
            <w:tcMar>
              <w:top w:w="30" w:type="dxa"/>
              <w:left w:w="20" w:type="dxa"/>
              <w:bottom w:w="30" w:type="dxa"/>
              <w:right w:w="20" w:type="dxa"/>
            </w:tcMar>
            <w:vAlign w:val="center"/>
            <w:hideMark/>
          </w:tcPr>
          <w:p w:rsidR="00000000" w:rsidRDefault="00602C02">
            <w:pPr>
              <w:jc w:val="center"/>
              <w:divId w:val="543830546"/>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color w:val="000000"/>
                <w:sz w:val="20"/>
                <w:szCs w:val="20"/>
              </w:rPr>
              <w:t>Non-accelerated file</w:t>
            </w:r>
            <w:r>
              <w:rPr>
                <w:rFonts w:eastAsia="Times New Roman"/>
                <w:color w:val="000000"/>
                <w:sz w:val="20"/>
                <w:szCs w:val="20"/>
              </w:rPr>
              <w:t>r</w:t>
            </w:r>
          </w:p>
        </w:tc>
        <w:tc>
          <w:tcPr>
            <w:tcW w:w="0" w:type="auto"/>
            <w:gridSpan w:val="3"/>
            <w:tcMar>
              <w:top w:w="30" w:type="dxa"/>
              <w:left w:w="20" w:type="dxa"/>
              <w:bottom w:w="30" w:type="dxa"/>
              <w:right w:w="20" w:type="dxa"/>
            </w:tcMar>
            <w:vAlign w:val="center"/>
            <w:hideMark/>
          </w:tcPr>
          <w:p w:rsidR="00000000" w:rsidRDefault="00602C02">
            <w:pPr>
              <w:jc w:val="center"/>
              <w:divId w:val="1648050465"/>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color w:val="000000"/>
                <w:sz w:val="20"/>
                <w:szCs w:val="20"/>
              </w:rPr>
              <w:t>Smaller reporting compan</w:t>
            </w:r>
            <w:r>
              <w:rPr>
                <w:rFonts w:eastAsia="Times New Roman"/>
                <w:color w:val="000000"/>
                <w:sz w:val="20"/>
                <w:szCs w:val="20"/>
              </w:rPr>
              <w:t>y</w:t>
            </w:r>
          </w:p>
        </w:tc>
        <w:tc>
          <w:tcPr>
            <w:tcW w:w="0" w:type="auto"/>
            <w:gridSpan w:val="3"/>
            <w:tcMar>
              <w:top w:w="30" w:type="dxa"/>
              <w:left w:w="20" w:type="dxa"/>
              <w:bottom w:w="30" w:type="dxa"/>
              <w:right w:w="20" w:type="dxa"/>
            </w:tcMar>
            <w:vAlign w:val="center"/>
            <w:hideMark/>
          </w:tcPr>
          <w:p w:rsidR="00000000" w:rsidRDefault="00602C02">
            <w:pPr>
              <w:jc w:val="center"/>
              <w:divId w:val="455414772"/>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color w:val="000000"/>
                <w:sz w:val="20"/>
                <w:szCs w:val="20"/>
              </w:rPr>
              <w:t>Emerging growth compan</w:t>
            </w:r>
            <w:r>
              <w:rPr>
                <w:rFonts w:eastAsia="Times New Roman"/>
                <w:color w:val="000000"/>
                <w:sz w:val="20"/>
                <w:szCs w:val="20"/>
              </w:rPr>
              <w:t>y</w:t>
            </w:r>
          </w:p>
        </w:tc>
        <w:tc>
          <w:tcPr>
            <w:tcW w:w="0" w:type="auto"/>
            <w:gridSpan w:val="3"/>
            <w:tcMar>
              <w:top w:w="30" w:type="dxa"/>
              <w:left w:w="20" w:type="dxa"/>
              <w:bottom w:w="30" w:type="dxa"/>
              <w:right w:w="20" w:type="dxa"/>
            </w:tcMar>
            <w:vAlign w:val="center"/>
            <w:hideMark/>
          </w:tcPr>
          <w:p w:rsidR="00000000" w:rsidRDefault="00602C02">
            <w:pPr>
              <w:jc w:val="center"/>
              <w:divId w:val="209004814"/>
              <w:rPr>
                <w:rFonts w:eastAsia="Times New Roman"/>
              </w:rPr>
            </w:pPr>
            <w:r>
              <w:rPr>
                <w:rFonts w:ascii="Segoe UI Symbol" w:eastAsia="Times New Roman" w:hAnsi="Segoe UI Symbol" w:cs="Segoe UI Symbol"/>
                <w:color w:val="000000"/>
                <w:sz w:val="20"/>
                <w:szCs w:val="20"/>
              </w:rPr>
              <w:t>☐</w:t>
            </w:r>
          </w:p>
        </w:tc>
      </w:tr>
    </w:tbl>
    <w:p w:rsidR="00000000" w:rsidRDefault="00602C02">
      <w:pPr>
        <w:divId w:val="1303580242"/>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w:t>
      </w:r>
      <w:r>
        <w:rPr>
          <w:rFonts w:eastAsia="Times New Roman"/>
          <w:color w:val="000000"/>
          <w:sz w:val="20"/>
          <w:szCs w:val="20"/>
        </w:rPr>
        <w:t xml:space="preserve">13(a) of the Exchange Act. </w:t>
      </w:r>
      <w:r>
        <w:rPr>
          <w:rFonts w:ascii="Segoe UI Symbol" w:eastAsia="Times New Roman" w:hAnsi="Segoe UI Symbol" w:cs="Segoe UI Symbol"/>
          <w:color w:val="000000"/>
          <w:sz w:val="20"/>
          <w:szCs w:val="20"/>
        </w:rPr>
        <w:t>☐</w:t>
      </w:r>
      <w:r>
        <w:rPr>
          <w:rFonts w:ascii="Wingdings" w:eastAsia="Times New Roman" w:hAnsi="Wingdings"/>
          <w:color w:val="000000"/>
          <w:sz w:val="20"/>
          <w:szCs w:val="20"/>
        </w:rPr>
        <w:t xml:space="preserve"> </w:t>
      </w:r>
    </w:p>
    <w:p w:rsidR="00000000" w:rsidRDefault="00602C02">
      <w:pPr>
        <w:divId w:val="1597519716"/>
        <w:rPr>
          <w:rFonts w:eastAsia="Times New Roman"/>
        </w:rPr>
      </w:pPr>
      <w:r>
        <w:rPr>
          <w:rFonts w:eastAsia="Times New Roman"/>
          <w:color w:val="000000"/>
          <w:sz w:val="20"/>
          <w:szCs w:val="20"/>
        </w:rPr>
        <w:t>Indicate by check mark whether the registrant is a shell company (as defined in Rule 12b-2 of the Exchange Act).</w:t>
      </w:r>
      <w:r>
        <w:rPr>
          <w:rFonts w:eastAsia="Times New Roman"/>
          <w:color w:val="000000"/>
          <w:sz w:val="20"/>
          <w:szCs w:val="20"/>
        </w:rPr>
        <w:t xml:space="preserve"> </w:t>
      </w:r>
    </w:p>
    <w:p w:rsidR="00000000" w:rsidRDefault="00602C02">
      <w:pPr>
        <w:divId w:val="141964793"/>
        <w:rPr>
          <w:rFonts w:eastAsia="Times New Roman"/>
        </w:rPr>
      </w:pPr>
      <w:r>
        <w:rPr>
          <w:rFonts w:eastAsia="Times New Roman"/>
          <w:color w:val="000000"/>
          <w:sz w:val="20"/>
          <w:szCs w:val="20"/>
        </w:rPr>
        <w:t>Yes</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r>
        <w:rPr>
          <w:rFonts w:eastAsia="Times New Roman"/>
          <w:color w:val="000000"/>
          <w:sz w:val="20"/>
          <w:szCs w:val="20"/>
        </w:rPr>
        <w:t> No</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602C02">
      <w:pPr>
        <w:ind w:firstLine="315"/>
        <w:divId w:val="413741533"/>
        <w:rPr>
          <w:rFonts w:eastAsia="Times New Roman"/>
        </w:rPr>
      </w:pPr>
      <w:r>
        <w:rPr>
          <w:rFonts w:eastAsia="Times New Roman"/>
          <w:color w:val="000000"/>
          <w:sz w:val="20"/>
          <w:szCs w:val="20"/>
        </w:rPr>
        <w:t>The number of shares outstanding of the registrant’s common stock was 1,124,927,980 at April 27, 2020</w:t>
      </w:r>
      <w:r>
        <w:rPr>
          <w:rFonts w:eastAsia="Times New Roman"/>
          <w:color w:val="000000"/>
          <w:sz w:val="20"/>
          <w:szCs w:val="20"/>
        </w:rPr>
        <w:t>.</w:t>
      </w:r>
    </w:p>
    <w:tbl>
      <w:tblPr>
        <w:tblW w:w="4813" w:type="pct"/>
        <w:tblCellMar>
          <w:top w:w="15" w:type="dxa"/>
          <w:left w:w="15" w:type="dxa"/>
          <w:bottom w:w="15" w:type="dxa"/>
          <w:right w:w="15" w:type="dxa"/>
        </w:tblCellMar>
        <w:tblLook w:val="04A0" w:firstRow="1" w:lastRow="0" w:firstColumn="1" w:lastColumn="0" w:noHBand="0" w:noVBand="1"/>
      </w:tblPr>
      <w:tblGrid>
        <w:gridCol w:w="79"/>
        <w:gridCol w:w="1261"/>
        <w:gridCol w:w="79"/>
        <w:gridCol w:w="80"/>
        <w:gridCol w:w="1484"/>
        <w:gridCol w:w="80"/>
        <w:gridCol w:w="80"/>
        <w:gridCol w:w="1484"/>
        <w:gridCol w:w="80"/>
        <w:gridCol w:w="80"/>
        <w:gridCol w:w="1484"/>
        <w:gridCol w:w="80"/>
        <w:gridCol w:w="80"/>
        <w:gridCol w:w="1484"/>
        <w:gridCol w:w="80"/>
      </w:tblGrid>
      <w:tr w:rsidR="00000000">
        <w:trPr>
          <w:divId w:val="900867121"/>
        </w:trPr>
        <w:tc>
          <w:tcPr>
            <w:tcW w:w="50" w:type="pct"/>
            <w:vAlign w:val="center"/>
            <w:hideMark/>
          </w:tcPr>
          <w:p w:rsidR="00000000" w:rsidRDefault="00602C02">
            <w:pPr>
              <w:ind w:firstLine="315"/>
              <w:rPr>
                <w:rFonts w:eastAsia="Times New Roman"/>
              </w:rPr>
            </w:pPr>
          </w:p>
        </w:tc>
        <w:tc>
          <w:tcPr>
            <w:tcW w:w="7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2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2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2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2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900867121"/>
          <w:trHeight w:val="60"/>
        </w:trPr>
        <w:tc>
          <w:tcPr>
            <w:tcW w:w="0" w:type="auto"/>
            <w:gridSpan w:val="3"/>
            <w:tcBorders>
              <w:bottom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bottom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r>
    </w:tbl>
    <w:p w:rsidR="00000000" w:rsidRDefault="00602C02">
      <w:pPr>
        <w:jc w:val="center"/>
        <w:divId w:val="80223487"/>
        <w:rPr>
          <w:rFonts w:eastAsia="Times New Roman"/>
        </w:rPr>
      </w:pPr>
    </w:p>
    <w:p w:rsidR="00000000" w:rsidRDefault="00602C02">
      <w:pPr>
        <w:rPr>
          <w:rFonts w:eastAsia="Times New Roman"/>
        </w:rPr>
      </w:pPr>
      <w:r>
        <w:rPr>
          <w:rFonts w:eastAsia="Times New Roman"/>
        </w:rPr>
        <w:pict>
          <v:rect id="_x0000_i1025" style="width:0;height:1.5pt" o:hralign="center" o:hrstd="t" o:hr="t" fillcolor="#a0a0a0" stroked="f"/>
        </w:pict>
      </w:r>
    </w:p>
    <w:p w:rsidR="00000000" w:rsidRDefault="00602C02">
      <w:pPr>
        <w:jc w:val="center"/>
        <w:divId w:val="985007710"/>
        <w:rPr>
          <w:rFonts w:eastAsia="Times New Roman"/>
        </w:rPr>
      </w:pPr>
    </w:p>
    <w:p w:rsidR="00000000" w:rsidRDefault="00602C02">
      <w:pPr>
        <w:ind w:hanging="270"/>
        <w:jc w:val="center"/>
        <w:rPr>
          <w:rFonts w:eastAsia="Times New Roman"/>
        </w:rPr>
      </w:pPr>
      <w:r>
        <w:rPr>
          <w:rFonts w:eastAsia="Times New Roman"/>
          <w:b/>
          <w:bCs/>
          <w:color w:val="000000"/>
          <w:sz w:val="20"/>
          <w:szCs w:val="20"/>
        </w:rPr>
        <w:t>QUALCOMM Incorporate</w:t>
      </w:r>
      <w:r>
        <w:rPr>
          <w:rFonts w:eastAsia="Times New Roman"/>
          <w:b/>
          <w:bCs/>
          <w:color w:val="000000"/>
          <w:sz w:val="20"/>
          <w:szCs w:val="20"/>
        </w:rPr>
        <w:t>d</w:t>
      </w:r>
    </w:p>
    <w:p w:rsidR="00000000" w:rsidRDefault="00602C02">
      <w:pPr>
        <w:ind w:hanging="270"/>
        <w:jc w:val="center"/>
        <w:rPr>
          <w:rFonts w:eastAsia="Times New Roman"/>
        </w:rPr>
      </w:pPr>
      <w:r>
        <w:rPr>
          <w:rFonts w:eastAsia="Times New Roman"/>
          <w:b/>
          <w:bCs/>
          <w:color w:val="000000"/>
          <w:sz w:val="20"/>
          <w:szCs w:val="20"/>
        </w:rPr>
        <w:t>Form 10-</w:t>
      </w:r>
      <w:r>
        <w:rPr>
          <w:rFonts w:eastAsia="Times New Roman"/>
          <w:b/>
          <w:bCs/>
          <w:color w:val="000000"/>
          <w:sz w:val="20"/>
          <w:szCs w:val="20"/>
        </w:rPr>
        <w:t>Q</w:t>
      </w:r>
    </w:p>
    <w:p w:rsidR="00000000" w:rsidRDefault="00602C02">
      <w:pPr>
        <w:ind w:hanging="270"/>
        <w:jc w:val="center"/>
        <w:rPr>
          <w:rFonts w:eastAsia="Times New Roman"/>
        </w:rPr>
      </w:pPr>
      <w:r>
        <w:rPr>
          <w:rFonts w:eastAsia="Times New Roman"/>
          <w:b/>
          <w:bCs/>
          <w:color w:val="000000"/>
          <w:sz w:val="20"/>
          <w:szCs w:val="20"/>
        </w:rPr>
        <w:t>For the Quarter Ended March 29, 202</w:t>
      </w:r>
      <w:r>
        <w:rPr>
          <w:rFonts w:eastAsia="Times New Roman"/>
          <w:b/>
          <w:bCs/>
          <w:color w:val="000000"/>
          <w:sz w:val="20"/>
          <w:szCs w:val="20"/>
        </w:rPr>
        <w:t>0</w:t>
      </w:r>
    </w:p>
    <w:tbl>
      <w:tblPr>
        <w:tblW w:w="4778" w:type="pct"/>
        <w:tblCellMar>
          <w:top w:w="15" w:type="dxa"/>
          <w:left w:w="15" w:type="dxa"/>
          <w:bottom w:w="15" w:type="dxa"/>
          <w:right w:w="15" w:type="dxa"/>
        </w:tblCellMar>
        <w:tblLook w:val="04A0" w:firstRow="1" w:lastRow="0" w:firstColumn="1" w:lastColumn="0" w:noHBand="0" w:noVBand="1"/>
      </w:tblPr>
      <w:tblGrid>
        <w:gridCol w:w="79"/>
        <w:gridCol w:w="1197"/>
        <w:gridCol w:w="78"/>
        <w:gridCol w:w="78"/>
        <w:gridCol w:w="5753"/>
        <w:gridCol w:w="78"/>
        <w:gridCol w:w="78"/>
        <w:gridCol w:w="410"/>
        <w:gridCol w:w="78"/>
        <w:gridCol w:w="36"/>
        <w:gridCol w:w="36"/>
        <w:gridCol w:w="36"/>
      </w:tblGrid>
      <w:tr w:rsidR="00000000">
        <w:trPr>
          <w:gridAfter w:val="3"/>
          <w:divId w:val="1686593600"/>
        </w:trPr>
        <w:tc>
          <w:tcPr>
            <w:tcW w:w="50" w:type="pct"/>
            <w:vAlign w:val="center"/>
            <w:hideMark/>
          </w:tcPr>
          <w:p w:rsidR="00000000" w:rsidRDefault="00602C02">
            <w:pPr>
              <w:ind w:hanging="270"/>
              <w:jc w:val="center"/>
              <w:rPr>
                <w:rFonts w:eastAsia="Times New Roman"/>
              </w:rPr>
            </w:pPr>
          </w:p>
        </w:tc>
        <w:tc>
          <w:tcPr>
            <w:tcW w:w="76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367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26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gridAfter w:val="3"/>
          <w:divId w:val="1686593600"/>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6"/>
                <w:szCs w:val="16"/>
              </w:rPr>
              <w:t>Pag</w:t>
            </w:r>
            <w:r>
              <w:rPr>
                <w:rFonts w:eastAsia="Times New Roman"/>
                <w:b/>
                <w:bCs/>
                <w:color w:val="000000"/>
                <w:sz w:val="16"/>
                <w:szCs w:val="16"/>
              </w:rPr>
              <w:t>e</w:t>
            </w:r>
          </w:p>
        </w:tc>
      </w:tr>
      <w:tr w:rsidR="00000000">
        <w:trPr>
          <w:divId w:val="1686593600"/>
        </w:trPr>
        <w:tc>
          <w:tcPr>
            <w:tcW w:w="0" w:type="auto"/>
            <w:gridSpan w:val="6"/>
            <w:tcMar>
              <w:top w:w="30" w:type="dxa"/>
              <w:left w:w="20" w:type="dxa"/>
              <w:bottom w:w="30" w:type="dxa"/>
              <w:right w:w="20" w:type="dxa"/>
            </w:tcMar>
            <w:hideMark/>
          </w:tcPr>
          <w:p w:rsidR="00000000" w:rsidRDefault="00602C02">
            <w:pPr>
              <w:divId w:val="402223040"/>
              <w:rPr>
                <w:rFonts w:eastAsia="Times New Roman"/>
              </w:rPr>
            </w:pPr>
            <w:hyperlink w:anchor="i745f4cec0426499bad862f1e12d29f2c_10" w:history="1">
              <w:r>
                <w:rPr>
                  <w:rStyle w:val="a3"/>
                  <w:rFonts w:eastAsia="Times New Roman"/>
                  <w:sz w:val="20"/>
                  <w:szCs w:val="20"/>
                </w:rPr>
                <w:t>PART I. FINANCIAL INFORMATION</w:t>
              </w:r>
            </w:hyperlink>
          </w:p>
        </w:tc>
        <w:tc>
          <w:tcPr>
            <w:tcW w:w="0" w:type="auto"/>
            <w:gridSpan w:val="3"/>
            <w:vAlign w:val="center"/>
            <w:hideMark/>
          </w:tcPr>
          <w:p w:rsidR="00000000" w:rsidRDefault="00602C02">
            <w:pPr>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951013743"/>
              <w:rPr>
                <w:rFonts w:eastAsia="Times New Roman"/>
              </w:rPr>
            </w:pPr>
            <w:hyperlink w:anchor="i745f4cec0426499bad862f1e12d29f2c_13"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602C02">
            <w:pPr>
              <w:divId w:val="847981180"/>
              <w:rPr>
                <w:rFonts w:eastAsia="Times New Roman"/>
              </w:rPr>
            </w:pPr>
            <w:hyperlink w:anchor="i745f4cec0426499bad862f1e12d29f2c_13" w:history="1">
              <w:r>
                <w:rPr>
                  <w:rStyle w:val="a3"/>
                  <w:rFonts w:eastAsia="Times New Roman"/>
                  <w:sz w:val="20"/>
                  <w:szCs w:val="20"/>
                </w:rPr>
                <w:t>Condensed Consolidated Financial Statements (Unaudited)</w:t>
              </w:r>
            </w:hyperlink>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hideMark/>
          </w:tcPr>
          <w:p w:rsidR="00000000" w:rsidRDefault="00602C02">
            <w:pPr>
              <w:divId w:val="1701587943"/>
              <w:rPr>
                <w:rFonts w:eastAsia="Times New Roman"/>
              </w:rPr>
            </w:pPr>
            <w:hyperlink w:anchor="i745f4cec0426499bad862f1e12d29f2c_16"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6" w:history="1">
              <w:r>
                <w:rPr>
                  <w:rStyle w:val="a3"/>
                  <w:rFonts w:eastAsia="Times New Roman"/>
                  <w:sz w:val="20"/>
                  <w:szCs w:val="20"/>
                </w:rPr>
                <w:t>3</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Mar>
              <w:top w:w="30" w:type="dxa"/>
              <w:left w:w="20" w:type="dxa"/>
              <w:bottom w:w="30" w:type="dxa"/>
              <w:right w:w="20" w:type="dxa"/>
            </w:tcMar>
            <w:hideMark/>
          </w:tcPr>
          <w:p w:rsidR="00000000" w:rsidRDefault="00602C02">
            <w:pPr>
              <w:divId w:val="1414930571"/>
              <w:rPr>
                <w:rFonts w:eastAsia="Times New Roman"/>
              </w:rPr>
            </w:pPr>
            <w:hyperlink w:anchor="i745f4cec0426499bad862f1e12d29f2c_22" w:history="1">
              <w:r>
                <w:rPr>
                  <w:rStyle w:val="a3"/>
                  <w:rFonts w:eastAsia="Times New Roman"/>
                  <w:sz w:val="20"/>
                  <w:szCs w:val="20"/>
                </w:rPr>
                <w:t>Condensed Consolidated State</w:t>
              </w:r>
              <w:r>
                <w:rPr>
                  <w:rStyle w:val="a3"/>
                  <w:rFonts w:eastAsia="Times New Roman"/>
                  <w:sz w:val="20"/>
                  <w:szCs w:val="20"/>
                </w:rPr>
                <w:t>ments of Operations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22" w:history="1">
              <w:r>
                <w:rPr>
                  <w:rStyle w:val="a3"/>
                  <w:rFonts w:eastAsia="Times New Roman"/>
                  <w:sz w:val="20"/>
                  <w:szCs w:val="20"/>
                </w:rPr>
                <w:t>4</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Mar>
              <w:top w:w="30" w:type="dxa"/>
              <w:left w:w="20" w:type="dxa"/>
              <w:bottom w:w="30" w:type="dxa"/>
              <w:right w:w="20" w:type="dxa"/>
            </w:tcMar>
            <w:hideMark/>
          </w:tcPr>
          <w:p w:rsidR="00000000" w:rsidRDefault="00602C02">
            <w:pPr>
              <w:divId w:val="133759943"/>
              <w:rPr>
                <w:rFonts w:eastAsia="Times New Roman"/>
              </w:rPr>
            </w:pPr>
            <w:hyperlink w:anchor="i745f4cec0426499bad862f1e12d29f2c_25" w:history="1">
              <w:r>
                <w:rPr>
                  <w:rStyle w:val="a3"/>
                  <w:rFonts w:eastAsia="Times New Roman"/>
                  <w:sz w:val="20"/>
                  <w:szCs w:val="20"/>
                </w:rPr>
                <w:t>Condensed Consolidated Statements of Comprehensive Income</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25" w:history="1">
              <w:r>
                <w:rPr>
                  <w:rStyle w:val="a3"/>
                  <w:rFonts w:eastAsia="Times New Roman"/>
                  <w:sz w:val="20"/>
                  <w:szCs w:val="20"/>
                </w:rPr>
                <w:t>5</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Mar>
              <w:top w:w="30" w:type="dxa"/>
              <w:left w:w="20" w:type="dxa"/>
              <w:bottom w:w="30" w:type="dxa"/>
              <w:right w:w="20" w:type="dxa"/>
            </w:tcMar>
            <w:hideMark/>
          </w:tcPr>
          <w:p w:rsidR="00000000" w:rsidRDefault="00602C02">
            <w:pPr>
              <w:divId w:val="2121030158"/>
              <w:rPr>
                <w:rFonts w:eastAsia="Times New Roman"/>
              </w:rPr>
            </w:pPr>
            <w:hyperlink w:anchor="i745f4cec0426499bad862f1e12d29f2c_28"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28" w:history="1">
              <w:r>
                <w:rPr>
                  <w:rStyle w:val="a3"/>
                  <w:rFonts w:eastAsia="Times New Roman"/>
                  <w:sz w:val="20"/>
                  <w:szCs w:val="20"/>
                </w:rPr>
                <w:t>6</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Mar>
              <w:top w:w="30" w:type="dxa"/>
              <w:left w:w="20" w:type="dxa"/>
              <w:bottom w:w="30" w:type="dxa"/>
              <w:right w:w="20" w:type="dxa"/>
            </w:tcMar>
            <w:hideMark/>
          </w:tcPr>
          <w:p w:rsidR="00000000" w:rsidRDefault="00602C02">
            <w:pPr>
              <w:divId w:val="1570504998"/>
              <w:rPr>
                <w:rFonts w:eastAsia="Times New Roman"/>
              </w:rPr>
            </w:pPr>
            <w:hyperlink w:anchor="i745f4cec0426499bad862f1e12d29f2c_31"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31" w:history="1">
              <w:r>
                <w:rPr>
                  <w:rStyle w:val="a3"/>
                  <w:rFonts w:eastAsia="Times New Roman"/>
                  <w:sz w:val="20"/>
                  <w:szCs w:val="20"/>
                </w:rPr>
                <w:t>7</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Mar>
              <w:top w:w="30" w:type="dxa"/>
              <w:left w:w="20" w:type="dxa"/>
              <w:bottom w:w="30" w:type="dxa"/>
              <w:right w:w="20" w:type="dxa"/>
            </w:tcMar>
            <w:hideMark/>
          </w:tcPr>
          <w:p w:rsidR="00000000" w:rsidRDefault="00602C02">
            <w:pPr>
              <w:divId w:val="214435753"/>
              <w:rPr>
                <w:rFonts w:eastAsia="Times New Roman"/>
              </w:rPr>
            </w:pPr>
            <w:hyperlink w:anchor="i745f4cec0426499bad862f1e12d29f2c_34" w:history="1">
              <w:r>
                <w:rPr>
                  <w:rStyle w:val="a3"/>
                  <w:rFonts w:eastAsia="Times New Roman"/>
                  <w:sz w:val="20"/>
                  <w:szCs w:val="20"/>
                </w:rPr>
                <w:t>Notes to Condensed Consolidated Financial Statements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34" w:history="1">
              <w:r>
                <w:rPr>
                  <w:rStyle w:val="a3"/>
                  <w:rFonts w:eastAsia="Times New Roman"/>
                  <w:sz w:val="20"/>
                  <w:szCs w:val="20"/>
                </w:rPr>
                <w:t>8</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1631008121"/>
              <w:rPr>
                <w:rFonts w:eastAsia="Times New Roman"/>
              </w:rPr>
            </w:pPr>
            <w:hyperlink w:anchor="i745f4cec0426499bad862f1e12d29f2c_88"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602C02">
            <w:pPr>
              <w:divId w:val="2023773124"/>
              <w:rPr>
                <w:rFonts w:eastAsia="Times New Roman"/>
              </w:rPr>
            </w:pPr>
            <w:hyperlink w:anchor="i745f4cec0426499bad862f1e12d29f2c_88"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88" w:history="1">
              <w:r>
                <w:rPr>
                  <w:rStyle w:val="a3"/>
                  <w:rFonts w:eastAsia="Times New Roman"/>
                  <w:sz w:val="20"/>
                  <w:szCs w:val="20"/>
                </w:rPr>
                <w:t>20</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830219372"/>
              <w:rPr>
                <w:rFonts w:eastAsia="Times New Roman"/>
              </w:rPr>
            </w:pPr>
            <w:hyperlink w:anchor="i745f4cec0426499bad862f1e12d29f2c_124"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602C02">
            <w:pPr>
              <w:divId w:val="1635255190"/>
              <w:rPr>
                <w:rFonts w:eastAsia="Times New Roman"/>
              </w:rPr>
            </w:pPr>
            <w:hyperlink w:anchor="i745f4cec0426499bad862f1e12d29f2c_12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24" w:history="1">
              <w:r>
                <w:rPr>
                  <w:rStyle w:val="a3"/>
                  <w:rFonts w:eastAsia="Times New Roman"/>
                  <w:sz w:val="20"/>
                  <w:szCs w:val="20"/>
                </w:rPr>
                <w:t>53</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277376346"/>
              <w:rPr>
                <w:rFonts w:eastAsia="Times New Roman"/>
              </w:rPr>
            </w:pPr>
            <w:hyperlink w:anchor="i745f4cec0426499bad862f1e12d29f2c_127"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602C02">
            <w:pPr>
              <w:divId w:val="1136530037"/>
              <w:rPr>
                <w:rFonts w:eastAsia="Times New Roman"/>
              </w:rPr>
            </w:pPr>
            <w:hyperlink w:anchor="i745f4cec0426499bad862f1e12d29f2c_127"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27" w:history="1">
              <w:r>
                <w:rPr>
                  <w:rStyle w:val="a3"/>
                  <w:rFonts w:eastAsia="Times New Roman"/>
                  <w:sz w:val="20"/>
                  <w:szCs w:val="20"/>
                </w:rPr>
                <w:t>53</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Height w:val="300"/>
        </w:trPr>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6"/>
            <w:tcMar>
              <w:top w:w="30" w:type="dxa"/>
              <w:left w:w="20" w:type="dxa"/>
              <w:bottom w:w="30" w:type="dxa"/>
              <w:right w:w="20" w:type="dxa"/>
            </w:tcMar>
            <w:hideMark/>
          </w:tcPr>
          <w:p w:rsidR="00000000" w:rsidRDefault="00602C02">
            <w:pPr>
              <w:divId w:val="330570186"/>
              <w:rPr>
                <w:rFonts w:eastAsia="Times New Roman"/>
              </w:rPr>
            </w:pPr>
            <w:hyperlink w:anchor="i745f4cec0426499bad862f1e12d29f2c_130" w:history="1">
              <w:r>
                <w:rPr>
                  <w:rStyle w:val="a3"/>
                  <w:rFonts w:eastAsia="Times New Roman"/>
                  <w:sz w:val="20"/>
                  <w:szCs w:val="20"/>
                </w:rPr>
                <w:t>PART II. OTHER INFORMATION</w:t>
              </w:r>
            </w:hyperlink>
          </w:p>
        </w:tc>
        <w:tc>
          <w:tcPr>
            <w:tcW w:w="0" w:type="auto"/>
            <w:gridSpan w:val="3"/>
            <w:vAlign w:val="center"/>
            <w:hideMark/>
          </w:tcPr>
          <w:p w:rsidR="00000000" w:rsidRDefault="00602C02">
            <w:pPr>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1976255680"/>
              <w:rPr>
                <w:rFonts w:eastAsia="Times New Roman"/>
              </w:rPr>
            </w:pPr>
            <w:hyperlink w:anchor="i745f4cec0426499bad862f1e12d29f2c_133"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602C02">
            <w:pPr>
              <w:divId w:val="319382876"/>
              <w:rPr>
                <w:rFonts w:eastAsia="Times New Roman"/>
              </w:rPr>
            </w:pPr>
            <w:hyperlink w:anchor="i745f4cec0426499bad862f1e12d29f2c_133"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33" w:history="1">
              <w:r>
                <w:rPr>
                  <w:rStyle w:val="a3"/>
                  <w:rFonts w:eastAsia="Times New Roman"/>
                  <w:sz w:val="20"/>
                  <w:szCs w:val="20"/>
                </w:rPr>
                <w:t>53</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238709744"/>
              <w:rPr>
                <w:rFonts w:eastAsia="Times New Roman"/>
              </w:rPr>
            </w:pPr>
            <w:hyperlink w:anchor="i745f4cec0426499bad862f1e12d29f2c_136"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602C02">
            <w:pPr>
              <w:divId w:val="1991446972"/>
              <w:rPr>
                <w:rFonts w:eastAsia="Times New Roman"/>
              </w:rPr>
            </w:pPr>
            <w:hyperlink w:anchor="i745f4cec0426499bad862f1e12d29f2c_136"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36" w:history="1">
              <w:r>
                <w:rPr>
                  <w:rStyle w:val="a3"/>
                  <w:rFonts w:eastAsia="Times New Roman"/>
                  <w:sz w:val="20"/>
                  <w:szCs w:val="20"/>
                </w:rPr>
                <w:t>53</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1654523742"/>
              <w:rPr>
                <w:rFonts w:eastAsia="Times New Roman"/>
              </w:rPr>
            </w:pPr>
            <w:hyperlink w:anchor="i745f4cec0426499bad862f1e12d29f2c_139"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602C02">
            <w:pPr>
              <w:divId w:val="523834687"/>
              <w:rPr>
                <w:rFonts w:eastAsia="Times New Roman"/>
              </w:rPr>
            </w:pPr>
            <w:hyperlink w:anchor="i745f4cec0426499bad862f1e12d29f2c_139"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39" w:history="1">
              <w:r>
                <w:rPr>
                  <w:rStyle w:val="a3"/>
                  <w:rFonts w:eastAsia="Times New Roman"/>
                  <w:sz w:val="20"/>
                  <w:szCs w:val="20"/>
                </w:rPr>
                <w:t>54</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621693644"/>
              <w:rPr>
                <w:rFonts w:eastAsia="Times New Roman"/>
              </w:rPr>
            </w:pPr>
            <w:hyperlink w:anchor="i745f4cec0426499bad862f1e12d29f2c_142"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602C02">
            <w:pPr>
              <w:divId w:val="561330005"/>
              <w:rPr>
                <w:rFonts w:eastAsia="Times New Roman"/>
              </w:rPr>
            </w:pPr>
            <w:hyperlink w:anchor="i745f4cec0426499bad862f1e12d29f2c_142"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42" w:history="1">
              <w:r>
                <w:rPr>
                  <w:rStyle w:val="a3"/>
                  <w:rFonts w:eastAsia="Times New Roman"/>
                  <w:sz w:val="20"/>
                  <w:szCs w:val="20"/>
                </w:rPr>
                <w:t>54</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1568950302"/>
              <w:rPr>
                <w:rFonts w:eastAsia="Times New Roman"/>
              </w:rPr>
            </w:pPr>
            <w:hyperlink w:anchor="i745f4cec0426499bad862f1e12d29f2c_145"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602C02">
            <w:pPr>
              <w:divId w:val="1042486855"/>
              <w:rPr>
                <w:rFonts w:eastAsia="Times New Roman"/>
              </w:rPr>
            </w:pPr>
            <w:hyperlink w:anchor="i745f4cec0426499bad862f1e12d29f2c_145"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45" w:history="1">
              <w:r>
                <w:rPr>
                  <w:rStyle w:val="a3"/>
                  <w:rFonts w:eastAsia="Times New Roman"/>
                  <w:sz w:val="20"/>
                  <w:szCs w:val="20"/>
                </w:rPr>
                <w:t>54</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687292025"/>
              <w:rPr>
                <w:rFonts w:eastAsia="Times New Roman"/>
              </w:rPr>
            </w:pPr>
            <w:hyperlink w:anchor="i745f4cec0426499bad862f1e12d29f2c_148"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602C02">
            <w:pPr>
              <w:divId w:val="890656300"/>
              <w:rPr>
                <w:rFonts w:eastAsia="Times New Roman"/>
              </w:rPr>
            </w:pPr>
            <w:hyperlink w:anchor="i745f4cec0426499bad862f1e12d29f2c_148"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48" w:history="1">
              <w:r>
                <w:rPr>
                  <w:rStyle w:val="a3"/>
                  <w:rFonts w:eastAsia="Times New Roman"/>
                  <w:sz w:val="20"/>
                  <w:szCs w:val="20"/>
                </w:rPr>
                <w:t>54</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2047413127"/>
              <w:rPr>
                <w:rFonts w:eastAsia="Times New Roman"/>
              </w:rPr>
            </w:pPr>
            <w:hyperlink w:anchor="i745f4cec0426499bad862f1e12d29f2c_151"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602C02">
            <w:pPr>
              <w:divId w:val="1302732570"/>
              <w:rPr>
                <w:rFonts w:eastAsia="Times New Roman"/>
              </w:rPr>
            </w:pPr>
            <w:hyperlink w:anchor="i745f4cec0426499bad862f1e12d29f2c_151" w:history="1">
              <w:r>
                <w:rPr>
                  <w:rStyle w:val="a3"/>
                  <w:rFonts w:eastAsia="Times New Roman"/>
                  <w:sz w:val="20"/>
                  <w:szCs w:val="20"/>
                </w:rPr>
                <w:t>Exhibits</w:t>
              </w:r>
            </w:hyperlink>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51" w:history="1">
              <w:r>
                <w:rPr>
                  <w:rStyle w:val="a3"/>
                  <w:rFonts w:eastAsia="Times New Roman"/>
                  <w:sz w:val="20"/>
                  <w:szCs w:val="20"/>
                </w:rPr>
                <w:t>55</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Height w:val="300"/>
        </w:trPr>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tcMar>
              <w:top w:w="30" w:type="dxa"/>
              <w:left w:w="20" w:type="dxa"/>
              <w:bottom w:w="30" w:type="dxa"/>
              <w:right w:w="20" w:type="dxa"/>
            </w:tcMar>
            <w:hideMark/>
          </w:tcPr>
          <w:p w:rsidR="00000000" w:rsidRDefault="00602C02">
            <w:pPr>
              <w:divId w:val="1091663191"/>
              <w:rPr>
                <w:rFonts w:eastAsia="Times New Roman"/>
              </w:rPr>
            </w:pPr>
            <w:hyperlink w:anchor="i745f4cec0426499bad862f1e12d29f2c_154" w:history="1">
              <w:r>
                <w:rPr>
                  <w:rStyle w:val="a3"/>
                  <w:rFonts w:eastAsia="Times New Roman"/>
                  <w:sz w:val="20"/>
                  <w:szCs w:val="20"/>
                </w:rPr>
                <w:t>SIGNATURES</w:t>
              </w:r>
            </w:hyperlink>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30" w:type="dxa"/>
              <w:left w:w="20" w:type="dxa"/>
              <w:bottom w:w="30" w:type="dxa"/>
              <w:right w:w="20" w:type="dxa"/>
            </w:tcMar>
            <w:hideMark/>
          </w:tcPr>
          <w:p w:rsidR="00000000" w:rsidRDefault="00602C02">
            <w:pPr>
              <w:jc w:val="right"/>
              <w:rPr>
                <w:rFonts w:eastAsia="Times New Roman"/>
              </w:rPr>
            </w:pPr>
            <w:hyperlink w:anchor="i745f4cec0426499bad862f1e12d29f2c_154" w:history="1">
              <w:r>
                <w:rPr>
                  <w:rStyle w:val="a3"/>
                  <w:rFonts w:eastAsia="Times New Roman"/>
                  <w:sz w:val="20"/>
                  <w:szCs w:val="20"/>
                </w:rPr>
                <w:t>57</w:t>
              </w:r>
            </w:hyperlink>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86593600"/>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jc w:val="center"/>
        <w:divId w:val="244538660"/>
        <w:rPr>
          <w:rFonts w:eastAsia="Times New Roman"/>
        </w:rPr>
      </w:pPr>
      <w:r>
        <w:rPr>
          <w:rFonts w:eastAsia="Times New Roman"/>
          <w:color w:val="000000"/>
          <w:sz w:val="20"/>
          <w:szCs w:val="20"/>
        </w:rPr>
        <w:t>2</w:t>
      </w:r>
    </w:p>
    <w:p w:rsidR="00000000" w:rsidRDefault="00602C02">
      <w:pPr>
        <w:rPr>
          <w:rFonts w:eastAsia="Times New Roman"/>
        </w:rPr>
      </w:pPr>
      <w:r>
        <w:rPr>
          <w:rFonts w:eastAsia="Times New Roman"/>
        </w:rPr>
        <w:pict>
          <v:rect id="_x0000_i1026" style="width:0;height:1.5pt" o:hralign="center" o:hrstd="t" o:hr="t" fillcolor="#a0a0a0" stroked="f"/>
        </w:pict>
      </w:r>
    </w:p>
    <w:p w:rsidR="00000000" w:rsidRDefault="00602C02">
      <w:pPr>
        <w:jc w:val="center"/>
        <w:divId w:val="345862360"/>
        <w:rPr>
          <w:rFonts w:eastAsia="Times New Roman"/>
        </w:rPr>
      </w:pPr>
    </w:p>
    <w:p w:rsidR="00000000" w:rsidRDefault="00602C02">
      <w:pPr>
        <w:divId w:val="39550091"/>
        <w:rPr>
          <w:rFonts w:eastAsia="Times New Roman"/>
        </w:rPr>
      </w:pPr>
      <w:r>
        <w:rPr>
          <w:rFonts w:eastAsia="Times New Roman"/>
          <w:b/>
          <w:bCs/>
          <w:color w:val="000000"/>
          <w:sz w:val="20"/>
          <w:szCs w:val="20"/>
        </w:rPr>
        <w:t>PART I. FINANCIAL INFORMATIO</w:t>
      </w:r>
      <w:r>
        <w:rPr>
          <w:rFonts w:eastAsia="Times New Roman"/>
          <w:b/>
          <w:bCs/>
          <w:color w:val="000000"/>
          <w:sz w:val="20"/>
          <w:szCs w:val="20"/>
        </w:rPr>
        <w:t>N</w:t>
      </w:r>
    </w:p>
    <w:p w:rsidR="00000000" w:rsidRDefault="00602C02">
      <w:pPr>
        <w:divId w:val="382171657"/>
        <w:rPr>
          <w:rFonts w:eastAsia="Times New Roman"/>
        </w:rPr>
      </w:pPr>
    </w:p>
    <w:p w:rsidR="00000000" w:rsidRDefault="00602C02">
      <w:pPr>
        <w:divId w:val="1664773397"/>
        <w:rPr>
          <w:rFonts w:eastAsia="Times New Roman"/>
        </w:rPr>
      </w:pPr>
      <w:r>
        <w:rPr>
          <w:rFonts w:eastAsia="Times New Roman"/>
          <w:b/>
          <w:bCs/>
          <w:color w:val="000000"/>
          <w:sz w:val="20"/>
          <w:szCs w:val="20"/>
        </w:rPr>
        <w:t>ITEM 1. CONDENSED CONSOLIDATED FINANCIAL STATEMENTS (UNAUDITED</w:t>
      </w:r>
      <w:r>
        <w:rPr>
          <w:rFonts w:eastAsia="Times New Roman"/>
          <w:b/>
          <w:b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18"/>
        <w:gridCol w:w="79"/>
        <w:gridCol w:w="79"/>
        <w:gridCol w:w="1418"/>
        <w:gridCol w:w="79"/>
        <w:gridCol w:w="79"/>
        <w:gridCol w:w="1418"/>
        <w:gridCol w:w="79"/>
        <w:gridCol w:w="78"/>
        <w:gridCol w:w="1417"/>
        <w:gridCol w:w="78"/>
        <w:gridCol w:w="78"/>
        <w:gridCol w:w="1417"/>
        <w:gridCol w:w="78"/>
        <w:gridCol w:w="36"/>
        <w:gridCol w:w="36"/>
        <w:gridCol w:w="36"/>
        <w:gridCol w:w="36"/>
        <w:gridCol w:w="36"/>
        <w:gridCol w:w="36"/>
        <w:gridCol w:w="36"/>
        <w:gridCol w:w="36"/>
        <w:gridCol w:w="36"/>
        <w:gridCol w:w="36"/>
        <w:gridCol w:w="36"/>
        <w:gridCol w:w="36"/>
      </w:tblGrid>
      <w:tr w:rsidR="00000000">
        <w:trPr>
          <w:gridAfter w:val="12"/>
          <w:divId w:val="386034432"/>
          <w:jc w:val="center"/>
        </w:trPr>
        <w:tc>
          <w:tcPr>
            <w:tcW w:w="50" w:type="pct"/>
            <w:vAlign w:val="center"/>
            <w:hideMark/>
          </w:tcPr>
          <w:p w:rsidR="00000000" w:rsidRDefault="00602C02">
            <w:pPr>
              <w:rPr>
                <w:rFonts w:eastAsia="Times New Roman"/>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386034432"/>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386034432"/>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86034432"/>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CONDENSED CONSOLIDATED BALANCE SHEET</w:t>
            </w:r>
            <w:r>
              <w:rPr>
                <w:rFonts w:eastAsia="Times New Roman"/>
                <w:b/>
                <w:bCs/>
                <w:color w:val="000000"/>
                <w:sz w:val="18"/>
                <w:szCs w:val="18"/>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386034432"/>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(In millions, except par value amounts</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386034432"/>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54"/>
        <w:gridCol w:w="5803"/>
        <w:gridCol w:w="55"/>
        <w:gridCol w:w="125"/>
        <w:gridCol w:w="778"/>
        <w:gridCol w:w="80"/>
        <w:gridCol w:w="36"/>
        <w:gridCol w:w="36"/>
        <w:gridCol w:w="36"/>
        <w:gridCol w:w="126"/>
        <w:gridCol w:w="760"/>
        <w:gridCol w:w="80"/>
        <w:gridCol w:w="36"/>
        <w:gridCol w:w="36"/>
        <w:gridCol w:w="36"/>
        <w:gridCol w:w="36"/>
        <w:gridCol w:w="36"/>
        <w:gridCol w:w="36"/>
        <w:gridCol w:w="36"/>
        <w:gridCol w:w="36"/>
        <w:gridCol w:w="36"/>
      </w:tblGrid>
      <w:tr w:rsidR="00000000">
        <w:trPr>
          <w:gridAfter w:val="9"/>
          <w:jc w:val="center"/>
        </w:trPr>
        <w:tc>
          <w:tcPr>
            <w:tcW w:w="50" w:type="pct"/>
            <w:vAlign w:val="center"/>
            <w:hideMark/>
          </w:tcPr>
          <w:p w:rsidR="00000000" w:rsidRDefault="00602C02">
            <w:pPr>
              <w:jc w:val="center"/>
              <w:rPr>
                <w:rFonts w:eastAsia="Times New Roman"/>
              </w:rPr>
            </w:pPr>
          </w:p>
        </w:tc>
        <w:tc>
          <w:tcPr>
            <w:tcW w:w="365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gridAfter w:val="9"/>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jc w:val="center"/>
        </w:trPr>
        <w:tc>
          <w:tcPr>
            <w:tcW w:w="0" w:type="auto"/>
            <w:gridSpan w:val="12"/>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Current assets</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Cash and cash equivalent</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8,403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11,839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Marketable securitie</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1,543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Accounts receivable,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Inventorie</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1,400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current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586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current asset</w:t>
            </w:r>
            <w:r>
              <w:rPr>
                <w:rFonts w:eastAsia="Times New Roman"/>
                <w:color w:val="000000"/>
                <w:sz w:val="18"/>
                <w:szCs w:val="18"/>
              </w:rPr>
              <w: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15,313</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16,765</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Deferred tax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1,196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Property, plant and equipment, ne</w:t>
            </w:r>
            <w:r>
              <w:rPr>
                <w:rFonts w:eastAsia="Times New Roman"/>
                <w:color w:val="000000"/>
                <w:sz w:val="18"/>
                <w:szCs w:val="18"/>
              </w:rPr>
              <w:t>t</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3,358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3,081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Goodwil</w:t>
            </w:r>
            <w:r>
              <w:rPr>
                <w:rFonts w:eastAsia="Times New Roman"/>
                <w:color w:val="000000"/>
                <w:sz w:val="18"/>
                <w:szCs w:val="18"/>
              </w:rPr>
              <w:t>l</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6,294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6,282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intangible assets, ne</w:t>
            </w:r>
            <w:r>
              <w:rPr>
                <w:rFonts w:eastAsia="Times New Roman"/>
                <w:color w:val="000000"/>
                <w:sz w:val="18"/>
                <w:szCs w:val="18"/>
              </w:rPr>
              <w:t>t</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1,889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2,172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3,835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asset</w:t>
            </w:r>
            <w:r>
              <w:rPr>
                <w:rFonts w:eastAsia="Times New Roman"/>
                <w:color w:val="000000"/>
                <w:sz w:val="18"/>
                <w:szCs w:val="18"/>
              </w:rPr>
              <w:t>s</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31,938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32,957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trHeight w:val="240"/>
          <w:jc w:val="center"/>
        </w:trPr>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12"/>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LIABILITIES AND STOCKHOLDERS’ EQUIT</w:t>
            </w:r>
            <w:r>
              <w:rPr>
                <w:rFonts w:eastAsia="Times New Roman"/>
                <w:b/>
                <w:bCs/>
                <w:color w:val="000000"/>
                <w:sz w:val="18"/>
                <w:szCs w:val="18"/>
              </w:rPr>
              <w:t>Y</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Current liabilities</w:t>
            </w:r>
            <w:r>
              <w:rPr>
                <w:rFonts w:eastAsia="Times New Roman"/>
                <w:color w:val="000000"/>
                <w:sz w:val="18"/>
                <w:szCs w:val="18"/>
              </w:rPr>
              <w:t>:</w:t>
            </w:r>
          </w:p>
        </w:tc>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Trade accounts payabl</w:t>
            </w:r>
            <w:r>
              <w:rPr>
                <w:rFonts w:eastAsia="Times New Roman"/>
                <w:color w:val="000000"/>
                <w:sz w:val="18"/>
                <w:szCs w:val="18"/>
              </w:rPr>
              <w:t>e</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Payroll and other benefits related liabilitie</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699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1,048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Unearned revenue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565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Short-term deb</w:t>
            </w:r>
            <w:r>
              <w:rPr>
                <w:rFonts w:eastAsia="Times New Roman"/>
                <w:color w:val="000000"/>
                <w:sz w:val="18"/>
                <w:szCs w:val="18"/>
              </w:rPr>
              <w:t>t</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2,499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2,496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current liabilitie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3,986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3,458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current liabilitie</w:t>
            </w:r>
            <w:r>
              <w:rPr>
                <w:rFonts w:eastAsia="Times New Roman"/>
                <w:color w:val="000000"/>
                <w:sz w:val="18"/>
                <w:szCs w:val="18"/>
              </w:rPr>
              <w: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9,774</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8,935</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Unearned revenue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1,160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Income taxes payabl</w:t>
            </w:r>
            <w:r>
              <w:rPr>
                <w:rFonts w:eastAsia="Times New Roman"/>
                <w:color w:val="000000"/>
                <w:sz w:val="18"/>
                <w:szCs w:val="18"/>
              </w:rPr>
              <w:t>e</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1,879</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2,088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Long-term deb</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13,449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13,437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liabilitie</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2,823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2,428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liabilitie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28,893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28,048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trHeight w:val="240"/>
          <w:jc w:val="center"/>
        </w:trPr>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Commitments and contingencies (Note 5</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trHeight w:val="240"/>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Stockholders’ equity</w:t>
            </w:r>
            <w:r>
              <w:rPr>
                <w:rFonts w:eastAsia="Times New Roman"/>
                <w:color w:val="000000"/>
                <w:sz w:val="18"/>
                <w:szCs w:val="18"/>
              </w:rPr>
              <w:t>:</w:t>
            </w:r>
          </w:p>
        </w:tc>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02C02">
            <w:pPr>
              <w:divId w:val="89813123"/>
              <w:rPr>
                <w:rFonts w:eastAsia="Times New Roman"/>
              </w:rPr>
            </w:pPr>
            <w:r>
              <w:rPr>
                <w:rFonts w:eastAsia="Times New Roman"/>
                <w:color w:val="000000"/>
                <w:sz w:val="18"/>
                <w:szCs w:val="18"/>
              </w:rPr>
              <w:t>Preferred stock, $0.0001 par value; 8 shares authorized; none outstandin</w:t>
            </w:r>
            <w:r>
              <w:rPr>
                <w:rFonts w:eastAsia="Times New Roman"/>
                <w:color w:val="000000"/>
                <w:sz w:val="18"/>
                <w:szCs w:val="18"/>
              </w:rPr>
              <w:t>g</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divId w:val="131676338"/>
              <w:rPr>
                <w:rFonts w:eastAsia="Times New Roman"/>
              </w:rPr>
            </w:pPr>
            <w:r>
              <w:rPr>
                <w:rFonts w:eastAsia="Times New Roman"/>
                <w:color w:val="000000"/>
                <w:sz w:val="18"/>
                <w:szCs w:val="18"/>
              </w:rPr>
              <w:t xml:space="preserve">Common stock and paid-in capital, $0.0001 par value; 6,000 shares authorized; 1,127 and 1,145 </w:t>
            </w:r>
            <w:r>
              <w:rPr>
                <w:rFonts w:eastAsia="Times New Roman"/>
                <w:color w:val="000000"/>
                <w:sz w:val="18"/>
                <w:szCs w:val="18"/>
              </w:rPr>
              <w:t>shares issued and outstanding, respectivel</w:t>
            </w:r>
            <w:r>
              <w:rPr>
                <w:rFonts w:eastAsia="Times New Roman"/>
                <w:color w:val="000000"/>
                <w:sz w:val="18"/>
                <w:szCs w:val="18"/>
              </w:rPr>
              <w:t>y</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Retained earning</w:t>
            </w:r>
            <w:r>
              <w:rPr>
                <w:rFonts w:eastAsia="Times New Roman"/>
                <w:color w:val="000000"/>
                <w:sz w:val="18"/>
                <w:szCs w:val="18"/>
              </w:rPr>
              <w:t>s</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2,990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4,466</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Accumulated other comprehensive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stockholders’ equit</w:t>
            </w:r>
            <w:r>
              <w:rPr>
                <w:rFonts w:eastAsia="Times New Roman"/>
                <w:color w:val="000000"/>
                <w:sz w:val="18"/>
                <w:szCs w:val="18"/>
              </w:rPr>
              <w:t>y</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3,045</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4,909</w:t>
            </w:r>
            <w:r>
              <w:rPr>
                <w:rFonts w:eastAsia="Times New Roman"/>
                <w:color w:val="000000"/>
                <w:sz w:val="18"/>
                <w:szCs w:val="18"/>
              </w:rPr>
              <w:t> </w:t>
            </w:r>
          </w:p>
        </w:tc>
        <w:tc>
          <w:tcPr>
            <w:tcW w:w="0" w:type="auto"/>
            <w:tcBorders>
              <w:top w:val="single" w:sz="8" w:space="0" w:color="000000"/>
            </w:tcBorders>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58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liabilities and stockholders’ equit</w:t>
            </w:r>
            <w:r>
              <w:rPr>
                <w:rFonts w:eastAsia="Times New Roman"/>
                <w:color w:val="000000"/>
                <w:sz w:val="18"/>
                <w:szCs w:val="18"/>
              </w:rPr>
              <w:t>y</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31,938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32,957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jc w:val="center"/>
        <w:divId w:val="1237128760"/>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1237128760"/>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23712876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color w:val="000000"/>
                <w:sz w:val="18"/>
                <w:szCs w:val="18"/>
              </w:rPr>
              <w:t>See accompanying notes</w:t>
            </w:r>
            <w:r>
              <w:rPr>
                <w:rFonts w:eastAsia="Times New Roman"/>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237128760"/>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jc w:val="center"/>
        <w:divId w:val="1619869026"/>
        <w:rPr>
          <w:rFonts w:eastAsia="Times New Roman"/>
        </w:rPr>
      </w:pPr>
      <w:r>
        <w:rPr>
          <w:rFonts w:eastAsia="Times New Roman"/>
          <w:color w:val="000000"/>
          <w:sz w:val="20"/>
          <w:szCs w:val="20"/>
        </w:rPr>
        <w:t>3</w:t>
      </w:r>
    </w:p>
    <w:p w:rsidR="00000000" w:rsidRDefault="00602C02">
      <w:pPr>
        <w:rPr>
          <w:rFonts w:eastAsia="Times New Roman"/>
        </w:rPr>
      </w:pPr>
      <w:r>
        <w:rPr>
          <w:rFonts w:eastAsia="Times New Roman"/>
        </w:rPr>
        <w:lastRenderedPageBreak/>
        <w:pict>
          <v:rect id="_x0000_i1027" style="width:0;height:1.5pt" o:hralign="center" o:hrstd="t" o:hr="t" fillcolor="#a0a0a0" stroked="f"/>
        </w:pict>
      </w:r>
    </w:p>
    <w:p w:rsidR="00000000" w:rsidRDefault="00602C02">
      <w:pPr>
        <w:jc w:val="center"/>
        <w:divId w:val="186339754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18"/>
        <w:gridCol w:w="79"/>
        <w:gridCol w:w="79"/>
        <w:gridCol w:w="1418"/>
        <w:gridCol w:w="79"/>
        <w:gridCol w:w="79"/>
        <w:gridCol w:w="1418"/>
        <w:gridCol w:w="79"/>
        <w:gridCol w:w="78"/>
        <w:gridCol w:w="1417"/>
        <w:gridCol w:w="78"/>
        <w:gridCol w:w="78"/>
        <w:gridCol w:w="1417"/>
        <w:gridCol w:w="78"/>
        <w:gridCol w:w="36"/>
        <w:gridCol w:w="36"/>
        <w:gridCol w:w="36"/>
        <w:gridCol w:w="36"/>
        <w:gridCol w:w="36"/>
        <w:gridCol w:w="36"/>
        <w:gridCol w:w="36"/>
        <w:gridCol w:w="36"/>
        <w:gridCol w:w="36"/>
        <w:gridCol w:w="36"/>
        <w:gridCol w:w="36"/>
        <w:gridCol w:w="36"/>
      </w:tblGrid>
      <w:tr w:rsidR="00000000">
        <w:trPr>
          <w:gridAfter w:val="12"/>
          <w:divId w:val="1644196826"/>
          <w:jc w:val="center"/>
        </w:trPr>
        <w:tc>
          <w:tcPr>
            <w:tcW w:w="50" w:type="pct"/>
            <w:vAlign w:val="center"/>
            <w:hideMark/>
          </w:tcPr>
          <w:p w:rsidR="00000000" w:rsidRDefault="00602C02">
            <w:pPr>
              <w:jc w:val="center"/>
              <w:rPr>
                <w:rFonts w:eastAsia="Times New Roman"/>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644196826"/>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644196826"/>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44196826"/>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CONDENSED CONSOLIDATED STATEMENTS OF OPERATION</w:t>
            </w:r>
            <w:r>
              <w:rPr>
                <w:rFonts w:eastAsia="Times New Roman"/>
                <w:b/>
                <w:bCs/>
                <w:color w:val="000000"/>
                <w:sz w:val="18"/>
                <w:szCs w:val="18"/>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644196826"/>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(In millions, except per share data</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644196826"/>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41"/>
        <w:gridCol w:w="3686"/>
        <w:gridCol w:w="41"/>
        <w:gridCol w:w="125"/>
        <w:gridCol w:w="755"/>
        <w:gridCol w:w="80"/>
        <w:gridCol w:w="36"/>
        <w:gridCol w:w="36"/>
        <w:gridCol w:w="36"/>
        <w:gridCol w:w="125"/>
        <w:gridCol w:w="725"/>
        <w:gridCol w:w="80"/>
        <w:gridCol w:w="36"/>
        <w:gridCol w:w="36"/>
        <w:gridCol w:w="36"/>
        <w:gridCol w:w="125"/>
        <w:gridCol w:w="725"/>
        <w:gridCol w:w="85"/>
        <w:gridCol w:w="36"/>
        <w:gridCol w:w="36"/>
        <w:gridCol w:w="36"/>
        <w:gridCol w:w="125"/>
        <w:gridCol w:w="727"/>
        <w:gridCol w:w="80"/>
        <w:gridCol w:w="36"/>
        <w:gridCol w:w="36"/>
        <w:gridCol w:w="36"/>
        <w:gridCol w:w="36"/>
        <w:gridCol w:w="36"/>
        <w:gridCol w:w="36"/>
        <w:gridCol w:w="36"/>
        <w:gridCol w:w="36"/>
        <w:gridCol w:w="36"/>
        <w:gridCol w:w="36"/>
        <w:gridCol w:w="36"/>
        <w:gridCol w:w="36"/>
      </w:tblGrid>
      <w:tr w:rsidR="00000000">
        <w:trPr>
          <w:gridAfter w:val="12"/>
        </w:trPr>
        <w:tc>
          <w:tcPr>
            <w:tcW w:w="50" w:type="pct"/>
            <w:vAlign w:val="center"/>
            <w:hideMark/>
          </w:tcPr>
          <w:p w:rsidR="00000000" w:rsidRDefault="00602C02">
            <w:pPr>
              <w:jc w:val="center"/>
              <w:rPr>
                <w:rFonts w:eastAsia="Times New Roman"/>
              </w:rPr>
            </w:pPr>
          </w:p>
        </w:tc>
        <w:tc>
          <w:tcPr>
            <w:tcW w:w="237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Revenues</w:t>
            </w:r>
            <w:r>
              <w:rPr>
                <w:rFonts w:eastAsia="Times New Roman"/>
                <w:color w:val="000000"/>
                <w:sz w:val="18"/>
                <w:szCs w:val="18"/>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Equipment and service</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3,753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7,583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7,506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Licensin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1,229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2,709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2,318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revenue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5,216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4,982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10,292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9,824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Costs and expenses</w:t>
            </w:r>
            <w:r>
              <w:rPr>
                <w:rFonts w:eastAsia="Times New Roman"/>
                <w:color w:val="000000"/>
                <w:sz w:val="18"/>
                <w:szCs w:val="18"/>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Cost of revenue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2,297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2,179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4,410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4,367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Research and developmen</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1,468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2,873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2,577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Selling, general and administrativ</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483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573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w:t>
            </w:r>
            <w:r>
              <w:rPr>
                <w:rFonts w:eastAsia="Times New Roman"/>
                <w:color w:val="000000"/>
                <w:sz w:val="18"/>
                <w:szCs w:val="18"/>
              </w:rPr>
              <w:t>r</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costs and expense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4,225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4,042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8,271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8,174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Operating incom</w:t>
            </w:r>
            <w:r>
              <w:rPr>
                <w:rFonts w:eastAsia="Times New Roman"/>
                <w:color w:val="000000"/>
                <w:sz w:val="18"/>
                <w:szCs w:val="18"/>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991</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940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2,021</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1,650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Interest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Investment and other (expense) income,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Income before income taxe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598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806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1,545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1,366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Income tax (expense) benefi</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365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468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1,393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1,731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trHeight w:val="300"/>
        </w:trPr>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Basic earnings per shar</w:t>
            </w:r>
            <w:r>
              <w:rPr>
                <w:rFonts w:eastAsia="Times New Roman"/>
                <w:color w:val="000000"/>
                <w:sz w:val="18"/>
                <w:szCs w:val="18"/>
              </w:rPr>
              <w:t>e</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0.41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0.55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Diluted earnings per shar</w:t>
            </w:r>
            <w:r>
              <w:rPr>
                <w:rFonts w:eastAsia="Times New Roman"/>
                <w:color w:val="000000"/>
                <w:sz w:val="18"/>
                <w:szCs w:val="18"/>
              </w:rPr>
              <w:t>e</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0.41</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0.55</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1.21</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1.42</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Shares used in per share calculations</w:t>
            </w:r>
            <w:r>
              <w:rPr>
                <w:rFonts w:eastAsia="Times New Roman"/>
                <w:color w:val="000000"/>
                <w:sz w:val="18"/>
                <w:szCs w:val="18"/>
              </w:rPr>
              <w:t>:</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Basi</w:t>
            </w:r>
            <w:r>
              <w:rPr>
                <w:rFonts w:eastAsia="Times New Roman"/>
                <w:color w:val="000000"/>
                <w:sz w:val="18"/>
                <w:szCs w:val="18"/>
              </w:rPr>
              <w:t>c</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1,139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20"/>
                <w:szCs w:val="20"/>
              </w:rPr>
              <w:t>1,142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1,213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Dilute</w:t>
            </w:r>
            <w:r>
              <w:rPr>
                <w:rFonts w:eastAsia="Times New Roman"/>
                <w:color w:val="000000"/>
                <w:sz w:val="18"/>
                <w:szCs w:val="18"/>
              </w:rPr>
              <w:t>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1,151</w:t>
            </w: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1,217</w:t>
            </w: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1,155</w:t>
            </w: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1,220</w:t>
            </w:r>
            <w:r>
              <w:rPr>
                <w:rFonts w:eastAsia="Times New Roman"/>
                <w:color w:val="000000"/>
                <w:sz w:val="18"/>
                <w:szCs w:val="18"/>
              </w:rPr>
              <w:t> </w:t>
            </w:r>
          </w:p>
        </w:tc>
        <w:tc>
          <w:tcPr>
            <w:tcW w:w="0" w:type="auto"/>
            <w:tcBorders>
              <w:top w:val="double" w:sz="6"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jc w:val="center"/>
        <w:divId w:val="747577459"/>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747577459"/>
          <w:jc w:val="center"/>
        </w:trPr>
        <w:tc>
          <w:tcPr>
            <w:tcW w:w="50" w:type="pct"/>
            <w:vAlign w:val="center"/>
            <w:hideMark/>
          </w:tcPr>
          <w:p w:rsidR="00000000" w:rsidRDefault="00602C02">
            <w:pP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747577459"/>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color w:val="000000"/>
                <w:sz w:val="18"/>
                <w:szCs w:val="18"/>
              </w:rPr>
              <w:t>See accompanying notes</w:t>
            </w:r>
            <w:r>
              <w:rPr>
                <w:rFonts w:eastAsia="Times New Roman"/>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747577459"/>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jc w:val="center"/>
        <w:divId w:val="1613972356"/>
        <w:rPr>
          <w:rFonts w:eastAsia="Times New Roman"/>
        </w:rPr>
      </w:pPr>
      <w:r>
        <w:rPr>
          <w:rFonts w:eastAsia="Times New Roman"/>
          <w:color w:val="000000"/>
          <w:sz w:val="20"/>
          <w:szCs w:val="20"/>
        </w:rPr>
        <w:t>4</w:t>
      </w:r>
    </w:p>
    <w:p w:rsidR="00000000" w:rsidRDefault="00602C02">
      <w:pPr>
        <w:rPr>
          <w:rFonts w:eastAsia="Times New Roman"/>
        </w:rPr>
      </w:pPr>
      <w:r>
        <w:rPr>
          <w:rFonts w:eastAsia="Times New Roman"/>
        </w:rPr>
        <w:pict>
          <v:rect id="_x0000_i1028" style="width:0;height:1.5pt" o:hralign="center" o:hrstd="t" o:hr="t" fillcolor="#a0a0a0" stroked="f"/>
        </w:pict>
      </w:r>
    </w:p>
    <w:p w:rsidR="00000000" w:rsidRDefault="00602C02">
      <w:pPr>
        <w:jc w:val="center"/>
        <w:divId w:val="1634677122"/>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1102652862"/>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102652862"/>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102652862"/>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02652862"/>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CONDENSED CONSOLIDATED STATEMENTS OF COMPREHENSIVE INCOM</w:t>
            </w:r>
            <w:r>
              <w:rPr>
                <w:rFonts w:eastAsia="Times New Roman"/>
                <w:b/>
                <w:bCs/>
                <w:color w:val="000000"/>
                <w:sz w:val="18"/>
                <w:szCs w:val="18"/>
              </w:rPr>
              <w:t>E</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102652862"/>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(In millions</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102652862"/>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41"/>
        <w:gridCol w:w="3710"/>
        <w:gridCol w:w="42"/>
        <w:gridCol w:w="126"/>
        <w:gridCol w:w="755"/>
        <w:gridCol w:w="81"/>
        <w:gridCol w:w="36"/>
        <w:gridCol w:w="36"/>
        <w:gridCol w:w="36"/>
        <w:gridCol w:w="126"/>
        <w:gridCol w:w="726"/>
        <w:gridCol w:w="81"/>
        <w:gridCol w:w="36"/>
        <w:gridCol w:w="36"/>
        <w:gridCol w:w="36"/>
        <w:gridCol w:w="125"/>
        <w:gridCol w:w="726"/>
        <w:gridCol w:w="80"/>
        <w:gridCol w:w="36"/>
        <w:gridCol w:w="36"/>
        <w:gridCol w:w="36"/>
        <w:gridCol w:w="125"/>
        <w:gridCol w:w="726"/>
        <w:gridCol w:w="80"/>
        <w:gridCol w:w="36"/>
        <w:gridCol w:w="36"/>
        <w:gridCol w:w="36"/>
        <w:gridCol w:w="36"/>
        <w:gridCol w:w="36"/>
        <w:gridCol w:w="36"/>
        <w:gridCol w:w="36"/>
        <w:gridCol w:w="36"/>
        <w:gridCol w:w="36"/>
        <w:gridCol w:w="36"/>
        <w:gridCol w:w="36"/>
        <w:gridCol w:w="36"/>
      </w:tblGrid>
      <w:tr w:rsidR="00000000">
        <w:trPr>
          <w:gridAfter w:val="12"/>
        </w:trPr>
        <w:tc>
          <w:tcPr>
            <w:tcW w:w="50" w:type="pct"/>
            <w:vAlign w:val="center"/>
            <w:hideMark/>
          </w:tcPr>
          <w:p w:rsidR="00000000" w:rsidRDefault="00602C02">
            <w:pPr>
              <w:jc w:val="center"/>
              <w:rPr>
                <w:rFonts w:eastAsia="Times New Roman"/>
              </w:rPr>
            </w:pPr>
          </w:p>
        </w:tc>
        <w:tc>
          <w:tcPr>
            <w:tcW w:w="237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02C02">
            <w:pPr>
              <w:divId w:val="139811952"/>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468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1,393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1,731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comprehensive loss, net of income taxes</w:t>
            </w:r>
            <w:r>
              <w:rPr>
                <w:rFonts w:eastAsia="Times New Roman"/>
                <w:color w:val="000000"/>
                <w:sz w:val="18"/>
                <w:szCs w:val="18"/>
              </w:rPr>
              <w:t>:</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lastRenderedPageBreak/>
              <w:t>Foreign currency translation losse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unrealized losses on available-for-sale securitie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unrealized (losses) gains on derivative instrument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(losses) gain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Certain reclassifications included in net incom</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other comprehensive los</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(82</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(45</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(41</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Comprehensive incom</w:t>
            </w:r>
            <w:r>
              <w:rPr>
                <w:rFonts w:eastAsia="Times New Roman"/>
                <w:color w:val="000000"/>
                <w:sz w:val="18"/>
                <w:szCs w:val="18"/>
              </w:rPr>
              <w:t>e</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1,348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1,690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jc w:val="center"/>
        <w:divId w:val="843667093"/>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843667093"/>
          <w:jc w:val="center"/>
        </w:trPr>
        <w:tc>
          <w:tcPr>
            <w:tcW w:w="50" w:type="pct"/>
            <w:vAlign w:val="center"/>
            <w:hideMark/>
          </w:tcPr>
          <w:p w:rsidR="00000000" w:rsidRDefault="00602C02">
            <w:pP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843667093"/>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color w:val="000000"/>
                <w:sz w:val="18"/>
                <w:szCs w:val="18"/>
              </w:rPr>
              <w:t>See accompanying notes</w:t>
            </w:r>
            <w:r>
              <w:rPr>
                <w:rFonts w:eastAsia="Times New Roman"/>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843667093"/>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jc w:val="center"/>
        <w:divId w:val="758334155"/>
        <w:rPr>
          <w:rFonts w:eastAsia="Times New Roman"/>
        </w:rPr>
      </w:pPr>
      <w:r>
        <w:rPr>
          <w:rFonts w:eastAsia="Times New Roman"/>
          <w:color w:val="000000"/>
          <w:sz w:val="20"/>
          <w:szCs w:val="20"/>
        </w:rPr>
        <w:t>5</w:t>
      </w:r>
    </w:p>
    <w:p w:rsidR="00000000" w:rsidRDefault="00602C02">
      <w:pPr>
        <w:rPr>
          <w:rFonts w:eastAsia="Times New Roman"/>
        </w:rPr>
      </w:pPr>
      <w:r>
        <w:rPr>
          <w:rFonts w:eastAsia="Times New Roman"/>
        </w:rPr>
        <w:pict>
          <v:rect id="_x0000_i1029" style="width:0;height:1.5pt" o:hralign="center" o:hrstd="t" o:hr="t" fillcolor="#a0a0a0" stroked="f"/>
        </w:pict>
      </w:r>
    </w:p>
    <w:p w:rsidR="00000000" w:rsidRDefault="00602C02">
      <w:pPr>
        <w:jc w:val="center"/>
        <w:divId w:val="45213827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901600237"/>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901600237"/>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901600237"/>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901600237"/>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CONDENSED CONSOLIDATED STATEMENTS OF CASH FLOW</w:t>
            </w:r>
            <w:r>
              <w:rPr>
                <w:rFonts w:eastAsia="Times New Roman"/>
                <w:b/>
                <w:bCs/>
                <w:color w:val="000000"/>
                <w:sz w:val="18"/>
                <w:szCs w:val="18"/>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901600237"/>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(In millions</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901600237"/>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59"/>
        <w:gridCol w:w="5884"/>
        <w:gridCol w:w="60"/>
        <w:gridCol w:w="125"/>
        <w:gridCol w:w="792"/>
        <w:gridCol w:w="80"/>
        <w:gridCol w:w="36"/>
        <w:gridCol w:w="36"/>
        <w:gridCol w:w="36"/>
        <w:gridCol w:w="125"/>
        <w:gridCol w:w="764"/>
        <w:gridCol w:w="80"/>
        <w:gridCol w:w="36"/>
        <w:gridCol w:w="36"/>
        <w:gridCol w:w="36"/>
        <w:gridCol w:w="36"/>
        <w:gridCol w:w="36"/>
        <w:gridCol w:w="36"/>
      </w:tblGrid>
      <w:tr w:rsidR="00000000">
        <w:trPr>
          <w:gridAfter w:val="6"/>
          <w:jc w:val="center"/>
        </w:trPr>
        <w:tc>
          <w:tcPr>
            <w:tcW w:w="50" w:type="pct"/>
            <w:vAlign w:val="center"/>
            <w:hideMark/>
          </w:tcPr>
          <w:p w:rsidR="00000000" w:rsidRDefault="00602C02">
            <w:pPr>
              <w:jc w:val="center"/>
              <w:rPr>
                <w:rFonts w:eastAsia="Times New Roman"/>
              </w:rPr>
            </w:pPr>
          </w:p>
        </w:tc>
        <w:tc>
          <w:tcPr>
            <w:tcW w:w="365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Operating Activities</w:t>
            </w:r>
            <w:r>
              <w:rPr>
                <w:rFonts w:eastAsia="Times New Roman"/>
                <w:b/>
                <w:bCs/>
                <w:color w:val="000000"/>
                <w:sz w:val="18"/>
                <w:szCs w:val="18"/>
              </w:rPr>
              <w:t>:</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income</w:t>
            </w:r>
            <w:r>
              <w:rPr>
                <w:rFonts w:eastAsia="Times New Roman"/>
                <w:color w:val="000000"/>
                <w:sz w:val="18"/>
                <w:szCs w:val="18"/>
              </w:rPr>
              <w:t xml:space="preserve"> </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1,393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1,731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Adjustments to reconcile net income to net cash provided by operating activities</w:t>
            </w: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Depreciation and amortization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691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Income tax provision less than income tax payment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(350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(958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Non-cash portion of share-based compensation expens</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603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452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gains on marketable securities and other investment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Indefinite and long-lived asset impairment charge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Impairment losses on other investment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items,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(190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Changes in assets and liabilities</w:t>
            </w:r>
            <w:r>
              <w:rPr>
                <w:rFonts w:eastAsia="Times New Roman"/>
                <w:color w:val="000000"/>
                <w:sz w:val="18"/>
                <w:szCs w:val="18"/>
              </w:rPr>
              <w:t>:</w:t>
            </w:r>
          </w:p>
        </w:tc>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Accounts receivable,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(607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Inventorie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Trade accounts payabl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Payroll, benefits and other liabilitie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(727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Unearned revenue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cash provided by operating activitie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2,201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1,150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Investing Activities</w:t>
            </w:r>
            <w:r>
              <w:rPr>
                <w:rFonts w:eastAsia="Times New Roman"/>
                <w:b/>
                <w:bCs/>
                <w:color w:val="000000"/>
                <w:sz w:val="18"/>
                <w:szCs w:val="18"/>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Capital expenditure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(641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(322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Purchases of debt and equity marketable securitie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(1,312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Proceeds from sales and maturities of debt and equity marketable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Acquisitions and other investments, net of cash acquire</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items,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cash used by investing activitie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(1,769</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(261</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Financing Activities</w:t>
            </w:r>
            <w:r>
              <w:rPr>
                <w:rFonts w:eastAsia="Times New Roman"/>
                <w:b/>
                <w:bCs/>
                <w:color w:val="000000"/>
                <w:sz w:val="18"/>
                <w:szCs w:val="18"/>
              </w:rPr>
              <w:t>:</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Proceeds from short-term deb</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1,116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3,297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Repayment of short-term deb</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(3,303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lastRenderedPageBreak/>
              <w:t>Proceeds from issuance of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Repurchases and retirements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(2,340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Dividends pai</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(1,415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(1,502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Payments of tax withholdings related to vesting of share-based award</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items,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cash used by financing activitie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(3,868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(2,531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Effect of exchange rate changes on cash and cash equivalent</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Net decrease in total cash and cash equivalent</w:t>
            </w:r>
            <w:r>
              <w:rPr>
                <w:rFonts w:eastAsia="Times New Roman"/>
                <w:b/>
                <w:bCs/>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(3,436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(1,642</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Total cash and cash equivalents at beginning of perio</w:t>
            </w:r>
            <w:r>
              <w:rPr>
                <w:rFonts w:eastAsia="Times New Roman"/>
                <w:b/>
                <w:bCs/>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11,839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11,777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36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Total cash and cash equivalents at end of perio</w:t>
            </w:r>
            <w:r>
              <w:rPr>
                <w:rFonts w:eastAsia="Times New Roman"/>
                <w:b/>
                <w:bCs/>
                <w:color w:val="000000"/>
                <w:sz w:val="18"/>
                <w:szCs w:val="18"/>
              </w:rPr>
              <w:t>d</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8,403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10,135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jc w:val="center"/>
        <w:divId w:val="2107000474"/>
        <w:rPr>
          <w:rFonts w:eastAsia="Times New Roman"/>
        </w:rPr>
      </w:pPr>
      <w:r>
        <w:rPr>
          <w:rFonts w:eastAsia="Times New Roman"/>
          <w:color w:val="000000"/>
          <w:sz w:val="18"/>
          <w:szCs w:val="18"/>
        </w:rPr>
        <w:t>See accompanying notes</w:t>
      </w:r>
      <w:r>
        <w:rPr>
          <w:rFonts w:eastAsia="Times New Roman"/>
          <w:color w:val="000000"/>
          <w:sz w:val="18"/>
          <w:szCs w:val="18"/>
        </w:rPr>
        <w:t>.</w:t>
      </w:r>
    </w:p>
    <w:p w:rsidR="00000000" w:rsidRDefault="00602C02">
      <w:pPr>
        <w:jc w:val="center"/>
        <w:divId w:val="239103325"/>
        <w:rPr>
          <w:rFonts w:eastAsia="Times New Roman"/>
        </w:rPr>
      </w:pPr>
      <w:r>
        <w:rPr>
          <w:rFonts w:eastAsia="Times New Roman"/>
          <w:color w:val="000000"/>
          <w:sz w:val="20"/>
          <w:szCs w:val="20"/>
        </w:rPr>
        <w:t>6</w:t>
      </w:r>
    </w:p>
    <w:p w:rsidR="00000000" w:rsidRDefault="00602C02">
      <w:pPr>
        <w:rPr>
          <w:rFonts w:eastAsia="Times New Roman"/>
        </w:rPr>
      </w:pPr>
      <w:r>
        <w:rPr>
          <w:rFonts w:eastAsia="Times New Roman"/>
        </w:rPr>
        <w:pict>
          <v:rect id="_x0000_i1030" style="width:0;height:1.5pt" o:hralign="center" o:hrstd="t" o:hr="t" fillcolor="#a0a0a0" stroked="f"/>
        </w:pict>
      </w:r>
    </w:p>
    <w:p w:rsidR="00000000" w:rsidRDefault="00602C02">
      <w:pPr>
        <w:jc w:val="center"/>
        <w:divId w:val="1002050419"/>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79"/>
        <w:gridCol w:w="1400"/>
        <w:gridCol w:w="79"/>
        <w:gridCol w:w="79"/>
        <w:gridCol w:w="1423"/>
        <w:gridCol w:w="78"/>
        <w:gridCol w:w="78"/>
        <w:gridCol w:w="1422"/>
        <w:gridCol w:w="78"/>
        <w:gridCol w:w="78"/>
        <w:gridCol w:w="1422"/>
        <w:gridCol w:w="78"/>
        <w:gridCol w:w="78"/>
        <w:gridCol w:w="1424"/>
        <w:gridCol w:w="78"/>
        <w:gridCol w:w="36"/>
        <w:gridCol w:w="36"/>
        <w:gridCol w:w="36"/>
        <w:gridCol w:w="36"/>
        <w:gridCol w:w="36"/>
        <w:gridCol w:w="36"/>
        <w:gridCol w:w="36"/>
        <w:gridCol w:w="36"/>
        <w:gridCol w:w="36"/>
        <w:gridCol w:w="36"/>
        <w:gridCol w:w="36"/>
        <w:gridCol w:w="36"/>
      </w:tblGrid>
      <w:tr w:rsidR="00000000">
        <w:trPr>
          <w:gridAfter w:val="12"/>
          <w:divId w:val="1095132290"/>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09513229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095132290"/>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09513229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CONDENSED CONSOLIDATED STATEMENTS OF STOCKHOLDERS’ EQUIT</w:t>
            </w:r>
            <w:r>
              <w:rPr>
                <w:rFonts w:eastAsia="Times New Roman"/>
                <w:b/>
                <w:bCs/>
                <w:color w:val="000000"/>
                <w:sz w:val="18"/>
                <w:szCs w:val="18"/>
              </w:rPr>
              <w:t>Y</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09513229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(In millions, except per share data</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09513229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tbl>
      <w:tblPr>
        <w:tblW w:w="4985" w:type="pct"/>
        <w:jc w:val="center"/>
        <w:tblCellMar>
          <w:top w:w="15" w:type="dxa"/>
          <w:left w:w="15" w:type="dxa"/>
          <w:bottom w:w="15" w:type="dxa"/>
          <w:right w:w="15" w:type="dxa"/>
        </w:tblCellMar>
        <w:tblLook w:val="04A0" w:firstRow="1" w:lastRow="0" w:firstColumn="1" w:lastColumn="0" w:noHBand="0" w:noVBand="1"/>
      </w:tblPr>
      <w:tblGrid>
        <w:gridCol w:w="144"/>
        <w:gridCol w:w="3925"/>
        <w:gridCol w:w="144"/>
        <w:gridCol w:w="144"/>
        <w:gridCol w:w="834"/>
        <w:gridCol w:w="144"/>
        <w:gridCol w:w="144"/>
        <w:gridCol w:w="144"/>
        <w:gridCol w:w="144"/>
        <w:gridCol w:w="144"/>
        <w:gridCol w:w="834"/>
        <w:gridCol w:w="144"/>
        <w:gridCol w:w="144"/>
        <w:gridCol w:w="144"/>
        <w:gridCol w:w="144"/>
        <w:gridCol w:w="144"/>
        <w:gridCol w:w="834"/>
        <w:gridCol w:w="144"/>
        <w:gridCol w:w="144"/>
        <w:gridCol w:w="144"/>
        <w:gridCol w:w="144"/>
        <w:gridCol w:w="144"/>
        <w:gridCol w:w="834"/>
        <w:gridCol w:w="144"/>
        <w:gridCol w:w="16"/>
        <w:gridCol w:w="16"/>
        <w:gridCol w:w="16"/>
        <w:gridCol w:w="16"/>
        <w:gridCol w:w="16"/>
        <w:gridCol w:w="16"/>
        <w:gridCol w:w="480"/>
        <w:gridCol w:w="480"/>
        <w:gridCol w:w="480"/>
        <w:gridCol w:w="480"/>
        <w:gridCol w:w="480"/>
        <w:gridCol w:w="480"/>
      </w:tblGrid>
      <w:tr w:rsidR="00000000">
        <w:trPr>
          <w:gridAfter w:val="12"/>
          <w:jc w:val="center"/>
        </w:trPr>
        <w:tc>
          <w:tcPr>
            <w:tcW w:w="50" w:type="pct"/>
            <w:vAlign w:val="center"/>
            <w:hideMark/>
          </w:tcPr>
          <w:p w:rsidR="00000000" w:rsidRDefault="00602C02">
            <w:pPr>
              <w:jc w:val="center"/>
              <w:rPr>
                <w:rFonts w:eastAsia="Times New Roman"/>
              </w:rPr>
            </w:pPr>
          </w:p>
        </w:tc>
        <w:tc>
          <w:tcPr>
            <w:tcW w:w="237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divId w:val="2082484995"/>
              <w:rPr>
                <w:rFonts w:eastAsia="Times New Roman"/>
              </w:rPr>
            </w:pPr>
            <w:r>
              <w:rPr>
                <w:rFonts w:eastAsia="Times New Roman"/>
                <w:b/>
                <w:bCs/>
                <w:color w:val="000000"/>
                <w:sz w:val="18"/>
                <w:szCs w:val="18"/>
              </w:rPr>
              <w:t>Total stockholders’ equity, beginning balanc</w:t>
            </w:r>
            <w:r>
              <w:rPr>
                <w:rFonts w:eastAsia="Times New Roman"/>
                <w:b/>
                <w:bCs/>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4,513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3,617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4,909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807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Common stock and paid-in capital</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602C02">
            <w:pPr>
              <w:divId w:val="287588676"/>
              <w:rPr>
                <w:rFonts w:eastAsia="Times New Roman"/>
              </w:rPr>
            </w:pPr>
            <w:r>
              <w:rPr>
                <w:rFonts w:eastAsia="Times New Roman"/>
                <w:color w:val="000000"/>
                <w:sz w:val="18"/>
                <w:szCs w:val="18"/>
              </w:rPr>
              <w:t>Balance at beginning of perio</w:t>
            </w:r>
            <w:r>
              <w:rPr>
                <w:rFonts w:eastAsia="Times New Roman"/>
                <w:color w:val="000000"/>
                <w:sz w:val="18"/>
                <w:szCs w:val="18"/>
              </w:rPr>
              <w:t>d</w:t>
            </w: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divId w:val="1838573731"/>
              <w:rPr>
                <w:rFonts w:eastAsia="Times New Roman"/>
              </w:rPr>
            </w:pPr>
            <w:r>
              <w:rPr>
                <w:rFonts w:eastAsia="Times New Roman"/>
                <w:color w:val="000000"/>
                <w:sz w:val="18"/>
                <w:szCs w:val="18"/>
              </w:rPr>
              <w:t>Common stock issued under employee benefit plans and the related tax benefit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divId w:val="1792481744"/>
              <w:rPr>
                <w:rFonts w:eastAsia="Times New Roman"/>
              </w:rPr>
            </w:pPr>
            <w:r>
              <w:rPr>
                <w:rFonts w:eastAsia="Times New Roman"/>
                <w:color w:val="000000"/>
                <w:sz w:val="18"/>
                <w:szCs w:val="18"/>
              </w:rPr>
              <w:t>Repurchases and retirements of common stoc</w:t>
            </w:r>
            <w:r>
              <w:rPr>
                <w:rFonts w:eastAsia="Times New Roman"/>
                <w:color w:val="000000"/>
                <w:sz w:val="18"/>
                <w:szCs w:val="18"/>
              </w:rPr>
              <w:t>k</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(451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(932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divId w:val="1587036727"/>
              <w:rPr>
                <w:rFonts w:eastAsia="Times New Roman"/>
              </w:rPr>
            </w:pPr>
            <w:r>
              <w:rPr>
                <w:rFonts w:eastAsia="Times New Roman"/>
                <w:color w:val="000000"/>
                <w:sz w:val="18"/>
                <w:szCs w:val="18"/>
              </w:rPr>
              <w:t>Share-based compensatio</w:t>
            </w:r>
            <w:r>
              <w:rPr>
                <w:rFonts w:eastAsia="Times New Roman"/>
                <w:color w:val="000000"/>
                <w:sz w:val="18"/>
                <w:szCs w:val="18"/>
              </w:rPr>
              <w:t>n</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486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divId w:val="1438981242"/>
              <w:rPr>
                <w:rFonts w:eastAsia="Times New Roman"/>
              </w:rPr>
            </w:pPr>
            <w:r>
              <w:rPr>
                <w:rFonts w:eastAsia="Times New Roman"/>
                <w:color w:val="000000"/>
                <w:sz w:val="18"/>
                <w:szCs w:val="18"/>
              </w:rPr>
              <w:t>Tax withholdings related to vesting of share-based payment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divId w:val="1910920232"/>
              <w:rPr>
                <w:rFonts w:eastAsia="Times New Roman"/>
              </w:rPr>
            </w:pPr>
            <w:r>
              <w:rPr>
                <w:rFonts w:eastAsia="Times New Roman"/>
                <w:color w:val="000000"/>
                <w:sz w:val="18"/>
                <w:szCs w:val="18"/>
              </w:rPr>
              <w:t>Balance at end of perio</w:t>
            </w:r>
            <w:r>
              <w:rPr>
                <w:rFonts w:eastAsia="Times New Roman"/>
                <w:color w:val="000000"/>
                <w:sz w:val="18"/>
                <w:szCs w:val="18"/>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Retained earnings</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divId w:val="742878019"/>
              <w:rPr>
                <w:rFonts w:eastAsia="Times New Roman"/>
              </w:rPr>
            </w:pPr>
            <w:r>
              <w:rPr>
                <w:rFonts w:eastAsia="Times New Roman"/>
                <w:color w:val="000000"/>
                <w:sz w:val="18"/>
                <w:szCs w:val="18"/>
              </w:rPr>
              <w:t>Balance at beginning of perio</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4,376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3,415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4,466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542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Cumulative effect of accounting change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3,455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468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Repurchases and retirements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(1,127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(1,408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883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Dividend</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(727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(769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(1,461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(1,536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divId w:val="228224070"/>
              <w:rPr>
                <w:rFonts w:eastAsia="Times New Roman"/>
              </w:rPr>
            </w:pPr>
            <w:r>
              <w:rPr>
                <w:rFonts w:eastAsia="Times New Roman"/>
                <w:color w:val="000000"/>
                <w:sz w:val="18"/>
                <w:szCs w:val="18"/>
              </w:rPr>
              <w:t>Balance at end of perio</w:t>
            </w:r>
            <w:r>
              <w:rPr>
                <w:rFonts w:eastAsia="Times New Roman"/>
                <w:color w:val="000000"/>
                <w:sz w:val="18"/>
                <w:szCs w:val="18"/>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2,990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3,309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2,990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3,309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Accumulated other comprehensive income</w:t>
            </w:r>
            <w:r>
              <w:rPr>
                <w:rFonts w:eastAsia="Times New Roman"/>
                <w:b/>
                <w:bCs/>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divId w:val="1593470607"/>
              <w:rPr>
                <w:rFonts w:eastAsia="Times New Roman"/>
              </w:rPr>
            </w:pPr>
            <w:r>
              <w:rPr>
                <w:rFonts w:eastAsia="Times New Roman"/>
                <w:color w:val="000000"/>
                <w:sz w:val="18"/>
                <w:szCs w:val="18"/>
              </w:rPr>
              <w:t>Balance at beginning of perio</w:t>
            </w:r>
            <w:r>
              <w:rPr>
                <w:rFonts w:eastAsia="Times New Roman"/>
                <w:color w:val="000000"/>
                <w:sz w:val="18"/>
                <w:szCs w:val="18"/>
              </w:rPr>
              <w:t>d</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265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Cumulative effect of accounting change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comprehensive los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divId w:val="162161006"/>
              <w:rPr>
                <w:rFonts w:eastAsia="Times New Roman"/>
              </w:rPr>
            </w:pPr>
            <w:r>
              <w:rPr>
                <w:rFonts w:eastAsia="Times New Roman"/>
                <w:color w:val="000000"/>
                <w:sz w:val="18"/>
                <w:szCs w:val="18"/>
              </w:rPr>
              <w:t>Balance at end of perio</w:t>
            </w:r>
            <w:r>
              <w:rPr>
                <w:rFonts w:eastAsia="Times New Roman"/>
                <w:color w:val="000000"/>
                <w:sz w:val="18"/>
                <w:szCs w:val="18"/>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 xml:space="preserve">Total stockholders’ </w:t>
            </w:r>
            <w:r>
              <w:rPr>
                <w:rFonts w:eastAsia="Times New Roman"/>
                <w:b/>
                <w:bCs/>
                <w:color w:val="000000"/>
                <w:sz w:val="18"/>
                <w:szCs w:val="18"/>
              </w:rPr>
              <w:t>equity, ending balanc</w:t>
            </w:r>
            <w:r>
              <w:rPr>
                <w:rFonts w:eastAsia="Times New Roman"/>
                <w:b/>
                <w:bCs/>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3,045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3,866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3,045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3,866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trHeight w:val="280"/>
          <w:jc w:val="center"/>
        </w:trPr>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Dividends per share announce</w:t>
            </w:r>
            <w:r>
              <w:rPr>
                <w:rFonts w:eastAsia="Times New Roman"/>
                <w:b/>
                <w:bCs/>
                <w:color w:val="000000"/>
                <w:sz w:val="18"/>
                <w:szCs w:val="18"/>
              </w:rPr>
              <w:t>d</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0.62</w:t>
            </w:r>
            <w:r>
              <w:rPr>
                <w:rFonts w:eastAsia="Times New Roman"/>
                <w:color w:val="000000"/>
                <w:sz w:val="18"/>
                <w:szCs w:val="18"/>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0.62</w:t>
            </w:r>
            <w:r>
              <w:rPr>
                <w:rFonts w:eastAsia="Times New Roman"/>
                <w:color w:val="000000"/>
                <w:sz w:val="18"/>
                <w:szCs w:val="18"/>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1.24</w:t>
            </w:r>
            <w:r>
              <w:rPr>
                <w:rFonts w:eastAsia="Times New Roman"/>
                <w:color w:val="000000"/>
                <w:sz w:val="18"/>
                <w:szCs w:val="18"/>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1.24</w:t>
            </w:r>
            <w:r>
              <w:rPr>
                <w:rFonts w:eastAsia="Times New Roman"/>
                <w:color w:val="000000"/>
                <w:sz w:val="18"/>
                <w:szCs w:val="18"/>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jc w:val="center"/>
        <w:divId w:val="237249097"/>
        <w:rPr>
          <w:rFonts w:eastAsia="Times New Roman"/>
        </w:rPr>
      </w:pPr>
      <w:r>
        <w:rPr>
          <w:rFonts w:eastAsia="Times New Roman"/>
          <w:color w:val="000000"/>
          <w:sz w:val="18"/>
          <w:szCs w:val="18"/>
        </w:rPr>
        <w:t>See accompanying notes</w:t>
      </w:r>
      <w:r>
        <w:rPr>
          <w:rFonts w:eastAsia="Times New Roman"/>
          <w:color w:val="000000"/>
          <w:sz w:val="18"/>
          <w:szCs w:val="18"/>
        </w:rPr>
        <w:t>.</w:t>
      </w:r>
    </w:p>
    <w:p w:rsidR="00000000" w:rsidRDefault="00602C02">
      <w:pPr>
        <w:jc w:val="center"/>
        <w:divId w:val="1534151132"/>
        <w:rPr>
          <w:rFonts w:eastAsia="Times New Roman"/>
        </w:rPr>
      </w:pPr>
      <w:r>
        <w:rPr>
          <w:rFonts w:eastAsia="Times New Roman"/>
          <w:color w:val="000000"/>
          <w:sz w:val="20"/>
          <w:szCs w:val="20"/>
        </w:rPr>
        <w:t>7</w:t>
      </w:r>
    </w:p>
    <w:p w:rsidR="00000000" w:rsidRDefault="00602C02">
      <w:pPr>
        <w:rPr>
          <w:rFonts w:eastAsia="Times New Roman"/>
        </w:rPr>
      </w:pPr>
      <w:r>
        <w:rPr>
          <w:rFonts w:eastAsia="Times New Roman"/>
        </w:rPr>
        <w:pict>
          <v:rect id="_x0000_i1031" style="width:0;height:1.5pt" o:hralign="center" o:hrstd="t" o:hr="t" fillcolor="#a0a0a0" stroked="f"/>
        </w:pict>
      </w:r>
    </w:p>
    <w:p w:rsidR="00000000" w:rsidRDefault="00602C02">
      <w:pPr>
        <w:jc w:val="center"/>
        <w:divId w:val="1675762786"/>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675762786"/>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675762786"/>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675762786"/>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75762786"/>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675762786"/>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divId w:val="2019961519"/>
        <w:rPr>
          <w:rFonts w:eastAsia="Times New Roman"/>
        </w:rPr>
      </w:pPr>
    </w:p>
    <w:p w:rsidR="00000000" w:rsidRDefault="00602C02">
      <w:pPr>
        <w:divId w:val="538779346"/>
        <w:rPr>
          <w:rFonts w:eastAsia="Times New Roman"/>
        </w:rPr>
      </w:pPr>
      <w:r>
        <w:rPr>
          <w:rFonts w:eastAsia="Times New Roman"/>
          <w:b/>
          <w:bCs/>
          <w:color w:val="000000"/>
          <w:sz w:val="20"/>
          <w:szCs w:val="20"/>
        </w:rPr>
        <w:t xml:space="preserve">Note 1. </w:t>
      </w:r>
      <w:r>
        <w:rPr>
          <w:rFonts w:eastAsia="Times New Roman"/>
          <w:b/>
          <w:bCs/>
          <w:color w:val="000000"/>
          <w:sz w:val="20"/>
          <w:szCs w:val="20"/>
        </w:rPr>
        <w:t>Basis of Presentation and Significant Accounting Policies Updat</w:t>
      </w:r>
      <w:r>
        <w:rPr>
          <w:rFonts w:eastAsia="Times New Roman"/>
          <w:b/>
          <w:bCs/>
          <w:color w:val="000000"/>
          <w:sz w:val="20"/>
          <w:szCs w:val="20"/>
        </w:rPr>
        <w:t>e</w:t>
      </w:r>
    </w:p>
    <w:p w:rsidR="00000000" w:rsidRDefault="00602C02">
      <w:pPr>
        <w:ind w:firstLine="360"/>
        <w:divId w:val="1820026493"/>
        <w:rPr>
          <w:rFonts w:eastAsia="Times New Roman"/>
        </w:rPr>
      </w:pPr>
      <w:r>
        <w:rPr>
          <w:rFonts w:eastAsia="Times New Roman"/>
          <w:b/>
          <w:bCs/>
          <w:i/>
          <w:iCs/>
          <w:color w:val="000000"/>
          <w:sz w:val="20"/>
          <w:szCs w:val="20"/>
        </w:rPr>
        <w:t>Financial Statement Preparation.</w:t>
      </w:r>
      <w:r>
        <w:rPr>
          <w:rFonts w:eastAsia="Times New Roman"/>
          <w:b/>
          <w:bCs/>
          <w:i/>
          <w:iCs/>
          <w:color w:val="000000"/>
          <w:sz w:val="20"/>
          <w:szCs w:val="20"/>
        </w:rPr>
        <w:t xml:space="preserve"> </w:t>
      </w:r>
      <w:r>
        <w:rPr>
          <w:rFonts w:eastAsia="Times New Roman"/>
          <w:color w:val="000000"/>
          <w:sz w:val="20"/>
          <w:szCs w:val="20"/>
        </w:rPr>
        <w:t xml:space="preserve">These condensed consolidated financial statements have been prepared in accordance with accounting principles generally accepted in the United States of America (GAAP) for interim financial information and the instructions to Rule 10-01 of Regulation S-X. </w:t>
      </w:r>
      <w:r>
        <w:rPr>
          <w:rFonts w:eastAsia="Times New Roman"/>
          <w:color w:val="000000"/>
          <w:sz w:val="20"/>
          <w:szCs w:val="20"/>
        </w:rPr>
        <w:t>Accordingly, they do not include all of the information and notes required by GAAP for complete financial statements. In the opinion of management, the interim financial information includes all normal recurring adjustments necessary for a fair statement o</w:t>
      </w:r>
      <w:r>
        <w:rPr>
          <w:rFonts w:eastAsia="Times New Roman"/>
          <w:color w:val="000000"/>
          <w:sz w:val="20"/>
          <w:szCs w:val="20"/>
        </w:rPr>
        <w:t>f the results for the interim periods. These condensed consolidated financial statements are unaudited and should be read in conjunction with our Annual Report on Form 10-K for our fiscal year ended September 29, 2019. Operating results for interim periods</w:t>
      </w:r>
      <w:r>
        <w:rPr>
          <w:rFonts w:eastAsia="Times New Roman"/>
          <w:color w:val="000000"/>
          <w:sz w:val="20"/>
          <w:szCs w:val="20"/>
        </w:rPr>
        <w:t xml:space="preserve"> are not necessarily indicative of operating results for an entire fiscal year. We operate and report using a 52-53 week fiscal year ending on the last Sunday in September. Each of the three and six months ended March 29, 2020 and March 31, 2019 included 1</w:t>
      </w:r>
      <w:r>
        <w:rPr>
          <w:rFonts w:eastAsia="Times New Roman"/>
          <w:color w:val="000000"/>
          <w:sz w:val="20"/>
          <w:szCs w:val="20"/>
        </w:rPr>
        <w:t>3 weeks and 26 weeks, respectively</w:t>
      </w:r>
      <w:r>
        <w:rPr>
          <w:rFonts w:eastAsia="Times New Roman"/>
          <w:color w:val="000000"/>
          <w:sz w:val="20"/>
          <w:szCs w:val="20"/>
        </w:rPr>
        <w:t>.</w:t>
      </w:r>
    </w:p>
    <w:p w:rsidR="00000000" w:rsidRDefault="00602C02">
      <w:pPr>
        <w:ind w:firstLine="360"/>
        <w:divId w:val="1599092694"/>
        <w:rPr>
          <w:rFonts w:eastAsia="Times New Roman"/>
        </w:rPr>
      </w:pPr>
      <w:r>
        <w:rPr>
          <w:rFonts w:eastAsia="Times New Roman"/>
          <w:color w:val="000000"/>
          <w:sz w:val="20"/>
          <w:szCs w:val="20"/>
        </w:rPr>
        <w:t>The preparation of financial statements in conformity with GAAP requires management to make estimates and assumptions that affect the reported amounts and the disclosure of contingent amounts in our condensed consolidate</w:t>
      </w:r>
      <w:r>
        <w:rPr>
          <w:rFonts w:eastAsia="Times New Roman"/>
          <w:color w:val="000000"/>
          <w:sz w:val="20"/>
          <w:szCs w:val="20"/>
        </w:rPr>
        <w:t>d financial statements and the accompanying notes. Actual results could differ from those estimates. Certain prior year amounts have been reclassified to conform to the current year presentation</w:t>
      </w:r>
      <w:r>
        <w:rPr>
          <w:rFonts w:eastAsia="Times New Roman"/>
          <w:color w:val="000000"/>
          <w:sz w:val="20"/>
          <w:szCs w:val="20"/>
        </w:rPr>
        <w:t>.</w:t>
      </w:r>
    </w:p>
    <w:p w:rsidR="00000000" w:rsidRDefault="00602C02">
      <w:pPr>
        <w:ind w:firstLine="360"/>
        <w:divId w:val="463237813"/>
        <w:rPr>
          <w:rFonts w:eastAsia="Times New Roman"/>
        </w:rPr>
      </w:pPr>
      <w:r>
        <w:rPr>
          <w:rFonts w:eastAsia="Times New Roman"/>
          <w:b/>
          <w:bCs/>
          <w:i/>
          <w:iCs/>
          <w:color w:val="000000"/>
          <w:sz w:val="20"/>
          <w:szCs w:val="20"/>
        </w:rPr>
        <w:t>Recently Adopted Accounting Guidance</w:t>
      </w:r>
      <w:r>
        <w:rPr>
          <w:rFonts w:eastAsia="Times New Roman"/>
          <w:b/>
          <w:bCs/>
          <w:i/>
          <w:iCs/>
          <w:color w:val="000000"/>
          <w:sz w:val="20"/>
          <w:szCs w:val="20"/>
        </w:rPr>
        <w:t>.</w:t>
      </w:r>
    </w:p>
    <w:p w:rsidR="00000000" w:rsidRDefault="00602C02">
      <w:pPr>
        <w:ind w:firstLine="360"/>
        <w:divId w:val="902787565"/>
        <w:rPr>
          <w:rFonts w:eastAsia="Times New Roman"/>
        </w:rPr>
      </w:pPr>
      <w:r>
        <w:rPr>
          <w:rFonts w:eastAsia="Times New Roman"/>
          <w:i/>
          <w:iCs/>
          <w:color w:val="000000"/>
          <w:sz w:val="20"/>
          <w:szCs w:val="20"/>
        </w:rPr>
        <w:t>Leases:</w:t>
      </w:r>
      <w:r>
        <w:rPr>
          <w:rFonts w:eastAsia="Times New Roman"/>
          <w:i/>
          <w:iCs/>
          <w:color w:val="000000"/>
          <w:sz w:val="20"/>
          <w:szCs w:val="20"/>
        </w:rPr>
        <w:t xml:space="preserve"> </w:t>
      </w:r>
      <w:r>
        <w:rPr>
          <w:rFonts w:eastAsia="Times New Roman"/>
          <w:color w:val="000000"/>
          <w:sz w:val="20"/>
          <w:szCs w:val="20"/>
        </w:rPr>
        <w:t>In February 20</w:t>
      </w:r>
      <w:r>
        <w:rPr>
          <w:rFonts w:eastAsia="Times New Roman"/>
          <w:color w:val="000000"/>
          <w:sz w:val="20"/>
          <w:szCs w:val="20"/>
        </w:rPr>
        <w:t>16, the FASB issued new accounting guidance related to leases (ASC 842) that outlines a new comprehensive lease accounting model and requires expanded disclosures. Under the new accounting guidance, we are required to recognize right-of-use assets and corr</w:t>
      </w:r>
      <w:r>
        <w:rPr>
          <w:rFonts w:eastAsia="Times New Roman"/>
          <w:color w:val="000000"/>
          <w:sz w:val="20"/>
          <w:szCs w:val="20"/>
        </w:rPr>
        <w:t>esponding lease liabilities on the consolidated balance sheet. We adopted ASC 842 in the first quarter of fiscal 2020 using the modified retrospective approach, with the cumulative effect of initial adoption recorded as an adjustment to our opening condens</w:t>
      </w:r>
      <w:r>
        <w:rPr>
          <w:rFonts w:eastAsia="Times New Roman"/>
          <w:color w:val="000000"/>
          <w:sz w:val="20"/>
          <w:szCs w:val="20"/>
        </w:rPr>
        <w:t>ed consolidated balance sheet at September 30, 2019. We elected to not record leases with a term of 12 months or less on our consolidated balance sheet. In addition, we applied the package of practical expedients permitted under the transition guidance, wh</w:t>
      </w:r>
      <w:r>
        <w:rPr>
          <w:rFonts w:eastAsia="Times New Roman"/>
          <w:color w:val="000000"/>
          <w:sz w:val="20"/>
          <w:szCs w:val="20"/>
        </w:rPr>
        <w:t>ich among other things, does not require reassessment of lease classification upon adoption. Prior period results have not been restated and continue to be reported in accordance with the accounting guidance in effect for those periods (ASC 840)</w:t>
      </w:r>
      <w:r>
        <w:rPr>
          <w:rFonts w:eastAsia="Times New Roman"/>
          <w:color w:val="000000"/>
          <w:sz w:val="20"/>
          <w:szCs w:val="20"/>
        </w:rPr>
        <w:t>.</w:t>
      </w:r>
    </w:p>
    <w:p w:rsidR="00000000" w:rsidRDefault="00602C02">
      <w:pPr>
        <w:ind w:firstLine="360"/>
        <w:divId w:val="1130168399"/>
        <w:rPr>
          <w:rFonts w:eastAsia="Times New Roman"/>
        </w:rPr>
      </w:pPr>
      <w:r>
        <w:rPr>
          <w:rFonts w:eastAsia="Times New Roman"/>
          <w:color w:val="000000"/>
          <w:sz w:val="20"/>
          <w:szCs w:val="20"/>
        </w:rPr>
        <w:t>Upon adop</w:t>
      </w:r>
      <w:r>
        <w:rPr>
          <w:rFonts w:eastAsia="Times New Roman"/>
          <w:color w:val="000000"/>
          <w:sz w:val="20"/>
          <w:szCs w:val="20"/>
        </w:rPr>
        <w:t>tion, we recorded $449 million of operating lease assets in other assets and $500 million of corresponding lease liabilities ($127 million recorded in other current liabilities and $373 million recorded in other liabilities). The difference between the ope</w:t>
      </w:r>
      <w:r>
        <w:rPr>
          <w:rFonts w:eastAsia="Times New Roman"/>
          <w:color w:val="000000"/>
          <w:sz w:val="20"/>
          <w:szCs w:val="20"/>
        </w:rPr>
        <w:t>rating lease assets and liabilities of $51 million primarily related to deferred rent liabilities that existed as of the date of adoption. Finance leases were not material for all periods presented. Adoption of the new accounting guidance did not have a ma</w:t>
      </w:r>
      <w:r>
        <w:rPr>
          <w:rFonts w:eastAsia="Times New Roman"/>
          <w:color w:val="000000"/>
          <w:sz w:val="20"/>
          <w:szCs w:val="20"/>
        </w:rPr>
        <w:t>terial impact on our condensed consolidated statements of operations or cash flows</w:t>
      </w:r>
      <w:r>
        <w:rPr>
          <w:rFonts w:eastAsia="Times New Roman"/>
          <w:color w:val="000000"/>
          <w:sz w:val="20"/>
          <w:szCs w:val="20"/>
        </w:rPr>
        <w:t>.</w:t>
      </w:r>
    </w:p>
    <w:p w:rsidR="00000000" w:rsidRDefault="00602C02">
      <w:pPr>
        <w:ind w:firstLine="360"/>
        <w:divId w:val="1765033160"/>
        <w:rPr>
          <w:rFonts w:eastAsia="Times New Roman"/>
        </w:rPr>
      </w:pPr>
      <w:r>
        <w:rPr>
          <w:rFonts w:eastAsia="Times New Roman"/>
          <w:b/>
          <w:bCs/>
          <w:i/>
          <w:iCs/>
          <w:color w:val="000000"/>
          <w:sz w:val="20"/>
          <w:szCs w:val="20"/>
        </w:rPr>
        <w:t>Accounting Policy Update</w:t>
      </w:r>
      <w:r>
        <w:rPr>
          <w:rFonts w:eastAsia="Times New Roman"/>
          <w:b/>
          <w:bCs/>
          <w:i/>
          <w:iCs/>
          <w:color w:val="000000"/>
          <w:sz w:val="20"/>
          <w:szCs w:val="20"/>
        </w:rPr>
        <w:t>.</w:t>
      </w:r>
    </w:p>
    <w:p w:rsidR="00000000" w:rsidRDefault="00602C02">
      <w:pPr>
        <w:ind w:firstLine="360"/>
        <w:divId w:val="1275944933"/>
        <w:rPr>
          <w:rFonts w:eastAsia="Times New Roman"/>
        </w:rPr>
      </w:pPr>
      <w:r>
        <w:rPr>
          <w:rFonts w:eastAsia="Times New Roman"/>
          <w:i/>
          <w:iCs/>
          <w:color w:val="000000"/>
          <w:sz w:val="20"/>
          <w:szCs w:val="20"/>
        </w:rPr>
        <w:t>Leases</w:t>
      </w:r>
      <w:r>
        <w:rPr>
          <w:rFonts w:eastAsia="Times New Roman"/>
          <w:i/>
          <w:iCs/>
          <w:color w:val="000000"/>
          <w:sz w:val="20"/>
          <w:szCs w:val="20"/>
        </w:rPr>
        <w:t>:</w:t>
      </w:r>
      <w:r>
        <w:rPr>
          <w:rFonts w:eastAsia="Times New Roman"/>
          <w:color w:val="000000"/>
          <w:sz w:val="20"/>
          <w:szCs w:val="20"/>
        </w:rPr>
        <w:t xml:space="preserve"> As a result of the adoption of ASC 842, we revised our lease accounting policy beginning in fiscal 2020 as follows</w:t>
      </w:r>
      <w:r>
        <w:rPr>
          <w:rFonts w:eastAsia="Times New Roman"/>
          <w:color w:val="000000"/>
          <w:sz w:val="20"/>
          <w:szCs w:val="20"/>
        </w:rPr>
        <w:t>.</w:t>
      </w:r>
    </w:p>
    <w:p w:rsidR="00000000" w:rsidRDefault="00602C02">
      <w:pPr>
        <w:ind w:firstLine="360"/>
        <w:divId w:val="2024697218"/>
        <w:rPr>
          <w:rFonts w:eastAsia="Times New Roman"/>
        </w:rPr>
      </w:pPr>
      <w:r>
        <w:rPr>
          <w:rFonts w:eastAsia="Times New Roman"/>
          <w:color w:val="000000"/>
          <w:sz w:val="20"/>
          <w:szCs w:val="20"/>
        </w:rPr>
        <w:t>Operating lease assets</w:t>
      </w:r>
      <w:r>
        <w:rPr>
          <w:rFonts w:eastAsia="Times New Roman"/>
          <w:color w:val="000000"/>
          <w:sz w:val="20"/>
          <w:szCs w:val="20"/>
        </w:rPr>
        <w:t xml:space="preserve"> and liabilities are recognized for leases with lease terms greater than 12 months based on the present value of the future lease payments over the lease term at the commencement date. Operating leases are included in other assets, other current liabilitie</w:t>
      </w:r>
      <w:r>
        <w:rPr>
          <w:rFonts w:eastAsia="Times New Roman"/>
          <w:color w:val="000000"/>
          <w:sz w:val="20"/>
          <w:szCs w:val="20"/>
        </w:rPr>
        <w:t>s and other liabilities on our consolidated balance sheet. Our lease terms may include options to extend or terminate the lease when it is reasonably certain that we will exercise such option. We account for substantially all lease and related non-lease co</w:t>
      </w:r>
      <w:r>
        <w:rPr>
          <w:rFonts w:eastAsia="Times New Roman"/>
          <w:color w:val="000000"/>
          <w:sz w:val="20"/>
          <w:szCs w:val="20"/>
        </w:rPr>
        <w:t>mponents together as a single lease component. Operating lease expense is recognized on a straight-line basis over the lease term</w:t>
      </w:r>
      <w:r>
        <w:rPr>
          <w:rFonts w:eastAsia="Times New Roman"/>
          <w:color w:val="000000"/>
          <w:sz w:val="20"/>
          <w:szCs w:val="20"/>
        </w:rPr>
        <w:t>.</w:t>
      </w:r>
    </w:p>
    <w:p w:rsidR="00000000" w:rsidRDefault="00602C02">
      <w:pPr>
        <w:ind w:firstLine="360"/>
        <w:divId w:val="772242940"/>
        <w:rPr>
          <w:rFonts w:eastAsia="Times New Roman"/>
        </w:rPr>
      </w:pPr>
      <w:r>
        <w:rPr>
          <w:rFonts w:eastAsia="Times New Roman"/>
          <w:b/>
          <w:bCs/>
          <w:i/>
          <w:iCs/>
          <w:color w:val="000000"/>
          <w:sz w:val="20"/>
          <w:szCs w:val="20"/>
        </w:rPr>
        <w:t>Recent Accounting Guidance Not Yet Adopted</w:t>
      </w:r>
      <w:r>
        <w:rPr>
          <w:rFonts w:eastAsia="Times New Roman"/>
          <w:b/>
          <w:bCs/>
          <w:i/>
          <w:iCs/>
          <w:color w:val="000000"/>
          <w:sz w:val="20"/>
          <w:szCs w:val="20"/>
        </w:rPr>
        <w:t>.</w:t>
      </w:r>
    </w:p>
    <w:p w:rsidR="00000000" w:rsidRDefault="00602C02">
      <w:pPr>
        <w:ind w:firstLine="360"/>
        <w:divId w:val="1345522173"/>
        <w:rPr>
          <w:rFonts w:eastAsia="Times New Roman"/>
        </w:rPr>
      </w:pPr>
      <w:r>
        <w:rPr>
          <w:rFonts w:eastAsia="Times New Roman"/>
          <w:i/>
          <w:iCs/>
          <w:color w:val="000000"/>
          <w:sz w:val="20"/>
          <w:szCs w:val="20"/>
        </w:rPr>
        <w:t>Financial Assets:</w:t>
      </w:r>
      <w:r>
        <w:rPr>
          <w:rFonts w:eastAsia="Times New Roman"/>
          <w:i/>
          <w:iCs/>
          <w:color w:val="000000"/>
          <w:sz w:val="20"/>
          <w:szCs w:val="20"/>
        </w:rPr>
        <w:t xml:space="preserve"> </w:t>
      </w:r>
      <w:r>
        <w:rPr>
          <w:rFonts w:eastAsia="Times New Roman"/>
          <w:color w:val="000000"/>
          <w:sz w:val="20"/>
          <w:szCs w:val="20"/>
        </w:rPr>
        <w:t>In June 2016, the FASB issued new accounting guidance that chan</w:t>
      </w:r>
      <w:r>
        <w:rPr>
          <w:rFonts w:eastAsia="Times New Roman"/>
          <w:color w:val="000000"/>
          <w:sz w:val="20"/>
          <w:szCs w:val="20"/>
        </w:rPr>
        <w:t>ges the accounting for recognizing impairments of financial assets. Under the new accounting guidance, credit losses for financial assets held at amortized cost (such as accounts receivable) will be estimated based on expected losses rather than the curren</w:t>
      </w:r>
      <w:r>
        <w:rPr>
          <w:rFonts w:eastAsia="Times New Roman"/>
          <w:color w:val="000000"/>
          <w:sz w:val="20"/>
          <w:szCs w:val="20"/>
        </w:rPr>
        <w:t>t incurred loss impairment model. The new accounting guidance also modifies the impairment model for available-for-sale debt securities. These changes will result in earlier recognition of credit losses, if any. The new accounting guidance generally requir</w:t>
      </w:r>
      <w:r>
        <w:rPr>
          <w:rFonts w:eastAsia="Times New Roman"/>
          <w:color w:val="000000"/>
          <w:sz w:val="20"/>
          <w:szCs w:val="20"/>
        </w:rPr>
        <w:t xml:space="preserve">es the modified retrospective transition method, with the cumulative effect of applying the new accounting guidance recognized as an adjustment to opening retained earnings in the year of adoption, except for certain financial assets where the prospective </w:t>
      </w:r>
      <w:r>
        <w:rPr>
          <w:rFonts w:eastAsia="Times New Roman"/>
          <w:color w:val="000000"/>
          <w:sz w:val="20"/>
          <w:szCs w:val="20"/>
        </w:rPr>
        <w:t>transition method is required, such as available-for-sale debt securities for which an other-than-temporary impairment has been recorded. We will adopt the new accounting guidance in the first quarter of fiscal 2021, and the impact of this new</w:t>
      </w:r>
      <w:r>
        <w:rPr>
          <w:rFonts w:eastAsia="Times New Roman"/>
          <w:color w:val="000000"/>
          <w:sz w:val="20"/>
          <w:szCs w:val="20"/>
        </w:rPr>
        <w:t xml:space="preserve"> </w:t>
      </w:r>
    </w:p>
    <w:p w:rsidR="00000000" w:rsidRDefault="00602C02">
      <w:pPr>
        <w:jc w:val="center"/>
        <w:divId w:val="737752775"/>
        <w:rPr>
          <w:rFonts w:eastAsia="Times New Roman"/>
        </w:rPr>
      </w:pPr>
      <w:r>
        <w:rPr>
          <w:rFonts w:eastAsia="Times New Roman"/>
          <w:color w:val="000000"/>
          <w:sz w:val="20"/>
          <w:szCs w:val="20"/>
        </w:rPr>
        <w:t>8</w:t>
      </w:r>
    </w:p>
    <w:p w:rsidR="00000000" w:rsidRDefault="00602C02">
      <w:pPr>
        <w:rPr>
          <w:rFonts w:eastAsia="Times New Roman"/>
        </w:rPr>
      </w:pPr>
      <w:r>
        <w:rPr>
          <w:rFonts w:eastAsia="Times New Roman"/>
        </w:rPr>
        <w:pict>
          <v:rect id="_x0000_i1032" style="width:0;height:1.5pt" o:hralign="center" o:hrstd="t" o:hr="t" fillcolor="#a0a0a0" stroked="f"/>
        </w:pict>
      </w:r>
    </w:p>
    <w:p w:rsidR="00000000" w:rsidRDefault="00602C02">
      <w:pPr>
        <w:jc w:val="center"/>
        <w:divId w:val="1279340330"/>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279340330"/>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27934033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279340330"/>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7934033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27934033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divId w:val="1873493935"/>
        <w:rPr>
          <w:rFonts w:eastAsia="Times New Roman"/>
        </w:rPr>
      </w:pPr>
      <w:r>
        <w:rPr>
          <w:rFonts w:eastAsia="Times New Roman"/>
          <w:color w:val="000000"/>
          <w:sz w:val="20"/>
          <w:szCs w:val="20"/>
        </w:rPr>
        <w:t>accounting guidance will largely depend on the composition and credit quality of our investment portfolio</w:t>
      </w:r>
      <w:r>
        <w:rPr>
          <w:rFonts w:eastAsia="Times New Roman"/>
          <w:color w:val="000000"/>
          <w:sz w:val="20"/>
          <w:szCs w:val="20"/>
        </w:rPr>
        <w:t xml:space="preserve"> </w:t>
      </w:r>
      <w:r>
        <w:rPr>
          <w:rFonts w:eastAsia="Times New Roman"/>
          <w:color w:val="000000"/>
          <w:sz w:val="20"/>
          <w:szCs w:val="20"/>
          <w:shd w:val="clear" w:color="auto" w:fill="FFFFFF"/>
        </w:rPr>
        <w:t>and accounts receivable</w:t>
      </w:r>
      <w:r>
        <w:rPr>
          <w:rFonts w:eastAsia="Times New Roman"/>
          <w:color w:val="000000"/>
          <w:sz w:val="20"/>
          <w:szCs w:val="20"/>
          <w:shd w:val="clear" w:color="auto" w:fill="FFFFFF"/>
        </w:rPr>
        <w:t>,</w:t>
      </w:r>
      <w:r>
        <w:rPr>
          <w:rFonts w:eastAsia="Times New Roman"/>
          <w:color w:val="000000"/>
          <w:sz w:val="20"/>
          <w:szCs w:val="20"/>
        </w:rPr>
        <w:t xml:space="preserve"> as well as economic conditions, at the time of adoption.</w:t>
      </w:r>
      <w:r>
        <w:rPr>
          <w:rFonts w:eastAsia="Times New Roman"/>
          <w:color w:val="000000"/>
          <w:sz w:val="20"/>
          <w:szCs w:val="20"/>
        </w:rPr>
        <w:t xml:space="preserve"> </w:t>
      </w:r>
      <w:r>
        <w:rPr>
          <w:rFonts w:eastAsia="Times New Roman"/>
          <w:color w:val="000000"/>
          <w:sz w:val="20"/>
          <w:szCs w:val="20"/>
          <w:shd w:val="clear" w:color="auto" w:fill="FFFFFF"/>
        </w:rPr>
        <w:t>Based on facts and factors currently known by us, we do not expect t</w:t>
      </w:r>
      <w:r>
        <w:rPr>
          <w:rFonts w:eastAsia="Times New Roman"/>
          <w:color w:val="000000"/>
          <w:sz w:val="20"/>
          <w:szCs w:val="20"/>
          <w:shd w:val="clear" w:color="auto" w:fill="FFFFFF"/>
        </w:rPr>
        <w:t xml:space="preserve">he impact of adoption to be material to our consolidated financial statements. </w:t>
      </w:r>
    </w:p>
    <w:p w:rsidR="00000000" w:rsidRDefault="00602C02">
      <w:pPr>
        <w:divId w:val="622230716"/>
        <w:rPr>
          <w:rFonts w:eastAsia="Times New Roman"/>
        </w:rPr>
      </w:pPr>
      <w:r>
        <w:rPr>
          <w:rFonts w:eastAsia="Times New Roman"/>
          <w:b/>
          <w:bCs/>
          <w:color w:val="000000"/>
          <w:sz w:val="20"/>
          <w:szCs w:val="20"/>
        </w:rPr>
        <w:t>Note 2. Composition of Certain Financial Statement Item</w:t>
      </w:r>
      <w:r>
        <w:rPr>
          <w:rFonts w:eastAsia="Times New Roman"/>
          <w:b/>
          <w:bCs/>
          <w:color w:val="000000"/>
          <w:sz w:val="20"/>
          <w:szCs w:val="20"/>
        </w:rPr>
        <w:t>s</w:t>
      </w:r>
    </w:p>
    <w:tbl>
      <w:tblPr>
        <w:tblW w:w="4992" w:type="pct"/>
        <w:jc w:val="center"/>
        <w:tblCellMar>
          <w:top w:w="15" w:type="dxa"/>
          <w:left w:w="15" w:type="dxa"/>
          <w:bottom w:w="15" w:type="dxa"/>
          <w:right w:w="15" w:type="dxa"/>
        </w:tblCellMar>
        <w:tblLook w:val="04A0" w:firstRow="1" w:lastRow="0" w:firstColumn="1" w:lastColumn="0" w:noHBand="0" w:noVBand="1"/>
      </w:tblPr>
      <w:tblGrid>
        <w:gridCol w:w="62"/>
        <w:gridCol w:w="6043"/>
        <w:gridCol w:w="62"/>
        <w:gridCol w:w="125"/>
        <w:gridCol w:w="814"/>
        <w:gridCol w:w="80"/>
        <w:gridCol w:w="36"/>
        <w:gridCol w:w="36"/>
        <w:gridCol w:w="36"/>
        <w:gridCol w:w="126"/>
        <w:gridCol w:w="793"/>
        <w:gridCol w:w="80"/>
      </w:tblGrid>
      <w:tr w:rsidR="00000000">
        <w:trPr>
          <w:divId w:val="265160428"/>
          <w:jc w:val="center"/>
        </w:trPr>
        <w:tc>
          <w:tcPr>
            <w:tcW w:w="50" w:type="pct"/>
            <w:vAlign w:val="center"/>
            <w:hideMark/>
          </w:tcPr>
          <w:p w:rsidR="00000000" w:rsidRDefault="00602C02">
            <w:pPr>
              <w:rPr>
                <w:rFonts w:eastAsia="Times New Roman"/>
              </w:rPr>
            </w:pPr>
          </w:p>
        </w:tc>
        <w:tc>
          <w:tcPr>
            <w:tcW w:w="365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265160428"/>
          <w:jc w:val="center"/>
        </w:trPr>
        <w:tc>
          <w:tcPr>
            <w:tcW w:w="0" w:type="auto"/>
            <w:gridSpan w:val="3"/>
            <w:tcMar>
              <w:top w:w="30" w:type="dxa"/>
              <w:left w:w="360" w:type="dxa"/>
              <w:bottom w:w="30" w:type="dxa"/>
              <w:right w:w="20" w:type="dxa"/>
            </w:tcMar>
            <w:vAlign w:val="bottom"/>
            <w:hideMark/>
          </w:tcPr>
          <w:p w:rsidR="00000000" w:rsidRDefault="00602C02">
            <w:pPr>
              <w:rPr>
                <w:rFonts w:eastAsia="Times New Roman"/>
              </w:rPr>
            </w:pPr>
            <w:r>
              <w:rPr>
                <w:rFonts w:eastAsia="Times New Roman"/>
                <w:b/>
                <w:bCs/>
                <w:i/>
                <w:iCs/>
                <w:color w:val="000000"/>
                <w:sz w:val="20"/>
                <w:szCs w:val="20"/>
              </w:rPr>
              <w:t>Inventories (in millions</w:t>
            </w:r>
            <w:r>
              <w:rPr>
                <w:rFonts w:eastAsia="Times New Roman"/>
                <w:b/>
                <w:bCs/>
                <w:i/>
                <w:iCs/>
                <w:color w:val="000000"/>
                <w:sz w:val="20"/>
                <w:szCs w:val="20"/>
              </w:rPr>
              <w:t>)</w:t>
            </w:r>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265160428"/>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divId w:val="265160428"/>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Raw material</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265160428"/>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Work-in-proces</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802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265160428"/>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Finished good</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656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265160428"/>
          <w:jc w:val="center"/>
        </w:trPr>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1,400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bl>
    <w:p w:rsidR="00000000" w:rsidRDefault="00602C02">
      <w:pPr>
        <w:ind w:firstLine="360"/>
        <w:divId w:val="172648330"/>
        <w:rPr>
          <w:rFonts w:eastAsia="Times New Roman"/>
        </w:rPr>
      </w:pPr>
      <w:r>
        <w:rPr>
          <w:rFonts w:eastAsia="Times New Roman"/>
          <w:b/>
          <w:bCs/>
          <w:i/>
          <w:iCs/>
          <w:color w:val="000000"/>
          <w:sz w:val="20"/>
          <w:szCs w:val="20"/>
        </w:rPr>
        <w:t>Equity Method and Non-marketable Equity Investments</w:t>
      </w:r>
      <w:r>
        <w:rPr>
          <w:rFonts w:eastAsia="Times New Roman"/>
          <w:b/>
          <w:bCs/>
          <w:i/>
          <w:iCs/>
          <w:color w:val="000000"/>
          <w:sz w:val="20"/>
          <w:szCs w:val="20"/>
        </w:rPr>
        <w:t>.</w:t>
      </w:r>
      <w:r>
        <w:rPr>
          <w:rFonts w:eastAsia="Times New Roman"/>
          <w:b/>
          <w:bCs/>
          <w:color w:val="000000"/>
          <w:sz w:val="20"/>
          <w:szCs w:val="20"/>
        </w:rPr>
        <w:t xml:space="preserve"> </w:t>
      </w:r>
      <w:r>
        <w:rPr>
          <w:rFonts w:eastAsia="Times New Roman"/>
          <w:color w:val="000000"/>
          <w:sz w:val="20"/>
          <w:szCs w:val="20"/>
        </w:rPr>
        <w:t>The carrying values of our equity method and non-marketable equity investments are recorded in other noncurrent assets and were as follows (in millions)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2"/>
        <w:gridCol w:w="6043"/>
        <w:gridCol w:w="62"/>
        <w:gridCol w:w="126"/>
        <w:gridCol w:w="813"/>
        <w:gridCol w:w="80"/>
        <w:gridCol w:w="36"/>
        <w:gridCol w:w="36"/>
        <w:gridCol w:w="36"/>
        <w:gridCol w:w="126"/>
        <w:gridCol w:w="793"/>
        <w:gridCol w:w="80"/>
      </w:tblGrid>
      <w:tr w:rsidR="00000000">
        <w:trPr>
          <w:divId w:val="1618413030"/>
        </w:trPr>
        <w:tc>
          <w:tcPr>
            <w:tcW w:w="50" w:type="pct"/>
            <w:vAlign w:val="center"/>
            <w:hideMark/>
          </w:tcPr>
          <w:p w:rsidR="00000000" w:rsidRDefault="00602C02">
            <w:pPr>
              <w:ind w:firstLine="360"/>
              <w:rPr>
                <w:rFonts w:eastAsia="Times New Roman"/>
              </w:rPr>
            </w:pPr>
          </w:p>
        </w:tc>
        <w:tc>
          <w:tcPr>
            <w:tcW w:w="365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618413030"/>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divId w:val="1618413030"/>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Equity method investment</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1618413030"/>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Non-marketable equity investment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726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787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1618413030"/>
        </w:trPr>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1,130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bl>
    <w:p w:rsidR="00000000" w:rsidRDefault="00602C02">
      <w:pPr>
        <w:ind w:firstLine="360"/>
        <w:divId w:val="1342197956"/>
        <w:rPr>
          <w:rFonts w:eastAsia="Times New Roman"/>
        </w:rPr>
      </w:pPr>
      <w:r>
        <w:rPr>
          <w:rFonts w:eastAsia="Times New Roman"/>
          <w:color w:val="000000"/>
          <w:sz w:val="20"/>
          <w:szCs w:val="20"/>
          <w:shd w:val="clear" w:color="auto" w:fill="FFFFFF"/>
        </w:rPr>
        <w:t>The rapid, global spread of the recent coronavirus (COVID-19) pandemic and associated containment and mitigation measures have negatively impacted the condition of economies and financial markets globally, which has negatively impacted certain companies in</w:t>
      </w:r>
      <w:r>
        <w:rPr>
          <w:rFonts w:eastAsia="Times New Roman"/>
          <w:color w:val="000000"/>
          <w:sz w:val="20"/>
          <w:szCs w:val="20"/>
          <w:shd w:val="clear" w:color="auto" w:fill="FFFFFF"/>
        </w:rPr>
        <w:t xml:space="preserve"> which we hold non-marketable equity investments, including those accounted for under the equity method, and to a lesser extent, non-marketable debt securities. Significant evaluation and judgments were required in determining if the negative effects of CO</w:t>
      </w:r>
      <w:r>
        <w:rPr>
          <w:rFonts w:eastAsia="Times New Roman"/>
          <w:color w:val="000000"/>
          <w:sz w:val="20"/>
          <w:szCs w:val="20"/>
          <w:shd w:val="clear" w:color="auto" w:fill="FFFFFF"/>
        </w:rPr>
        <w:t xml:space="preserve">VID-19 indicate that such investments were impaired, and if so, the extent of such impairment, in the second quarter of fiscal 2020. This included, among other items: (i) assessing the business impacts that COVID-19 had, and we currently expect to have in </w:t>
      </w:r>
      <w:r>
        <w:rPr>
          <w:rFonts w:eastAsia="Times New Roman"/>
          <w:color w:val="000000"/>
          <w:sz w:val="20"/>
          <w:szCs w:val="20"/>
          <w:shd w:val="clear" w:color="auto" w:fill="FFFFFF"/>
        </w:rPr>
        <w:t>the future, on our investees, including taking into consideration the investee’s industry and geographic location and the impact to its customers, suppliers and employees, as applicable, (ii) evaluating the investees’ ability to respond to the impacts of C</w:t>
      </w:r>
      <w:r>
        <w:rPr>
          <w:rFonts w:eastAsia="Times New Roman"/>
          <w:color w:val="000000"/>
          <w:sz w:val="20"/>
          <w:szCs w:val="20"/>
          <w:shd w:val="clear" w:color="auto" w:fill="FFFFFF"/>
        </w:rPr>
        <w:t>OVID-19, including any significant deterioration in the investee’s financial condition and cash flows, as well as assessing liquidity and/or going concern risks and (iii) considering any appreciation in fair value that has not been recognized in the carryi</w:t>
      </w:r>
      <w:r>
        <w:rPr>
          <w:rFonts w:eastAsia="Times New Roman"/>
          <w:color w:val="000000"/>
          <w:sz w:val="20"/>
          <w:szCs w:val="20"/>
          <w:shd w:val="clear" w:color="auto" w:fill="FFFFFF"/>
        </w:rPr>
        <w:t>ng values of such investments. Based on this evaluation, certain of our investments were impaired and written down to their estimated fair values in the second quarter of fiscal 2020 based on information currently known by us (a significant portion of whic</w:t>
      </w:r>
      <w:r>
        <w:rPr>
          <w:rFonts w:eastAsia="Times New Roman"/>
          <w:color w:val="000000"/>
          <w:sz w:val="20"/>
          <w:szCs w:val="20"/>
          <w:shd w:val="clear" w:color="auto" w:fill="FFFFFF"/>
        </w:rPr>
        <w:t>h related to the full impairment of our investment in OneWeb (an equity method investee) who filed for bankruptcy in the second quarter of fiscal 2020) (Note 7). Although we believe that our judgments supporting our impairment assessments are reasonable (w</w:t>
      </w:r>
      <w:r>
        <w:rPr>
          <w:rFonts w:eastAsia="Times New Roman"/>
          <w:color w:val="000000"/>
          <w:sz w:val="20"/>
          <w:szCs w:val="20"/>
          <w:shd w:val="clear" w:color="auto" w:fill="FFFFFF"/>
        </w:rPr>
        <w:t>hich relies on information reasonably available to us), the COVID-19 pandemic makes it challenging for us and our investees to estimate the future performance of our investees’ businesses. As circumstances change and/or new information becomes available, w</w:t>
      </w:r>
      <w:r>
        <w:rPr>
          <w:rFonts w:eastAsia="Times New Roman"/>
          <w:color w:val="000000"/>
          <w:sz w:val="20"/>
          <w:szCs w:val="20"/>
          <w:shd w:val="clear" w:color="auto" w:fill="FFFFFF"/>
        </w:rPr>
        <w:t>e may be required to record additional impairments in subsequent periods.</w:t>
      </w:r>
    </w:p>
    <w:tbl>
      <w:tblPr>
        <w:tblW w:w="4992" w:type="pct"/>
        <w:tblCellMar>
          <w:top w:w="15" w:type="dxa"/>
          <w:left w:w="15" w:type="dxa"/>
          <w:bottom w:w="15" w:type="dxa"/>
          <w:right w:w="15" w:type="dxa"/>
        </w:tblCellMar>
        <w:tblLook w:val="04A0" w:firstRow="1" w:lastRow="0" w:firstColumn="1" w:lastColumn="0" w:noHBand="0" w:noVBand="1"/>
      </w:tblPr>
      <w:tblGrid>
        <w:gridCol w:w="62"/>
        <w:gridCol w:w="6043"/>
        <w:gridCol w:w="62"/>
        <w:gridCol w:w="125"/>
        <w:gridCol w:w="814"/>
        <w:gridCol w:w="80"/>
        <w:gridCol w:w="36"/>
        <w:gridCol w:w="36"/>
        <w:gridCol w:w="36"/>
        <w:gridCol w:w="126"/>
        <w:gridCol w:w="793"/>
        <w:gridCol w:w="80"/>
      </w:tblGrid>
      <w:tr w:rsidR="00000000">
        <w:trPr>
          <w:divId w:val="827549441"/>
        </w:trPr>
        <w:tc>
          <w:tcPr>
            <w:tcW w:w="50" w:type="pct"/>
            <w:vAlign w:val="center"/>
            <w:hideMark/>
          </w:tcPr>
          <w:p w:rsidR="00000000" w:rsidRDefault="00602C02">
            <w:pPr>
              <w:ind w:firstLine="360"/>
              <w:rPr>
                <w:rFonts w:eastAsia="Times New Roman"/>
              </w:rPr>
            </w:pPr>
          </w:p>
        </w:tc>
        <w:tc>
          <w:tcPr>
            <w:tcW w:w="365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827549441"/>
        </w:trPr>
        <w:tc>
          <w:tcPr>
            <w:tcW w:w="0" w:type="auto"/>
            <w:gridSpan w:val="3"/>
            <w:tcMar>
              <w:top w:w="30" w:type="dxa"/>
              <w:left w:w="20" w:type="dxa"/>
              <w:bottom w:w="30" w:type="dxa"/>
              <w:right w:w="20" w:type="dxa"/>
            </w:tcMar>
            <w:vAlign w:val="bottom"/>
            <w:hideMark/>
          </w:tcPr>
          <w:p w:rsidR="00000000" w:rsidRDefault="00602C02">
            <w:pPr>
              <w:ind w:firstLine="360"/>
              <w:divId w:val="50737974"/>
              <w:rPr>
                <w:rFonts w:eastAsia="Times New Roman"/>
              </w:rPr>
            </w:pPr>
            <w:r>
              <w:rPr>
                <w:rFonts w:eastAsia="Times New Roman"/>
                <w:b/>
                <w:bCs/>
                <w:i/>
                <w:iCs/>
                <w:color w:val="000000"/>
                <w:sz w:val="20"/>
                <w:szCs w:val="20"/>
              </w:rPr>
              <w:t>Short-term Debt (in millions</w:t>
            </w:r>
            <w:r>
              <w:rPr>
                <w:rFonts w:eastAsia="Times New Roman"/>
                <w:b/>
                <w:bCs/>
                <w:i/>
                <w:iCs/>
                <w:color w:val="000000"/>
                <w:sz w:val="20"/>
                <w:szCs w:val="20"/>
              </w:rPr>
              <w:t>)</w:t>
            </w:r>
          </w:p>
        </w:tc>
        <w:tc>
          <w:tcPr>
            <w:tcW w:w="0" w:type="auto"/>
            <w:gridSpan w:val="3"/>
            <w:tcMar>
              <w:top w:w="15" w:type="dxa"/>
              <w:left w:w="20" w:type="dxa"/>
              <w:bottom w:w="15" w:type="dxa"/>
              <w:right w:w="20" w:type="dxa"/>
            </w:tcMar>
            <w:vAlign w:val="bottom"/>
            <w:hideMark/>
          </w:tcPr>
          <w:p w:rsidR="00000000" w:rsidRDefault="00602C02">
            <w:pPr>
              <w:ind w:firstLine="360"/>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827549441"/>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divId w:val="827549441"/>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Commercial pape</w:t>
            </w:r>
            <w:r>
              <w:rPr>
                <w:rFonts w:eastAsia="Times New Roman"/>
                <w:color w:val="000000"/>
                <w:sz w:val="18"/>
                <w:szCs w:val="18"/>
              </w:rPr>
              <w:t>r</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827549441"/>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827549441"/>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Current portion of long-term deb</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1,997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827549441"/>
        </w:trPr>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2,499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2,496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bl>
    <w:p w:rsidR="00000000" w:rsidRDefault="00602C02">
      <w:pPr>
        <w:ind w:firstLine="360"/>
        <w:divId w:val="1227689783"/>
        <w:rPr>
          <w:rFonts w:eastAsia="Times New Roman"/>
        </w:rPr>
      </w:pPr>
      <w:r>
        <w:rPr>
          <w:rFonts w:eastAsia="Times New Roman"/>
          <w:color w:val="000000"/>
          <w:sz w:val="20"/>
          <w:szCs w:val="20"/>
        </w:rPr>
        <w:t>Subsequent to March </w:t>
      </w:r>
      <w:r>
        <w:rPr>
          <w:rFonts w:eastAsia="Times New Roman"/>
          <w:color w:val="000000"/>
          <w:sz w:val="20"/>
          <w:szCs w:val="20"/>
        </w:rPr>
        <w:t>29, 2020, we reduced the total amount available for issuance under our unsecured commercial paper program from $5.0 billion to $4.5 billion</w:t>
      </w:r>
      <w:r>
        <w:rPr>
          <w:rFonts w:eastAsia="Times New Roman"/>
          <w:color w:val="000000"/>
          <w:sz w:val="20"/>
          <w:szCs w:val="20"/>
        </w:rPr>
        <w:t>.</w:t>
      </w:r>
    </w:p>
    <w:p w:rsidR="00000000" w:rsidRDefault="00602C02">
      <w:pPr>
        <w:ind w:firstLine="360"/>
        <w:divId w:val="817453678"/>
        <w:rPr>
          <w:rFonts w:eastAsia="Times New Roman"/>
        </w:rPr>
      </w:pPr>
      <w:r>
        <w:rPr>
          <w:rFonts w:eastAsia="Times New Roman"/>
          <w:b/>
          <w:bCs/>
          <w:i/>
          <w:iCs/>
          <w:color w:val="000000"/>
          <w:sz w:val="20"/>
          <w:szCs w:val="20"/>
        </w:rPr>
        <w:t>Revolving Credit Facility.</w:t>
      </w:r>
      <w:r>
        <w:rPr>
          <w:rFonts w:eastAsia="Times New Roman"/>
          <w:b/>
          <w:bCs/>
          <w:i/>
          <w:iCs/>
          <w:color w:val="000000"/>
          <w:sz w:val="20"/>
          <w:szCs w:val="20"/>
        </w:rPr>
        <w:t xml:space="preserve"> </w:t>
      </w:r>
      <w:r>
        <w:rPr>
          <w:rFonts w:eastAsia="Times New Roman"/>
          <w:color w:val="000000"/>
          <w:sz w:val="20"/>
          <w:szCs w:val="20"/>
        </w:rPr>
        <w:t>We have an Amended and Restated Revolving Credit Facility (Revolving Credit Facility) that provides for unsecured revolving facility loans, swing line loans and letters of credit in an aggregate amount of up to $4.5</w:t>
      </w:r>
      <w:r>
        <w:rPr>
          <w:rFonts w:eastAsia="Times New Roman"/>
          <w:color w:val="000000"/>
          <w:sz w:val="20"/>
          <w:szCs w:val="20"/>
        </w:rPr>
        <w:t xml:space="preserve"> </w:t>
      </w:r>
    </w:p>
    <w:p w:rsidR="00000000" w:rsidRDefault="00602C02">
      <w:pPr>
        <w:jc w:val="center"/>
        <w:divId w:val="1336610149"/>
        <w:rPr>
          <w:rFonts w:eastAsia="Times New Roman"/>
        </w:rPr>
      </w:pPr>
      <w:r>
        <w:rPr>
          <w:rFonts w:eastAsia="Times New Roman"/>
          <w:color w:val="000000"/>
          <w:sz w:val="20"/>
          <w:szCs w:val="20"/>
        </w:rPr>
        <w:t>9</w:t>
      </w:r>
    </w:p>
    <w:p w:rsidR="00000000" w:rsidRDefault="00602C02">
      <w:pPr>
        <w:rPr>
          <w:rFonts w:eastAsia="Times New Roman"/>
        </w:rPr>
      </w:pPr>
      <w:r>
        <w:rPr>
          <w:rFonts w:eastAsia="Times New Roman"/>
        </w:rPr>
        <w:pict>
          <v:rect id="_x0000_i1033" style="width:0;height:1.5pt" o:hralign="center" o:hrstd="t" o:hr="t" fillcolor="#a0a0a0" stroked="f"/>
        </w:pict>
      </w:r>
    </w:p>
    <w:p w:rsidR="00000000" w:rsidRDefault="00602C02">
      <w:pPr>
        <w:jc w:val="center"/>
        <w:divId w:val="1638104930"/>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638104930"/>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63810493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638104930"/>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63810493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638104930"/>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divId w:val="23866292"/>
        <w:rPr>
          <w:rFonts w:eastAsia="Times New Roman"/>
        </w:rPr>
      </w:pPr>
      <w:r>
        <w:rPr>
          <w:rFonts w:eastAsia="Times New Roman"/>
          <w:color w:val="000000"/>
          <w:sz w:val="20"/>
          <w:szCs w:val="20"/>
        </w:rPr>
        <w:t>billion, which expires on November 8, 2021. At March 29, 2020, no amounts were outstanding under the Revolving Credit Facility</w:t>
      </w:r>
      <w:r>
        <w:rPr>
          <w:rFonts w:eastAsia="Times New Roman"/>
          <w:color w:val="000000"/>
          <w:sz w:val="20"/>
          <w:szCs w:val="20"/>
        </w:rPr>
        <w:t>.</w:t>
      </w:r>
    </w:p>
    <w:p w:rsidR="00000000" w:rsidRDefault="00602C02">
      <w:pPr>
        <w:ind w:firstLine="360"/>
        <w:divId w:val="558517946"/>
        <w:rPr>
          <w:rFonts w:eastAsia="Times New Roman"/>
        </w:rPr>
      </w:pPr>
      <w:r>
        <w:rPr>
          <w:rFonts w:eastAsia="Times New Roman"/>
          <w:b/>
          <w:bCs/>
          <w:i/>
          <w:iCs/>
          <w:color w:val="000000"/>
          <w:sz w:val="20"/>
          <w:szCs w:val="20"/>
        </w:rPr>
        <w:t>Long-term Debt.</w:t>
      </w:r>
      <w:r>
        <w:rPr>
          <w:rFonts w:eastAsia="Times New Roman"/>
          <w:b/>
          <w:bCs/>
          <w:i/>
          <w:iCs/>
          <w:color w:val="000000"/>
          <w:sz w:val="20"/>
          <w:szCs w:val="20"/>
        </w:rPr>
        <w:t xml:space="preserve"> </w:t>
      </w:r>
      <w:r>
        <w:rPr>
          <w:rFonts w:eastAsia="Times New Roman"/>
          <w:color w:val="000000"/>
          <w:sz w:val="20"/>
          <w:szCs w:val="20"/>
        </w:rPr>
        <w:t>At March 29, 2020 and September 29, 2019, we had outstanding interest rate swaps with an aggregate notional amou</w:t>
      </w:r>
      <w:r>
        <w:rPr>
          <w:rFonts w:eastAsia="Times New Roman"/>
          <w:color w:val="000000"/>
          <w:sz w:val="20"/>
          <w:szCs w:val="20"/>
        </w:rPr>
        <w:t>nt of</w:t>
      </w:r>
      <w:r>
        <w:rPr>
          <w:rFonts w:eastAsia="Times New Roman"/>
          <w:color w:val="000000"/>
          <w:sz w:val="20"/>
          <w:szCs w:val="20"/>
        </w:rPr>
        <w:t xml:space="preserve"> </w:t>
      </w:r>
      <w:r>
        <w:rPr>
          <w:rFonts w:eastAsia="Times New Roman"/>
          <w:color w:val="000000"/>
          <w:sz w:val="20"/>
          <w:szCs w:val="20"/>
          <w:shd w:val="clear" w:color="auto" w:fill="FFFFFF"/>
        </w:rPr>
        <w:t>$750 millio</w:t>
      </w:r>
      <w:r>
        <w:rPr>
          <w:rFonts w:eastAsia="Times New Roman"/>
          <w:color w:val="000000"/>
          <w:sz w:val="20"/>
          <w:szCs w:val="20"/>
          <w:shd w:val="clear" w:color="auto" w:fill="FFFFFF"/>
        </w:rPr>
        <w:t>n</w:t>
      </w:r>
      <w:r>
        <w:rPr>
          <w:rFonts w:eastAsia="Times New Roman"/>
          <w:color w:val="000000"/>
          <w:sz w:val="20"/>
          <w:szCs w:val="20"/>
        </w:rPr>
        <w:t xml:space="preserve"> and $1.8 billion, respectively, related to our May 2015 Notes.</w:t>
      </w:r>
      <w:r>
        <w:rPr>
          <w:rFonts w:eastAsia="Times New Roman"/>
          <w:color w:val="000000"/>
          <w:sz w:val="20"/>
          <w:szCs w:val="20"/>
        </w:rPr>
        <w:t xml:space="preserve"> </w:t>
      </w:r>
      <w:r>
        <w:rPr>
          <w:rFonts w:eastAsia="Times New Roman"/>
          <w:color w:val="000000"/>
          <w:sz w:val="20"/>
          <w:szCs w:val="20"/>
          <w:shd w:val="clear" w:color="auto" w:fill="FFFFFF"/>
        </w:rPr>
        <w:t>During the second quarter of fiscal 2020, we terminated interest rate swaps related to our fixed-rate 3.0% notes due May 20, 2022 resulting in a deferred gain of $19 million,</w:t>
      </w:r>
      <w:r>
        <w:rPr>
          <w:rFonts w:eastAsia="Times New Roman"/>
          <w:color w:val="000000"/>
          <w:sz w:val="20"/>
          <w:szCs w:val="20"/>
          <w:shd w:val="clear" w:color="auto" w:fill="FFFFFF"/>
        </w:rPr>
        <w:t xml:space="preserve"> which is being amortized to interest expense over the remaining term of the fixed-rate 3.0% notes due May 20, 2022</w:t>
      </w:r>
      <w:r>
        <w:rPr>
          <w:rFonts w:eastAsia="Times New Roman"/>
          <w:color w:val="000000"/>
          <w:sz w:val="20"/>
          <w:szCs w:val="20"/>
          <w:shd w:val="clear" w:color="auto" w:fill="FFFFFF"/>
        </w:rPr>
        <w:t>.</w:t>
      </w:r>
      <w:r>
        <w:rPr>
          <w:rFonts w:eastAsia="Times New Roman"/>
          <w:color w:val="000000"/>
          <w:sz w:val="20"/>
          <w:szCs w:val="20"/>
        </w:rPr>
        <w:t xml:space="preserve"> At March 29, 2020 and September </w:t>
      </w:r>
      <w:r>
        <w:rPr>
          <w:rFonts w:eastAsia="Times New Roman"/>
          <w:color w:val="000000"/>
          <w:sz w:val="20"/>
          <w:szCs w:val="20"/>
        </w:rPr>
        <w:t>29, 2019, the aggregate fair value of our remaining outstanding principal floating- and fixed-rate notes, including the current portion of long-term debt, based on Level 2 inputs, was approximately $16.7 billion and $16.5 billion, respectively</w:t>
      </w:r>
      <w:r>
        <w:rPr>
          <w:rFonts w:eastAsia="Times New Roman"/>
          <w:color w:val="000000"/>
          <w:sz w:val="20"/>
          <w:szCs w:val="20"/>
        </w:rPr>
        <w:t>.</w:t>
      </w:r>
    </w:p>
    <w:p w:rsidR="00000000" w:rsidRDefault="00602C02">
      <w:pPr>
        <w:ind w:firstLine="360"/>
        <w:divId w:val="1386414242"/>
        <w:rPr>
          <w:rFonts w:eastAsia="Times New Roman"/>
        </w:rPr>
      </w:pPr>
      <w:r>
        <w:rPr>
          <w:rFonts w:eastAsia="Times New Roman"/>
          <w:b/>
          <w:bCs/>
          <w:i/>
          <w:iCs/>
          <w:color w:val="000000"/>
          <w:sz w:val="20"/>
          <w:szCs w:val="20"/>
        </w:rPr>
        <w:t>Revenues.</w:t>
      </w:r>
      <w:r>
        <w:rPr>
          <w:rFonts w:eastAsia="Times New Roman"/>
          <w:b/>
          <w:bCs/>
          <w:i/>
          <w:iCs/>
          <w:color w:val="000000"/>
          <w:sz w:val="20"/>
          <w:szCs w:val="20"/>
        </w:rPr>
        <w:t xml:space="preserve"> </w:t>
      </w:r>
      <w:r>
        <w:rPr>
          <w:rFonts w:eastAsia="Times New Roman"/>
          <w:color w:val="000000"/>
          <w:sz w:val="20"/>
          <w:szCs w:val="20"/>
        </w:rPr>
        <w:t>We disaggregate our revenues by segment (Note 6) and type of products and services (as presented on our condensed consolidated statement of operations), as we believe this best depicts how the nature, amount, timing and uncertainty of our revenue</w:t>
      </w:r>
      <w:r>
        <w:rPr>
          <w:rFonts w:eastAsia="Times New Roman"/>
          <w:color w:val="000000"/>
          <w:sz w:val="20"/>
          <w:szCs w:val="20"/>
        </w:rPr>
        <w:t>s and cash flows are affected by economic factors. Substantially all of QCT’s (Qualcomm CDMA Technologies) revenues consist of equipment revenues that are recognized at a point in time, and substantially all of QTL’s (Qualcomm Technology Licensing) revenue</w:t>
      </w:r>
      <w:r>
        <w:rPr>
          <w:rFonts w:eastAsia="Times New Roman"/>
          <w:color w:val="000000"/>
          <w:sz w:val="20"/>
          <w:szCs w:val="20"/>
        </w:rPr>
        <w:t>s represent licensing revenues that are recognized over time.</w:t>
      </w:r>
      <w:r>
        <w:rPr>
          <w:rFonts w:eastAsia="Times New Roman"/>
          <w:color w:val="000000"/>
          <w:sz w:val="20"/>
          <w:szCs w:val="20"/>
        </w:rPr>
        <w:t xml:space="preserve"> </w:t>
      </w:r>
    </w:p>
    <w:p w:rsidR="00000000" w:rsidRDefault="00602C02">
      <w:pPr>
        <w:ind w:firstLine="360"/>
        <w:divId w:val="1546261200"/>
        <w:rPr>
          <w:rFonts w:eastAsia="Times New Roman"/>
        </w:rPr>
      </w:pPr>
      <w:r>
        <w:rPr>
          <w:rFonts w:eastAsia="Times New Roman"/>
          <w:color w:val="000000"/>
          <w:sz w:val="20"/>
          <w:szCs w:val="20"/>
        </w:rPr>
        <w:t>Revenues recognized from performance obligations satisfied (or partially satisfied) in previous periods were $150 million and $398 million for the three months ended March 29, 2020 and March 31</w:t>
      </w:r>
      <w:r>
        <w:rPr>
          <w:rFonts w:eastAsia="Times New Roman"/>
          <w:color w:val="000000"/>
          <w:sz w:val="20"/>
          <w:szCs w:val="20"/>
        </w:rPr>
        <w:t>, 2019, respectively, and $178 million and $394 million for the six months ended March 29, 2020 and March 31, 2019, respectively, and primarily related to QTL royalty revenues recognized related to devices sold in prior periods, certain customer incentives</w:t>
      </w:r>
      <w:r>
        <w:rPr>
          <w:rFonts w:eastAsia="Times New Roman"/>
          <w:color w:val="000000"/>
          <w:sz w:val="20"/>
          <w:szCs w:val="20"/>
        </w:rPr>
        <w:t xml:space="preserve"> and revenues related to a development contract with one of our equity method investees.</w:t>
      </w:r>
      <w:r>
        <w:rPr>
          <w:rFonts w:eastAsia="Times New Roman"/>
          <w:color w:val="000000"/>
          <w:sz w:val="20"/>
          <w:szCs w:val="20"/>
        </w:rPr>
        <w:t xml:space="preserve"> </w:t>
      </w:r>
    </w:p>
    <w:p w:rsidR="00000000" w:rsidRDefault="00602C02">
      <w:pPr>
        <w:ind w:firstLine="360"/>
        <w:divId w:val="1158035051"/>
        <w:rPr>
          <w:rFonts w:eastAsia="Times New Roman"/>
        </w:rPr>
      </w:pPr>
      <w:r>
        <w:rPr>
          <w:rFonts w:eastAsia="Times New Roman"/>
          <w:color w:val="000000"/>
          <w:sz w:val="20"/>
          <w:szCs w:val="20"/>
        </w:rPr>
        <w:t xml:space="preserve">Unearned revenues (which are considered contract liabilities) consist primarily of license fees for intellectual property with continuing performance obligations. In </w:t>
      </w:r>
      <w:r>
        <w:rPr>
          <w:rFonts w:eastAsia="Times New Roman"/>
          <w:color w:val="000000"/>
          <w:sz w:val="20"/>
          <w:szCs w:val="20"/>
        </w:rPr>
        <w:t>the six months ended March 29, 2020 and March 31, 2019, we recognized revenues of $307 million and $258 million, respectively, that were recorded as unearned revenues at September 29, 2019 and October 1, 2018, respectively.</w:t>
      </w:r>
      <w:r>
        <w:rPr>
          <w:rFonts w:eastAsia="Times New Roman"/>
          <w:color w:val="000000"/>
          <w:sz w:val="20"/>
          <w:szCs w:val="20"/>
        </w:rPr>
        <w:t xml:space="preserve"> </w:t>
      </w:r>
    </w:p>
    <w:p w:rsidR="00000000" w:rsidRDefault="00602C02">
      <w:pPr>
        <w:ind w:firstLine="360"/>
        <w:divId w:val="1194687957"/>
        <w:rPr>
          <w:rFonts w:eastAsia="Times New Roman"/>
        </w:rPr>
      </w:pPr>
      <w:r>
        <w:rPr>
          <w:rFonts w:eastAsia="Times New Roman"/>
          <w:color w:val="000000"/>
          <w:sz w:val="20"/>
          <w:szCs w:val="20"/>
        </w:rPr>
        <w:t>Remaining performance obligatio</w:t>
      </w:r>
      <w:r>
        <w:rPr>
          <w:rFonts w:eastAsia="Times New Roman"/>
          <w:color w:val="000000"/>
          <w:sz w:val="20"/>
          <w:szCs w:val="20"/>
        </w:rPr>
        <w:t>ns, substantially all of which are included in unearned revenues, represent the aggregate amount of the transaction price of certain customer contracts yet to be recognized as revenues as of the end of the reporting period and exclude revenues related to (</w:t>
      </w:r>
      <w:r>
        <w:rPr>
          <w:rFonts w:eastAsia="Times New Roman"/>
          <w:color w:val="000000"/>
          <w:sz w:val="20"/>
          <w:szCs w:val="20"/>
        </w:rPr>
        <w:t>a) contracts that have an original expected duration of one year or less and (b) sales-based royalties (i.e., future royalty revenues) pursuant to our license agreements. Our remaining performance obligations are primarily comprised of certain customer con</w:t>
      </w:r>
      <w:r>
        <w:rPr>
          <w:rFonts w:eastAsia="Times New Roman"/>
          <w:color w:val="000000"/>
          <w:sz w:val="20"/>
          <w:szCs w:val="20"/>
        </w:rPr>
        <w:t>tracts for which QTL received license fees upfront. At March 29, 2020, we had $1.5 billion of remaining performance obligations, of which $284 million, $511 million, $463 million, $202 million and $50 million was expected to be recognized as revenues for t</w:t>
      </w:r>
      <w:r>
        <w:rPr>
          <w:rFonts w:eastAsia="Times New Roman"/>
          <w:color w:val="000000"/>
          <w:sz w:val="20"/>
          <w:szCs w:val="20"/>
        </w:rPr>
        <w:t>he remainder of fiscal 2020 and each of the subsequent four years from fiscal 2021 through 2024, respectively, and $26 million thereafter</w:t>
      </w:r>
      <w:r>
        <w:rPr>
          <w:rFonts w:eastAsia="Times New Roman"/>
          <w:color w:val="000000"/>
          <w:sz w:val="20"/>
          <w:szCs w:val="20"/>
        </w:rPr>
        <w:t>.</w:t>
      </w:r>
    </w:p>
    <w:p w:rsidR="00000000" w:rsidRDefault="00602C02">
      <w:pPr>
        <w:ind w:firstLine="360"/>
        <w:divId w:val="32730462"/>
        <w:rPr>
          <w:rFonts w:eastAsia="Times New Roman"/>
        </w:rPr>
      </w:pPr>
      <w:r>
        <w:rPr>
          <w:rFonts w:eastAsia="Times New Roman"/>
          <w:b/>
          <w:bCs/>
          <w:i/>
          <w:iCs/>
          <w:color w:val="000000"/>
          <w:sz w:val="20"/>
          <w:szCs w:val="20"/>
        </w:rPr>
        <w:t>Other Income, Costs and Expenses</w:t>
      </w:r>
      <w:r>
        <w:rPr>
          <w:rFonts w:eastAsia="Times New Roman"/>
          <w:b/>
          <w:bCs/>
          <w:i/>
          <w:iCs/>
          <w:color w:val="000000"/>
          <w:sz w:val="20"/>
          <w:szCs w:val="20"/>
        </w:rPr>
        <w:t>.</w:t>
      </w:r>
      <w:r>
        <w:rPr>
          <w:rFonts w:eastAsia="Times New Roman"/>
          <w:color w:val="000000"/>
          <w:sz w:val="20"/>
          <w:szCs w:val="20"/>
        </w:rPr>
        <w:t xml:space="preserve"> Other income in the three and six months ended March 29, 2020 consisted of a $23 mi</w:t>
      </w:r>
      <w:r>
        <w:rPr>
          <w:rFonts w:eastAsia="Times New Roman"/>
          <w:color w:val="000000"/>
          <w:sz w:val="20"/>
          <w:szCs w:val="20"/>
        </w:rPr>
        <w:t>llion gain related to a favorable legal settlement</w:t>
      </w:r>
      <w:r>
        <w:rPr>
          <w:rFonts w:eastAsia="Times New Roman"/>
          <w:color w:val="000000"/>
          <w:sz w:val="20"/>
          <w:szCs w:val="20"/>
        </w:rPr>
        <w:t>.</w:t>
      </w:r>
    </w:p>
    <w:p w:rsidR="00000000" w:rsidRDefault="00602C02">
      <w:pPr>
        <w:ind w:firstLine="360"/>
        <w:divId w:val="1758358284"/>
        <w:rPr>
          <w:rFonts w:eastAsia="Times New Roman"/>
        </w:rPr>
      </w:pPr>
      <w:r>
        <w:rPr>
          <w:rFonts w:eastAsia="Times New Roman"/>
          <w:color w:val="000000"/>
          <w:sz w:val="20"/>
          <w:szCs w:val="20"/>
        </w:rPr>
        <w:t xml:space="preserve">Other income in the three months ended March 31, 2019 included a $43 million gain due to the partial recovery of a fine imposed in fiscal 2009 resulting from our appeal of the Korea Fair Trade Commission </w:t>
      </w:r>
      <w:r>
        <w:rPr>
          <w:rFonts w:eastAsia="Times New Roman"/>
          <w:color w:val="000000"/>
          <w:sz w:val="20"/>
          <w:szCs w:val="20"/>
        </w:rPr>
        <w:t>(KFTC), partially offset by $25 million in net restructuring and restructuring-related charges related to our Cost Plan that concluded in fiscal 2019. Other expenses in the six months ended March 31, 2019 included $204 million in net restructuring and rest</w:t>
      </w:r>
      <w:r>
        <w:rPr>
          <w:rFonts w:eastAsia="Times New Roman"/>
          <w:color w:val="000000"/>
          <w:sz w:val="20"/>
          <w:szCs w:val="20"/>
        </w:rPr>
        <w:t>ructuring-related charges related to our Cost Plan, partially offset by a $43 million gain due to the partial recovery of a fine we paid to the KFTC and a $31 million gain related to a favorable legal settlement</w:t>
      </w:r>
      <w:r>
        <w:rPr>
          <w:rFonts w:eastAsia="Times New Roman"/>
          <w:color w:val="000000"/>
          <w:sz w:val="20"/>
          <w:szCs w:val="20"/>
        </w:rPr>
        <w:t>.</w:t>
      </w:r>
    </w:p>
    <w:p w:rsidR="00000000" w:rsidRDefault="00602C02">
      <w:pPr>
        <w:jc w:val="center"/>
        <w:divId w:val="1697923999"/>
        <w:rPr>
          <w:rFonts w:eastAsia="Times New Roman"/>
        </w:rPr>
      </w:pPr>
      <w:r>
        <w:rPr>
          <w:rFonts w:eastAsia="Times New Roman"/>
          <w:color w:val="000000"/>
          <w:sz w:val="20"/>
          <w:szCs w:val="20"/>
        </w:rPr>
        <w:t>1</w:t>
      </w:r>
      <w:r>
        <w:rPr>
          <w:rFonts w:eastAsia="Times New Roman"/>
          <w:color w:val="000000"/>
          <w:sz w:val="20"/>
          <w:szCs w:val="20"/>
        </w:rPr>
        <w:t>0</w:t>
      </w:r>
    </w:p>
    <w:p w:rsidR="00000000" w:rsidRDefault="00602C02">
      <w:pPr>
        <w:rPr>
          <w:rFonts w:eastAsia="Times New Roman"/>
        </w:rPr>
      </w:pPr>
      <w:r>
        <w:rPr>
          <w:rFonts w:eastAsia="Times New Roman"/>
        </w:rPr>
        <w:pict>
          <v:rect id="_x0000_i1034" style="width:0;height:1.5pt" o:hralign="center" o:hrstd="t" o:hr="t" fillcolor="#a0a0a0" stroked="f"/>
        </w:pict>
      </w:r>
    </w:p>
    <w:p w:rsidR="00000000" w:rsidRDefault="00602C02">
      <w:pPr>
        <w:jc w:val="center"/>
        <w:divId w:val="1023752171"/>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023752171"/>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023752171"/>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02375217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023752171"/>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023752171"/>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3925"/>
        <w:gridCol w:w="144"/>
        <w:gridCol w:w="144"/>
        <w:gridCol w:w="834"/>
        <w:gridCol w:w="144"/>
        <w:gridCol w:w="144"/>
        <w:gridCol w:w="144"/>
        <w:gridCol w:w="144"/>
        <w:gridCol w:w="144"/>
        <w:gridCol w:w="834"/>
        <w:gridCol w:w="144"/>
        <w:gridCol w:w="144"/>
        <w:gridCol w:w="144"/>
        <w:gridCol w:w="144"/>
        <w:gridCol w:w="144"/>
        <w:gridCol w:w="834"/>
        <w:gridCol w:w="144"/>
        <w:gridCol w:w="144"/>
        <w:gridCol w:w="144"/>
        <w:gridCol w:w="144"/>
        <w:gridCol w:w="144"/>
        <w:gridCol w:w="834"/>
        <w:gridCol w:w="144"/>
        <w:gridCol w:w="480"/>
        <w:gridCol w:w="480"/>
        <w:gridCol w:w="480"/>
        <w:gridCol w:w="480"/>
        <w:gridCol w:w="480"/>
        <w:gridCol w:w="480"/>
        <w:gridCol w:w="480"/>
        <w:gridCol w:w="480"/>
        <w:gridCol w:w="480"/>
        <w:gridCol w:w="480"/>
        <w:gridCol w:w="480"/>
        <w:gridCol w:w="480"/>
      </w:tblGrid>
      <w:tr w:rsidR="00000000">
        <w:trPr>
          <w:gridAfter w:val="12"/>
        </w:trPr>
        <w:tc>
          <w:tcPr>
            <w:tcW w:w="50" w:type="pct"/>
            <w:vAlign w:val="center"/>
            <w:hideMark/>
          </w:tcPr>
          <w:p w:rsidR="00000000" w:rsidRDefault="00602C02">
            <w:pPr>
              <w:jc w:val="center"/>
              <w:rPr>
                <w:rFonts w:eastAsia="Times New Roman"/>
              </w:rPr>
            </w:pPr>
          </w:p>
        </w:tc>
        <w:tc>
          <w:tcPr>
            <w:tcW w:w="237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gridAfter w:val="9"/>
        </w:trPr>
        <w:tc>
          <w:tcPr>
            <w:tcW w:w="0" w:type="auto"/>
            <w:gridSpan w:val="6"/>
            <w:tcMar>
              <w:top w:w="30" w:type="dxa"/>
              <w:left w:w="20" w:type="dxa"/>
              <w:bottom w:w="30" w:type="dxa"/>
              <w:right w:w="20" w:type="dxa"/>
            </w:tcMar>
            <w:vAlign w:val="bottom"/>
            <w:hideMark/>
          </w:tcPr>
          <w:p w:rsidR="00000000" w:rsidRDefault="00602C02">
            <w:pPr>
              <w:divId w:val="1368022548"/>
              <w:rPr>
                <w:rFonts w:eastAsia="Times New Roman"/>
              </w:rPr>
            </w:pPr>
            <w:r>
              <w:rPr>
                <w:rFonts w:eastAsia="Times New Roman"/>
                <w:b/>
                <w:bCs/>
                <w:i/>
                <w:iCs/>
                <w:color w:val="000000"/>
                <w:sz w:val="20"/>
                <w:szCs w:val="20"/>
              </w:rPr>
              <w:t>Investment and Other (Expense) Income, Net (in millions</w:t>
            </w:r>
            <w:r>
              <w:rPr>
                <w:rFonts w:eastAsia="Times New Roman"/>
                <w:b/>
                <w:bCs/>
                <w:i/>
                <w:iCs/>
                <w:color w:val="000000"/>
                <w:sz w:val="20"/>
                <w:szCs w:val="20"/>
              </w:rPr>
              <w:t>)</w:t>
            </w:r>
          </w:p>
        </w:tc>
        <w:tc>
          <w:tcPr>
            <w:tcW w:w="0" w:type="auto"/>
            <w:gridSpan w:val="3"/>
            <w:vAlign w:val="center"/>
            <w:hideMark/>
          </w:tcPr>
          <w:p w:rsidR="00000000" w:rsidRDefault="00602C02">
            <w:pPr>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Interest and dividend incom</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gains (losses) on marketable securitie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(losses) gains on other investment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(losses) gains on deferred compensation plan asset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Impairment losses on other investment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(265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(losses) gains on derivative investments</w:t>
            </w:r>
            <w:r>
              <w:rPr>
                <w:rFonts w:eastAsia="Times New Roman"/>
                <w:color w:val="000000"/>
                <w:sz w:val="18"/>
                <w:szCs w:val="18"/>
              </w:rPr>
              <w:t xml:space="preserve"> </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center"/>
            <w:hideMark/>
          </w:tcPr>
          <w:p w:rsidR="00000000" w:rsidRDefault="00602C02">
            <w:pPr>
              <w:rPr>
                <w:rFonts w:eastAsia="Times New Roman"/>
              </w:rPr>
            </w:pPr>
            <w:r>
              <w:rPr>
                <w:rFonts w:eastAsia="Times New Roman"/>
                <w:color w:val="000000"/>
                <w:sz w:val="18"/>
                <w:szCs w:val="18"/>
              </w:rPr>
              <w:t>Equity in net losses of investee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gains (losses) on foreign currency transaction</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(247</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(182</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ind w:firstLine="360"/>
        <w:divId w:val="494877966"/>
        <w:rPr>
          <w:rFonts w:eastAsia="Times New Roman"/>
        </w:rPr>
      </w:pPr>
      <w:r>
        <w:rPr>
          <w:rFonts w:eastAsia="Times New Roman"/>
          <w:color w:val="000000"/>
          <w:sz w:val="20"/>
          <w:szCs w:val="20"/>
        </w:rPr>
        <w:t>Net gains (losses) on the revaluation of our deferred compensation plan assets are recorded within investment and other (expense) income, net and are not allocated to ou</w:t>
      </w:r>
      <w:r>
        <w:rPr>
          <w:rFonts w:eastAsia="Times New Roman"/>
          <w:color w:val="000000"/>
          <w:sz w:val="20"/>
          <w:szCs w:val="20"/>
        </w:rPr>
        <w:t>r segments. Corresponding offsetting amounts related to the revaluation of our deferred compensation plan liabilities are included in unallocated operating expenses (Note 6)</w:t>
      </w:r>
      <w:r>
        <w:rPr>
          <w:rFonts w:eastAsia="Times New Roman"/>
          <w:color w:val="000000"/>
          <w:sz w:val="20"/>
          <w:szCs w:val="20"/>
        </w:rPr>
        <w:t>.</w:t>
      </w:r>
    </w:p>
    <w:p w:rsidR="00000000" w:rsidRDefault="00602C02">
      <w:pPr>
        <w:divId w:val="1421101347"/>
        <w:rPr>
          <w:rFonts w:eastAsia="Times New Roman"/>
        </w:rPr>
      </w:pPr>
      <w:r>
        <w:rPr>
          <w:rFonts w:eastAsia="Times New Roman"/>
          <w:b/>
          <w:bCs/>
          <w:color w:val="000000"/>
          <w:sz w:val="20"/>
          <w:szCs w:val="20"/>
        </w:rPr>
        <w:t>Note 3. Income Taxe</w:t>
      </w:r>
      <w:r>
        <w:rPr>
          <w:rFonts w:eastAsia="Times New Roman"/>
          <w:b/>
          <w:bCs/>
          <w:color w:val="000000"/>
          <w:sz w:val="20"/>
          <w:szCs w:val="20"/>
        </w:rPr>
        <w:t>s</w:t>
      </w:r>
    </w:p>
    <w:p w:rsidR="00000000" w:rsidRDefault="00602C02">
      <w:pPr>
        <w:ind w:firstLine="360"/>
        <w:divId w:val="1651592435"/>
        <w:rPr>
          <w:rFonts w:eastAsia="Times New Roman"/>
        </w:rPr>
      </w:pPr>
      <w:r>
        <w:rPr>
          <w:rFonts w:eastAsia="Times New Roman"/>
          <w:color w:val="000000"/>
          <w:sz w:val="20"/>
          <w:szCs w:val="20"/>
        </w:rPr>
        <w:t>We estimate our annual effective income tax rate to be 12% f</w:t>
      </w:r>
      <w:r>
        <w:rPr>
          <w:rFonts w:eastAsia="Times New Roman"/>
          <w:color w:val="000000"/>
          <w:sz w:val="20"/>
          <w:szCs w:val="20"/>
        </w:rPr>
        <w:t>or fiscal 2020, which is lower than the U.S. federal statutory rate, primarily due to a significant portion of our income qualifying for preferential treatment as foreign-derived intangible income (FDII) at a 13% effective tax rate and due to benefits from</w:t>
      </w:r>
      <w:r>
        <w:rPr>
          <w:rFonts w:eastAsia="Times New Roman"/>
          <w:color w:val="000000"/>
          <w:sz w:val="20"/>
          <w:szCs w:val="20"/>
        </w:rPr>
        <w:t xml:space="preserve"> our research and development tax credit. The effective tax rate of 22% for the second quarter of fiscal 2020 was higher than the estimated annual effective tax rate of 12% primarily due to $28 million of discrete net tax charges recorded in the second qua</w:t>
      </w:r>
      <w:r>
        <w:rPr>
          <w:rFonts w:eastAsia="Times New Roman"/>
          <w:color w:val="000000"/>
          <w:sz w:val="20"/>
          <w:szCs w:val="20"/>
        </w:rPr>
        <w:t>rter of fiscal 2020, principally related to foreign currency losses on a noncurrent receivable related to our refund claim of Korean withholding tax</w:t>
      </w:r>
      <w:r>
        <w:rPr>
          <w:rFonts w:eastAsia="Times New Roman"/>
          <w:color w:val="000000"/>
          <w:sz w:val="20"/>
          <w:szCs w:val="20"/>
        </w:rPr>
        <w:t>.</w:t>
      </w:r>
    </w:p>
    <w:p w:rsidR="00000000" w:rsidRDefault="00602C02">
      <w:pPr>
        <w:ind w:firstLine="360"/>
        <w:divId w:val="310444162"/>
        <w:rPr>
          <w:rFonts w:eastAsia="Times New Roman"/>
        </w:rPr>
      </w:pPr>
      <w:r>
        <w:rPr>
          <w:rFonts w:eastAsia="Times New Roman"/>
          <w:color w:val="000000"/>
          <w:sz w:val="20"/>
          <w:szCs w:val="20"/>
        </w:rPr>
        <w:t>The United States Treasury Department has issued proposed regulations on several provisions of the 2017 Ta</w:t>
      </w:r>
      <w:r>
        <w:rPr>
          <w:rFonts w:eastAsia="Times New Roman"/>
          <w:color w:val="000000"/>
          <w:sz w:val="20"/>
          <w:szCs w:val="20"/>
        </w:rPr>
        <w:t xml:space="preserve">x Cuts and Jobs Act, including FDII and interest expense deduction limitations, which may be finalized in the next several months. When finalized, these proposed regulations may adversely affect our provision for income taxes, results of operations and/or </w:t>
      </w:r>
      <w:r>
        <w:rPr>
          <w:rFonts w:eastAsia="Times New Roman"/>
          <w:color w:val="000000"/>
          <w:sz w:val="20"/>
          <w:szCs w:val="20"/>
        </w:rPr>
        <w:t>cash flows.</w:t>
      </w:r>
      <w:r>
        <w:rPr>
          <w:rFonts w:eastAsia="Times New Roman"/>
          <w:color w:val="000000"/>
          <w:sz w:val="20"/>
          <w:szCs w:val="20"/>
        </w:rPr>
        <w:t xml:space="preserve"> </w:t>
      </w:r>
    </w:p>
    <w:p w:rsidR="00000000" w:rsidRDefault="00602C02">
      <w:pPr>
        <w:ind w:firstLine="360"/>
        <w:divId w:val="2018195333"/>
        <w:rPr>
          <w:rFonts w:eastAsia="Times New Roman"/>
        </w:rPr>
      </w:pPr>
      <w:r>
        <w:rPr>
          <w:rFonts w:eastAsia="Times New Roman"/>
          <w:color w:val="000000"/>
          <w:sz w:val="20"/>
          <w:szCs w:val="20"/>
        </w:rPr>
        <w:t>Unrecognized tax benefits were $1.8 billion and $1.7 billion at March 29, 2020 and September 29, 2019, respectively, and primarily relate to our refund claim of Korean withholding tax. If successful, the refund will result in a corresponding r</w:t>
      </w:r>
      <w:r>
        <w:rPr>
          <w:rFonts w:eastAsia="Times New Roman"/>
          <w:color w:val="000000"/>
          <w:sz w:val="20"/>
          <w:szCs w:val="20"/>
        </w:rPr>
        <w:t>eduction in U.S. foreign tax credits. We expect that the total amount of unrecognized tax benefits at March 29, 2020 will increase in the next 12 months as licensees in Korea continue to withhold taxes on future payments due under their licensing agreement</w:t>
      </w:r>
      <w:r>
        <w:rPr>
          <w:rFonts w:eastAsia="Times New Roman"/>
          <w:color w:val="000000"/>
          <w:sz w:val="20"/>
          <w:szCs w:val="20"/>
        </w:rPr>
        <w:t>s at a rate higher than we believe is owed; such increase is not expected to have a significant impact on our income tax provision</w:t>
      </w:r>
      <w:r>
        <w:rPr>
          <w:rFonts w:eastAsia="Times New Roman"/>
          <w:color w:val="000000"/>
          <w:sz w:val="20"/>
          <w:szCs w:val="20"/>
        </w:rPr>
        <w:t>.</w:t>
      </w:r>
    </w:p>
    <w:p w:rsidR="00000000" w:rsidRDefault="00602C02">
      <w:pPr>
        <w:divId w:val="1994525100"/>
        <w:rPr>
          <w:rFonts w:eastAsia="Times New Roman"/>
        </w:rPr>
      </w:pPr>
      <w:r>
        <w:rPr>
          <w:rFonts w:eastAsia="Times New Roman"/>
          <w:b/>
          <w:bCs/>
          <w:color w:val="000000"/>
          <w:sz w:val="20"/>
          <w:szCs w:val="20"/>
        </w:rPr>
        <w:t>Note 4. Capital Stoc</w:t>
      </w:r>
      <w:r>
        <w:rPr>
          <w:rFonts w:eastAsia="Times New Roman"/>
          <w:b/>
          <w:bCs/>
          <w:color w:val="000000"/>
          <w:sz w:val="20"/>
          <w:szCs w:val="20"/>
        </w:rPr>
        <w:t>k</w:t>
      </w:r>
    </w:p>
    <w:p w:rsidR="00000000" w:rsidRDefault="00602C02">
      <w:pPr>
        <w:ind w:firstLine="360"/>
        <w:divId w:val="309140247"/>
        <w:rPr>
          <w:rFonts w:eastAsia="Times New Roman"/>
        </w:rPr>
      </w:pPr>
      <w:r>
        <w:rPr>
          <w:rFonts w:eastAsia="Times New Roman"/>
          <w:b/>
          <w:bCs/>
          <w:i/>
          <w:iCs/>
          <w:color w:val="000000"/>
          <w:sz w:val="20"/>
          <w:szCs w:val="20"/>
        </w:rPr>
        <w:t>Stock Repurchase Program.</w:t>
      </w:r>
      <w:r>
        <w:rPr>
          <w:rFonts w:eastAsia="Times New Roman"/>
          <w:b/>
          <w:bCs/>
          <w:i/>
          <w:iCs/>
          <w:color w:val="000000"/>
          <w:sz w:val="20"/>
          <w:szCs w:val="20"/>
        </w:rPr>
        <w:t xml:space="preserve"> </w:t>
      </w:r>
      <w:r>
        <w:rPr>
          <w:rFonts w:eastAsia="Times New Roman"/>
          <w:color w:val="000000"/>
          <w:sz w:val="20"/>
          <w:szCs w:val="20"/>
        </w:rPr>
        <w:t xml:space="preserve">On July 26, 2018, we announced a stock repurchase program authorizing us to </w:t>
      </w:r>
      <w:r>
        <w:rPr>
          <w:rFonts w:eastAsia="Times New Roman"/>
          <w:color w:val="000000"/>
          <w:sz w:val="20"/>
          <w:szCs w:val="20"/>
        </w:rPr>
        <w:t>repurchase up to $30 billion of our common stock.</w:t>
      </w:r>
      <w:r>
        <w:rPr>
          <w:rFonts w:eastAsia="Times New Roman"/>
          <w:color w:val="000000"/>
          <w:sz w:val="20"/>
          <w:szCs w:val="20"/>
        </w:rPr>
        <w:t xml:space="preserve"> </w:t>
      </w:r>
    </w:p>
    <w:p w:rsidR="00000000" w:rsidRDefault="00602C02">
      <w:pPr>
        <w:ind w:firstLine="360"/>
        <w:divId w:val="1599945828"/>
        <w:rPr>
          <w:rFonts w:eastAsia="Times New Roman"/>
        </w:rPr>
      </w:pPr>
      <w:r>
        <w:rPr>
          <w:rFonts w:eastAsia="Times New Roman"/>
          <w:color w:val="000000"/>
          <w:sz w:val="20"/>
          <w:szCs w:val="20"/>
        </w:rPr>
        <w:t>In the six months ended March 29, 2020 and March 31, 2019, we repurchased and retired 29.3 million and 16.8 million shares for $2.3 billion and $1.0 billion, respectively, before commissions. To reflect sh</w:t>
      </w:r>
      <w:r>
        <w:rPr>
          <w:rFonts w:eastAsia="Times New Roman"/>
          <w:color w:val="000000"/>
          <w:sz w:val="20"/>
          <w:szCs w:val="20"/>
        </w:rPr>
        <w:t>are repurchases in the consolidated balance sheet, we (i) reduce common stock for the par value of the shares, (ii) reduce paid-in capital for the amount in excess of par to zero during the quarter in which the shares are repurchased and (iii) record the r</w:t>
      </w:r>
      <w:r>
        <w:rPr>
          <w:rFonts w:eastAsia="Times New Roman"/>
          <w:color w:val="000000"/>
          <w:sz w:val="20"/>
          <w:szCs w:val="20"/>
        </w:rPr>
        <w:t>esidual amount, if any, to retained earnings. At March 29, 2020, $4.7 billion remained authorized for repurchase under our stock repurchase program.</w:t>
      </w:r>
      <w:r>
        <w:rPr>
          <w:rFonts w:eastAsia="Times New Roman"/>
          <w:color w:val="000000"/>
          <w:sz w:val="20"/>
          <w:szCs w:val="20"/>
        </w:rPr>
        <w:t xml:space="preserve"> </w:t>
      </w:r>
      <w:r>
        <w:rPr>
          <w:rFonts w:eastAsia="Times New Roman"/>
          <w:color w:val="000000"/>
          <w:sz w:val="20"/>
          <w:szCs w:val="20"/>
          <w:shd w:val="clear" w:color="auto" w:fill="FFFFFF"/>
        </w:rPr>
        <w:t>Subsequent to March 29, 2020, to maintain our financial liquidity position and flexibility, we suspended ou</w:t>
      </w:r>
      <w:r>
        <w:rPr>
          <w:rFonts w:eastAsia="Times New Roman"/>
          <w:color w:val="000000"/>
          <w:sz w:val="20"/>
          <w:szCs w:val="20"/>
          <w:shd w:val="clear" w:color="auto" w:fill="FFFFFF"/>
        </w:rPr>
        <w:t>r stock repurchases, at least for the near-term, in light of COVID-19.</w:t>
      </w:r>
    </w:p>
    <w:p w:rsidR="00000000" w:rsidRDefault="00602C02">
      <w:pPr>
        <w:ind w:firstLine="360"/>
        <w:divId w:val="1789398308"/>
        <w:rPr>
          <w:rFonts w:eastAsia="Times New Roman"/>
        </w:rPr>
      </w:pPr>
      <w:r>
        <w:rPr>
          <w:rFonts w:eastAsia="Times New Roman"/>
          <w:b/>
          <w:bCs/>
          <w:i/>
          <w:iCs/>
          <w:color w:val="000000"/>
          <w:sz w:val="20"/>
          <w:szCs w:val="20"/>
        </w:rPr>
        <w:t>Dividend</w:t>
      </w:r>
      <w:r>
        <w:rPr>
          <w:rFonts w:eastAsia="Times New Roman"/>
          <w:b/>
          <w:bCs/>
          <w:i/>
          <w:iCs/>
          <w:color w:val="000000"/>
          <w:sz w:val="20"/>
          <w:szCs w:val="20"/>
        </w:rPr>
        <w:t>s</w:t>
      </w:r>
      <w:r>
        <w:rPr>
          <w:rFonts w:eastAsia="Times New Roman"/>
          <w:color w:val="000000"/>
          <w:sz w:val="20"/>
          <w:szCs w:val="20"/>
        </w:rPr>
        <w:t>.</w:t>
      </w:r>
      <w:r>
        <w:rPr>
          <w:rFonts w:eastAsia="Times New Roman"/>
          <w:color w:val="000000"/>
          <w:sz w:val="20"/>
          <w:szCs w:val="20"/>
        </w:rPr>
        <w:t xml:space="preserve"> </w:t>
      </w:r>
      <w:r>
        <w:rPr>
          <w:rFonts w:eastAsia="Times New Roman"/>
          <w:color w:val="000000"/>
          <w:sz w:val="20"/>
          <w:szCs w:val="20"/>
          <w:shd w:val="clear" w:color="auto" w:fill="FFFFFF"/>
        </w:rPr>
        <w:t>On March 10, 2020, we announced a 5% increase in our quarterly dividend per share of common stock from $0.62 to $0.65</w:t>
      </w:r>
      <w:r>
        <w:rPr>
          <w:rFonts w:eastAsia="Times New Roman"/>
          <w:color w:val="000000"/>
          <w:sz w:val="20"/>
          <w:szCs w:val="20"/>
          <w:shd w:val="clear" w:color="auto" w:fill="FFFFFF"/>
        </w:rPr>
        <w:t>, which is effective for dividends payable after March 26, 2020</w:t>
      </w:r>
      <w:r>
        <w:rPr>
          <w:rFonts w:eastAsia="Times New Roman"/>
          <w:color w:val="000000"/>
          <w:sz w:val="20"/>
          <w:szCs w:val="20"/>
          <w:shd w:val="clear" w:color="auto" w:fill="FFFFFF"/>
        </w:rPr>
        <w:t>.</w:t>
      </w:r>
      <w:r>
        <w:rPr>
          <w:rFonts w:eastAsia="Times New Roman"/>
          <w:b/>
          <w:bCs/>
          <w:i/>
          <w:iCs/>
          <w:color w:val="000000"/>
          <w:sz w:val="20"/>
          <w:szCs w:val="20"/>
        </w:rPr>
        <w:t xml:space="preserve"> </w:t>
      </w:r>
      <w:r>
        <w:rPr>
          <w:rFonts w:eastAsia="Times New Roman"/>
          <w:color w:val="000000"/>
          <w:sz w:val="20"/>
          <w:szCs w:val="20"/>
        </w:rPr>
        <w:t>On April 21, 2020, we announced a cash dividend of $0.65 per share on our common stock, payable on June 25, 2020 to stockholders of record as of the close of business on June 4, 2020.</w:t>
      </w:r>
      <w:r>
        <w:rPr>
          <w:rFonts w:eastAsia="Times New Roman"/>
          <w:color w:val="000000"/>
          <w:sz w:val="20"/>
          <w:szCs w:val="20"/>
        </w:rPr>
        <w:t xml:space="preserve"> </w:t>
      </w:r>
    </w:p>
    <w:p w:rsidR="00000000" w:rsidRDefault="00602C02">
      <w:pPr>
        <w:jc w:val="center"/>
        <w:divId w:val="1001275941"/>
        <w:rPr>
          <w:rFonts w:eastAsia="Times New Roman"/>
        </w:rPr>
      </w:pPr>
      <w:r>
        <w:rPr>
          <w:rFonts w:eastAsia="Times New Roman"/>
          <w:color w:val="000000"/>
          <w:sz w:val="20"/>
          <w:szCs w:val="20"/>
        </w:rPr>
        <w:t>1</w:t>
      </w:r>
      <w:r>
        <w:rPr>
          <w:rFonts w:eastAsia="Times New Roman"/>
          <w:color w:val="000000"/>
          <w:sz w:val="20"/>
          <w:szCs w:val="20"/>
        </w:rPr>
        <w:t>1</w:t>
      </w:r>
    </w:p>
    <w:p w:rsidR="00000000" w:rsidRDefault="00602C02">
      <w:pPr>
        <w:rPr>
          <w:rFonts w:eastAsia="Times New Roman"/>
        </w:rPr>
      </w:pPr>
      <w:r>
        <w:rPr>
          <w:rFonts w:eastAsia="Times New Roman"/>
        </w:rPr>
        <w:pict>
          <v:rect id="_x0000_i1035" style="width:0;height:1.5pt" o:hralign="center" o:hrstd="t" o:hr="t" fillcolor="#a0a0a0" stroked="f"/>
        </w:pict>
      </w:r>
    </w:p>
    <w:p w:rsidR="00000000" w:rsidRDefault="00602C02">
      <w:pPr>
        <w:jc w:val="center"/>
        <w:divId w:val="224266695"/>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224266695"/>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224266695"/>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224266695"/>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224266695"/>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224266695"/>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ind w:firstLine="360"/>
        <w:divId w:val="635376380"/>
        <w:rPr>
          <w:rFonts w:eastAsia="Times New Roman"/>
        </w:rPr>
      </w:pPr>
      <w:r>
        <w:rPr>
          <w:rFonts w:eastAsia="Times New Roman"/>
          <w:b/>
          <w:bCs/>
          <w:i/>
          <w:iCs/>
          <w:color w:val="000000"/>
          <w:sz w:val="20"/>
          <w:szCs w:val="20"/>
        </w:rPr>
        <w:t>Earnings Per Common Share.</w:t>
      </w:r>
      <w:r>
        <w:rPr>
          <w:rFonts w:eastAsia="Times New Roman"/>
          <w:b/>
          <w:bCs/>
          <w:i/>
          <w:iCs/>
          <w:color w:val="000000"/>
          <w:sz w:val="20"/>
          <w:szCs w:val="20"/>
        </w:rPr>
        <w:t xml:space="preserve"> </w:t>
      </w:r>
      <w:r>
        <w:rPr>
          <w:rFonts w:eastAsia="Times New Roman"/>
          <w:color w:val="000000"/>
          <w:sz w:val="20"/>
          <w:szCs w:val="20"/>
        </w:rPr>
        <w:t>Basic earnings per common share is computed by dividing net income by the weighted-average number of common shares outstanding during the reporting period. Diluted earnings per share is computed by dividing net income by the comb</w:t>
      </w:r>
      <w:r>
        <w:rPr>
          <w:rFonts w:eastAsia="Times New Roman"/>
          <w:color w:val="000000"/>
          <w:sz w:val="20"/>
          <w:szCs w:val="20"/>
        </w:rPr>
        <w:t>ination of the weighted-average number of dilutive common share equivalents, comprised of shares issuable under our share-based compensation plans and shares subject to accelerated share repurchase agreements, if any, and the weighted-average number of com</w:t>
      </w:r>
      <w:r>
        <w:rPr>
          <w:rFonts w:eastAsia="Times New Roman"/>
          <w:color w:val="000000"/>
          <w:sz w:val="20"/>
          <w:szCs w:val="20"/>
        </w:rPr>
        <w:t>mon shares outstanding during the reporting period. The following table provides information about the diluted earnings per share calculation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61"/>
        <w:gridCol w:w="3547"/>
        <w:gridCol w:w="61"/>
        <w:gridCol w:w="61"/>
        <w:gridCol w:w="743"/>
        <w:gridCol w:w="82"/>
        <w:gridCol w:w="37"/>
        <w:gridCol w:w="36"/>
        <w:gridCol w:w="36"/>
        <w:gridCol w:w="51"/>
        <w:gridCol w:w="743"/>
        <w:gridCol w:w="81"/>
        <w:gridCol w:w="36"/>
        <w:gridCol w:w="36"/>
        <w:gridCol w:w="36"/>
        <w:gridCol w:w="51"/>
        <w:gridCol w:w="744"/>
        <w:gridCol w:w="80"/>
        <w:gridCol w:w="36"/>
        <w:gridCol w:w="36"/>
        <w:gridCol w:w="36"/>
        <w:gridCol w:w="53"/>
        <w:gridCol w:w="744"/>
        <w:gridCol w:w="80"/>
        <w:gridCol w:w="93"/>
        <w:gridCol w:w="93"/>
        <w:gridCol w:w="93"/>
        <w:gridCol w:w="93"/>
        <w:gridCol w:w="93"/>
        <w:gridCol w:w="93"/>
        <w:gridCol w:w="36"/>
        <w:gridCol w:w="36"/>
        <w:gridCol w:w="36"/>
        <w:gridCol w:w="36"/>
        <w:gridCol w:w="36"/>
        <w:gridCol w:w="36"/>
      </w:tblGrid>
      <w:tr w:rsidR="00000000">
        <w:trPr>
          <w:gridAfter w:val="12"/>
          <w:divId w:val="1181554747"/>
        </w:trPr>
        <w:tc>
          <w:tcPr>
            <w:tcW w:w="50" w:type="pct"/>
            <w:vAlign w:val="center"/>
            <w:hideMark/>
          </w:tcPr>
          <w:p w:rsidR="00000000" w:rsidRDefault="00602C02">
            <w:pPr>
              <w:ind w:firstLine="360"/>
              <w:rPr>
                <w:rFonts w:eastAsia="Times New Roman"/>
              </w:rPr>
            </w:pPr>
          </w:p>
        </w:tc>
        <w:tc>
          <w:tcPr>
            <w:tcW w:w="237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181554747"/>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rPr>
          <w:divId w:val="1181554747"/>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81554747"/>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Dilutive common share equivalents included in diluted share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81554747"/>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Shares of common stock equivalents not included because the effect would be anti-dilutive or certain performance conditions were not satisfied at the end of the perio</w:t>
            </w:r>
            <w:r>
              <w:rPr>
                <w:rFonts w:eastAsia="Times New Roman"/>
                <w:color w:val="000000"/>
                <w:sz w:val="18"/>
                <w:szCs w:val="18"/>
              </w:rPr>
              <w:t>d</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0.2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0.2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14.4</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divId w:val="806899078"/>
        <w:rPr>
          <w:rFonts w:eastAsia="Times New Roman"/>
        </w:rPr>
      </w:pPr>
      <w:r>
        <w:rPr>
          <w:rFonts w:eastAsia="Times New Roman"/>
          <w:b/>
          <w:bCs/>
          <w:color w:val="000000"/>
          <w:sz w:val="20"/>
          <w:szCs w:val="20"/>
        </w:rPr>
        <w:t>Note 5. Commitments and Contingencie</w:t>
      </w:r>
      <w:r>
        <w:rPr>
          <w:rFonts w:eastAsia="Times New Roman"/>
          <w:b/>
          <w:bCs/>
          <w:color w:val="000000"/>
          <w:sz w:val="20"/>
          <w:szCs w:val="20"/>
        </w:rPr>
        <w:t>s</w:t>
      </w:r>
    </w:p>
    <w:p w:rsidR="00000000" w:rsidRDefault="00602C02">
      <w:pPr>
        <w:ind w:firstLine="360"/>
        <w:divId w:val="654380800"/>
        <w:rPr>
          <w:rFonts w:eastAsia="Times New Roman"/>
        </w:rPr>
      </w:pPr>
      <w:r>
        <w:rPr>
          <w:rFonts w:eastAsia="Times New Roman"/>
          <w:b/>
          <w:bCs/>
          <w:i/>
          <w:iCs/>
          <w:color w:val="000000"/>
          <w:sz w:val="20"/>
          <w:szCs w:val="20"/>
        </w:rPr>
        <w:t>Legal and Regulatory Proceedings</w:t>
      </w:r>
      <w:r>
        <w:rPr>
          <w:rFonts w:eastAsia="Times New Roman"/>
          <w:b/>
          <w:bCs/>
          <w:i/>
          <w:iCs/>
          <w:color w:val="000000"/>
          <w:sz w:val="20"/>
          <w:szCs w:val="20"/>
        </w:rPr>
        <w:t>.</w:t>
      </w:r>
    </w:p>
    <w:p w:rsidR="00000000" w:rsidRDefault="00602C02">
      <w:pPr>
        <w:ind w:firstLine="360"/>
        <w:divId w:val="2027099155"/>
        <w:rPr>
          <w:rFonts w:eastAsia="Times New Roman"/>
        </w:rPr>
      </w:pPr>
      <w:r>
        <w:rPr>
          <w:rFonts w:eastAsia="Times New Roman"/>
          <w:i/>
          <w:iCs/>
          <w:color w:val="000000"/>
          <w:sz w:val="20"/>
          <w:szCs w:val="20"/>
        </w:rPr>
        <w:t>Consolidated Securities Class Action Lawsuit</w:t>
      </w:r>
      <w:r>
        <w:rPr>
          <w:rFonts w:eastAsia="Times New Roman"/>
          <w:i/>
          <w:iCs/>
          <w:color w:val="000000"/>
          <w:sz w:val="20"/>
          <w:szCs w:val="20"/>
        </w:rPr>
        <w:t>:</w:t>
      </w:r>
      <w:r>
        <w:rPr>
          <w:rFonts w:eastAsia="Times New Roman"/>
          <w:color w:val="000000"/>
          <w:sz w:val="20"/>
          <w:szCs w:val="20"/>
        </w:rPr>
        <w:t xml:space="preserve"> On January 23, 2017 and January 26, 2017, securit</w:t>
      </w:r>
      <w:r>
        <w:rPr>
          <w:rFonts w:eastAsia="Times New Roman"/>
          <w:color w:val="000000"/>
          <w:sz w:val="20"/>
          <w:szCs w:val="20"/>
        </w:rPr>
        <w:t xml:space="preserve">ies class action complaints were filed by purported stockholders of us in the United States District Court for the Southern District of California against us and certain of our current and former officers and directors. The complaints alleged, among other </w:t>
      </w:r>
      <w:r>
        <w:rPr>
          <w:rFonts w:eastAsia="Times New Roman"/>
          <w:color w:val="000000"/>
          <w:sz w:val="20"/>
          <w:szCs w:val="20"/>
        </w:rPr>
        <w:t xml:space="preserve">things, that we violated Sections 10(b) and 20(a) of the Securities Exchange Act of 1934, as amended, and Rule 10b-5 thereunder, by making false and misleading statements and omissions of material fact in connection with certain allegations that we are or </w:t>
      </w:r>
      <w:r>
        <w:rPr>
          <w:rFonts w:eastAsia="Times New Roman"/>
          <w:color w:val="000000"/>
          <w:sz w:val="20"/>
          <w:szCs w:val="20"/>
        </w:rPr>
        <w:t>were engaged in anticompetitive conduct. The complaints sought unspecified damages, interest, fees and costs. On May 4, 2017, the court consolidated the two actions and appointed lead plaintiffs. On July 3, 2017, the lead plaintiffs filed a consolidated am</w:t>
      </w:r>
      <w:r>
        <w:rPr>
          <w:rFonts w:eastAsia="Times New Roman"/>
          <w:color w:val="000000"/>
          <w:sz w:val="20"/>
          <w:szCs w:val="20"/>
        </w:rPr>
        <w:t>ended complaint asserting the same basic theories of liability and requesting the same basic relief. On September 1, 2017, we filed a motion to dismiss the consolidated amended complaint. On March 18, 2019, the court denied our motion to dismiss the compla</w:t>
      </w:r>
      <w:r>
        <w:rPr>
          <w:rFonts w:eastAsia="Times New Roman"/>
          <w:color w:val="000000"/>
          <w:sz w:val="20"/>
          <w:szCs w:val="20"/>
        </w:rPr>
        <w:t>int. On January 15, 2020, we filed a motion for judgment on the pleadings. The court has not yet ruled on our motion. We believe the plaintiffs’ claims are without merit</w:t>
      </w:r>
      <w:r>
        <w:rPr>
          <w:rFonts w:eastAsia="Times New Roman"/>
          <w:color w:val="000000"/>
          <w:sz w:val="20"/>
          <w:szCs w:val="20"/>
        </w:rPr>
        <w:t>.</w:t>
      </w:r>
    </w:p>
    <w:p w:rsidR="00000000" w:rsidRDefault="00602C02">
      <w:pPr>
        <w:ind w:firstLine="360"/>
        <w:divId w:val="897058351"/>
        <w:rPr>
          <w:rFonts w:eastAsia="Times New Roman"/>
        </w:rPr>
      </w:pPr>
      <w:r>
        <w:rPr>
          <w:rFonts w:eastAsia="Times New Roman"/>
          <w:i/>
          <w:iCs/>
          <w:color w:val="000000"/>
          <w:sz w:val="20"/>
          <w:szCs w:val="20"/>
        </w:rPr>
        <w:t>In re Qualcomm/Broadcom Merger Securities Litigation:</w:t>
      </w:r>
      <w:r>
        <w:rPr>
          <w:rFonts w:eastAsia="Times New Roman"/>
          <w:i/>
          <w:iCs/>
          <w:color w:val="000000"/>
          <w:sz w:val="20"/>
          <w:szCs w:val="20"/>
        </w:rPr>
        <w:t xml:space="preserve"> </w:t>
      </w:r>
      <w:r>
        <w:rPr>
          <w:rFonts w:eastAsia="Times New Roman"/>
          <w:color w:val="000000"/>
          <w:sz w:val="20"/>
          <w:szCs w:val="20"/>
        </w:rPr>
        <w:t>On June 8, 2018 and June 26, 20</w:t>
      </w:r>
      <w:r>
        <w:rPr>
          <w:rFonts w:eastAsia="Times New Roman"/>
          <w:color w:val="000000"/>
          <w:sz w:val="20"/>
          <w:szCs w:val="20"/>
        </w:rPr>
        <w:t>18, securities class action complaints were filed by purported stockholders of us in the United States District Court for the Southern District of California against us and two of our current officers. The complaints alleged, among other things, that we vi</w:t>
      </w:r>
      <w:r>
        <w:rPr>
          <w:rFonts w:eastAsia="Times New Roman"/>
          <w:color w:val="000000"/>
          <w:sz w:val="20"/>
          <w:szCs w:val="20"/>
        </w:rPr>
        <w:t>olated Sections 10(b) and 20(a) of the Securities Exchange Act of 1934, as amended, and Rule 10b-5 thereunder, by failing to disclose that we had submitted a notice to the Committee on Foreign Investment in the United States (CFIUS) in January 2018. The co</w:t>
      </w:r>
      <w:r>
        <w:rPr>
          <w:rFonts w:eastAsia="Times New Roman"/>
          <w:color w:val="000000"/>
          <w:sz w:val="20"/>
          <w:szCs w:val="20"/>
        </w:rPr>
        <w:t>mplaints sought unspecified damages, interest, fees and costs. On January 22, 2019, the court appointed the lead plaintiff in the action. On March 18, 2019, the plaintiffs filed a consolidated complaint asserting the same basic theories of liability and re</w:t>
      </w:r>
      <w:r>
        <w:rPr>
          <w:rFonts w:eastAsia="Times New Roman"/>
          <w:color w:val="000000"/>
          <w:sz w:val="20"/>
          <w:szCs w:val="20"/>
        </w:rPr>
        <w:t>questing the same basic relief. On May 10, 2019, we filed a motion to dismiss the consolidated complaint,</w:t>
      </w:r>
      <w:r>
        <w:rPr>
          <w:rFonts w:eastAsia="Times New Roman"/>
          <w:color w:val="000000"/>
          <w:sz w:val="20"/>
          <w:szCs w:val="20"/>
        </w:rPr>
        <w:t xml:space="preserve"> </w:t>
      </w:r>
      <w:r>
        <w:rPr>
          <w:rFonts w:eastAsia="Times New Roman"/>
          <w:color w:val="000000"/>
          <w:sz w:val="20"/>
          <w:szCs w:val="20"/>
          <w:shd w:val="clear" w:color="auto" w:fill="FFFFFF"/>
        </w:rPr>
        <w:t>and on March 10, 2020, the court granted our motion. The plaintiffs have until May 11, 2020 to file an amended complaint.</w:t>
      </w:r>
      <w:r>
        <w:rPr>
          <w:rFonts w:eastAsia="Times New Roman"/>
          <w:color w:val="000000"/>
          <w:sz w:val="20"/>
          <w:szCs w:val="20"/>
          <w:shd w:val="clear" w:color="auto" w:fill="FFFFFF"/>
        </w:rPr>
        <w:t xml:space="preserve"> </w:t>
      </w:r>
      <w:r>
        <w:rPr>
          <w:rFonts w:eastAsia="Times New Roman"/>
          <w:color w:val="000000"/>
          <w:sz w:val="20"/>
          <w:szCs w:val="20"/>
        </w:rPr>
        <w:t>We believe the plaintiffs’ c</w:t>
      </w:r>
      <w:r>
        <w:rPr>
          <w:rFonts w:eastAsia="Times New Roman"/>
          <w:color w:val="000000"/>
          <w:sz w:val="20"/>
          <w:szCs w:val="20"/>
        </w:rPr>
        <w:t>laims are without merit</w:t>
      </w:r>
      <w:r>
        <w:rPr>
          <w:rFonts w:eastAsia="Times New Roman"/>
          <w:color w:val="000000"/>
          <w:sz w:val="20"/>
          <w:szCs w:val="20"/>
        </w:rPr>
        <w:t>.</w:t>
      </w:r>
    </w:p>
    <w:p w:rsidR="00000000" w:rsidRDefault="00602C02">
      <w:pPr>
        <w:ind w:firstLine="360"/>
        <w:divId w:val="930045829"/>
        <w:rPr>
          <w:rFonts w:eastAsia="Times New Roman"/>
        </w:rPr>
      </w:pPr>
      <w:r>
        <w:rPr>
          <w:rFonts w:eastAsia="Times New Roman"/>
          <w:i/>
          <w:iCs/>
          <w:color w:val="000000"/>
          <w:sz w:val="20"/>
          <w:szCs w:val="20"/>
        </w:rPr>
        <w:t>Consumer Class Action Lawsuit:</w:t>
      </w:r>
      <w:r>
        <w:rPr>
          <w:rFonts w:eastAsia="Times New Roman"/>
          <w:i/>
          <w:iCs/>
          <w:color w:val="000000"/>
          <w:sz w:val="20"/>
          <w:szCs w:val="20"/>
        </w:rPr>
        <w:t xml:space="preserve"> </w:t>
      </w:r>
      <w:r>
        <w:rPr>
          <w:rFonts w:eastAsia="Times New Roman"/>
          <w:color w:val="000000"/>
          <w:sz w:val="20"/>
          <w:szCs w:val="20"/>
        </w:rPr>
        <w:t>Since January 18, 2017, a number of consumer class action complaints have been filed against us in the United States District Courts for the Southern and Northern Districts of California, each on beha</w:t>
      </w:r>
      <w:r>
        <w:rPr>
          <w:rFonts w:eastAsia="Times New Roman"/>
          <w:color w:val="000000"/>
          <w:sz w:val="20"/>
          <w:szCs w:val="20"/>
        </w:rPr>
        <w:t>lf of a putative class of purchasers of cellular phones and other cellular devices. Currently, twenty-two such cases remained outstanding. In April 2017, the Judicial Panel on Multidistrict Litigation transferred the cases that had been filed in the Southe</w:t>
      </w:r>
      <w:r>
        <w:rPr>
          <w:rFonts w:eastAsia="Times New Roman"/>
          <w:color w:val="000000"/>
          <w:sz w:val="20"/>
          <w:szCs w:val="20"/>
        </w:rPr>
        <w:t>rn District of California to the Northern District of California. On May 15, 2017, the court entered an order appointing the plaintiffs’ co-lead counsel. On July 11, 2017, the plaintiffs filed a consolidated amended complaint alleging that we violated Cali</w:t>
      </w:r>
      <w:r>
        <w:rPr>
          <w:rFonts w:eastAsia="Times New Roman"/>
          <w:color w:val="000000"/>
          <w:sz w:val="20"/>
          <w:szCs w:val="20"/>
        </w:rPr>
        <w:t>fornia and federal antitrust and unfair competition laws by, among other things, refusing to license standard-essential patents to our competitors, conditioning the supply of certain of our baseband chipsets on the purchaser first agreeing to license our e</w:t>
      </w:r>
      <w:r>
        <w:rPr>
          <w:rFonts w:eastAsia="Times New Roman"/>
          <w:color w:val="000000"/>
          <w:sz w:val="20"/>
          <w:szCs w:val="20"/>
        </w:rPr>
        <w:t>ntire patent portfolio, entering into exclusive deals with companies, including Apple Inc., and charging unreasonably high royalties that do not comply with our commitments to standard setting organizations. The complaint seeks unspecified damages and disg</w:t>
      </w:r>
      <w:r>
        <w:rPr>
          <w:rFonts w:eastAsia="Times New Roman"/>
          <w:color w:val="000000"/>
          <w:sz w:val="20"/>
          <w:szCs w:val="20"/>
        </w:rPr>
        <w:t>orgement and/or restitution, as well as an order that we be enjoined from further unlawful conduct. On August 11, 2017, we filed a motion to dismiss the consolidated amended complaint. On November 10, 2017, the court denied our motion, except to the extent</w:t>
      </w:r>
      <w:r>
        <w:rPr>
          <w:rFonts w:eastAsia="Times New Roman"/>
          <w:color w:val="000000"/>
          <w:sz w:val="20"/>
          <w:szCs w:val="20"/>
        </w:rPr>
        <w:t xml:space="preserve"> that certain claims seek damages under the Sherman Antitrust Act. On July 5, 2018, the plaintiffs filed a motion for class certification, and the court granted that motion on September 27, 2018. On January 23, 2019, the United States Court of Appeals for </w:t>
      </w:r>
      <w:r>
        <w:rPr>
          <w:rFonts w:eastAsia="Times New Roman"/>
          <w:color w:val="000000"/>
          <w:sz w:val="20"/>
          <w:szCs w:val="20"/>
        </w:rPr>
        <w:t>the Ninth Circuit (Ninth Circuit) granted us</w:t>
      </w:r>
      <w:r>
        <w:rPr>
          <w:rFonts w:eastAsia="Times New Roman"/>
          <w:color w:val="000000"/>
          <w:sz w:val="20"/>
          <w:szCs w:val="20"/>
        </w:rPr>
        <w:t xml:space="preserve"> </w:t>
      </w:r>
    </w:p>
    <w:p w:rsidR="00000000" w:rsidRDefault="00602C02">
      <w:pPr>
        <w:jc w:val="center"/>
        <w:divId w:val="231473652"/>
        <w:rPr>
          <w:rFonts w:eastAsia="Times New Roman"/>
        </w:rPr>
      </w:pPr>
      <w:r>
        <w:rPr>
          <w:rFonts w:eastAsia="Times New Roman"/>
          <w:color w:val="000000"/>
          <w:sz w:val="20"/>
          <w:szCs w:val="20"/>
        </w:rPr>
        <w:t>1</w:t>
      </w:r>
      <w:r>
        <w:rPr>
          <w:rFonts w:eastAsia="Times New Roman"/>
          <w:color w:val="000000"/>
          <w:sz w:val="20"/>
          <w:szCs w:val="20"/>
        </w:rPr>
        <w:t>2</w:t>
      </w:r>
    </w:p>
    <w:p w:rsidR="00000000" w:rsidRDefault="00602C02">
      <w:pPr>
        <w:rPr>
          <w:rFonts w:eastAsia="Times New Roman"/>
        </w:rPr>
      </w:pPr>
      <w:r>
        <w:rPr>
          <w:rFonts w:eastAsia="Times New Roman"/>
        </w:rPr>
        <w:pict>
          <v:rect id="_x0000_i1036" style="width:0;height:1.5pt" o:hralign="center" o:hrstd="t" o:hr="t" fillcolor="#a0a0a0" stroked="f"/>
        </w:pict>
      </w:r>
    </w:p>
    <w:p w:rsidR="00000000" w:rsidRDefault="00602C02">
      <w:pPr>
        <w:jc w:val="center"/>
        <w:divId w:val="217284511"/>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217284511"/>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217284511"/>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21728451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217284511"/>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217284511"/>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divId w:val="698549049"/>
        <w:rPr>
          <w:rFonts w:eastAsia="Times New Roman"/>
        </w:rPr>
      </w:pPr>
      <w:r>
        <w:rPr>
          <w:rFonts w:eastAsia="Times New Roman"/>
          <w:color w:val="000000"/>
          <w:sz w:val="20"/>
          <w:szCs w:val="20"/>
        </w:rPr>
        <w:t>permission to appeal the court’s class certification order. On January 24, 2019, the court stayed the case pending our appeal. On December 2, 2019, a hearing on our appeal of the class certification order was held before the Ninth Circuit. The Ninth Circui</w:t>
      </w:r>
      <w:r>
        <w:rPr>
          <w:rFonts w:eastAsia="Times New Roman"/>
          <w:color w:val="000000"/>
          <w:sz w:val="20"/>
          <w:szCs w:val="20"/>
        </w:rPr>
        <w:t>t has not yet ruled on our appeal. We believe the plaintiffs’ claims are without merit.</w:t>
      </w:r>
      <w:r>
        <w:rPr>
          <w:rFonts w:eastAsia="Times New Roman"/>
          <w:color w:val="000000"/>
          <w:sz w:val="20"/>
          <w:szCs w:val="20"/>
        </w:rPr>
        <w:t> </w:t>
      </w:r>
    </w:p>
    <w:p w:rsidR="00000000" w:rsidRDefault="00602C02">
      <w:pPr>
        <w:ind w:firstLine="360"/>
        <w:divId w:val="395082047"/>
        <w:rPr>
          <w:rFonts w:eastAsia="Times New Roman"/>
        </w:rPr>
      </w:pPr>
      <w:r>
        <w:rPr>
          <w:rFonts w:eastAsia="Times New Roman"/>
          <w:i/>
          <w:iCs/>
          <w:color w:val="000000"/>
          <w:sz w:val="20"/>
          <w:szCs w:val="20"/>
        </w:rPr>
        <w:t>Canadian Consumer Class Action Lawsuits</w:t>
      </w:r>
      <w:r>
        <w:rPr>
          <w:rFonts w:eastAsia="Times New Roman"/>
          <w:i/>
          <w:iCs/>
          <w:color w:val="000000"/>
          <w:sz w:val="20"/>
          <w:szCs w:val="20"/>
        </w:rPr>
        <w:t>:</w:t>
      </w:r>
      <w:r>
        <w:rPr>
          <w:rFonts w:eastAsia="Times New Roman"/>
          <w:color w:val="000000"/>
          <w:sz w:val="20"/>
          <w:szCs w:val="20"/>
        </w:rPr>
        <w:t xml:space="preserve"> Since November 9, 2017, eight consumer class action complaints have been filed against us in Canada (in the Ontario Superior C</w:t>
      </w:r>
      <w:r>
        <w:rPr>
          <w:rFonts w:eastAsia="Times New Roman"/>
          <w:color w:val="000000"/>
          <w:sz w:val="20"/>
          <w:szCs w:val="20"/>
        </w:rPr>
        <w:t>ourt of Justice, the Supreme Court of British Columbia and the Quebec Superior Court), each on behalf of a putative class of purchasers of cellular phones and other cellular devices, alleging various violations of Canadian competition and consumer protecti</w:t>
      </w:r>
      <w:r>
        <w:rPr>
          <w:rFonts w:eastAsia="Times New Roman"/>
          <w:color w:val="000000"/>
          <w:sz w:val="20"/>
          <w:szCs w:val="20"/>
        </w:rPr>
        <w:t>on laws. The claims are similar to those in the U.S. consumer class action complaint. The complaints seek unspecified damages. One of the complaints in the Supreme Court of British Columbia has since been discontinued by the plaintiffs. We have not yet ans</w:t>
      </w:r>
      <w:r>
        <w:rPr>
          <w:rFonts w:eastAsia="Times New Roman"/>
          <w:color w:val="000000"/>
          <w:sz w:val="20"/>
          <w:szCs w:val="20"/>
        </w:rPr>
        <w:t>wered the complaints. We expect the Ontario and British Columbia complaints will be consolidated into one proceeding in British Columbia with a class certification hearing no earlier than late 2020. Once the certification hearing is scheduled, we expect th</w:t>
      </w:r>
      <w:r>
        <w:rPr>
          <w:rFonts w:eastAsia="Times New Roman"/>
          <w:color w:val="000000"/>
          <w:sz w:val="20"/>
          <w:szCs w:val="20"/>
        </w:rPr>
        <w:t>e court to set a timetable for the exchange of evidence and briefing. As to the complaint filed in Quebec, on April 15, 2019, the Quebec Superior Court held a class certification hearing, and on April 30, 2019, the court issued an order certifying a class.</w:t>
      </w:r>
      <w:r>
        <w:rPr>
          <w:rFonts w:eastAsia="Times New Roman"/>
          <w:color w:val="000000"/>
          <w:sz w:val="20"/>
          <w:szCs w:val="20"/>
        </w:rPr>
        <w:t> We are awaiting the court to set a timetable for pre-trial steps, including discovery, as well as the exchange of expert evidence. We do not expect the trial to occur before 2022. We believe the plaintiffs’ claims are without merit</w:t>
      </w:r>
      <w:r>
        <w:rPr>
          <w:rFonts w:eastAsia="Times New Roman"/>
          <w:color w:val="000000"/>
          <w:sz w:val="20"/>
          <w:szCs w:val="20"/>
        </w:rPr>
        <w:t>.</w:t>
      </w:r>
    </w:p>
    <w:p w:rsidR="00000000" w:rsidRDefault="00602C02">
      <w:pPr>
        <w:ind w:firstLine="360"/>
        <w:divId w:val="301614359"/>
        <w:rPr>
          <w:rFonts w:eastAsia="Times New Roman"/>
        </w:rPr>
      </w:pPr>
      <w:r>
        <w:rPr>
          <w:rFonts w:eastAsia="Times New Roman"/>
          <w:i/>
          <w:iCs/>
          <w:color w:val="000000"/>
          <w:sz w:val="20"/>
          <w:szCs w:val="20"/>
        </w:rPr>
        <w:t>Korea Fair Trade Commi</w:t>
      </w:r>
      <w:r>
        <w:rPr>
          <w:rFonts w:eastAsia="Times New Roman"/>
          <w:i/>
          <w:iCs/>
          <w:color w:val="000000"/>
          <w:sz w:val="20"/>
          <w:szCs w:val="20"/>
        </w:rPr>
        <w:t>ssion (KFTC) Investigation</w:t>
      </w:r>
      <w:r>
        <w:rPr>
          <w:rFonts w:eastAsia="Times New Roman"/>
          <w:i/>
          <w:iCs/>
          <w:color w:val="000000"/>
          <w:sz w:val="20"/>
          <w:szCs w:val="20"/>
        </w:rPr>
        <w:t>:</w:t>
      </w:r>
      <w:r>
        <w:rPr>
          <w:rFonts w:eastAsia="Times New Roman"/>
          <w:color w:val="000000"/>
          <w:sz w:val="20"/>
          <w:szCs w:val="20"/>
        </w:rPr>
        <w:t xml:space="preserve"> On March 17, 2015, the KFTC notified us that it was conducting an investigation of us relating to the Korean Monopoly Regulation and Fair Trade Act (MRFTA). On December 27, 2016, the KFTC announced that it had reached a decision</w:t>
      </w:r>
      <w:r>
        <w:rPr>
          <w:rFonts w:eastAsia="Times New Roman"/>
          <w:color w:val="000000"/>
          <w:sz w:val="20"/>
          <w:szCs w:val="20"/>
        </w:rPr>
        <w:t xml:space="preserve"> in the investigation, finding that we violated provisions of the MRFTA. On January 22, 2017, we received the KFTC’s formal written decision, which found that the following conducts violate the MRFTA: (i) refusing to license, or imposing restrictions on li</w:t>
      </w:r>
      <w:r>
        <w:rPr>
          <w:rFonts w:eastAsia="Times New Roman"/>
          <w:color w:val="000000"/>
          <w:sz w:val="20"/>
          <w:szCs w:val="20"/>
        </w:rPr>
        <w:t>censes for, cellular communications standard-essential patents with competing modem chipset makers; (ii) conditioning the supply of modem chipsets to handset suppliers on their execution and performance of license agreements with us; and (iii) coercing agr</w:t>
      </w:r>
      <w:r>
        <w:rPr>
          <w:rFonts w:eastAsia="Times New Roman"/>
          <w:color w:val="000000"/>
          <w:sz w:val="20"/>
          <w:szCs w:val="20"/>
        </w:rPr>
        <w:t>eement terms including portfolio license terms, royalty terms and free cross-grant terms in executing patent license agreements with handset makers. The KFTC’s decision orders us to: (a) upon request by modem chipset companies, engage in good-faith negotia</w:t>
      </w:r>
      <w:r>
        <w:rPr>
          <w:rFonts w:eastAsia="Times New Roman"/>
          <w:color w:val="000000"/>
          <w:sz w:val="20"/>
          <w:szCs w:val="20"/>
        </w:rPr>
        <w:t xml:space="preserve">tions for patent license agreements, without offering unjustifiable conditions, and if necessary submit to a determination of terms by an independent third party; (b) not demand that handset companies execute and perform under patent license agreements as </w:t>
      </w:r>
      <w:r>
        <w:rPr>
          <w:rFonts w:eastAsia="Times New Roman"/>
          <w:color w:val="000000"/>
          <w:sz w:val="20"/>
          <w:szCs w:val="20"/>
        </w:rPr>
        <w:t>a precondition for purchasing modem chipsets; (c) not demand unjustifiable conditions in our license agreements with handset companies, and upon request renegotiate existing patent license agreements; and (d) notify modem chipset companies and handset comp</w:t>
      </w:r>
      <w:r>
        <w:rPr>
          <w:rFonts w:eastAsia="Times New Roman"/>
          <w:color w:val="000000"/>
          <w:sz w:val="20"/>
          <w:szCs w:val="20"/>
        </w:rPr>
        <w:t xml:space="preserve">anies of the decision and order imposed on us and report to the KFTC new or amended agreements. According to the KFTC’s decision, the foregoing will apply to transactions between us and the following enterprises: (1) handset manufacturers headquartered in </w:t>
      </w:r>
      <w:r>
        <w:rPr>
          <w:rFonts w:eastAsia="Times New Roman"/>
          <w:color w:val="000000"/>
          <w:sz w:val="20"/>
          <w:szCs w:val="20"/>
        </w:rPr>
        <w:t>Korea and their affiliate companies; (2) enterprises that sell handsets in or to Korea and their affiliate companies; (3) enterprises that supply handsets to companies referred to in (2) above and the affiliate companies of such enterprises; (4) modem chip</w:t>
      </w:r>
      <w:r>
        <w:rPr>
          <w:rFonts w:eastAsia="Times New Roman"/>
          <w:color w:val="000000"/>
          <w:sz w:val="20"/>
          <w:szCs w:val="20"/>
        </w:rPr>
        <w:t>set manufacturers headquartered in Korea and their affiliate companies; and (5) enterprises that supply modem chipsets to companies referred to in (1), (2) or (3) above and the affiliate companies of such enterprises. The KFTC’s decision also imposed a fin</w:t>
      </w:r>
      <w:r>
        <w:rPr>
          <w:rFonts w:eastAsia="Times New Roman"/>
          <w:color w:val="000000"/>
          <w:sz w:val="20"/>
          <w:szCs w:val="20"/>
        </w:rPr>
        <w:t>e of 1.03 trillion Korean won (approximately $927 million), which we paid on March 30, 2017.</w:t>
      </w:r>
      <w:r>
        <w:rPr>
          <w:rFonts w:eastAsia="Times New Roman"/>
          <w:color w:val="000000"/>
          <w:sz w:val="20"/>
          <w:szCs w:val="20"/>
        </w:rPr>
        <w:t xml:space="preserve"> </w:t>
      </w:r>
    </w:p>
    <w:p w:rsidR="00000000" w:rsidRDefault="00602C02">
      <w:pPr>
        <w:ind w:firstLine="360"/>
        <w:divId w:val="697893807"/>
        <w:rPr>
          <w:rFonts w:eastAsia="Times New Roman"/>
        </w:rPr>
      </w:pPr>
      <w:r>
        <w:rPr>
          <w:rFonts w:eastAsia="Times New Roman"/>
          <w:color w:val="000000"/>
          <w:sz w:val="20"/>
          <w:szCs w:val="20"/>
        </w:rPr>
        <w:t>We believe that our business practices do not violate the MRFTA. On February 21, 2017, we filed an action in the Seoul High Court to cancel the KFTC’s decision. T</w:t>
      </w:r>
      <w:r>
        <w:rPr>
          <w:rFonts w:eastAsia="Times New Roman"/>
          <w:color w:val="000000"/>
          <w:sz w:val="20"/>
          <w:szCs w:val="20"/>
        </w:rPr>
        <w:t>he Seoul High Court held hearings concluding on August 14, 2019 and, on December 4, 2019, announced its judgment affirming certain portions of the KFTC’s decision and finding other portions of the KFTC’s decision unlawful. The Seoul High Court cancelled th</w:t>
      </w:r>
      <w:r>
        <w:rPr>
          <w:rFonts w:eastAsia="Times New Roman"/>
          <w:color w:val="000000"/>
          <w:sz w:val="20"/>
          <w:szCs w:val="20"/>
        </w:rPr>
        <w:t>e KFTC’s remedial orders described in (c) above, and solely insofar as they correspond thereto, the Seoul High Court cancelled the KFTC’s remedial orders described in (d) above. The Seoul High Court dismissed the remainder of our action to cancel the KFTC’</w:t>
      </w:r>
      <w:r>
        <w:rPr>
          <w:rFonts w:eastAsia="Times New Roman"/>
          <w:color w:val="000000"/>
          <w:sz w:val="20"/>
          <w:szCs w:val="20"/>
        </w:rPr>
        <w:t>s decision. On December 19, 2019, we filed a notice of appeal to the Korea Supreme Court challenging those portions of the Seoul High Court decision that are not in our favor. The KFTC filed a notice of appeal to the Korea Supreme Court challenging the por</w:t>
      </w:r>
      <w:r>
        <w:rPr>
          <w:rFonts w:eastAsia="Times New Roman"/>
          <w:color w:val="000000"/>
          <w:sz w:val="20"/>
          <w:szCs w:val="20"/>
        </w:rPr>
        <w:t>tions of the Seoul High Court decision that are not in its favor.</w:t>
      </w:r>
      <w:r>
        <w:rPr>
          <w:rFonts w:eastAsia="Times New Roman"/>
          <w:color w:val="000000"/>
          <w:sz w:val="20"/>
          <w:szCs w:val="20"/>
        </w:rPr>
        <w:t xml:space="preserve"> </w:t>
      </w:r>
      <w:r>
        <w:rPr>
          <w:rFonts w:eastAsia="Times New Roman"/>
          <w:color w:val="000000"/>
          <w:sz w:val="20"/>
          <w:szCs w:val="20"/>
          <w:shd w:val="clear" w:color="auto" w:fill="FFFFFF"/>
        </w:rPr>
        <w:t xml:space="preserve">Both we and the KFTC have filed briefs on the merits. </w:t>
      </w:r>
      <w:r>
        <w:rPr>
          <w:rFonts w:eastAsia="Times New Roman"/>
          <w:color w:val="000000"/>
          <w:sz w:val="20"/>
          <w:szCs w:val="20"/>
          <w:shd w:val="clear" w:color="auto" w:fill="FFFFFF"/>
        </w:rPr>
        <w:t>T</w:t>
      </w:r>
      <w:r>
        <w:rPr>
          <w:rFonts w:eastAsia="Times New Roman"/>
          <w:color w:val="000000"/>
          <w:sz w:val="20"/>
          <w:szCs w:val="20"/>
        </w:rPr>
        <w:t>he Korea Supreme Court has not yet ruled on our appeal or that of the KFTC</w:t>
      </w:r>
      <w:r>
        <w:rPr>
          <w:rFonts w:eastAsia="Times New Roman"/>
          <w:color w:val="000000"/>
          <w:sz w:val="20"/>
          <w:szCs w:val="20"/>
        </w:rPr>
        <w:t>.</w:t>
      </w:r>
    </w:p>
    <w:p w:rsidR="00000000" w:rsidRDefault="00602C02">
      <w:pPr>
        <w:ind w:firstLine="360"/>
        <w:divId w:val="1496187587"/>
        <w:rPr>
          <w:rFonts w:eastAsia="Times New Roman"/>
        </w:rPr>
      </w:pPr>
      <w:r>
        <w:rPr>
          <w:rFonts w:eastAsia="Times New Roman"/>
          <w:i/>
          <w:iCs/>
          <w:color w:val="000000"/>
          <w:sz w:val="20"/>
          <w:szCs w:val="20"/>
        </w:rPr>
        <w:t>Icera Complaint to the European Commission (EC):</w:t>
      </w:r>
      <w:r>
        <w:rPr>
          <w:rFonts w:eastAsia="Times New Roman"/>
          <w:i/>
          <w:iCs/>
          <w:color w:val="000000"/>
          <w:sz w:val="20"/>
          <w:szCs w:val="20"/>
        </w:rPr>
        <w:t xml:space="preserve"> </w:t>
      </w:r>
      <w:r>
        <w:rPr>
          <w:rFonts w:eastAsia="Times New Roman"/>
          <w:color w:val="000000"/>
          <w:sz w:val="20"/>
          <w:szCs w:val="20"/>
        </w:rPr>
        <w:t>On June 7, 2010, the EC notified and provided us with a redacted copy of a complaint filed with the EC by Icera, Inc. (subsequently acquired by Nvidia Corporation) alleging that we were engaged in anticompet</w:t>
      </w:r>
      <w:r>
        <w:rPr>
          <w:rFonts w:eastAsia="Times New Roman"/>
          <w:color w:val="000000"/>
          <w:sz w:val="20"/>
          <w:szCs w:val="20"/>
        </w:rPr>
        <w:t xml:space="preserve">itive activity. On July 16, 2015, the EC announced that it had initiated formal proceedings in this matter. On July 18, 2019, the EC issued a decision confirming their preliminary view that between 2009 and 2011, we engaged in predatory pricing by selling </w:t>
      </w:r>
      <w:r>
        <w:rPr>
          <w:rFonts w:eastAsia="Times New Roman"/>
          <w:color w:val="000000"/>
          <w:sz w:val="20"/>
          <w:szCs w:val="20"/>
        </w:rPr>
        <w:t>certain baseband chipsets to two customers at prices below cost with the intention of hindering competition and imposed a fine of approximately 242 million euros. On October 1, 2019, we filed an appeal of the</w:t>
      </w:r>
      <w:r>
        <w:rPr>
          <w:rFonts w:eastAsia="Times New Roman"/>
          <w:color w:val="000000"/>
          <w:sz w:val="20"/>
          <w:szCs w:val="20"/>
        </w:rPr>
        <w:t xml:space="preserve"> </w:t>
      </w:r>
    </w:p>
    <w:p w:rsidR="00000000" w:rsidRDefault="00602C02">
      <w:pPr>
        <w:jc w:val="center"/>
        <w:divId w:val="1941716249"/>
        <w:rPr>
          <w:rFonts w:eastAsia="Times New Roman"/>
        </w:rPr>
      </w:pPr>
      <w:r>
        <w:rPr>
          <w:rFonts w:eastAsia="Times New Roman"/>
          <w:color w:val="000000"/>
          <w:sz w:val="20"/>
          <w:szCs w:val="20"/>
        </w:rPr>
        <w:t>1</w:t>
      </w:r>
      <w:r>
        <w:rPr>
          <w:rFonts w:eastAsia="Times New Roman"/>
          <w:color w:val="000000"/>
          <w:sz w:val="20"/>
          <w:szCs w:val="20"/>
        </w:rPr>
        <w:t>3</w:t>
      </w:r>
    </w:p>
    <w:p w:rsidR="00000000" w:rsidRDefault="00602C02">
      <w:pPr>
        <w:rPr>
          <w:rFonts w:eastAsia="Times New Roman"/>
        </w:rPr>
      </w:pPr>
      <w:r>
        <w:rPr>
          <w:rFonts w:eastAsia="Times New Roman"/>
        </w:rPr>
        <w:pict>
          <v:rect id="_x0000_i1037" style="width:0;height:1.5pt" o:hralign="center" o:hrstd="t" o:hr="t" fillcolor="#a0a0a0" stroked="f"/>
        </w:pict>
      </w:r>
    </w:p>
    <w:p w:rsidR="00000000" w:rsidRDefault="00602C02">
      <w:pPr>
        <w:jc w:val="center"/>
        <w:divId w:val="1581864425"/>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581864425"/>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581864425"/>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581864425"/>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581864425"/>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581864425"/>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divId w:val="1763457031"/>
        <w:rPr>
          <w:rFonts w:eastAsia="Times New Roman"/>
        </w:rPr>
      </w:pPr>
      <w:r>
        <w:rPr>
          <w:rFonts w:eastAsia="Times New Roman"/>
          <w:color w:val="000000"/>
          <w:sz w:val="20"/>
          <w:szCs w:val="20"/>
        </w:rPr>
        <w:t>EC’</w:t>
      </w:r>
      <w:r>
        <w:rPr>
          <w:rFonts w:eastAsia="Times New Roman"/>
          <w:color w:val="000000"/>
          <w:sz w:val="20"/>
          <w:szCs w:val="20"/>
        </w:rPr>
        <w:t>s decision with the General Court of the European Union. The court has not yet ruled on our appeal. We believe that our business practices do not violate the European Union (EU) competition rules</w:t>
      </w:r>
      <w:r>
        <w:rPr>
          <w:rFonts w:eastAsia="Times New Roman"/>
          <w:color w:val="000000"/>
          <w:sz w:val="20"/>
          <w:szCs w:val="20"/>
        </w:rPr>
        <w:t>.</w:t>
      </w:r>
    </w:p>
    <w:p w:rsidR="00000000" w:rsidRDefault="00602C02">
      <w:pPr>
        <w:ind w:firstLine="360"/>
        <w:divId w:val="1936091506"/>
        <w:rPr>
          <w:rFonts w:eastAsia="Times New Roman"/>
        </w:rPr>
      </w:pPr>
      <w:r>
        <w:rPr>
          <w:rFonts w:eastAsia="Times New Roman"/>
          <w:color w:val="000000"/>
          <w:sz w:val="20"/>
          <w:szCs w:val="20"/>
        </w:rPr>
        <w:t>In the third quarter of fiscal 2019, we recorded a charge o</w:t>
      </w:r>
      <w:r>
        <w:rPr>
          <w:rFonts w:eastAsia="Times New Roman"/>
          <w:color w:val="000000"/>
          <w:sz w:val="20"/>
          <w:szCs w:val="20"/>
        </w:rPr>
        <w:t xml:space="preserve">f $275 million to other expenses related to this EC fine. We provided a financial guarantee in the first quarter of fiscal 2020 to satisfy the obligation in lieu of cash payment while we appeal the EC’s decision. The fine is accruing interest at a rate of </w:t>
      </w:r>
      <w:r>
        <w:rPr>
          <w:rFonts w:eastAsia="Times New Roman"/>
          <w:color w:val="000000"/>
          <w:sz w:val="20"/>
          <w:szCs w:val="20"/>
        </w:rPr>
        <w:t>1.50% per annum while it is outstanding. In the fourth quarter of fiscal 2019, we designated the liability as a hedge of our net investment in certain foreign subsidiaries, with gains and losses recorded in accumulated other comprehensive income as a compo</w:t>
      </w:r>
      <w:r>
        <w:rPr>
          <w:rFonts w:eastAsia="Times New Roman"/>
          <w:color w:val="000000"/>
          <w:sz w:val="20"/>
          <w:szCs w:val="20"/>
        </w:rPr>
        <w:t>nent of the foreign currency translation adjustment. At March 29, 2020, the liability, including related foreign currency gains and accrued interest (which, to the extent they were not related to the net investment hedge, were recorded in investment and ot</w:t>
      </w:r>
      <w:r>
        <w:rPr>
          <w:rFonts w:eastAsia="Times New Roman"/>
          <w:color w:val="000000"/>
          <w:sz w:val="20"/>
          <w:szCs w:val="20"/>
        </w:rPr>
        <w:t>her (expense) income, net), was $272 million and included in other current liabilities.</w:t>
      </w:r>
      <w:r>
        <w:rPr>
          <w:rFonts w:eastAsia="Times New Roman"/>
          <w:color w:val="000000"/>
          <w:sz w:val="20"/>
          <w:szCs w:val="20"/>
        </w:rPr>
        <w:t xml:space="preserve"> </w:t>
      </w:r>
    </w:p>
    <w:p w:rsidR="00000000" w:rsidRDefault="00602C02">
      <w:pPr>
        <w:ind w:firstLine="360"/>
        <w:divId w:val="1427728882"/>
        <w:rPr>
          <w:rFonts w:eastAsia="Times New Roman"/>
        </w:rPr>
      </w:pPr>
      <w:r>
        <w:rPr>
          <w:rFonts w:eastAsia="Times New Roman"/>
          <w:i/>
          <w:iCs/>
          <w:color w:val="000000"/>
          <w:sz w:val="20"/>
          <w:szCs w:val="20"/>
        </w:rPr>
        <w:t>European Commission (EC) Investigation</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On October 15, 2014, the EC notified us that it was conducting an investigation of us relating to Articles 101 and/or 102 of the Treaty on the Functioning of the European Union (TFEU). On July 16, 2015, the EC announced that it had initiated formal proceed</w:t>
      </w:r>
      <w:r>
        <w:rPr>
          <w:rFonts w:eastAsia="Times New Roman"/>
          <w:color w:val="000000"/>
          <w:sz w:val="20"/>
          <w:szCs w:val="20"/>
        </w:rPr>
        <w:t>ings in this matter. On January 24, 2018, the EC issued a decision finding that pursuant to an agreement with Apple Inc. we paid significant amounts to Apple on the condition that it exclusively use our baseband chipsets in its smartphones and tablets, red</w:t>
      </w:r>
      <w:r>
        <w:rPr>
          <w:rFonts w:eastAsia="Times New Roman"/>
          <w:color w:val="000000"/>
          <w:sz w:val="20"/>
          <w:szCs w:val="20"/>
        </w:rPr>
        <w:t>ucing Apple’s incentives to source baseband chipsets from our competitors and harming competition and innovation for certain baseband chipsets, and imposed a fine of 997 million euros. On April 6, 2018, we filed an appeal of the EC’s decision with the Gene</w:t>
      </w:r>
      <w:r>
        <w:rPr>
          <w:rFonts w:eastAsia="Times New Roman"/>
          <w:color w:val="000000"/>
          <w:sz w:val="20"/>
          <w:szCs w:val="20"/>
        </w:rPr>
        <w:t>ral Court of the European Union. The court has not yet ruled on our appeal. We believe that our business practices do not violate the EU competition rules</w:t>
      </w:r>
      <w:r>
        <w:rPr>
          <w:rFonts w:eastAsia="Times New Roman"/>
          <w:color w:val="000000"/>
          <w:sz w:val="20"/>
          <w:szCs w:val="20"/>
        </w:rPr>
        <w:t>.</w:t>
      </w:r>
    </w:p>
    <w:p w:rsidR="00000000" w:rsidRDefault="00602C02">
      <w:pPr>
        <w:ind w:firstLine="360"/>
        <w:divId w:val="66727677"/>
        <w:rPr>
          <w:rFonts w:eastAsia="Times New Roman"/>
        </w:rPr>
      </w:pPr>
      <w:r>
        <w:rPr>
          <w:rFonts w:eastAsia="Times New Roman"/>
          <w:color w:val="000000"/>
          <w:sz w:val="20"/>
          <w:szCs w:val="20"/>
        </w:rPr>
        <w:t xml:space="preserve">In the first quarter of fiscal 2018, we recorded a charge of $1.2 billion to other expenses related </w:t>
      </w:r>
      <w:r>
        <w:rPr>
          <w:rFonts w:eastAsia="Times New Roman"/>
          <w:color w:val="000000"/>
          <w:sz w:val="20"/>
          <w:szCs w:val="20"/>
        </w:rPr>
        <w:t>to this EC fine. We provided financial guarantees in the third quarter of fiscal 2018 to satisfy the obligation in lieu of cash payment while we appeal the EC’s decision. The fine is accruing interest at a rate of 1.50% per annum while it is outstanding. I</w:t>
      </w:r>
      <w:r>
        <w:rPr>
          <w:rFonts w:eastAsia="Times New Roman"/>
          <w:color w:val="000000"/>
          <w:sz w:val="20"/>
          <w:szCs w:val="20"/>
        </w:rPr>
        <w:t>n the first quarter of fiscal 2019, we designated the liability as a hedge of our net investment in certain foreign subsidiaries, with gains and losses recorded in accumulated other comprehensive income as a component of the foreign currency translation ad</w:t>
      </w:r>
      <w:r>
        <w:rPr>
          <w:rFonts w:eastAsia="Times New Roman"/>
          <w:color w:val="000000"/>
          <w:sz w:val="20"/>
          <w:szCs w:val="20"/>
        </w:rPr>
        <w:t>justment. At March 29, 2020, the liability, including related foreign currency gains and accrued interest (which, to the extent they were not related to the net investment hedge, were recorded in investment and other (expense) income, net), was $1.1 billio</w:t>
      </w:r>
      <w:r>
        <w:rPr>
          <w:rFonts w:eastAsia="Times New Roman"/>
          <w:color w:val="000000"/>
          <w:sz w:val="20"/>
          <w:szCs w:val="20"/>
        </w:rPr>
        <w:t>n and included in other current liabilities.</w:t>
      </w:r>
      <w:r>
        <w:rPr>
          <w:rFonts w:eastAsia="Times New Roman"/>
          <w:color w:val="000000"/>
          <w:sz w:val="20"/>
          <w:szCs w:val="20"/>
        </w:rPr>
        <w:t xml:space="preserve"> </w:t>
      </w:r>
    </w:p>
    <w:p w:rsidR="00000000" w:rsidRDefault="00602C02">
      <w:pPr>
        <w:ind w:firstLine="360"/>
        <w:divId w:val="1091896858"/>
        <w:rPr>
          <w:rFonts w:eastAsia="Times New Roman"/>
        </w:rPr>
      </w:pPr>
      <w:r>
        <w:rPr>
          <w:rFonts w:eastAsia="Times New Roman"/>
          <w:i/>
          <w:iCs/>
          <w:color w:val="000000"/>
          <w:sz w:val="20"/>
          <w:szCs w:val="20"/>
        </w:rPr>
        <w:t>European Commission (EC) Investigation regarding Radio Frequency Front Ends (RFFE):</w:t>
      </w:r>
      <w:r>
        <w:rPr>
          <w:rFonts w:eastAsia="Times New Roman"/>
          <w:i/>
          <w:iCs/>
          <w:color w:val="000000"/>
          <w:sz w:val="20"/>
          <w:szCs w:val="20"/>
        </w:rPr>
        <w:t xml:space="preserve"> </w:t>
      </w:r>
      <w:r>
        <w:rPr>
          <w:rFonts w:eastAsia="Times New Roman"/>
          <w:color w:val="000000"/>
          <w:sz w:val="20"/>
          <w:szCs w:val="20"/>
        </w:rPr>
        <w:t>On December 3, 2019, we received a Request for Information from the EC notifying us that it is investigating whether we engage</w:t>
      </w:r>
      <w:r>
        <w:rPr>
          <w:rFonts w:eastAsia="Times New Roman"/>
          <w:color w:val="000000"/>
          <w:sz w:val="20"/>
          <w:szCs w:val="20"/>
        </w:rPr>
        <w:t>d in anti-competitive behavior in the European Union (EU)/European Economic Area (EEA) by leveraging our market position in 5G baseband processors in the RFFE space.</w:t>
      </w:r>
      <w:r>
        <w:rPr>
          <w:rFonts w:eastAsia="Times New Roman"/>
          <w:color w:val="000000"/>
          <w:sz w:val="20"/>
          <w:szCs w:val="20"/>
        </w:rPr>
        <w:t> </w:t>
      </w:r>
      <w:r>
        <w:rPr>
          <w:rFonts w:eastAsia="Times New Roman"/>
          <w:color w:val="000000"/>
          <w:sz w:val="20"/>
          <w:szCs w:val="20"/>
          <w:shd w:val="clear" w:color="auto" w:fill="FFFFFF"/>
        </w:rPr>
        <w:t>We have responded to the Request for Information</w:t>
      </w:r>
      <w:r>
        <w:rPr>
          <w:rFonts w:eastAsia="Times New Roman"/>
          <w:color w:val="000000"/>
          <w:sz w:val="20"/>
          <w:szCs w:val="20"/>
          <w:shd w:val="clear" w:color="auto" w:fill="FFFFFF"/>
        </w:rPr>
        <w:t>.</w:t>
      </w:r>
      <w:r>
        <w:rPr>
          <w:rFonts w:eastAsia="Times New Roman"/>
          <w:color w:val="000000"/>
          <w:sz w:val="20"/>
          <w:szCs w:val="20"/>
        </w:rPr>
        <w:t xml:space="preserve"> If a violation is found, a broad range o</w:t>
      </w:r>
      <w:r>
        <w:rPr>
          <w:rFonts w:eastAsia="Times New Roman"/>
          <w:color w:val="000000"/>
          <w:sz w:val="20"/>
          <w:szCs w:val="20"/>
        </w:rPr>
        <w:t>f remedies is potentially available to the EC, including imposing a fine (of up to 10% of our annual revenues) and/or injunctive relief prohibiting or restricting certain business practices. It is difficult to predict the outcome of this matter or what rem</w:t>
      </w:r>
      <w:r>
        <w:rPr>
          <w:rFonts w:eastAsia="Times New Roman"/>
          <w:color w:val="000000"/>
          <w:sz w:val="20"/>
          <w:szCs w:val="20"/>
        </w:rPr>
        <w:t>edies, if any, may be imposed by the EC. We believe that our business practices do not violate the EU competition rules</w:t>
      </w:r>
      <w:r>
        <w:rPr>
          <w:rFonts w:eastAsia="Times New Roman"/>
          <w:color w:val="000000"/>
          <w:sz w:val="20"/>
          <w:szCs w:val="20"/>
        </w:rPr>
        <w:t>.</w:t>
      </w:r>
    </w:p>
    <w:p w:rsidR="00000000" w:rsidRDefault="00602C02">
      <w:pPr>
        <w:ind w:firstLine="360"/>
        <w:divId w:val="721902458"/>
        <w:rPr>
          <w:rFonts w:eastAsia="Times New Roman"/>
        </w:rPr>
      </w:pPr>
      <w:r>
        <w:rPr>
          <w:rFonts w:eastAsia="Times New Roman"/>
          <w:i/>
          <w:iCs/>
          <w:color w:val="000000"/>
          <w:sz w:val="20"/>
          <w:szCs w:val="20"/>
        </w:rPr>
        <w:t>United States Federal Trade Commission (FTC) v. QUALCOMM Incorporated</w:t>
      </w:r>
      <w:r>
        <w:rPr>
          <w:rFonts w:eastAsia="Times New Roman"/>
          <w:i/>
          <w:iCs/>
          <w:color w:val="000000"/>
          <w:sz w:val="20"/>
          <w:szCs w:val="20"/>
        </w:rPr>
        <w:t>:</w:t>
      </w:r>
      <w:r>
        <w:rPr>
          <w:rFonts w:eastAsia="Times New Roman"/>
          <w:color w:val="000000"/>
          <w:sz w:val="20"/>
          <w:szCs w:val="20"/>
        </w:rPr>
        <w:t xml:space="preserve"> On September 17, 2014, the FTC notified us that it was conductin</w:t>
      </w:r>
      <w:r>
        <w:rPr>
          <w:rFonts w:eastAsia="Times New Roman"/>
          <w:color w:val="000000"/>
          <w:sz w:val="20"/>
          <w:szCs w:val="20"/>
        </w:rPr>
        <w:t>g an investigation of us relating to Section 5 of the Federal Trade Commission Act (FTCA). On January 17, 2017, the FTC filed a complaint against us in the United States District Court for the Northern District of California alleging that we were engaged i</w:t>
      </w:r>
      <w:r>
        <w:rPr>
          <w:rFonts w:eastAsia="Times New Roman"/>
          <w:color w:val="000000"/>
          <w:sz w:val="20"/>
          <w:szCs w:val="20"/>
        </w:rPr>
        <w:t>n anticompetitive conduct and unfair methods of competition in violation of Section 5 of the FTCA by conditioning the supply of cellular modem chipsets on the purchaser first agreeing to a license to our cellular standard-essential patents, paying incentiv</w:t>
      </w:r>
      <w:r>
        <w:rPr>
          <w:rFonts w:eastAsia="Times New Roman"/>
          <w:color w:val="000000"/>
          <w:sz w:val="20"/>
          <w:szCs w:val="20"/>
        </w:rPr>
        <w:t>es to purchasers of cellular modem chipsets to induce them to accept certain license terms, refusing to license our cellular standard-essential patents to our competitors and entering into alleged exclusive dealing arrangements with Apple Inc. The complain</w:t>
      </w:r>
      <w:r>
        <w:rPr>
          <w:rFonts w:eastAsia="Times New Roman"/>
          <w:color w:val="000000"/>
          <w:sz w:val="20"/>
          <w:szCs w:val="20"/>
        </w:rPr>
        <w:t>t sought a permanent injunction against our alleged violations of the FTCA and other unspecified ancillary equitable relief. On August 30, 2018, the FTC moved for partial summary judgment that our commitments to license our cellular standard-essential pate</w:t>
      </w:r>
      <w:r>
        <w:rPr>
          <w:rFonts w:eastAsia="Times New Roman"/>
          <w:color w:val="000000"/>
          <w:sz w:val="20"/>
          <w:szCs w:val="20"/>
        </w:rPr>
        <w:t>nts to the Alliance for Telecommunications Industry Solutions (ATIS) and the Telecommunications Industry Association (TIA) require us to make licenses available to rival sellers of cellular modem chipsets. On November 6, 2018, the court granted the FTC’s p</w:t>
      </w:r>
      <w:r>
        <w:rPr>
          <w:rFonts w:eastAsia="Times New Roman"/>
          <w:color w:val="000000"/>
          <w:sz w:val="20"/>
          <w:szCs w:val="20"/>
        </w:rPr>
        <w:t>artial summary judgment motion. Trial was held January 4-29, 2019.</w:t>
      </w:r>
      <w:r>
        <w:rPr>
          <w:rFonts w:eastAsia="Times New Roman"/>
          <w:color w:val="000000"/>
          <w:sz w:val="20"/>
          <w:szCs w:val="20"/>
        </w:rPr>
        <w:t xml:space="preserve"> </w:t>
      </w:r>
    </w:p>
    <w:p w:rsidR="00000000" w:rsidRDefault="00602C02">
      <w:pPr>
        <w:ind w:firstLine="360"/>
        <w:divId w:val="1826824469"/>
        <w:rPr>
          <w:rFonts w:eastAsia="Times New Roman"/>
        </w:rPr>
      </w:pPr>
      <w:r>
        <w:rPr>
          <w:rFonts w:eastAsia="Times New Roman"/>
          <w:color w:val="000000"/>
          <w:sz w:val="20"/>
          <w:szCs w:val="20"/>
        </w:rPr>
        <w:t xml:space="preserve">On May 21, 2019, the court issued an Order setting forth its Findings of Fact and Conclusions of Law. The court concluded that we had monopoly power in the CDMA and premium-tier Long Term </w:t>
      </w:r>
      <w:r>
        <w:rPr>
          <w:rFonts w:eastAsia="Times New Roman"/>
          <w:color w:val="000000"/>
          <w:sz w:val="20"/>
          <w:szCs w:val="20"/>
        </w:rPr>
        <w:t>Evolution (LTE) cellular modem chip markets, and that we had used that power in these two markets to engage in anticompetitive acts, including (1) using threats of lack of access to cellular modem chip supply to coerce OEMs to accept license terms that inc</w:t>
      </w:r>
      <w:r>
        <w:rPr>
          <w:rFonts w:eastAsia="Times New Roman"/>
          <w:color w:val="000000"/>
          <w:sz w:val="20"/>
          <w:szCs w:val="20"/>
        </w:rPr>
        <w:t>lude unreasonably high royalty rates; (2) refusing to license our cellular standard-essential patents to competitors selling cellular modem chips; and</w:t>
      </w:r>
      <w:r>
        <w:rPr>
          <w:rFonts w:eastAsia="Times New Roman"/>
          <w:color w:val="000000"/>
          <w:sz w:val="20"/>
          <w:szCs w:val="20"/>
        </w:rPr>
        <w:t xml:space="preserve"> </w:t>
      </w:r>
    </w:p>
    <w:p w:rsidR="00000000" w:rsidRDefault="00602C02">
      <w:pPr>
        <w:jc w:val="center"/>
        <w:divId w:val="1054354680"/>
        <w:rPr>
          <w:rFonts w:eastAsia="Times New Roman"/>
        </w:rPr>
      </w:pPr>
      <w:r>
        <w:rPr>
          <w:rFonts w:eastAsia="Times New Roman"/>
          <w:color w:val="000000"/>
          <w:sz w:val="20"/>
          <w:szCs w:val="20"/>
        </w:rPr>
        <w:t>1</w:t>
      </w:r>
      <w:r>
        <w:rPr>
          <w:rFonts w:eastAsia="Times New Roman"/>
          <w:color w:val="000000"/>
          <w:sz w:val="20"/>
          <w:szCs w:val="20"/>
        </w:rPr>
        <w:t>4</w:t>
      </w:r>
    </w:p>
    <w:p w:rsidR="00000000" w:rsidRDefault="00602C02">
      <w:pPr>
        <w:rPr>
          <w:rFonts w:eastAsia="Times New Roman"/>
        </w:rPr>
      </w:pPr>
      <w:r>
        <w:rPr>
          <w:rFonts w:eastAsia="Times New Roman"/>
        </w:rPr>
        <w:pict>
          <v:rect id="_x0000_i1038" style="width:0;height:1.5pt" o:hralign="center" o:hrstd="t" o:hr="t" fillcolor="#a0a0a0" stroked="f"/>
        </w:pict>
      </w:r>
    </w:p>
    <w:p w:rsidR="00000000" w:rsidRDefault="00602C02">
      <w:pPr>
        <w:jc w:val="center"/>
        <w:divId w:val="226192428"/>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226192428"/>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226192428"/>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226192428"/>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226192428"/>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226192428"/>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divId w:val="1814055279"/>
        <w:rPr>
          <w:rFonts w:eastAsia="Times New Roman"/>
        </w:rPr>
      </w:pPr>
      <w:r>
        <w:rPr>
          <w:rFonts w:eastAsia="Times New Roman"/>
          <w:color w:val="000000"/>
          <w:sz w:val="20"/>
          <w:szCs w:val="20"/>
        </w:rPr>
        <w:t>(3) entering into exclusive dealing arrangements with OEMs that foreclosed our rivals. The court further found that the royalties we charge OEMs are unreasonably high and reflect the use of our monopoly power over CDMA and premium-tier LTE cellular modem c</w:t>
      </w:r>
      <w:r>
        <w:rPr>
          <w:rFonts w:eastAsia="Times New Roman"/>
          <w:color w:val="000000"/>
          <w:sz w:val="20"/>
          <w:szCs w:val="20"/>
        </w:rPr>
        <w:t>hips rather than just the value of our patents. The court concluded that our unreasonably high royalties constitute an anticompetitive surcharge on cellular modem chips sold by our competitors, which increases the effective price of our competitors’ cellul</w:t>
      </w:r>
      <w:r>
        <w:rPr>
          <w:rFonts w:eastAsia="Times New Roman"/>
          <w:color w:val="000000"/>
          <w:sz w:val="20"/>
          <w:szCs w:val="20"/>
        </w:rPr>
        <w:t>ar modem chips, reduces their margins and results in exclusivity. The court also found that our practice of not licensing competitors’ cellular modem chips violated our commitments to certain standard-development organizations and a duty under the antitrus</w:t>
      </w:r>
      <w:r>
        <w:rPr>
          <w:rFonts w:eastAsia="Times New Roman"/>
          <w:color w:val="000000"/>
          <w:sz w:val="20"/>
          <w:szCs w:val="20"/>
        </w:rPr>
        <w:t>t laws to license competing cellular modem chip makers and helped us maintain our royalties at unreasonably high levels. Finally, the court found that incentive funds entered into with certain OEMs further harmed competing cellular modem chip makers’ abili</w:t>
      </w:r>
      <w:r>
        <w:rPr>
          <w:rFonts w:eastAsia="Times New Roman"/>
          <w:color w:val="000000"/>
          <w:sz w:val="20"/>
          <w:szCs w:val="20"/>
        </w:rPr>
        <w:t>ty to undermine our monopoly position, prevented rivals from entering the market and restricted the sales of those competitors that do enter. The court concluded that the combined effect of our conduct, together with our monopoly power, harmed the competit</w:t>
      </w:r>
      <w:r>
        <w:rPr>
          <w:rFonts w:eastAsia="Times New Roman"/>
          <w:color w:val="000000"/>
          <w:sz w:val="20"/>
          <w:szCs w:val="20"/>
        </w:rPr>
        <w:t>ive process.</w:t>
      </w:r>
      <w:r>
        <w:rPr>
          <w:rFonts w:eastAsia="Times New Roman"/>
          <w:color w:val="000000"/>
          <w:sz w:val="20"/>
          <w:szCs w:val="20"/>
        </w:rPr>
        <w:t xml:space="preserve"> </w:t>
      </w:r>
    </w:p>
    <w:p w:rsidR="00000000" w:rsidRDefault="00602C02">
      <w:pPr>
        <w:ind w:firstLine="360"/>
        <w:divId w:val="1426262518"/>
        <w:rPr>
          <w:rFonts w:eastAsia="Times New Roman"/>
        </w:rPr>
      </w:pPr>
      <w:r>
        <w:rPr>
          <w:rFonts w:eastAsia="Times New Roman"/>
          <w:color w:val="000000"/>
          <w:sz w:val="20"/>
          <w:szCs w:val="20"/>
        </w:rPr>
        <w:t>The court imposed the following injunctive relief: (1) we must not condition the supply of cellular modem chips on a customer’s patent license status, and we must negotiate or renegotiate license terms with customers in good faith under condi</w:t>
      </w:r>
      <w:r>
        <w:rPr>
          <w:rFonts w:eastAsia="Times New Roman"/>
          <w:color w:val="000000"/>
          <w:sz w:val="20"/>
          <w:szCs w:val="20"/>
        </w:rPr>
        <w:t>tions free from the threat of lack of access to or discriminatory provision of cellular modem chip supply or associated technical support or access to software; (2) we must make exhaustive cellular standard-essential patent licenses available to cellular m</w:t>
      </w:r>
      <w:r>
        <w:rPr>
          <w:rFonts w:eastAsia="Times New Roman"/>
          <w:color w:val="000000"/>
          <w:sz w:val="20"/>
          <w:szCs w:val="20"/>
        </w:rPr>
        <w:t>odem chip suppliers on fair, reasonable and non-discriminatory (FRAND) terms and submit, as necessary, to arbitral or judicial dispute resolution to determine such terms; (3) we may not enter into express or de facto exclusive dealing agreements for the su</w:t>
      </w:r>
      <w:r>
        <w:rPr>
          <w:rFonts w:eastAsia="Times New Roman"/>
          <w:color w:val="000000"/>
          <w:sz w:val="20"/>
          <w:szCs w:val="20"/>
        </w:rPr>
        <w:t>pply of cellular modem chips; and (4) we may not interfere with the ability of any customer to communicate with a government agency about a potential law enforcement or regulatory matter. The court also ordered us to submit to compliance and monitoring pro</w:t>
      </w:r>
      <w:r>
        <w:rPr>
          <w:rFonts w:eastAsia="Times New Roman"/>
          <w:color w:val="000000"/>
          <w:sz w:val="20"/>
          <w:szCs w:val="20"/>
        </w:rPr>
        <w:t>cedures for a period of seven years and to report to the FTC on an annual basis regarding our compliance with the above remedies.</w:t>
      </w:r>
      <w:r>
        <w:rPr>
          <w:rFonts w:eastAsia="Times New Roman"/>
          <w:color w:val="000000"/>
          <w:sz w:val="20"/>
          <w:szCs w:val="20"/>
        </w:rPr>
        <w:t xml:space="preserve"> </w:t>
      </w:r>
    </w:p>
    <w:p w:rsidR="00000000" w:rsidRDefault="00602C02">
      <w:pPr>
        <w:ind w:firstLine="360"/>
        <w:divId w:val="665212822"/>
        <w:rPr>
          <w:rFonts w:eastAsia="Times New Roman"/>
        </w:rPr>
      </w:pPr>
      <w:r>
        <w:rPr>
          <w:rFonts w:eastAsia="Times New Roman"/>
          <w:color w:val="000000"/>
          <w:sz w:val="20"/>
          <w:szCs w:val="20"/>
        </w:rPr>
        <w:t>We disagree with the court’s conclusions, interpretation of the facts and application of the law. On May 31, 2019, we filed w</w:t>
      </w:r>
      <w:r>
        <w:rPr>
          <w:rFonts w:eastAsia="Times New Roman"/>
          <w:color w:val="000000"/>
          <w:sz w:val="20"/>
          <w:szCs w:val="20"/>
        </w:rPr>
        <w:t xml:space="preserve">ith the court a Notice of Appeal to the United States Court of Appeals for the Ninth Circuit (Ninth Circuit). On July 8, 2019, we filed a Motion for Partial Stay of Injunction Pending Appeal and a Consent Motion to Expedite Appeal in the Ninth Circuit. On </w:t>
      </w:r>
      <w:r>
        <w:rPr>
          <w:rFonts w:eastAsia="Times New Roman"/>
          <w:color w:val="000000"/>
          <w:sz w:val="20"/>
          <w:szCs w:val="20"/>
        </w:rPr>
        <w:t>August 23, 2019, the Ninth Circuit granted our Motion. Thus, pending the resolution of the appeal in the Ninth Circuit or until further order of the Ninth Circuit, the portions of the court’s injunction requiring that we must (i) make exhaustive cellular s</w:t>
      </w:r>
      <w:r>
        <w:rPr>
          <w:rFonts w:eastAsia="Times New Roman"/>
          <w:color w:val="000000"/>
          <w:sz w:val="20"/>
          <w:szCs w:val="20"/>
        </w:rPr>
        <w:t xml:space="preserve">tandard-essential patent licenses available to cellular modem chip suppliers and (ii) not condition the supply of cellular modem chips on a customer’s patent license status and must negotiate or renegotiate license terms with customers are stayed. On July </w:t>
      </w:r>
      <w:r>
        <w:rPr>
          <w:rFonts w:eastAsia="Times New Roman"/>
          <w:color w:val="000000"/>
          <w:sz w:val="20"/>
          <w:szCs w:val="20"/>
        </w:rPr>
        <w:t>10, 2019, the Ninth Circuit granted our Motion to Expedite Appea</w:t>
      </w:r>
      <w:r>
        <w:rPr>
          <w:rFonts w:eastAsia="Times New Roman"/>
          <w:color w:val="000000"/>
          <w:sz w:val="20"/>
          <w:szCs w:val="20"/>
        </w:rPr>
        <w:t>l</w:t>
      </w:r>
      <w:r>
        <w:rPr>
          <w:rFonts w:eastAsia="Times New Roman"/>
          <w:color w:val="000000"/>
          <w:sz w:val="20"/>
          <w:szCs w:val="20"/>
          <w:shd w:val="clear" w:color="auto" w:fill="FFFFFF"/>
        </w:rPr>
        <w:t>. On February 13, 2020, the Ninth Circuit heard oral argument, but has not yet ruled on our appeal.</w:t>
      </w:r>
    </w:p>
    <w:p w:rsidR="00000000" w:rsidRDefault="00602C02">
      <w:pPr>
        <w:ind w:firstLine="360"/>
        <w:divId w:val="730621085"/>
        <w:rPr>
          <w:rFonts w:eastAsia="Times New Roman"/>
        </w:rPr>
      </w:pPr>
      <w:r>
        <w:rPr>
          <w:rFonts w:eastAsia="Times New Roman"/>
          <w:i/>
          <w:iCs/>
          <w:color w:val="000000"/>
          <w:sz w:val="20"/>
          <w:szCs w:val="20"/>
        </w:rPr>
        <w:t>Contingent losses and other considerations</w:t>
      </w:r>
      <w:r>
        <w:rPr>
          <w:rFonts w:eastAsia="Times New Roman"/>
          <w:i/>
          <w:iCs/>
          <w:color w:val="000000"/>
          <w:sz w:val="20"/>
          <w:szCs w:val="20"/>
        </w:rPr>
        <w:t>:</w:t>
      </w:r>
      <w:r>
        <w:rPr>
          <w:rFonts w:eastAsia="Times New Roman"/>
          <w:color w:val="000000"/>
          <w:sz w:val="20"/>
          <w:szCs w:val="20"/>
        </w:rPr>
        <w:t xml:space="preserve"> We will continue to vigorously defend ourself i</w:t>
      </w:r>
      <w:r>
        <w:rPr>
          <w:rFonts w:eastAsia="Times New Roman"/>
          <w:color w:val="000000"/>
          <w:sz w:val="20"/>
          <w:szCs w:val="20"/>
        </w:rPr>
        <w:t xml:space="preserve">n the foregoing matters. However, litigation and investigations are inherently uncertain, and we face difficulties in evaluating or estimating likely outcomes or ranges of possible loss in antitrust and trade regulation investigations in particular. Other </w:t>
      </w:r>
      <w:r>
        <w:rPr>
          <w:rFonts w:eastAsia="Times New Roman"/>
          <w:color w:val="000000"/>
          <w:sz w:val="20"/>
          <w:szCs w:val="20"/>
        </w:rPr>
        <w:t>than with respect to the EC fines, we have not recorded any accrual at March 29, 2020 for contingent losses associated with these matters based on our belief that losses, while possible, are not probable. Further, any possible range of loss cannot be reaso</w:t>
      </w:r>
      <w:r>
        <w:rPr>
          <w:rFonts w:eastAsia="Times New Roman"/>
          <w:color w:val="000000"/>
          <w:sz w:val="20"/>
          <w:szCs w:val="20"/>
        </w:rPr>
        <w:t>nably estimated at this time. The unfavorable resolution of one or more of these matters could have a material adverse effect on our business, results of operations, financial condition or cash flows. We are engaged in numerous other legal actions not desc</w:t>
      </w:r>
      <w:r>
        <w:rPr>
          <w:rFonts w:eastAsia="Times New Roman"/>
          <w:color w:val="000000"/>
          <w:sz w:val="20"/>
          <w:szCs w:val="20"/>
        </w:rPr>
        <w:t>ribed above arising in the ordinary course of our business and, while there can be no assurance, believe that the ultimate outcome of these other legal actions will not have a material adverse effect on our business, results of operations, financial condit</w:t>
      </w:r>
      <w:r>
        <w:rPr>
          <w:rFonts w:eastAsia="Times New Roman"/>
          <w:color w:val="000000"/>
          <w:sz w:val="20"/>
          <w:szCs w:val="20"/>
        </w:rPr>
        <w:t>ion or cash flows</w:t>
      </w:r>
      <w:r>
        <w:rPr>
          <w:rFonts w:eastAsia="Times New Roman"/>
          <w:color w:val="000000"/>
          <w:sz w:val="20"/>
          <w:szCs w:val="20"/>
        </w:rPr>
        <w:t>.</w:t>
      </w:r>
    </w:p>
    <w:p w:rsidR="00000000" w:rsidRDefault="00602C02">
      <w:pPr>
        <w:ind w:firstLine="360"/>
        <w:divId w:val="4015609"/>
        <w:rPr>
          <w:rFonts w:eastAsia="Times New Roman"/>
        </w:rPr>
      </w:pPr>
      <w:r>
        <w:rPr>
          <w:rFonts w:eastAsia="Times New Roman"/>
          <w:b/>
          <w:bCs/>
          <w:i/>
          <w:iCs/>
          <w:color w:val="000000"/>
          <w:sz w:val="20"/>
          <w:szCs w:val="20"/>
        </w:rPr>
        <w:t>Indemnification</w:t>
      </w:r>
      <w:r>
        <w:rPr>
          <w:rFonts w:eastAsia="Times New Roman"/>
          <w:b/>
          <w:bCs/>
          <w:i/>
          <w:iCs/>
          <w:color w:val="000000"/>
          <w:sz w:val="20"/>
          <w:szCs w:val="20"/>
        </w:rPr>
        <w:t>s</w:t>
      </w:r>
      <w:r>
        <w:rPr>
          <w:rFonts w:eastAsia="Times New Roman"/>
          <w:color w:val="000000"/>
          <w:sz w:val="20"/>
          <w:szCs w:val="20"/>
        </w:rPr>
        <w:t>. We generally do not indemnify our customers, licensees and suppliers for losses sustained from infringement of third-party intellectual property rights. However, we are contingently liable under certain agreements to de</w:t>
      </w:r>
      <w:r>
        <w:rPr>
          <w:rFonts w:eastAsia="Times New Roman"/>
          <w:color w:val="000000"/>
          <w:sz w:val="20"/>
          <w:szCs w:val="20"/>
        </w:rPr>
        <w:t xml:space="preserve">fend and/or indemnify certain customers, licensees and suppliers against certain types of liability and/or damages arising from the infringement of third-party intellectual property rights. Our obligations under these agreements may be limited in terms of </w:t>
      </w:r>
      <w:r>
        <w:rPr>
          <w:rFonts w:eastAsia="Times New Roman"/>
          <w:color w:val="000000"/>
          <w:sz w:val="20"/>
          <w:szCs w:val="20"/>
        </w:rPr>
        <w:t>time and/or amount, and in some instances, we may have recourse against third parties for certain payments made by us</w:t>
      </w:r>
      <w:r>
        <w:rPr>
          <w:rFonts w:eastAsia="Times New Roman"/>
          <w:color w:val="000000"/>
          <w:sz w:val="20"/>
          <w:szCs w:val="20"/>
        </w:rPr>
        <w:t>.</w:t>
      </w:r>
    </w:p>
    <w:p w:rsidR="00000000" w:rsidRDefault="00602C02">
      <w:pPr>
        <w:ind w:firstLine="360"/>
        <w:divId w:val="228928381"/>
        <w:rPr>
          <w:rFonts w:eastAsia="Times New Roman"/>
        </w:rPr>
      </w:pPr>
      <w:r>
        <w:rPr>
          <w:rFonts w:eastAsia="Times New Roman"/>
          <w:color w:val="000000"/>
          <w:sz w:val="20"/>
          <w:szCs w:val="20"/>
        </w:rPr>
        <w:t>Claims and reimbursements under indemnification arrangements have not been material to our consolidated financial statements. At March 29</w:t>
      </w:r>
      <w:r>
        <w:rPr>
          <w:rFonts w:eastAsia="Times New Roman"/>
          <w:color w:val="000000"/>
          <w:sz w:val="20"/>
          <w:szCs w:val="20"/>
        </w:rPr>
        <w:t>, 2020, accruals for contingent liabilities associated with these indemnification arrangements were negligible. We have not recorded accruals for certain claims under indemnification arrangements based on our belief that additional liabilities, while possi</w:t>
      </w:r>
      <w:r>
        <w:rPr>
          <w:rFonts w:eastAsia="Times New Roman"/>
          <w:color w:val="000000"/>
          <w:sz w:val="20"/>
          <w:szCs w:val="20"/>
        </w:rPr>
        <w:t>ble, are not probable. Further, any possible range of loss cannot be reasonably estimated at this time</w:t>
      </w:r>
      <w:r>
        <w:rPr>
          <w:rFonts w:eastAsia="Times New Roman"/>
          <w:color w:val="000000"/>
          <w:sz w:val="20"/>
          <w:szCs w:val="20"/>
        </w:rPr>
        <w:t>.</w:t>
      </w:r>
    </w:p>
    <w:p w:rsidR="00000000" w:rsidRDefault="00602C02">
      <w:pPr>
        <w:jc w:val="center"/>
        <w:divId w:val="2067489827"/>
        <w:rPr>
          <w:rFonts w:eastAsia="Times New Roman"/>
        </w:rPr>
      </w:pPr>
      <w:r>
        <w:rPr>
          <w:rFonts w:eastAsia="Times New Roman"/>
          <w:color w:val="000000"/>
          <w:sz w:val="20"/>
          <w:szCs w:val="20"/>
        </w:rPr>
        <w:t>1</w:t>
      </w:r>
      <w:r>
        <w:rPr>
          <w:rFonts w:eastAsia="Times New Roman"/>
          <w:color w:val="000000"/>
          <w:sz w:val="20"/>
          <w:szCs w:val="20"/>
        </w:rPr>
        <w:t>5</w:t>
      </w:r>
    </w:p>
    <w:p w:rsidR="00000000" w:rsidRDefault="00602C02">
      <w:pPr>
        <w:rPr>
          <w:rFonts w:eastAsia="Times New Roman"/>
        </w:rPr>
      </w:pPr>
      <w:r>
        <w:rPr>
          <w:rFonts w:eastAsia="Times New Roman"/>
        </w:rPr>
        <w:pict>
          <v:rect id="_x0000_i1039" style="width:0;height:1.5pt" o:hralign="center" o:hrstd="t" o:hr="t" fillcolor="#a0a0a0" stroked="f"/>
        </w:pict>
      </w:r>
    </w:p>
    <w:p w:rsidR="00000000" w:rsidRDefault="00602C02">
      <w:pPr>
        <w:jc w:val="center"/>
        <w:divId w:val="511259059"/>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511259059"/>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511259059"/>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511259059"/>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11259059"/>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511259059"/>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ind w:firstLine="360"/>
        <w:divId w:val="1056785226"/>
        <w:rPr>
          <w:rFonts w:eastAsia="Times New Roman"/>
        </w:rPr>
      </w:pPr>
      <w:r>
        <w:rPr>
          <w:rFonts w:eastAsia="Times New Roman"/>
          <w:b/>
          <w:bCs/>
          <w:i/>
          <w:iCs/>
          <w:color w:val="000000"/>
          <w:sz w:val="20"/>
          <w:szCs w:val="20"/>
        </w:rPr>
        <w:t>Operating Leases.</w:t>
      </w:r>
      <w:r>
        <w:rPr>
          <w:rFonts w:eastAsia="Times New Roman"/>
          <w:b/>
          <w:bCs/>
          <w:i/>
          <w:iCs/>
          <w:color w:val="000000"/>
          <w:sz w:val="20"/>
          <w:szCs w:val="20"/>
        </w:rPr>
        <w:t xml:space="preserve"> </w:t>
      </w:r>
      <w:r>
        <w:rPr>
          <w:rFonts w:eastAsia="Times New Roman"/>
          <w:color w:val="000000"/>
          <w:sz w:val="20"/>
          <w:szCs w:val="20"/>
        </w:rPr>
        <w:t>We lease certain of our land, facilities and equipment under operating leases, with terms ranging from less than one year to 20 years, some of which include options to extend for up to 20 years. At March 29, 2020, other assets included $475 million of oper</w:t>
      </w:r>
      <w:r>
        <w:rPr>
          <w:rFonts w:eastAsia="Times New Roman"/>
          <w:color w:val="000000"/>
          <w:sz w:val="20"/>
          <w:szCs w:val="20"/>
        </w:rPr>
        <w:t>ating lease assets, with corresponding lease liabilities of $132 million recorded in other current liabilities and $389 million recorded in other liabilities.</w:t>
      </w:r>
      <w:r>
        <w:rPr>
          <w:rFonts w:eastAsia="Times New Roman"/>
          <w:color w:val="000000"/>
          <w:sz w:val="20"/>
          <w:szCs w:val="20"/>
        </w:rPr>
        <w:t xml:space="preserve"> </w:t>
      </w:r>
    </w:p>
    <w:p w:rsidR="00000000" w:rsidRDefault="00602C02">
      <w:pPr>
        <w:ind w:firstLine="360"/>
        <w:divId w:val="460198709"/>
        <w:rPr>
          <w:rFonts w:eastAsia="Times New Roman"/>
        </w:rPr>
      </w:pPr>
      <w:r>
        <w:rPr>
          <w:rFonts w:eastAsia="Times New Roman"/>
          <w:color w:val="000000"/>
          <w:sz w:val="20"/>
          <w:szCs w:val="20"/>
        </w:rPr>
        <w:t>Operating lease expense for the three and six months ended March 29, 2020 was $44 million and $8</w:t>
      </w:r>
      <w:r>
        <w:rPr>
          <w:rFonts w:eastAsia="Times New Roman"/>
          <w:color w:val="000000"/>
          <w:sz w:val="20"/>
          <w:szCs w:val="20"/>
        </w:rPr>
        <w:t>8 million, respectively, and $35 million and $72 million for the three and six months ended March 31, 2019, respectively. Cash paid under our operating leases was $74 million for the six months ended March 29, 2020. As of March 29, 2020, the weighted-avera</w:t>
      </w:r>
      <w:r>
        <w:rPr>
          <w:rFonts w:eastAsia="Times New Roman"/>
          <w:color w:val="000000"/>
          <w:sz w:val="20"/>
          <w:szCs w:val="20"/>
        </w:rPr>
        <w:t>ge remaining lease term and weighted-average discount rate for operating leases were 6.0 years and 4%, respectively.</w:t>
      </w:r>
      <w:r>
        <w:rPr>
          <w:rFonts w:eastAsia="Times New Roman"/>
          <w:color w:val="000000"/>
          <w:sz w:val="20"/>
          <w:szCs w:val="20"/>
        </w:rPr>
        <w:t xml:space="preserve"> </w:t>
      </w:r>
    </w:p>
    <w:p w:rsidR="00000000" w:rsidRDefault="00602C02">
      <w:pPr>
        <w:ind w:firstLine="360"/>
        <w:divId w:val="1848667087"/>
        <w:rPr>
          <w:rFonts w:eastAsia="Times New Roman"/>
        </w:rPr>
      </w:pPr>
      <w:r>
        <w:rPr>
          <w:rFonts w:eastAsia="Times New Roman"/>
          <w:color w:val="000000"/>
          <w:sz w:val="20"/>
          <w:szCs w:val="20"/>
        </w:rPr>
        <w:t>At March 29, 2020, future lease payments under our operating leases were as follows (in millions)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1"/>
        <w:gridCol w:w="6896"/>
        <w:gridCol w:w="73"/>
        <w:gridCol w:w="36"/>
        <w:gridCol w:w="36"/>
        <w:gridCol w:w="126"/>
        <w:gridCol w:w="988"/>
        <w:gridCol w:w="80"/>
      </w:tblGrid>
      <w:tr w:rsidR="00000000">
        <w:trPr>
          <w:divId w:val="1191838232"/>
          <w:jc w:val="center"/>
        </w:trPr>
        <w:tc>
          <w:tcPr>
            <w:tcW w:w="50" w:type="pct"/>
            <w:vAlign w:val="center"/>
            <w:hideMark/>
          </w:tcPr>
          <w:p w:rsidR="00000000" w:rsidRDefault="00602C02">
            <w:pPr>
              <w:ind w:firstLine="360"/>
              <w:rPr>
                <w:rFonts w:eastAsia="Times New Roman"/>
              </w:rPr>
            </w:pPr>
          </w:p>
        </w:tc>
        <w:tc>
          <w:tcPr>
            <w:tcW w:w="419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606"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191838232"/>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Operating Lease</w:t>
            </w:r>
            <w:r>
              <w:rPr>
                <w:rFonts w:eastAsia="Times New Roman"/>
                <w:b/>
                <w:bCs/>
                <w:color w:val="000000"/>
                <w:sz w:val="18"/>
                <w:szCs w:val="18"/>
              </w:rPr>
              <w:t>s</w:t>
            </w:r>
          </w:p>
        </w:tc>
      </w:tr>
      <w:tr w:rsidR="00000000">
        <w:trPr>
          <w:divId w:val="1191838232"/>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Remainder of fiscal 202</w:t>
            </w:r>
            <w:r>
              <w:rPr>
                <w:rFonts w:eastAsia="Times New Roman"/>
                <w:color w:val="000000"/>
                <w:sz w:val="18"/>
                <w:szCs w:val="18"/>
              </w:rPr>
              <w:t>0</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1191838232"/>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202</w:t>
            </w:r>
            <w:r>
              <w:rPr>
                <w:rFonts w:eastAsia="Times New Roman"/>
                <w:color w:val="000000"/>
                <w:sz w:val="18"/>
                <w:szCs w:val="18"/>
              </w:rPr>
              <w:t>1</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1191838232"/>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202</w:t>
            </w:r>
            <w:r>
              <w:rPr>
                <w:rFonts w:eastAsia="Times New Roman"/>
                <w:color w:val="000000"/>
                <w:sz w:val="18"/>
                <w:szCs w:val="18"/>
              </w:rPr>
              <w:t>2</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1191838232"/>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202</w:t>
            </w:r>
            <w:r>
              <w:rPr>
                <w:rFonts w:eastAsia="Times New Roman"/>
                <w:color w:val="000000"/>
                <w:sz w:val="18"/>
                <w:szCs w:val="18"/>
              </w:rPr>
              <w:t>3</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1191838232"/>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202</w:t>
            </w:r>
            <w:r>
              <w:rPr>
                <w:rFonts w:eastAsia="Times New Roman"/>
                <w:color w:val="000000"/>
                <w:sz w:val="18"/>
                <w:szCs w:val="18"/>
              </w:rPr>
              <w:t>4</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1191838232"/>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Thereafte</w:t>
            </w:r>
            <w:r>
              <w:rPr>
                <w:rFonts w:eastAsia="Times New Roman"/>
                <w:color w:val="000000"/>
                <w:sz w:val="18"/>
                <w:szCs w:val="18"/>
              </w:rPr>
              <w:t>r</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1191838232"/>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future lease payment</w:t>
            </w:r>
            <w:r>
              <w:rPr>
                <w:rFonts w:eastAsia="Times New Roman"/>
                <w:color w:val="000000"/>
                <w:sz w:val="18"/>
                <w:szCs w:val="18"/>
              </w:rPr>
              <w:t>s</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1191838232"/>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Imputed interes</w:t>
            </w:r>
            <w:r>
              <w:rPr>
                <w:rFonts w:eastAsia="Times New Roman"/>
                <w:color w:val="000000"/>
                <w:sz w:val="18"/>
                <w:szCs w:val="18"/>
              </w:rPr>
              <w:t>t</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1191838232"/>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lease liability balanc</w:t>
            </w:r>
            <w:r>
              <w:rPr>
                <w:rFonts w:eastAsia="Times New Roman"/>
                <w:color w:val="000000"/>
                <w:sz w:val="18"/>
                <w:szCs w:val="18"/>
              </w:rPr>
              <w:t>e</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bl>
    <w:p w:rsidR="00000000" w:rsidRDefault="00602C02">
      <w:pPr>
        <w:ind w:firstLine="360"/>
        <w:divId w:val="1516269823"/>
        <w:rPr>
          <w:rFonts w:eastAsia="Times New Roman"/>
        </w:rPr>
      </w:pPr>
      <w:r>
        <w:rPr>
          <w:rFonts w:eastAsia="Times New Roman"/>
          <w:color w:val="000000"/>
          <w:sz w:val="20"/>
          <w:szCs w:val="20"/>
        </w:rPr>
        <w:t>At September 29, 2019</w:t>
      </w:r>
      <w:r>
        <w:rPr>
          <w:rFonts w:eastAsia="Times New Roman"/>
          <w:color w:val="000000"/>
          <w:sz w:val="20"/>
          <w:szCs w:val="20"/>
        </w:rPr>
        <w:t>,</w:t>
      </w:r>
      <w:r>
        <w:rPr>
          <w:rFonts w:eastAsia="Times New Roman"/>
          <w:b/>
          <w:bCs/>
          <w:i/>
          <w:iCs/>
          <w:color w:val="000000"/>
          <w:sz w:val="20"/>
          <w:szCs w:val="20"/>
        </w:rPr>
        <w:t xml:space="preserve"> </w:t>
      </w:r>
      <w:r>
        <w:rPr>
          <w:rFonts w:eastAsia="Times New Roman"/>
          <w:color w:val="000000"/>
          <w:sz w:val="20"/>
          <w:szCs w:val="20"/>
        </w:rPr>
        <w:t>future minimum lease payments under our noncancelable operating leases under ASC 840 were as follows (in millions)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71"/>
        <w:gridCol w:w="6896"/>
        <w:gridCol w:w="73"/>
        <w:gridCol w:w="36"/>
        <w:gridCol w:w="36"/>
        <w:gridCol w:w="126"/>
        <w:gridCol w:w="988"/>
        <w:gridCol w:w="80"/>
      </w:tblGrid>
      <w:tr w:rsidR="00000000">
        <w:trPr>
          <w:divId w:val="397872489"/>
          <w:jc w:val="center"/>
        </w:trPr>
        <w:tc>
          <w:tcPr>
            <w:tcW w:w="50" w:type="pct"/>
            <w:vAlign w:val="center"/>
            <w:hideMark/>
          </w:tcPr>
          <w:p w:rsidR="00000000" w:rsidRDefault="00602C02">
            <w:pPr>
              <w:ind w:firstLine="360"/>
              <w:rPr>
                <w:rFonts w:eastAsia="Times New Roman"/>
              </w:rPr>
            </w:pPr>
          </w:p>
        </w:tc>
        <w:tc>
          <w:tcPr>
            <w:tcW w:w="419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606"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397872489"/>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Operating Lease</w:t>
            </w:r>
            <w:r>
              <w:rPr>
                <w:rFonts w:eastAsia="Times New Roman"/>
                <w:b/>
                <w:bCs/>
                <w:color w:val="000000"/>
                <w:sz w:val="18"/>
                <w:szCs w:val="18"/>
              </w:rPr>
              <w:t>s</w:t>
            </w:r>
          </w:p>
        </w:tc>
      </w:tr>
      <w:tr w:rsidR="00000000">
        <w:trPr>
          <w:divId w:val="397872489"/>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202</w:t>
            </w:r>
            <w:r>
              <w:rPr>
                <w:rFonts w:eastAsia="Times New Roman"/>
                <w:color w:val="000000"/>
                <w:sz w:val="18"/>
                <w:szCs w:val="18"/>
              </w:rPr>
              <w:t>0</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397872489"/>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202</w:t>
            </w:r>
            <w:r>
              <w:rPr>
                <w:rFonts w:eastAsia="Times New Roman"/>
                <w:color w:val="000000"/>
                <w:sz w:val="18"/>
                <w:szCs w:val="18"/>
              </w:rPr>
              <w:t>1</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397872489"/>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202</w:t>
            </w:r>
            <w:r>
              <w:rPr>
                <w:rFonts w:eastAsia="Times New Roman"/>
                <w:color w:val="000000"/>
                <w:sz w:val="18"/>
                <w:szCs w:val="18"/>
              </w:rPr>
              <w:t>2</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397872489"/>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202</w:t>
            </w:r>
            <w:r>
              <w:rPr>
                <w:rFonts w:eastAsia="Times New Roman"/>
                <w:color w:val="000000"/>
                <w:sz w:val="18"/>
                <w:szCs w:val="18"/>
              </w:rPr>
              <w:t>3</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397872489"/>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202</w:t>
            </w:r>
            <w:r>
              <w:rPr>
                <w:rFonts w:eastAsia="Times New Roman"/>
                <w:color w:val="000000"/>
                <w:sz w:val="18"/>
                <w:szCs w:val="18"/>
              </w:rPr>
              <w:t>4</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397872489"/>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Thereafte</w:t>
            </w:r>
            <w:r>
              <w:rPr>
                <w:rFonts w:eastAsia="Times New Roman"/>
                <w:color w:val="000000"/>
                <w:sz w:val="18"/>
                <w:szCs w:val="18"/>
              </w:rPr>
              <w:t>r</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397872489"/>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vAlign w:val="center"/>
            <w:hideMark/>
          </w:tcPr>
          <w:p w:rsidR="00000000" w:rsidRDefault="00602C02">
            <w:pPr>
              <w:rPr>
                <w:rFonts w:eastAsia="Times New Roman"/>
              </w:rPr>
            </w:pPr>
          </w:p>
        </w:tc>
        <w:tc>
          <w:tcPr>
            <w:tcW w:w="0" w:type="auto"/>
            <w:vAlign w:val="center"/>
            <w:hideMark/>
          </w:tcPr>
          <w:p w:rsidR="00000000" w:rsidRDefault="00602C02">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bl>
    <w:p w:rsidR="00000000" w:rsidRDefault="00602C02">
      <w:pPr>
        <w:divId w:val="2121026365"/>
        <w:rPr>
          <w:rFonts w:eastAsia="Times New Roman"/>
        </w:rPr>
      </w:pPr>
      <w:r>
        <w:rPr>
          <w:rFonts w:eastAsia="Times New Roman"/>
          <w:b/>
          <w:bCs/>
          <w:color w:val="000000"/>
          <w:sz w:val="20"/>
          <w:szCs w:val="20"/>
        </w:rPr>
        <w:t>Note 6. Segment Informatio</w:t>
      </w:r>
      <w:r>
        <w:rPr>
          <w:rFonts w:eastAsia="Times New Roman"/>
          <w:b/>
          <w:bCs/>
          <w:color w:val="000000"/>
          <w:sz w:val="20"/>
          <w:szCs w:val="20"/>
        </w:rPr>
        <w:t>n</w:t>
      </w:r>
    </w:p>
    <w:p w:rsidR="00000000" w:rsidRDefault="00602C02">
      <w:pPr>
        <w:ind w:firstLine="360"/>
        <w:divId w:val="1949581882"/>
        <w:rPr>
          <w:rFonts w:eastAsia="Times New Roman"/>
        </w:rPr>
      </w:pPr>
      <w:r>
        <w:rPr>
          <w:rFonts w:eastAsia="Times New Roman"/>
          <w:color w:val="000000"/>
          <w:sz w:val="20"/>
          <w:szCs w:val="20"/>
        </w:rPr>
        <w:t>We are organized on the basis of products and services and have three reportable segments. We conduct business primarily through our QCT semiconductor business and our QTL licensing business. QCT develops and supplies integrated circuits and system softwar</w:t>
      </w:r>
      <w:r>
        <w:rPr>
          <w:rFonts w:eastAsia="Times New Roman"/>
          <w:color w:val="000000"/>
          <w:sz w:val="20"/>
          <w:szCs w:val="20"/>
        </w:rPr>
        <w:t>e based on CDMA, OFDMA and other technologies for use in mobile devices, wireless networks, devices used in the Internet of Things (IoT), broadband gateway equipment, consumer electronic devices and automotive telematics and infotainment systems. QTL grant</w:t>
      </w:r>
      <w:r>
        <w:rPr>
          <w:rFonts w:eastAsia="Times New Roman"/>
          <w:color w:val="000000"/>
          <w:sz w:val="20"/>
          <w:szCs w:val="20"/>
        </w:rPr>
        <w:t>s licenses to use portions of our intellectual property portfolio, which includes certain patent rights essential to and/or useful in the manufacture, sale or use of certain wireless products. Our QSI (Qualcomm Strategic Initiatives) reportable segment mak</w:t>
      </w:r>
      <w:r>
        <w:rPr>
          <w:rFonts w:eastAsia="Times New Roman"/>
          <w:color w:val="000000"/>
          <w:sz w:val="20"/>
          <w:szCs w:val="20"/>
        </w:rPr>
        <w:t>es strategic investments and includes revenues and related costs associated with development contracts with an equity method investee. We also have nonreportable segments, including QGOV (Qualcomm Government Technologies) and other technology and service i</w:t>
      </w:r>
      <w:r>
        <w:rPr>
          <w:rFonts w:eastAsia="Times New Roman"/>
          <w:color w:val="000000"/>
          <w:sz w:val="20"/>
          <w:szCs w:val="20"/>
        </w:rPr>
        <w:t>nitiatives</w:t>
      </w:r>
      <w:r>
        <w:rPr>
          <w:rFonts w:eastAsia="Times New Roman"/>
          <w:color w:val="000000"/>
          <w:sz w:val="20"/>
          <w:szCs w:val="20"/>
        </w:rPr>
        <w:t>.</w:t>
      </w:r>
    </w:p>
    <w:p w:rsidR="00000000" w:rsidRDefault="00602C02">
      <w:pPr>
        <w:ind w:firstLine="360"/>
        <w:divId w:val="1228226714"/>
        <w:rPr>
          <w:rFonts w:eastAsia="Times New Roman"/>
        </w:rPr>
      </w:pPr>
      <w:r>
        <w:rPr>
          <w:rFonts w:eastAsia="Times New Roman"/>
          <w:color w:val="000000"/>
          <w:sz w:val="20"/>
          <w:szCs w:val="20"/>
        </w:rPr>
        <w:t>We evaluate the performance of our segments based on earnings (loss) before income taxes (EBT). Segment EBT includes the allocation of certain corporate expenses to the segments, including depreciation and amortization expense related to unallo</w:t>
      </w:r>
      <w:r>
        <w:rPr>
          <w:rFonts w:eastAsia="Times New Roman"/>
          <w:color w:val="000000"/>
          <w:sz w:val="20"/>
          <w:szCs w:val="20"/>
        </w:rPr>
        <w:t>cated corporate assets. Certain income and charges are not allocated to segments in our management reports because they are not considered in evaluating the segments’ operating performance. Unallocated income and charges include certain interest expense, c</w:t>
      </w:r>
      <w:r>
        <w:rPr>
          <w:rFonts w:eastAsia="Times New Roman"/>
          <w:color w:val="000000"/>
          <w:sz w:val="20"/>
          <w:szCs w:val="20"/>
        </w:rPr>
        <w:t>ertain net investment income, certain share-based compensati</w:t>
      </w:r>
      <w:r>
        <w:rPr>
          <w:rFonts w:eastAsia="Times New Roman"/>
          <w:color w:val="000000"/>
          <w:sz w:val="20"/>
          <w:szCs w:val="20"/>
        </w:rPr>
        <w:t>o</w:t>
      </w:r>
      <w:r>
        <w:rPr>
          <w:rFonts w:eastAsia="Times New Roman"/>
          <w:color w:val="000000"/>
          <w:sz w:val="20"/>
          <w:szCs w:val="20"/>
          <w:shd w:val="clear" w:color="auto" w:fill="FFFFFF"/>
        </w:rPr>
        <w:t>n, gains and losses on our deferred compensation plan liabilities and related assets and certain research and develo</w:t>
      </w:r>
      <w:r>
        <w:rPr>
          <w:rFonts w:eastAsia="Times New Roman"/>
          <w:color w:val="000000"/>
          <w:sz w:val="20"/>
          <w:szCs w:val="20"/>
          <w:shd w:val="clear" w:color="auto" w:fill="FFFFFF"/>
        </w:rPr>
        <w:t>p</w:t>
      </w:r>
      <w:r>
        <w:rPr>
          <w:rFonts w:eastAsia="Times New Roman"/>
          <w:color w:val="000000"/>
          <w:sz w:val="20"/>
          <w:szCs w:val="20"/>
        </w:rPr>
        <w:t>ment expenses, selling, general and</w:t>
      </w:r>
      <w:r>
        <w:rPr>
          <w:rFonts w:eastAsia="Times New Roman"/>
          <w:color w:val="000000"/>
          <w:sz w:val="20"/>
          <w:szCs w:val="20"/>
        </w:rPr>
        <w:t xml:space="preserve"> </w:t>
      </w:r>
    </w:p>
    <w:p w:rsidR="00000000" w:rsidRDefault="00602C02">
      <w:pPr>
        <w:jc w:val="center"/>
        <w:divId w:val="3439982"/>
        <w:rPr>
          <w:rFonts w:eastAsia="Times New Roman"/>
        </w:rPr>
      </w:pPr>
      <w:r>
        <w:rPr>
          <w:rFonts w:eastAsia="Times New Roman"/>
          <w:color w:val="000000"/>
          <w:sz w:val="20"/>
          <w:szCs w:val="20"/>
        </w:rPr>
        <w:t>1</w:t>
      </w:r>
      <w:r>
        <w:rPr>
          <w:rFonts w:eastAsia="Times New Roman"/>
          <w:color w:val="000000"/>
          <w:sz w:val="20"/>
          <w:szCs w:val="20"/>
        </w:rPr>
        <w:t>6</w:t>
      </w:r>
    </w:p>
    <w:p w:rsidR="00000000" w:rsidRDefault="00602C02">
      <w:pPr>
        <w:rPr>
          <w:rFonts w:eastAsia="Times New Roman"/>
        </w:rPr>
      </w:pPr>
      <w:r>
        <w:rPr>
          <w:rFonts w:eastAsia="Times New Roman"/>
        </w:rPr>
        <w:pict>
          <v:rect id="_x0000_i1040" style="width:0;height:1.5pt" o:hralign="center" o:hrstd="t" o:hr="t" fillcolor="#a0a0a0" stroked="f"/>
        </w:pict>
      </w:r>
    </w:p>
    <w:p w:rsidR="00000000" w:rsidRDefault="00602C02">
      <w:pPr>
        <w:jc w:val="center"/>
        <w:divId w:val="1863780936"/>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1863780936"/>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863780936"/>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63780936"/>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63780936"/>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63780936"/>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divId w:val="2131514537"/>
        <w:rPr>
          <w:rFonts w:eastAsia="Times New Roman"/>
        </w:rPr>
      </w:pPr>
      <w:r>
        <w:rPr>
          <w:rFonts w:eastAsia="Times New Roman"/>
          <w:color w:val="000000"/>
          <w:sz w:val="20"/>
          <w:szCs w:val="20"/>
        </w:rPr>
        <w:t>administrative expenses and other expenses or income that were deemed to be not directly related to the businesses of the segments. Additionally, unallocated charges include recognition of the step-up of inventories and property, plant and equipment to fai</w:t>
      </w:r>
      <w:r>
        <w:rPr>
          <w:rFonts w:eastAsia="Times New Roman"/>
          <w:color w:val="000000"/>
          <w:sz w:val="20"/>
          <w:szCs w:val="20"/>
        </w:rPr>
        <w:t>r value, amortization of certain intangible assets and certain other acquisition-related charges, third-party acquisition and integration services costs and certain other items, which may include major restructuring and restructuring-related costs, goodwil</w:t>
      </w:r>
      <w:r>
        <w:rPr>
          <w:rFonts w:eastAsia="Times New Roman"/>
          <w:color w:val="000000"/>
          <w:sz w:val="20"/>
          <w:szCs w:val="20"/>
        </w:rPr>
        <w:t>l and long-lived asset impairment charges and litigation settlements and/or damages.</w:t>
      </w:r>
      <w:r>
        <w:rPr>
          <w:rFonts w:eastAsia="Times New Roman"/>
          <w:color w:val="000000"/>
          <w:sz w:val="20"/>
          <w:szCs w:val="20"/>
        </w:rPr>
        <w:t xml:space="preserve"> </w:t>
      </w:r>
    </w:p>
    <w:p w:rsidR="00000000" w:rsidRDefault="00602C02">
      <w:pPr>
        <w:ind w:firstLine="360"/>
        <w:divId w:val="14888371"/>
        <w:rPr>
          <w:rFonts w:eastAsia="Times New Roman"/>
        </w:rPr>
      </w:pPr>
      <w:r>
        <w:rPr>
          <w:rFonts w:eastAsia="Times New Roman"/>
          <w:color w:val="000000"/>
          <w:sz w:val="20"/>
          <w:szCs w:val="20"/>
        </w:rPr>
        <w:t>The table below presents revenues, EBT and total assets for reportable segments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1"/>
        <w:gridCol w:w="3686"/>
        <w:gridCol w:w="41"/>
        <w:gridCol w:w="125"/>
        <w:gridCol w:w="756"/>
        <w:gridCol w:w="80"/>
        <w:gridCol w:w="36"/>
        <w:gridCol w:w="36"/>
        <w:gridCol w:w="36"/>
        <w:gridCol w:w="125"/>
        <w:gridCol w:w="727"/>
        <w:gridCol w:w="80"/>
        <w:gridCol w:w="36"/>
        <w:gridCol w:w="36"/>
        <w:gridCol w:w="36"/>
        <w:gridCol w:w="125"/>
        <w:gridCol w:w="727"/>
        <w:gridCol w:w="80"/>
        <w:gridCol w:w="36"/>
        <w:gridCol w:w="36"/>
        <w:gridCol w:w="36"/>
        <w:gridCol w:w="125"/>
        <w:gridCol w:w="727"/>
        <w:gridCol w:w="80"/>
        <w:gridCol w:w="36"/>
        <w:gridCol w:w="36"/>
        <w:gridCol w:w="36"/>
        <w:gridCol w:w="36"/>
        <w:gridCol w:w="36"/>
        <w:gridCol w:w="36"/>
        <w:gridCol w:w="36"/>
        <w:gridCol w:w="36"/>
        <w:gridCol w:w="36"/>
        <w:gridCol w:w="36"/>
        <w:gridCol w:w="36"/>
        <w:gridCol w:w="36"/>
      </w:tblGrid>
      <w:tr w:rsidR="00000000">
        <w:trPr>
          <w:gridAfter w:val="12"/>
          <w:divId w:val="520315199"/>
        </w:trPr>
        <w:tc>
          <w:tcPr>
            <w:tcW w:w="50" w:type="pct"/>
            <w:vAlign w:val="center"/>
            <w:hideMark/>
          </w:tcPr>
          <w:p w:rsidR="00000000" w:rsidRDefault="00602C02">
            <w:pPr>
              <w:ind w:firstLine="360"/>
              <w:rPr>
                <w:rFonts w:eastAsia="Times New Roman"/>
              </w:rPr>
            </w:pPr>
          </w:p>
        </w:tc>
        <w:tc>
          <w:tcPr>
            <w:tcW w:w="237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520315199"/>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rPr>
          <w:divId w:val="520315199"/>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Revenue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QC</w:t>
            </w:r>
            <w:r>
              <w:rPr>
                <w:rFonts w:eastAsia="Times New Roman"/>
                <w:color w:val="000000"/>
                <w:sz w:val="18"/>
                <w:szCs w:val="18"/>
              </w:rPr>
              <w:t>T</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4,100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3,722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7,719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7,461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QT</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1,072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1,122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2,477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QS</w:t>
            </w:r>
            <w:r>
              <w:rPr>
                <w:rFonts w:eastAsia="Times New Roman"/>
                <w:color w:val="000000"/>
                <w:sz w:val="18"/>
                <w:szCs w:val="18"/>
              </w:rPr>
              <w:t>I</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Reconciling item</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5,216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4,982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10,292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9,824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EB</w:t>
            </w:r>
            <w:r>
              <w:rPr>
                <w:rFonts w:eastAsia="Times New Roman"/>
                <w:b/>
                <w:bCs/>
                <w:color w:val="000000"/>
                <w:sz w:val="18"/>
                <w:szCs w:val="18"/>
              </w:rPr>
              <w:t>T</w:t>
            </w: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QC</w:t>
            </w:r>
            <w:r>
              <w:rPr>
                <w:rFonts w:eastAsia="Times New Roman"/>
                <w:color w:val="000000"/>
                <w:sz w:val="18"/>
                <w:szCs w:val="18"/>
              </w:rPr>
              <w:t>T</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542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1,140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QT</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674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1,689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QS</w:t>
            </w:r>
            <w:r>
              <w:rPr>
                <w:rFonts w:eastAsia="Times New Roman"/>
                <w:color w:val="000000"/>
                <w:sz w:val="18"/>
                <w:szCs w:val="18"/>
              </w:rPr>
              <w:t>I</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Reconciling item</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(532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(1,079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(1,063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20315199"/>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598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806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1,545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1,366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tbl>
      <w:tblPr>
        <w:tblW w:w="4992" w:type="pct"/>
        <w:jc w:val="center"/>
        <w:tblCellMar>
          <w:top w:w="15" w:type="dxa"/>
          <w:left w:w="15" w:type="dxa"/>
          <w:bottom w:w="15" w:type="dxa"/>
          <w:right w:w="15" w:type="dxa"/>
        </w:tblCellMar>
        <w:tblLook w:val="04A0" w:firstRow="1" w:lastRow="0" w:firstColumn="1" w:lastColumn="0" w:noHBand="0" w:noVBand="1"/>
      </w:tblPr>
      <w:tblGrid>
        <w:gridCol w:w="144"/>
        <w:gridCol w:w="6061"/>
        <w:gridCol w:w="144"/>
        <w:gridCol w:w="144"/>
        <w:gridCol w:w="834"/>
        <w:gridCol w:w="144"/>
        <w:gridCol w:w="144"/>
        <w:gridCol w:w="144"/>
        <w:gridCol w:w="144"/>
        <w:gridCol w:w="144"/>
        <w:gridCol w:w="834"/>
        <w:gridCol w:w="144"/>
      </w:tblGrid>
      <w:tr w:rsidR="00000000">
        <w:trPr>
          <w:jc w:val="center"/>
        </w:trPr>
        <w:tc>
          <w:tcPr>
            <w:tcW w:w="50" w:type="pct"/>
            <w:vAlign w:val="center"/>
            <w:hideMark/>
          </w:tcPr>
          <w:p w:rsidR="00000000" w:rsidRDefault="00602C02">
            <w:pPr>
              <w:rPr>
                <w:rFonts w:eastAsia="Times New Roman"/>
              </w:rPr>
            </w:pPr>
          </w:p>
        </w:tc>
        <w:tc>
          <w:tcPr>
            <w:tcW w:w="365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r>
      <w:tr w:rsidR="00000000">
        <w:trPr>
          <w:jc w:val="center"/>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QC</w:t>
            </w:r>
            <w:r>
              <w:rPr>
                <w:rFonts w:eastAsia="Times New Roman"/>
                <w:color w:val="000000"/>
                <w:sz w:val="18"/>
                <w:szCs w:val="18"/>
              </w:rPr>
              <w:t>T</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3,286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2,307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QT</w:t>
            </w:r>
            <w:r>
              <w:rPr>
                <w:rFonts w:eastAsia="Times New Roman"/>
                <w:color w:val="000000"/>
                <w:sz w:val="18"/>
                <w:szCs w:val="18"/>
              </w:rPr>
              <w:t>L</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1,465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1,541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QS</w:t>
            </w:r>
            <w:r>
              <w:rPr>
                <w:rFonts w:eastAsia="Times New Roman"/>
                <w:color w:val="000000"/>
                <w:sz w:val="18"/>
                <w:szCs w:val="18"/>
              </w:rPr>
              <w:t>I</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1,708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Reconciling item</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25,906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27,401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jc w:val="center"/>
        </w:trPr>
        <w:tc>
          <w:tcPr>
            <w:tcW w:w="0" w:type="auto"/>
            <w:gridSpan w:val="3"/>
            <w:shd w:val="clear" w:color="auto" w:fill="CCEE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31,938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32,957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bl>
    <w:p w:rsidR="00000000" w:rsidRDefault="00602C02">
      <w:pPr>
        <w:ind w:firstLine="360"/>
        <w:divId w:val="1563442973"/>
        <w:rPr>
          <w:rFonts w:eastAsia="Times New Roman"/>
        </w:rPr>
      </w:pPr>
      <w:r>
        <w:rPr>
          <w:rFonts w:eastAsia="Times New Roman"/>
          <w:color w:val="000000"/>
          <w:sz w:val="20"/>
          <w:szCs w:val="20"/>
        </w:rPr>
        <w:t xml:space="preserve">Segment assets are comprised of accounts receivable and inventories for all reportable segments other than QSI. QSI segment assets include certain non-marketable equity instruments, receivables and other investments. Total segment assets differ from total </w:t>
      </w:r>
      <w:r>
        <w:rPr>
          <w:rFonts w:eastAsia="Times New Roman"/>
          <w:color w:val="000000"/>
          <w:sz w:val="20"/>
          <w:szCs w:val="20"/>
        </w:rPr>
        <w:t>assets on a consolidated basis as a result of unallocated corporate assets primarily comprised of certain cash, cash equivalents, marketable and non-marketable securities, property, plant and equipment, deferred tax assets, goodwill, intangible assets, ope</w:t>
      </w:r>
      <w:r>
        <w:rPr>
          <w:rFonts w:eastAsia="Times New Roman"/>
          <w:color w:val="000000"/>
          <w:sz w:val="20"/>
          <w:szCs w:val="20"/>
        </w:rPr>
        <w:t>rating lease assets, noncurrent income taxes receivab</w:t>
      </w:r>
      <w:r>
        <w:rPr>
          <w:rFonts w:eastAsia="Times New Roman"/>
          <w:color w:val="000000"/>
          <w:sz w:val="20"/>
          <w:szCs w:val="20"/>
        </w:rPr>
        <w:t>l</w:t>
      </w:r>
      <w:r>
        <w:rPr>
          <w:rFonts w:eastAsia="Times New Roman"/>
          <w:color w:val="000000"/>
          <w:sz w:val="20"/>
          <w:szCs w:val="20"/>
          <w:shd w:val="clear" w:color="auto" w:fill="FFFFFF"/>
        </w:rPr>
        <w:t>es, deferred compensation plan assets</w:t>
      </w:r>
      <w:r>
        <w:rPr>
          <w:rFonts w:eastAsia="Times New Roman"/>
          <w:color w:val="000000"/>
          <w:sz w:val="20"/>
          <w:szCs w:val="20"/>
          <w:shd w:val="clear" w:color="auto" w:fill="FFFFFF"/>
        </w:rPr>
        <w:t xml:space="preserve"> </w:t>
      </w:r>
      <w:r>
        <w:rPr>
          <w:rFonts w:eastAsia="Times New Roman"/>
          <w:color w:val="000000"/>
          <w:sz w:val="20"/>
          <w:szCs w:val="20"/>
        </w:rPr>
        <w:t>and assets of nonreportable segments</w:t>
      </w:r>
      <w:r>
        <w:rPr>
          <w:rFonts w:eastAsia="Times New Roman"/>
          <w:color w:val="000000"/>
          <w:sz w:val="20"/>
          <w:szCs w:val="20"/>
        </w:rPr>
        <w:t>.</w:t>
      </w:r>
    </w:p>
    <w:p w:rsidR="00000000" w:rsidRDefault="00602C02">
      <w:pPr>
        <w:ind w:firstLine="360"/>
        <w:divId w:val="1249198608"/>
        <w:rPr>
          <w:rFonts w:eastAsia="Times New Roman"/>
        </w:rPr>
      </w:pPr>
      <w:r>
        <w:rPr>
          <w:rFonts w:eastAsia="Times New Roman"/>
          <w:color w:val="000000"/>
          <w:sz w:val="20"/>
          <w:szCs w:val="20"/>
        </w:rPr>
        <w:t>QCT accounts receivable increased by 75</w:t>
      </w:r>
      <w:r>
        <w:rPr>
          <w:rFonts w:eastAsia="Times New Roman"/>
          <w:color w:val="000000"/>
          <w:sz w:val="20"/>
          <w:szCs w:val="20"/>
        </w:rPr>
        <w:t>% in the first six months of fiscal 2020 from $908 million to $1.59 billion, primarily driven by an increase in revenues combined with the timing of integrated circuit shipments during the quarter and a decrease in the relative proportion of customer incen</w:t>
      </w:r>
      <w:r>
        <w:rPr>
          <w:rFonts w:eastAsia="Times New Roman"/>
          <w:color w:val="000000"/>
          <w:sz w:val="20"/>
          <w:szCs w:val="20"/>
        </w:rPr>
        <w:t>tive arrangements that are recorded in accounts receivable. QCT inventories increased by 21% in the first six months of fiscal 2020 from $1.40 billion to $1.70 billion, primarily driven by the ramp in 5G</w:t>
      </w:r>
      <w:r>
        <w:rPr>
          <w:rFonts w:eastAsia="Times New Roman"/>
          <w:color w:val="000000"/>
          <w:sz w:val="20"/>
          <w:szCs w:val="20"/>
        </w:rPr>
        <w:t>.</w:t>
      </w:r>
    </w:p>
    <w:p w:rsidR="00000000" w:rsidRDefault="00602C02">
      <w:pPr>
        <w:ind w:firstLine="360"/>
        <w:divId w:val="1968585595"/>
        <w:rPr>
          <w:rFonts w:eastAsia="Times New Roman"/>
        </w:rPr>
      </w:pPr>
      <w:r>
        <w:rPr>
          <w:rFonts w:eastAsia="Times New Roman"/>
          <w:color w:val="000000"/>
          <w:sz w:val="20"/>
          <w:szCs w:val="20"/>
          <w:shd w:val="clear" w:color="auto" w:fill="FFFFFF"/>
        </w:rPr>
        <w:t>At March 29, 2020, 26% of total accounts receivable</w:t>
      </w:r>
      <w:r>
        <w:rPr>
          <w:rFonts w:eastAsia="Times New Roman"/>
          <w:color w:val="000000"/>
          <w:sz w:val="20"/>
          <w:szCs w:val="20"/>
          <w:shd w:val="clear" w:color="auto" w:fill="FFFFFF"/>
        </w:rPr>
        <w:t xml:space="preserve"> included royalties from Guangdong OPPO Mobile Telecommunications Corp., Ltd. (Oppo) and BBK Communication Technology Co., Ltd. (vivo) (who were previously disclosed as two key Chinese licensees), primarily from sales made in the last four fiscal quarters </w:t>
      </w:r>
      <w:r>
        <w:rPr>
          <w:rFonts w:eastAsia="Times New Roman"/>
          <w:color w:val="000000"/>
          <w:sz w:val="20"/>
          <w:szCs w:val="20"/>
          <w:shd w:val="clear" w:color="auto" w:fill="FFFFFF"/>
        </w:rPr>
        <w:t xml:space="preserve">(including amounts that are not yet due) under license agreements that expired on March 31, 2020. We entered into new long-term, world-wide patent license agreements with these licensees, effective as of April 1, 2020, covering 3G/4G/5G multimode devices. </w:t>
      </w:r>
      <w:r>
        <w:rPr>
          <w:rFonts w:eastAsia="Times New Roman"/>
          <w:color w:val="000000"/>
          <w:sz w:val="20"/>
          <w:szCs w:val="20"/>
          <w:shd w:val="clear" w:color="auto" w:fill="FFFFFF"/>
        </w:rPr>
        <w:t xml:space="preserve">We also reached agreements with these licensees to provide for payment of amounts due under the license agreements that expired on March 31, 2020 and for which certain of such amounts for prior periods were withheld while good faith negotiations </w:t>
      </w:r>
    </w:p>
    <w:p w:rsidR="00000000" w:rsidRDefault="00602C02">
      <w:pPr>
        <w:jc w:val="center"/>
        <w:divId w:val="1825002776"/>
        <w:rPr>
          <w:rFonts w:eastAsia="Times New Roman"/>
        </w:rPr>
      </w:pPr>
      <w:r>
        <w:rPr>
          <w:rFonts w:eastAsia="Times New Roman"/>
          <w:color w:val="000000"/>
          <w:sz w:val="20"/>
          <w:szCs w:val="20"/>
        </w:rPr>
        <w:t>1</w:t>
      </w:r>
      <w:r>
        <w:rPr>
          <w:rFonts w:eastAsia="Times New Roman"/>
          <w:color w:val="000000"/>
          <w:sz w:val="20"/>
          <w:szCs w:val="20"/>
        </w:rPr>
        <w:t>7</w:t>
      </w:r>
    </w:p>
    <w:p w:rsidR="00000000" w:rsidRDefault="00602C02">
      <w:pPr>
        <w:rPr>
          <w:rFonts w:eastAsia="Times New Roman"/>
        </w:rPr>
      </w:pPr>
      <w:r>
        <w:rPr>
          <w:rFonts w:eastAsia="Times New Roman"/>
        </w:rPr>
        <w:pict>
          <v:rect id="_x0000_i1041" style="width:0;height:1.5pt" o:hralign="center" o:hrstd="t" o:hr="t" fillcolor="#a0a0a0" stroked="f"/>
        </w:pict>
      </w:r>
    </w:p>
    <w:p w:rsidR="00000000" w:rsidRDefault="00602C02">
      <w:pPr>
        <w:jc w:val="center"/>
        <w:divId w:val="848446381"/>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848446381"/>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848446381"/>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84844638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848446381"/>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848446381"/>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divId w:val="1684091865"/>
        <w:rPr>
          <w:rFonts w:eastAsia="Times New Roman"/>
        </w:rPr>
      </w:pPr>
      <w:r>
        <w:rPr>
          <w:rFonts w:eastAsia="Times New Roman"/>
          <w:color w:val="000000"/>
          <w:sz w:val="20"/>
          <w:szCs w:val="20"/>
          <w:shd w:val="clear" w:color="auto" w:fill="FFFFFF"/>
        </w:rPr>
        <w:t>occurred. The licensees have agreed to make full payment in the near term according to agreed upon payment schedules. These licensees/customers continue to make timely payments on purchases of integrated circuit products. No reversals of revenues were reco</w:t>
      </w:r>
      <w:r>
        <w:rPr>
          <w:rFonts w:eastAsia="Times New Roman"/>
          <w:color w:val="000000"/>
          <w:sz w:val="20"/>
          <w:szCs w:val="20"/>
          <w:shd w:val="clear" w:color="auto" w:fill="FFFFFF"/>
        </w:rPr>
        <w:t xml:space="preserve">gnized in the second quarter of fiscal 2020 as a result of these agreements. </w:t>
      </w:r>
    </w:p>
    <w:p w:rsidR="00000000" w:rsidRDefault="00602C02">
      <w:pPr>
        <w:ind w:firstLine="360"/>
        <w:divId w:val="885147087"/>
        <w:rPr>
          <w:rFonts w:eastAsia="Times New Roman"/>
        </w:rPr>
      </w:pPr>
      <w:r>
        <w:rPr>
          <w:rFonts w:eastAsia="Times New Roman"/>
          <w:color w:val="000000"/>
          <w:sz w:val="20"/>
          <w:szCs w:val="20"/>
          <w:shd w:val="clear" w:color="auto" w:fill="FFFFFF"/>
        </w:rPr>
        <w:t>QSI segment assets, which primarily consist of non-marketable and marketable equity investments, decreased by 25% in the first six months of fiscal 2020 from $1.71 billion to $1.</w:t>
      </w:r>
      <w:r>
        <w:rPr>
          <w:rFonts w:eastAsia="Times New Roman"/>
          <w:color w:val="000000"/>
          <w:sz w:val="20"/>
          <w:szCs w:val="20"/>
          <w:shd w:val="clear" w:color="auto" w:fill="FFFFFF"/>
        </w:rPr>
        <w:t>28 billion, primarily due to certain impairment losses on other investments (Note 2) and the sale of certain marketable equity investments.</w:t>
      </w:r>
    </w:p>
    <w:p w:rsidR="00000000" w:rsidRDefault="00602C02">
      <w:pPr>
        <w:divId w:val="1003433373"/>
        <w:rPr>
          <w:rFonts w:eastAsia="Times New Roman"/>
        </w:rPr>
      </w:pPr>
      <w:r>
        <w:rPr>
          <w:rFonts w:eastAsia="Times New Roman"/>
          <w:color w:val="000000"/>
          <w:sz w:val="20"/>
          <w:szCs w:val="20"/>
        </w:rPr>
        <w:t>Reconciling items for revenues and EBT in the previous table were as follows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1"/>
        <w:gridCol w:w="3686"/>
        <w:gridCol w:w="41"/>
        <w:gridCol w:w="125"/>
        <w:gridCol w:w="756"/>
        <w:gridCol w:w="80"/>
        <w:gridCol w:w="36"/>
        <w:gridCol w:w="36"/>
        <w:gridCol w:w="36"/>
        <w:gridCol w:w="125"/>
        <w:gridCol w:w="727"/>
        <w:gridCol w:w="80"/>
        <w:gridCol w:w="36"/>
        <w:gridCol w:w="36"/>
        <w:gridCol w:w="36"/>
        <w:gridCol w:w="125"/>
        <w:gridCol w:w="727"/>
        <w:gridCol w:w="80"/>
        <w:gridCol w:w="36"/>
        <w:gridCol w:w="36"/>
        <w:gridCol w:w="36"/>
        <w:gridCol w:w="125"/>
        <w:gridCol w:w="727"/>
        <w:gridCol w:w="80"/>
        <w:gridCol w:w="36"/>
        <w:gridCol w:w="36"/>
        <w:gridCol w:w="36"/>
        <w:gridCol w:w="36"/>
        <w:gridCol w:w="36"/>
        <w:gridCol w:w="36"/>
        <w:gridCol w:w="36"/>
        <w:gridCol w:w="36"/>
        <w:gridCol w:w="36"/>
        <w:gridCol w:w="36"/>
        <w:gridCol w:w="36"/>
        <w:gridCol w:w="36"/>
      </w:tblGrid>
      <w:tr w:rsidR="00000000">
        <w:trPr>
          <w:gridAfter w:val="12"/>
          <w:divId w:val="343869675"/>
        </w:trPr>
        <w:tc>
          <w:tcPr>
            <w:tcW w:w="50" w:type="pct"/>
            <w:vAlign w:val="center"/>
            <w:hideMark/>
          </w:tcPr>
          <w:p w:rsidR="00000000" w:rsidRDefault="00602C02">
            <w:pPr>
              <w:rPr>
                <w:rFonts w:eastAsia="Times New Roman"/>
              </w:rPr>
            </w:pPr>
          </w:p>
        </w:tc>
        <w:tc>
          <w:tcPr>
            <w:tcW w:w="237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343869675"/>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rPr>
          <w:divId w:val="343869675"/>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Revenue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Nonreportable segment</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EB</w:t>
            </w:r>
            <w:r>
              <w:rPr>
                <w:rFonts w:eastAsia="Times New Roman"/>
                <w:b/>
                <w:bCs/>
                <w:color w:val="000000"/>
                <w:sz w:val="18"/>
                <w:szCs w:val="18"/>
              </w:rPr>
              <w:t>T</w:t>
            </w: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Unallocated cost of revenue</w:t>
            </w:r>
            <w:r>
              <w:rPr>
                <w:rFonts w:eastAsia="Times New Roman"/>
                <w:color w:val="000000"/>
                <w:sz w:val="18"/>
                <w:szCs w:val="18"/>
              </w:rPr>
              <w:t>s</w:t>
            </w: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Unallocated research and development expense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(190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(475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Unallocated selling, general and administrative expense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Unallocated other income (expenses) (Note 2</w:t>
            </w:r>
            <w:r>
              <w:rPr>
                <w:rFonts w:eastAsia="Times New Roman"/>
                <w:color w:val="000000"/>
                <w:sz w:val="18"/>
                <w:szCs w:val="18"/>
              </w:rPr>
              <w:t>)</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Unallocated interest expens</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Unallocated investment and other (expense) income, ne</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Nonreportable segment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43869675"/>
        </w:trPr>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(532</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(427</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(1,079</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(1,063</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divId w:val="898445705"/>
        <w:rPr>
          <w:rFonts w:eastAsia="Times New Roman"/>
        </w:rPr>
      </w:pPr>
      <w:r>
        <w:rPr>
          <w:rFonts w:eastAsia="Times New Roman"/>
          <w:b/>
          <w:bCs/>
          <w:color w:val="000000"/>
          <w:sz w:val="20"/>
          <w:szCs w:val="20"/>
        </w:rPr>
        <w:t>Note 7. Fair Value Measurement</w:t>
      </w:r>
      <w:r>
        <w:rPr>
          <w:rFonts w:eastAsia="Times New Roman"/>
          <w:b/>
          <w:bCs/>
          <w:color w:val="000000"/>
          <w:sz w:val="20"/>
          <w:szCs w:val="20"/>
        </w:rPr>
        <w:t>s</w:t>
      </w:r>
    </w:p>
    <w:p w:rsidR="00000000" w:rsidRDefault="00602C02">
      <w:pPr>
        <w:ind w:firstLine="360"/>
        <w:divId w:val="1684669143"/>
        <w:rPr>
          <w:rFonts w:eastAsia="Times New Roman"/>
        </w:rPr>
      </w:pPr>
      <w:r>
        <w:rPr>
          <w:rFonts w:eastAsia="Times New Roman"/>
          <w:color w:val="000000"/>
          <w:sz w:val="20"/>
          <w:szCs w:val="20"/>
        </w:rPr>
        <w:t>The following table presents our fair value hierarchy for assets and liabilities measured at fair value on a recurring basis at March 29, 2020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6"/>
        <w:gridCol w:w="3900"/>
        <w:gridCol w:w="56"/>
        <w:gridCol w:w="125"/>
        <w:gridCol w:w="808"/>
        <w:gridCol w:w="80"/>
        <w:gridCol w:w="36"/>
        <w:gridCol w:w="36"/>
        <w:gridCol w:w="36"/>
        <w:gridCol w:w="125"/>
        <w:gridCol w:w="772"/>
        <w:gridCol w:w="80"/>
        <w:gridCol w:w="36"/>
        <w:gridCol w:w="36"/>
        <w:gridCol w:w="36"/>
        <w:gridCol w:w="126"/>
        <w:gridCol w:w="772"/>
        <w:gridCol w:w="80"/>
        <w:gridCol w:w="36"/>
        <w:gridCol w:w="36"/>
        <w:gridCol w:w="36"/>
        <w:gridCol w:w="125"/>
        <w:gridCol w:w="772"/>
        <w:gridCol w:w="80"/>
      </w:tblGrid>
      <w:tr w:rsidR="00000000">
        <w:trPr>
          <w:divId w:val="784617837"/>
        </w:trPr>
        <w:tc>
          <w:tcPr>
            <w:tcW w:w="50" w:type="pct"/>
            <w:vAlign w:val="center"/>
            <w:hideMark/>
          </w:tcPr>
          <w:p w:rsidR="00000000" w:rsidRDefault="00602C02">
            <w:pPr>
              <w:ind w:firstLine="360"/>
              <w:rPr>
                <w:rFonts w:eastAsia="Times New Roman"/>
              </w:rPr>
            </w:pPr>
          </w:p>
        </w:tc>
        <w:tc>
          <w:tcPr>
            <w:tcW w:w="237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784617837"/>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 xml:space="preserve">Level </w:t>
            </w:r>
            <w:r>
              <w:rPr>
                <w:rFonts w:eastAsia="Times New Roman"/>
                <w:b/>
                <w:bCs/>
                <w:color w:val="000000"/>
                <w:sz w:val="18"/>
                <w:szCs w:val="18"/>
              </w:rPr>
              <w:t>1</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 xml:space="preserve">Level </w:t>
            </w:r>
            <w:r>
              <w:rPr>
                <w:rFonts w:eastAsia="Times New Roman"/>
                <w:b/>
                <w:bCs/>
                <w:color w:val="000000"/>
                <w:sz w:val="18"/>
                <w:szCs w:val="18"/>
              </w:rPr>
              <w:t>2</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 xml:space="preserve">Level </w:t>
            </w:r>
            <w:r>
              <w:rPr>
                <w:rFonts w:eastAsia="Times New Roman"/>
                <w:b/>
                <w:bCs/>
                <w:color w:val="000000"/>
                <w:sz w:val="18"/>
                <w:szCs w:val="18"/>
              </w:rPr>
              <w:t>3</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Tota</w:t>
            </w:r>
            <w:r>
              <w:rPr>
                <w:rFonts w:eastAsia="Times New Roman"/>
                <w:b/>
                <w:bCs/>
                <w:color w:val="000000"/>
                <w:sz w:val="18"/>
                <w:szCs w:val="18"/>
              </w:rPr>
              <w:t>l</w:t>
            </w:r>
          </w:p>
        </w:tc>
      </w:tr>
      <w:tr w:rsidR="00000000">
        <w:trPr>
          <w:divId w:val="784617837"/>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Asset</w:t>
            </w:r>
            <w:r>
              <w:rPr>
                <w:rFonts w:eastAsia="Times New Roman"/>
                <w:b/>
                <w:bCs/>
                <w:color w:val="000000"/>
                <w:sz w:val="18"/>
                <w:szCs w:val="18"/>
              </w:rPr>
              <w: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r>
      <w:tr w:rsidR="00000000">
        <w:trPr>
          <w:divId w:val="784617837"/>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Cash equivalent</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4,529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7,427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Marketable securities</w:t>
            </w:r>
            <w:r>
              <w:rPr>
                <w:rFonts w:eastAsia="Times New Roman"/>
                <w:color w:val="000000"/>
                <w:sz w:val="18"/>
                <w:szCs w:val="18"/>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r>
      <w:tr w:rsidR="00000000">
        <w:trPr>
          <w:divId w:val="784617837"/>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U.S. Treasury securities and government-related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Corporate bonds and note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784617837"/>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Mortgage- and asset-backed and auction rate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784617837"/>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Equity securitie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784617837"/>
        </w:trPr>
        <w:tc>
          <w:tcPr>
            <w:tcW w:w="0" w:type="auto"/>
            <w:gridSpan w:val="3"/>
            <w:shd w:val="clear" w:color="auto" w:fill="CCEE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marketable securitie</w:t>
            </w:r>
            <w:r>
              <w:rPr>
                <w:rFonts w:eastAsia="Times New Roman"/>
                <w:color w:val="000000"/>
                <w:sz w:val="18"/>
                <w:szCs w:val="18"/>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1,576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investment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443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shd w:val="clear" w:color="auto" w:fill="FFFF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assets measured at fair valu</w:t>
            </w:r>
            <w:r>
              <w:rPr>
                <w:rFonts w:eastAsia="Times New Roman"/>
                <w:color w:val="000000"/>
                <w:sz w:val="18"/>
                <w:szCs w:val="18"/>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3,541</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5,842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72</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9,455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Liabilitie</w:t>
            </w:r>
            <w:r>
              <w:rPr>
                <w:rFonts w:eastAsia="Times New Roman"/>
                <w:b/>
                <w:bCs/>
                <w:color w:val="000000"/>
                <w:sz w:val="18"/>
                <w:szCs w:val="18"/>
              </w:rPr>
              <w:t>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r>
      <w:tr w:rsidR="00000000">
        <w:trPr>
          <w:divId w:val="784617837"/>
        </w:trPr>
        <w:tc>
          <w:tcPr>
            <w:tcW w:w="0" w:type="auto"/>
            <w:gridSpan w:val="3"/>
            <w:vAlign w:val="center"/>
            <w:hideMark/>
          </w:tcPr>
          <w:p w:rsidR="00000000" w:rsidRDefault="00602C02">
            <w:pP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784617837"/>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Derivative instrument</w:t>
            </w:r>
            <w:r>
              <w:rPr>
                <w:rFonts w:eastAsia="Times New Roman"/>
                <w:color w:val="000000"/>
                <w:sz w:val="18"/>
                <w:szCs w:val="18"/>
              </w:rPr>
              <w:t>s</w:t>
            </w: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liabilitie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444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784617837"/>
        </w:trPr>
        <w:tc>
          <w:tcPr>
            <w:tcW w:w="0" w:type="auto"/>
            <w:gridSpan w:val="3"/>
            <w:shd w:val="clear" w:color="auto" w:fill="FFFF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liabilities measured at fair valu</w:t>
            </w:r>
            <w:r>
              <w:rPr>
                <w:rFonts w:eastAsia="Times New Roman"/>
                <w:color w:val="000000"/>
                <w:sz w:val="18"/>
                <w:szCs w:val="18"/>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405</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473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bl>
    <w:p w:rsidR="00000000" w:rsidRDefault="00602C02">
      <w:pPr>
        <w:ind w:firstLine="360"/>
        <w:divId w:val="1660304507"/>
        <w:rPr>
          <w:rFonts w:eastAsia="Times New Roman"/>
        </w:rPr>
      </w:pPr>
      <w:r>
        <w:rPr>
          <w:rFonts w:eastAsia="Times New Roman"/>
          <w:b/>
          <w:bCs/>
          <w:i/>
          <w:iCs/>
          <w:color w:val="000000"/>
          <w:sz w:val="20"/>
          <w:szCs w:val="20"/>
        </w:rPr>
        <w:t>Activity within Level 3 of the Fair Value Hierarchy.</w:t>
      </w:r>
      <w:r>
        <w:rPr>
          <w:rFonts w:eastAsia="Times New Roman"/>
          <w:b/>
          <w:bCs/>
          <w:i/>
          <w:iCs/>
          <w:color w:val="000000"/>
          <w:sz w:val="20"/>
          <w:szCs w:val="20"/>
        </w:rPr>
        <w:t xml:space="preserve"> </w:t>
      </w:r>
      <w:r>
        <w:rPr>
          <w:rFonts w:eastAsia="Times New Roman"/>
          <w:color w:val="000000"/>
          <w:sz w:val="20"/>
          <w:szCs w:val="20"/>
        </w:rPr>
        <w:t>Other investments and other liabilities included in Level 3 at March 29, 2020 were comprised of non-marketable debt instruments and contingent cons</w:t>
      </w:r>
      <w:r>
        <w:rPr>
          <w:rFonts w:eastAsia="Times New Roman"/>
          <w:color w:val="000000"/>
          <w:sz w:val="20"/>
          <w:szCs w:val="20"/>
        </w:rPr>
        <w:t>ideration related to business combinations, respectively. Activity for marketable securities, other investments and other liabilities classified within Level 3 of the valuation hierarchy was insignificant during the six months ended March 29, 2020, which w</w:t>
      </w:r>
      <w:r>
        <w:rPr>
          <w:rFonts w:eastAsia="Times New Roman"/>
          <w:color w:val="000000"/>
          <w:sz w:val="20"/>
          <w:szCs w:val="20"/>
        </w:rPr>
        <w:t>as primarily related to</w:t>
      </w:r>
      <w:r>
        <w:rPr>
          <w:rFonts w:eastAsia="Times New Roman"/>
          <w:color w:val="000000"/>
          <w:sz w:val="20"/>
          <w:szCs w:val="20"/>
        </w:rPr>
        <w:t xml:space="preserve"> </w:t>
      </w:r>
    </w:p>
    <w:p w:rsidR="00000000" w:rsidRDefault="00602C02">
      <w:pPr>
        <w:jc w:val="center"/>
        <w:divId w:val="1674409020"/>
        <w:rPr>
          <w:rFonts w:eastAsia="Times New Roman"/>
        </w:rPr>
      </w:pPr>
      <w:r>
        <w:rPr>
          <w:rFonts w:eastAsia="Times New Roman"/>
          <w:color w:val="000000"/>
          <w:sz w:val="20"/>
          <w:szCs w:val="20"/>
        </w:rPr>
        <w:t>1</w:t>
      </w:r>
      <w:r>
        <w:rPr>
          <w:rFonts w:eastAsia="Times New Roman"/>
          <w:color w:val="000000"/>
          <w:sz w:val="20"/>
          <w:szCs w:val="20"/>
        </w:rPr>
        <w:t>8</w:t>
      </w:r>
    </w:p>
    <w:p w:rsidR="00000000" w:rsidRDefault="00602C02">
      <w:pPr>
        <w:rPr>
          <w:rFonts w:eastAsia="Times New Roman"/>
        </w:rPr>
      </w:pPr>
      <w:r>
        <w:rPr>
          <w:rFonts w:eastAsia="Times New Roman"/>
        </w:rPr>
        <w:pict>
          <v:rect id="_x0000_i1042" style="width:0;height:1.5pt" o:hralign="center" o:hrstd="t" o:hr="t" fillcolor="#a0a0a0" stroked="f"/>
        </w:pict>
      </w:r>
    </w:p>
    <w:p w:rsidR="00000000" w:rsidRDefault="00602C02">
      <w:pPr>
        <w:jc w:val="center"/>
        <w:divId w:val="372265605"/>
        <w:rPr>
          <w:rFonts w:eastAsia="Times New Roman"/>
        </w:rPr>
      </w:pPr>
    </w:p>
    <w:tbl>
      <w:tblPr>
        <w:tblW w:w="4919" w:type="pct"/>
        <w:jc w:val="center"/>
        <w:tblCellMar>
          <w:top w:w="15" w:type="dxa"/>
          <w:left w:w="15" w:type="dxa"/>
          <w:bottom w:w="15" w:type="dxa"/>
          <w:right w:w="15" w:type="dxa"/>
        </w:tblCellMar>
        <w:tblLook w:val="04A0" w:firstRow="1" w:lastRow="0" w:firstColumn="1" w:lastColumn="0" w:noHBand="0" w:noVBand="1"/>
      </w:tblPr>
      <w:tblGrid>
        <w:gridCol w:w="78"/>
        <w:gridCol w:w="1377"/>
        <w:gridCol w:w="78"/>
        <w:gridCol w:w="77"/>
        <w:gridCol w:w="1397"/>
        <w:gridCol w:w="77"/>
        <w:gridCol w:w="77"/>
        <w:gridCol w:w="1397"/>
        <w:gridCol w:w="77"/>
        <w:gridCol w:w="77"/>
        <w:gridCol w:w="1397"/>
        <w:gridCol w:w="77"/>
        <w:gridCol w:w="77"/>
        <w:gridCol w:w="1399"/>
        <w:gridCol w:w="77"/>
        <w:gridCol w:w="36"/>
        <w:gridCol w:w="36"/>
        <w:gridCol w:w="36"/>
        <w:gridCol w:w="36"/>
        <w:gridCol w:w="36"/>
        <w:gridCol w:w="36"/>
        <w:gridCol w:w="36"/>
        <w:gridCol w:w="36"/>
        <w:gridCol w:w="36"/>
        <w:gridCol w:w="36"/>
        <w:gridCol w:w="36"/>
        <w:gridCol w:w="36"/>
      </w:tblGrid>
      <w:tr w:rsidR="00000000">
        <w:trPr>
          <w:gridAfter w:val="12"/>
          <w:divId w:val="372265605"/>
          <w:jc w:val="center"/>
        </w:trPr>
        <w:tc>
          <w:tcPr>
            <w:tcW w:w="50" w:type="pct"/>
            <w:vAlign w:val="center"/>
            <w:hideMark/>
          </w:tcPr>
          <w:p w:rsidR="00000000" w:rsidRDefault="00602C02">
            <w:pPr>
              <w:jc w:val="center"/>
              <w:rPr>
                <w:rFonts w:eastAsia="Times New Roman"/>
              </w:rPr>
            </w:pPr>
          </w:p>
        </w:tc>
        <w:tc>
          <w:tcPr>
            <w:tcW w:w="8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903"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372265605"/>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QUALCOMM Incorporate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372265605"/>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72265605"/>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20"/>
                <w:szCs w:val="20"/>
              </w:rPr>
              <w:t>NOTES TO CONDENSED CONSOLIDATED FINANCIAL STATEMENT</w:t>
            </w:r>
            <w:r>
              <w:rPr>
                <w:rFonts w:eastAsia="Times New Roman"/>
                <w:b/>
                <w:bCs/>
                <w:color w:val="000000"/>
                <w:sz w:val="20"/>
                <w:szCs w:val="20"/>
              </w:rPr>
              <w:t>S</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372265605"/>
          <w:jc w:val="center"/>
        </w:trPr>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(Unaudited</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bl>
    <w:p w:rsidR="00000000" w:rsidRDefault="00602C02">
      <w:pPr>
        <w:divId w:val="1504004359"/>
        <w:rPr>
          <w:rFonts w:eastAsia="Times New Roman"/>
        </w:rPr>
      </w:pPr>
      <w:r>
        <w:rPr>
          <w:rFonts w:eastAsia="Times New Roman"/>
          <w:color w:val="000000"/>
          <w:sz w:val="20"/>
          <w:szCs w:val="20"/>
        </w:rPr>
        <w:t>impairments of certain of our non-marketable debt instruments (Note 2) and purchases of non-marketable debt instruments, and the six months ended March 31, 2019, which was primarily related to the issuance of a non-marketable debt instrument by a private c</w:t>
      </w:r>
      <w:r>
        <w:rPr>
          <w:rFonts w:eastAsia="Times New Roman"/>
          <w:color w:val="000000"/>
          <w:sz w:val="20"/>
          <w:szCs w:val="20"/>
        </w:rPr>
        <w:t>ompany</w:t>
      </w:r>
      <w:r>
        <w:rPr>
          <w:rFonts w:eastAsia="Times New Roman"/>
          <w:color w:val="000000"/>
          <w:sz w:val="20"/>
          <w:szCs w:val="20"/>
        </w:rPr>
        <w:t>.</w:t>
      </w:r>
    </w:p>
    <w:p w:rsidR="00000000" w:rsidRDefault="00602C02">
      <w:pPr>
        <w:ind w:firstLine="360"/>
        <w:divId w:val="614366123"/>
        <w:rPr>
          <w:rFonts w:eastAsia="Times New Roman"/>
        </w:rPr>
      </w:pPr>
      <w:r>
        <w:rPr>
          <w:rFonts w:eastAsia="Times New Roman"/>
          <w:b/>
          <w:bCs/>
          <w:i/>
          <w:iCs/>
          <w:color w:val="000000"/>
          <w:sz w:val="20"/>
          <w:szCs w:val="20"/>
        </w:rPr>
        <w:t>Assets Measured and Recorded at Fair Value on a Nonrecurring Basis.</w:t>
      </w:r>
      <w:r>
        <w:rPr>
          <w:rFonts w:eastAsia="Times New Roman"/>
          <w:b/>
          <w:bCs/>
          <w:i/>
          <w:iCs/>
          <w:color w:val="000000"/>
          <w:sz w:val="20"/>
          <w:szCs w:val="20"/>
        </w:rPr>
        <w:t xml:space="preserve"> </w:t>
      </w:r>
      <w:r>
        <w:rPr>
          <w:rFonts w:eastAsia="Times New Roman"/>
          <w:color w:val="000000"/>
          <w:sz w:val="20"/>
          <w:szCs w:val="20"/>
        </w:rPr>
        <w:t>We measure certain assets and liabilities at fair value on a nonrecurring basis. These assets and liabilities include equity method and non-marketable equity investments, assets ac</w:t>
      </w:r>
      <w:r>
        <w:rPr>
          <w:rFonts w:eastAsia="Times New Roman"/>
          <w:color w:val="000000"/>
          <w:sz w:val="20"/>
          <w:szCs w:val="20"/>
        </w:rPr>
        <w:t>quired and liabilities assumed in an acquisition or in a nonmonetary exchange, and property, plant and equipment and intangible assets that are written down to fair value when they are held for sale or determined to be impaired.</w:t>
      </w:r>
      <w:r>
        <w:rPr>
          <w:rFonts w:eastAsia="Times New Roman"/>
          <w:color w:val="000000"/>
          <w:sz w:val="20"/>
          <w:szCs w:val="20"/>
        </w:rPr>
        <w:t xml:space="preserve"> </w:t>
      </w:r>
      <w:r>
        <w:rPr>
          <w:rFonts w:eastAsia="Times New Roman"/>
          <w:color w:val="000000"/>
          <w:sz w:val="20"/>
          <w:szCs w:val="20"/>
          <w:shd w:val="clear" w:color="auto" w:fill="FFFFFF"/>
        </w:rPr>
        <w:t>During the six months ended</w:t>
      </w:r>
      <w:r>
        <w:rPr>
          <w:rFonts w:eastAsia="Times New Roman"/>
          <w:color w:val="000000"/>
          <w:sz w:val="20"/>
          <w:szCs w:val="20"/>
          <w:shd w:val="clear" w:color="auto" w:fill="FFFFFF"/>
        </w:rPr>
        <w:t> March 29, 2020, certain of our non-marketable equity investments were written down to their estimated fair values, which was recorded as a component of impairment losses on other investments in investment and other expense, net (Note 2). For a significant</w:t>
      </w:r>
      <w:r>
        <w:rPr>
          <w:rFonts w:eastAsia="Times New Roman"/>
          <w:color w:val="000000"/>
          <w:sz w:val="20"/>
          <w:szCs w:val="20"/>
          <w:shd w:val="clear" w:color="auto" w:fill="FFFFFF"/>
        </w:rPr>
        <w:t xml:space="preserve"> portion of these impairments, the estimated fair values resulted in a full write-off of the carrying values. The estimation of fair values was judgmental in nature and involved the use of significant estimates and assumptions. We determined these fair val</w:t>
      </w:r>
      <w:r>
        <w:rPr>
          <w:rFonts w:eastAsia="Times New Roman"/>
          <w:color w:val="000000"/>
          <w:sz w:val="20"/>
          <w:szCs w:val="20"/>
          <w:shd w:val="clear" w:color="auto" w:fill="FFFFFF"/>
        </w:rPr>
        <w:t>ue measurements primarily using a market approach and key inputs and assumptions included estimated market value of assets, ability of investees to access additional financing or otherwise continue as a going concern and liquidation and other rights of the</w:t>
      </w:r>
      <w:r>
        <w:rPr>
          <w:rFonts w:eastAsia="Times New Roman"/>
          <w:color w:val="000000"/>
          <w:sz w:val="20"/>
          <w:szCs w:val="20"/>
          <w:shd w:val="clear" w:color="auto" w:fill="FFFFFF"/>
        </w:rPr>
        <w:t xml:space="preserve"> securities we hold.</w:t>
      </w:r>
    </w:p>
    <w:p w:rsidR="00000000" w:rsidRDefault="00602C02">
      <w:pPr>
        <w:ind w:firstLine="360"/>
        <w:divId w:val="78260992"/>
        <w:rPr>
          <w:rFonts w:eastAsia="Times New Roman"/>
        </w:rPr>
      </w:pPr>
      <w:r>
        <w:rPr>
          <w:rFonts w:eastAsia="Times New Roman"/>
          <w:color w:val="000000"/>
          <w:sz w:val="20"/>
          <w:szCs w:val="20"/>
        </w:rPr>
        <w:t>During the six months ended March 31, 2019, certain intangible assets and goodwill were written down to their estimated fair values. We also measured certain non-marketable equity securities received as non-cash consideration at fair v</w:t>
      </w:r>
      <w:r>
        <w:rPr>
          <w:rFonts w:eastAsia="Times New Roman"/>
          <w:color w:val="000000"/>
          <w:sz w:val="20"/>
          <w:szCs w:val="20"/>
        </w:rPr>
        <w:t>alue on a nonrecurring basis. We determined these fair value measurements using market and income approaches and key inputs and assumptions included projected cash flows, estimated selling prices, volatility and the rights of the securities we hold.</w:t>
      </w:r>
      <w:r>
        <w:rPr>
          <w:rFonts w:eastAsia="Times New Roman"/>
          <w:color w:val="000000"/>
          <w:sz w:val="20"/>
          <w:szCs w:val="20"/>
        </w:rPr>
        <w:t xml:space="preserve"> </w:t>
      </w:r>
    </w:p>
    <w:p w:rsidR="00000000" w:rsidRDefault="00602C02">
      <w:pPr>
        <w:ind w:firstLine="360"/>
        <w:divId w:val="1054084312"/>
        <w:rPr>
          <w:rFonts w:eastAsia="Times New Roman"/>
        </w:rPr>
      </w:pPr>
      <w:r>
        <w:rPr>
          <w:rFonts w:eastAsia="Times New Roman"/>
          <w:color w:val="000000"/>
          <w:sz w:val="20"/>
          <w:szCs w:val="20"/>
        </w:rPr>
        <w:t>The e</w:t>
      </w:r>
      <w:r>
        <w:rPr>
          <w:rFonts w:eastAsia="Times New Roman"/>
          <w:color w:val="000000"/>
          <w:sz w:val="20"/>
          <w:szCs w:val="20"/>
        </w:rPr>
        <w:t>stimation of fair value required the use of significant unobservable inputs, and as a result, the fair value measurements were classified as Level 3. During the six months ended March 29, 2020 and March 31, 2019, we did not have any other significant asset</w:t>
      </w:r>
      <w:r>
        <w:rPr>
          <w:rFonts w:eastAsia="Times New Roman"/>
          <w:color w:val="000000"/>
          <w:sz w:val="20"/>
          <w:szCs w:val="20"/>
        </w:rPr>
        <w:t>s or liabilities that were measured at fair value on a nonrecurring basis.</w:t>
      </w:r>
      <w:r>
        <w:rPr>
          <w:rFonts w:eastAsia="Times New Roman"/>
          <w:color w:val="000000"/>
          <w:sz w:val="20"/>
          <w:szCs w:val="20"/>
        </w:rPr>
        <w:t xml:space="preserve"> </w:t>
      </w:r>
    </w:p>
    <w:p w:rsidR="00000000" w:rsidRDefault="00602C02">
      <w:pPr>
        <w:divId w:val="1338845596"/>
        <w:rPr>
          <w:rFonts w:eastAsia="Times New Roman"/>
        </w:rPr>
      </w:pPr>
      <w:r>
        <w:rPr>
          <w:rFonts w:eastAsia="Times New Roman"/>
          <w:b/>
          <w:bCs/>
          <w:color w:val="000000"/>
          <w:sz w:val="20"/>
          <w:szCs w:val="20"/>
        </w:rPr>
        <w:t>Note 8. Marketable Securitie</w:t>
      </w:r>
      <w:r>
        <w:rPr>
          <w:rFonts w:eastAsia="Times New Roman"/>
          <w:b/>
          <w:bCs/>
          <w:color w:val="000000"/>
          <w:sz w:val="20"/>
          <w:szCs w:val="20"/>
        </w:rPr>
        <w:t>s</w:t>
      </w:r>
    </w:p>
    <w:p w:rsidR="00000000" w:rsidRDefault="00602C02">
      <w:pPr>
        <w:ind w:firstLine="360"/>
        <w:divId w:val="1311521585"/>
        <w:rPr>
          <w:rFonts w:eastAsia="Times New Roman"/>
        </w:rPr>
      </w:pPr>
      <w:r>
        <w:rPr>
          <w:rFonts w:eastAsia="Times New Roman"/>
          <w:color w:val="000000"/>
          <w:sz w:val="20"/>
          <w:szCs w:val="20"/>
        </w:rPr>
        <w:t>We classify marketable securities as current or noncurrent based on the nature of the securities and their availability for use in current operations.</w:t>
      </w:r>
      <w:r>
        <w:rPr>
          <w:rFonts w:eastAsia="Times New Roman"/>
          <w:color w:val="000000"/>
          <w:sz w:val="20"/>
          <w:szCs w:val="20"/>
        </w:rPr>
        <w:t xml:space="preserve"> Our marketable securities were comprised as follows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3357"/>
        <w:gridCol w:w="38"/>
        <w:gridCol w:w="125"/>
        <w:gridCol w:w="656"/>
        <w:gridCol w:w="80"/>
        <w:gridCol w:w="36"/>
        <w:gridCol w:w="36"/>
        <w:gridCol w:w="36"/>
        <w:gridCol w:w="126"/>
        <w:gridCol w:w="725"/>
        <w:gridCol w:w="80"/>
        <w:gridCol w:w="36"/>
        <w:gridCol w:w="36"/>
        <w:gridCol w:w="36"/>
        <w:gridCol w:w="126"/>
        <w:gridCol w:w="550"/>
        <w:gridCol w:w="80"/>
        <w:gridCol w:w="36"/>
        <w:gridCol w:w="36"/>
        <w:gridCol w:w="36"/>
        <w:gridCol w:w="126"/>
        <w:gridCol w:w="725"/>
        <w:gridCol w:w="80"/>
        <w:gridCol w:w="138"/>
        <w:gridCol w:w="138"/>
        <w:gridCol w:w="138"/>
        <w:gridCol w:w="138"/>
        <w:gridCol w:w="138"/>
        <w:gridCol w:w="138"/>
        <w:gridCol w:w="36"/>
        <w:gridCol w:w="36"/>
        <w:gridCol w:w="36"/>
        <w:gridCol w:w="36"/>
        <w:gridCol w:w="36"/>
        <w:gridCol w:w="36"/>
      </w:tblGrid>
      <w:tr w:rsidR="00000000">
        <w:trPr>
          <w:gridAfter w:val="12"/>
          <w:divId w:val="1914772998"/>
        </w:trPr>
        <w:tc>
          <w:tcPr>
            <w:tcW w:w="50" w:type="pct"/>
            <w:vAlign w:val="center"/>
            <w:hideMark/>
          </w:tcPr>
          <w:p w:rsidR="00000000" w:rsidRDefault="00602C02">
            <w:pPr>
              <w:ind w:firstLine="360"/>
              <w:rPr>
                <w:rFonts w:eastAsia="Times New Roman"/>
              </w:rPr>
            </w:pPr>
          </w:p>
        </w:tc>
        <w:tc>
          <w:tcPr>
            <w:tcW w:w="237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914772998"/>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Curren</w:t>
            </w:r>
            <w:r>
              <w:rPr>
                <w:rFonts w:eastAsia="Times New Roman"/>
                <w:b/>
                <w:bCs/>
                <w:color w:val="000000"/>
                <w:sz w:val="18"/>
                <w:szCs w:val="18"/>
              </w:rPr>
              <w:t>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Noncurrent (1</w:t>
            </w:r>
            <w:r>
              <w:rPr>
                <w:rFonts w:eastAsia="Times New Roman"/>
                <w:b/>
                <w:bCs/>
                <w:color w:val="000000"/>
                <w:sz w:val="18"/>
                <w:szCs w:val="18"/>
              </w:rPr>
              <w:t>)</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rPr>
          <w:divId w:val="1914772998"/>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Available-for-sale debt securities</w:t>
            </w:r>
            <w:r>
              <w:rPr>
                <w:rFonts w:eastAsia="Times New Roman"/>
                <w:color w:val="000000"/>
                <w:sz w:val="18"/>
                <w:szCs w:val="18"/>
              </w:rPr>
              <w: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U.S. Treasury securities and government-related securitie</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Corporate bonds and note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Mortgage- and asset-backed and auction rate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available-for-sale debt securitie</w:t>
            </w:r>
            <w:r>
              <w:rPr>
                <w:rFonts w:eastAsia="Times New Roman"/>
                <w:color w:val="000000"/>
                <w:sz w:val="18"/>
                <w:szCs w:val="18"/>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35</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shd w:val="clear" w:color="auto" w:fill="CCEEFF"/>
            <w:tcMar>
              <w:top w:w="30" w:type="dxa"/>
              <w:left w:w="20" w:type="dxa"/>
              <w:bottom w:w="30" w:type="dxa"/>
              <w:right w:w="20" w:type="dxa"/>
            </w:tcMar>
            <w:vAlign w:val="bottom"/>
            <w:hideMark/>
          </w:tcPr>
          <w:p w:rsidR="00000000" w:rsidRDefault="00602C02">
            <w:pPr>
              <w:ind w:hanging="90"/>
              <w:divId w:val="1308975069"/>
              <w:rPr>
                <w:rFonts w:eastAsia="Times New Roman"/>
              </w:rPr>
            </w:pPr>
            <w:r>
              <w:rPr>
                <w:rFonts w:eastAsia="Times New Roman"/>
                <w:color w:val="000000"/>
                <w:sz w:val="18"/>
                <w:szCs w:val="18"/>
              </w:rPr>
              <w:t>Equity securitie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914772998"/>
        </w:trPr>
        <w:tc>
          <w:tcPr>
            <w:tcW w:w="0" w:type="auto"/>
            <w:gridSpan w:val="3"/>
            <w:shd w:val="clear" w:color="auto" w:fill="FFFFFF"/>
            <w:tcMar>
              <w:top w:w="30" w:type="dxa"/>
              <w:left w:w="36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marketable securitie</w:t>
            </w:r>
            <w:r>
              <w:rPr>
                <w:rFonts w:eastAsia="Times New Roman"/>
                <w:color w:val="000000"/>
                <w:sz w:val="18"/>
                <w:szCs w:val="18"/>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1,543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divId w:val="1702894700"/>
        <w:rPr>
          <w:rFonts w:eastAsia="Times New Roman"/>
        </w:rPr>
      </w:pPr>
      <w:r>
        <w:rPr>
          <w:rFonts w:eastAsia="Times New Roman"/>
          <w:color w:val="000000"/>
          <w:sz w:val="18"/>
          <w:szCs w:val="18"/>
        </w:rPr>
        <w:t>(1) Noncurrent marketable securities were included in other assets</w:t>
      </w:r>
      <w:r>
        <w:rPr>
          <w:rFonts w:eastAsia="Times New Roman"/>
          <w:color w:val="000000"/>
          <w:sz w:val="18"/>
          <w:szCs w:val="18"/>
        </w:rPr>
        <w:t>.</w:t>
      </w:r>
    </w:p>
    <w:p w:rsidR="00000000" w:rsidRDefault="00602C02">
      <w:pPr>
        <w:ind w:firstLine="360"/>
        <w:divId w:val="2116319024"/>
        <w:rPr>
          <w:rFonts w:eastAsia="Times New Roman"/>
        </w:rPr>
      </w:pPr>
      <w:r>
        <w:rPr>
          <w:rFonts w:eastAsia="Times New Roman"/>
          <w:color w:val="000000"/>
          <w:sz w:val="20"/>
          <w:szCs w:val="20"/>
        </w:rPr>
        <w:t>The contractual maturities of available-for-sale marketable debt securities were as follows (in millions)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
        <w:gridCol w:w="7130"/>
        <w:gridCol w:w="74"/>
        <w:gridCol w:w="125"/>
        <w:gridCol w:w="825"/>
        <w:gridCol w:w="80"/>
      </w:tblGrid>
      <w:tr w:rsidR="00000000">
        <w:trPr>
          <w:divId w:val="2114395297"/>
        </w:trPr>
        <w:tc>
          <w:tcPr>
            <w:tcW w:w="50" w:type="pct"/>
            <w:vAlign w:val="center"/>
            <w:hideMark/>
          </w:tcPr>
          <w:p w:rsidR="00000000" w:rsidRDefault="00602C02">
            <w:pPr>
              <w:ind w:firstLine="360"/>
              <w:rPr>
                <w:rFonts w:eastAsia="Times New Roman"/>
              </w:rPr>
            </w:pPr>
          </w:p>
        </w:tc>
        <w:tc>
          <w:tcPr>
            <w:tcW w:w="429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2114395297"/>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r>
      <w:tr w:rsidR="00000000">
        <w:trPr>
          <w:divId w:val="2114395297"/>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Years to Maturit</w:t>
            </w:r>
            <w:r>
              <w:rPr>
                <w:rFonts w:eastAsia="Times New Roman"/>
                <w:b/>
                <w:bCs/>
                <w:color w:val="000000"/>
                <w:sz w:val="18"/>
                <w:szCs w:val="18"/>
              </w:rPr>
              <w:t>y</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rPr>
            </w:pPr>
          </w:p>
        </w:tc>
      </w:tr>
      <w:tr w:rsidR="00000000">
        <w:trPr>
          <w:divId w:val="2114395297"/>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Less than one yea</w:t>
            </w:r>
            <w:r>
              <w:rPr>
                <w:rFonts w:eastAsia="Times New Roman"/>
                <w:color w:val="000000"/>
                <w:sz w:val="18"/>
                <w:szCs w:val="18"/>
              </w:rPr>
              <w:t>r</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813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2114395297"/>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One to five year</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443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2114395297"/>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rPr>
          <w:divId w:val="2114395297"/>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2114395297"/>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No single maturity dat</w:t>
            </w:r>
            <w:r>
              <w:rPr>
                <w:rFonts w:eastAsia="Times New Roman"/>
                <w:color w:val="000000"/>
                <w:sz w:val="18"/>
                <w:szCs w:val="18"/>
              </w:rPr>
              <w:t>e</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2114395297"/>
        </w:trPr>
        <w:tc>
          <w:tcPr>
            <w:tcW w:w="0" w:type="auto"/>
            <w:gridSpan w:val="3"/>
            <w:shd w:val="clear" w:color="auto" w:fill="FFFFFF"/>
            <w:tcMar>
              <w:top w:w="30" w:type="dxa"/>
              <w:left w:w="225"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1,337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bl>
    <w:p w:rsidR="00000000" w:rsidRDefault="00602C02">
      <w:pPr>
        <w:ind w:firstLine="360"/>
        <w:divId w:val="1519076006"/>
        <w:rPr>
          <w:rFonts w:eastAsia="Times New Roman"/>
        </w:rPr>
      </w:pPr>
      <w:r>
        <w:rPr>
          <w:rFonts w:eastAsia="Times New Roman"/>
          <w:color w:val="000000"/>
          <w:sz w:val="20"/>
          <w:szCs w:val="20"/>
        </w:rPr>
        <w:t>Debt securities with no single maturity date included mortgage- and asset-backed securities and auction rate securities</w:t>
      </w:r>
      <w:r>
        <w:rPr>
          <w:rFonts w:eastAsia="Times New Roman"/>
          <w:color w:val="000000"/>
          <w:sz w:val="20"/>
          <w:szCs w:val="20"/>
        </w:rPr>
        <w:t>.</w:t>
      </w:r>
    </w:p>
    <w:p w:rsidR="00000000" w:rsidRDefault="00602C02">
      <w:pPr>
        <w:jc w:val="center"/>
        <w:divId w:val="1975256863"/>
        <w:rPr>
          <w:rFonts w:eastAsia="Times New Roman"/>
        </w:rPr>
      </w:pPr>
      <w:r>
        <w:rPr>
          <w:rFonts w:eastAsia="Times New Roman"/>
          <w:color w:val="000000"/>
          <w:sz w:val="20"/>
          <w:szCs w:val="20"/>
        </w:rPr>
        <w:t>1</w:t>
      </w:r>
      <w:r>
        <w:rPr>
          <w:rFonts w:eastAsia="Times New Roman"/>
          <w:color w:val="000000"/>
          <w:sz w:val="20"/>
          <w:szCs w:val="20"/>
        </w:rPr>
        <w:t>9</w:t>
      </w:r>
    </w:p>
    <w:p w:rsidR="00000000" w:rsidRDefault="00602C02">
      <w:pPr>
        <w:rPr>
          <w:rFonts w:eastAsia="Times New Roman"/>
        </w:rPr>
      </w:pPr>
      <w:r>
        <w:rPr>
          <w:rFonts w:eastAsia="Times New Roman"/>
        </w:rPr>
        <w:pict>
          <v:rect id="_x0000_i1043" style="width:0;height:1.5pt" o:hralign="center" o:hrstd="t" o:hr="t" fillcolor="#a0a0a0" stroked="f"/>
        </w:pict>
      </w:r>
    </w:p>
    <w:p w:rsidR="00000000" w:rsidRDefault="00602C02">
      <w:pPr>
        <w:divId w:val="74135241"/>
        <w:rPr>
          <w:rFonts w:eastAsia="Times New Roman"/>
        </w:rPr>
      </w:pPr>
    </w:p>
    <w:p w:rsidR="00000000" w:rsidRDefault="00602C02">
      <w:pPr>
        <w:divId w:val="673413182"/>
        <w:rPr>
          <w:rFonts w:eastAsia="Times New Roman"/>
        </w:rPr>
      </w:pPr>
      <w:r>
        <w:rPr>
          <w:rFonts w:eastAsia="Times New Roman"/>
          <w:b/>
          <w:bCs/>
          <w:color w:val="000000"/>
          <w:sz w:val="20"/>
          <w:szCs w:val="20"/>
        </w:rPr>
        <w:t>ITEM 2. MANAGEMENT’S DISCUSSION AND ANALYSIS OF FINANCIAL CONDITION AND RESULTS OF OPERATION</w:t>
      </w:r>
      <w:r>
        <w:rPr>
          <w:rFonts w:eastAsia="Times New Roman"/>
          <w:b/>
          <w:bCs/>
          <w:color w:val="000000"/>
          <w:sz w:val="20"/>
          <w:szCs w:val="20"/>
        </w:rPr>
        <w:t>S</w:t>
      </w:r>
    </w:p>
    <w:p w:rsidR="00000000" w:rsidRDefault="00602C02">
      <w:pPr>
        <w:ind w:firstLine="360"/>
        <w:divId w:val="124738860"/>
        <w:rPr>
          <w:rFonts w:eastAsia="Times New Roman"/>
        </w:rPr>
      </w:pPr>
      <w:r>
        <w:rPr>
          <w:rFonts w:eastAsia="Times New Roman"/>
          <w:color w:val="000000"/>
          <w:sz w:val="20"/>
          <w:szCs w:val="20"/>
        </w:rPr>
        <w:t>Thi</w:t>
      </w:r>
      <w:r>
        <w:rPr>
          <w:rFonts w:eastAsia="Times New Roman"/>
          <w:color w:val="000000"/>
          <w:sz w:val="20"/>
          <w:szCs w:val="20"/>
        </w:rPr>
        <w:t>s</w:t>
      </w:r>
      <w:r>
        <w:rPr>
          <w:rFonts w:eastAsia="Times New Roman"/>
          <w:b/>
          <w:bCs/>
          <w:color w:val="000000"/>
          <w:sz w:val="20"/>
          <w:szCs w:val="20"/>
        </w:rPr>
        <w:t xml:space="preserve"> </w:t>
      </w:r>
      <w:r>
        <w:rPr>
          <w:rFonts w:eastAsia="Times New Roman"/>
          <w:color w:val="000000"/>
          <w:sz w:val="20"/>
          <w:szCs w:val="20"/>
        </w:rPr>
        <w:t>information should be read in conjunction with the condensed consolidated financial statements and the notes thereto included in “Part I, Item 1” of this Quarterly Report and with “Management’s Discussion and Analysis of Financial Condition and Result</w:t>
      </w:r>
      <w:r>
        <w:rPr>
          <w:rFonts w:eastAsia="Times New Roman"/>
          <w:color w:val="000000"/>
          <w:sz w:val="20"/>
          <w:szCs w:val="20"/>
        </w:rPr>
        <w:t>s of Operations” for the fiscal year ended September 29, 2019 contained in our 2019 Annual Report on Form 10-K.</w:t>
      </w:r>
      <w:r>
        <w:rPr>
          <w:rFonts w:eastAsia="Times New Roman"/>
          <w:color w:val="000000"/>
          <w:sz w:val="20"/>
          <w:szCs w:val="20"/>
        </w:rPr>
        <w:t xml:space="preserve"> </w:t>
      </w:r>
    </w:p>
    <w:p w:rsidR="00000000" w:rsidRDefault="00602C02">
      <w:pPr>
        <w:ind w:firstLine="360"/>
        <w:divId w:val="345330234"/>
        <w:rPr>
          <w:rFonts w:eastAsia="Times New Roman"/>
        </w:rPr>
      </w:pPr>
      <w:r>
        <w:rPr>
          <w:rFonts w:eastAsia="Times New Roman"/>
          <w:color w:val="000000"/>
          <w:sz w:val="20"/>
          <w:szCs w:val="20"/>
        </w:rPr>
        <w:t>This Quarterly Report (including but not limited to this section entitled Management’s Discussion and Analysis of Financial Condition and Resul</w:t>
      </w:r>
      <w:r>
        <w:rPr>
          <w:rFonts w:eastAsia="Times New Roman"/>
          <w:color w:val="000000"/>
          <w:sz w:val="20"/>
          <w:szCs w:val="20"/>
        </w:rPr>
        <w:t>ts of Operations) contains forward-looking statements regarding our business, investments, financial condition, results of operations and prospects. Forward-looking statements also include but are not limited to statements regarding the rapid, global sprea</w:t>
      </w:r>
      <w:r>
        <w:rPr>
          <w:rFonts w:eastAsia="Times New Roman"/>
          <w:color w:val="000000"/>
          <w:sz w:val="20"/>
          <w:szCs w:val="20"/>
        </w:rPr>
        <w:t>d of the recent coronavirus (COVID-19) pandemic, and its potential future impact on the global economy, including the potential for a global recession; economic uncertainty and consumer and business confidence; demand for devices that incorporate our produ</w:t>
      </w:r>
      <w:r>
        <w:rPr>
          <w:rFonts w:eastAsia="Times New Roman"/>
          <w:color w:val="000000"/>
          <w:sz w:val="20"/>
          <w:szCs w:val="20"/>
        </w:rPr>
        <w:t xml:space="preserve">cts and intellectual property; our and the global wireless industry’s supply chains, transportation and distribution networks and workforces; 5G network deployments; and our business, revenues, results of operations, cash flows and financial condition; as </w:t>
      </w:r>
      <w:r>
        <w:rPr>
          <w:rFonts w:eastAsia="Times New Roman"/>
          <w:color w:val="000000"/>
          <w:sz w:val="20"/>
          <w:szCs w:val="20"/>
        </w:rPr>
        <w:t>well as statements regarding our planning assumptions, workforce practices, the duration and severity of the pandemic, and government and other actions to mitigate the spread of, and to treat, COVID-19. Forward-looking statements further include but are no</w:t>
      </w:r>
      <w:r>
        <w:rPr>
          <w:rFonts w:eastAsia="Times New Roman"/>
          <w:color w:val="000000"/>
          <w:sz w:val="20"/>
          <w:szCs w:val="20"/>
        </w:rPr>
        <w:t xml:space="preserve">t limited to statements regarding industry, market, business, product, technology, commercial, competitive or consumer trends; our businesses, growth potential or strategies, or factors that may impact them; challenges to our licensing business, including </w:t>
      </w:r>
      <w:r>
        <w:rPr>
          <w:rFonts w:eastAsia="Times New Roman"/>
          <w:color w:val="000000"/>
          <w:sz w:val="20"/>
          <w:szCs w:val="20"/>
        </w:rPr>
        <w:t xml:space="preserve">by licensees, governments, governmental agencies or regulators, standards bodies or others; challenges to our QCT business; other legal or regulatory matters; competition; new or expanded product areas, adjacent industry segments or applications; costs or </w:t>
      </w:r>
      <w:r>
        <w:rPr>
          <w:rFonts w:eastAsia="Times New Roman"/>
          <w:color w:val="000000"/>
          <w:sz w:val="20"/>
          <w:szCs w:val="20"/>
        </w:rPr>
        <w:t>expenditures including research and development, selling, general and administrative, restructuring or restructuring-related charges, working capital or information technology systems; our financing, stock repurchase or dividend programs; strategic investm</w:t>
      </w:r>
      <w:r>
        <w:rPr>
          <w:rFonts w:eastAsia="Times New Roman"/>
          <w:color w:val="000000"/>
          <w:sz w:val="20"/>
          <w:szCs w:val="20"/>
        </w:rPr>
        <w:t>ents or acquisitions; adoption and application of future accounting guidance; tax law changes; our tax structure or strategies; or the potential business or financial statement impacts of any of the above, among others. Words such as “expects,” “anticipate</w:t>
      </w:r>
      <w:r>
        <w:rPr>
          <w:rFonts w:eastAsia="Times New Roman"/>
          <w:color w:val="000000"/>
          <w:sz w:val="20"/>
          <w:szCs w:val="20"/>
        </w:rPr>
        <w:t>s,” “intends,” “plans,” “believes,” “seeks,” “estimates” and similar expressions or variations of such words are intended to identify forward-looking statements, but are not the exclusive means of identifying forward-looking statements in this Quarterly Re</w:t>
      </w:r>
      <w:r>
        <w:rPr>
          <w:rFonts w:eastAsia="Times New Roman"/>
          <w:color w:val="000000"/>
          <w:sz w:val="20"/>
          <w:szCs w:val="20"/>
        </w:rPr>
        <w:t>port</w:t>
      </w:r>
      <w:r>
        <w:rPr>
          <w:rFonts w:eastAsia="Times New Roman"/>
          <w:color w:val="000000"/>
          <w:sz w:val="20"/>
          <w:szCs w:val="20"/>
        </w:rPr>
        <w:t>.</w:t>
      </w:r>
    </w:p>
    <w:p w:rsidR="00000000" w:rsidRDefault="00602C02">
      <w:pPr>
        <w:ind w:firstLine="360"/>
        <w:divId w:val="491138599"/>
        <w:rPr>
          <w:rFonts w:eastAsia="Times New Roman"/>
        </w:rPr>
      </w:pPr>
      <w:r>
        <w:rPr>
          <w:rFonts w:eastAsia="Times New Roman"/>
          <w:color w:val="000000"/>
          <w:sz w:val="20"/>
          <w:szCs w:val="20"/>
        </w:rPr>
        <w:t>Although forward-looking statements in this Quarterly Report reflect our good faith judgment, such statements can only be based on facts and factors currently known by us. Consequently, forward-looking statements are inherently subject to risks and u</w:t>
      </w:r>
      <w:r>
        <w:rPr>
          <w:rFonts w:eastAsia="Times New Roman"/>
          <w:color w:val="000000"/>
          <w:sz w:val="20"/>
          <w:szCs w:val="20"/>
        </w:rPr>
        <w:t>ncertainties and actual results and outcomes may differ materially from the results and outcomes discussed in or anticipated by the forward-looking statements. Factors that could cause or contribute to such differences in results and outcomes include witho</w:t>
      </w:r>
      <w:r>
        <w:rPr>
          <w:rFonts w:eastAsia="Times New Roman"/>
          <w:color w:val="000000"/>
          <w:sz w:val="20"/>
          <w:szCs w:val="20"/>
        </w:rPr>
        <w:t>ut limitation those discussed under the heading “Risk Factors” below, as well as those discussed elsewhere in this Quarterly Repor</w:t>
      </w:r>
      <w:r>
        <w:rPr>
          <w:rFonts w:eastAsia="Times New Roman"/>
          <w:color w:val="000000"/>
          <w:sz w:val="20"/>
          <w:szCs w:val="20"/>
        </w:rPr>
        <w:t>t</w:t>
      </w:r>
      <w:r>
        <w:rPr>
          <w:rFonts w:eastAsia="Times New Roman"/>
          <w:color w:val="000000"/>
          <w:sz w:val="20"/>
          <w:szCs w:val="20"/>
          <w:shd w:val="clear" w:color="auto" w:fill="FFFFFF"/>
        </w:rPr>
        <w:t xml:space="preserve">. In particular, see the Risk Factor entitled </w:t>
      </w:r>
      <w:r>
        <w:rPr>
          <w:rFonts w:eastAsia="Times New Roman"/>
          <w:i/>
          <w:iCs/>
          <w:color w:val="000000"/>
          <w:sz w:val="20"/>
          <w:szCs w:val="20"/>
          <w:shd w:val="clear" w:color="auto" w:fill="FFFFFF"/>
        </w:rPr>
        <w:t>“The recent coronavirus (COVID-19) pandemic has had an adverse effect on our bu</w:t>
      </w:r>
      <w:r>
        <w:rPr>
          <w:rFonts w:eastAsia="Times New Roman"/>
          <w:i/>
          <w:iCs/>
          <w:color w:val="000000"/>
          <w:sz w:val="20"/>
          <w:szCs w:val="20"/>
          <w:shd w:val="clear" w:color="auto" w:fill="FFFFFF"/>
        </w:rPr>
        <w:t xml:space="preserve">siness and results of operations, and we expect its impact will increase, at least in the near term,” </w:t>
      </w:r>
      <w:r>
        <w:rPr>
          <w:rFonts w:eastAsia="Times New Roman"/>
          <w:color w:val="000000"/>
          <w:sz w:val="20"/>
          <w:szCs w:val="20"/>
          <w:shd w:val="clear" w:color="auto" w:fill="FFFFFF"/>
        </w:rPr>
        <w:t>and note that many of the risks and uncertainties set forth in the other Risk Factors will be exacerbated by the COVID-19 pandemic, government and busines</w:t>
      </w:r>
      <w:r>
        <w:rPr>
          <w:rFonts w:eastAsia="Times New Roman"/>
          <w:color w:val="000000"/>
          <w:sz w:val="20"/>
          <w:szCs w:val="20"/>
          <w:shd w:val="clear" w:color="auto" w:fill="FFFFFF"/>
        </w:rPr>
        <w:t>s responses thereto and any further resulting decline in the global business and economic environment. Readers are u</w:t>
      </w:r>
      <w:r>
        <w:rPr>
          <w:rFonts w:eastAsia="Times New Roman"/>
          <w:color w:val="000000"/>
          <w:sz w:val="20"/>
          <w:szCs w:val="20"/>
          <w:shd w:val="clear" w:color="auto" w:fill="FFFFFF"/>
        </w:rPr>
        <w:t>r</w:t>
      </w:r>
      <w:r>
        <w:rPr>
          <w:rFonts w:eastAsia="Times New Roman"/>
          <w:color w:val="000000"/>
          <w:sz w:val="20"/>
          <w:szCs w:val="20"/>
        </w:rPr>
        <w:t>ged not to place undue reliance on these forward-looking statements, which speak only as of the date of this Quarterly Report. We undertake</w:t>
      </w:r>
      <w:r>
        <w:rPr>
          <w:rFonts w:eastAsia="Times New Roman"/>
          <w:color w:val="000000"/>
          <w:sz w:val="20"/>
          <w:szCs w:val="20"/>
        </w:rPr>
        <w:t xml:space="preserve"> no obligation to revise or update any forward-looking statements in order to reflect any event or circumstance that may arise after the date of this Quarterly Report. Readers are urged to carefully review and consider the various disclosures made in this </w:t>
      </w:r>
      <w:r>
        <w:rPr>
          <w:rFonts w:eastAsia="Times New Roman"/>
          <w:color w:val="000000"/>
          <w:sz w:val="20"/>
          <w:szCs w:val="20"/>
        </w:rPr>
        <w:t>Quarterly Report, which attempt to advise interested parties of the risks and factors that may affect our business, financial condition, results of operations and prospects</w:t>
      </w:r>
      <w:r>
        <w:rPr>
          <w:rFonts w:eastAsia="Times New Roman"/>
          <w:color w:val="000000"/>
          <w:sz w:val="20"/>
          <w:szCs w:val="20"/>
        </w:rPr>
        <w:t>.</w:t>
      </w:r>
    </w:p>
    <w:p w:rsidR="00000000" w:rsidRDefault="00602C02">
      <w:pPr>
        <w:divId w:val="447168365"/>
        <w:rPr>
          <w:rFonts w:eastAsia="Times New Roman"/>
        </w:rPr>
      </w:pPr>
      <w:r>
        <w:rPr>
          <w:rFonts w:eastAsia="Times New Roman"/>
          <w:b/>
          <w:bCs/>
          <w:color w:val="000000"/>
          <w:sz w:val="20"/>
          <w:szCs w:val="20"/>
        </w:rPr>
        <w:t>Second Quarter Fiscal 2020 Overview and Other Recent Event</w:t>
      </w:r>
      <w:r>
        <w:rPr>
          <w:rFonts w:eastAsia="Times New Roman"/>
          <w:b/>
          <w:bCs/>
          <w:color w:val="000000"/>
          <w:sz w:val="20"/>
          <w:szCs w:val="20"/>
        </w:rPr>
        <w:t>s</w:t>
      </w:r>
    </w:p>
    <w:p w:rsidR="00000000" w:rsidRDefault="00602C02">
      <w:pPr>
        <w:ind w:firstLine="360"/>
        <w:divId w:val="1086730054"/>
        <w:rPr>
          <w:rFonts w:eastAsia="Times New Roman"/>
        </w:rPr>
      </w:pPr>
      <w:r>
        <w:rPr>
          <w:rFonts w:eastAsia="Times New Roman"/>
          <w:color w:val="000000"/>
          <w:sz w:val="20"/>
          <w:szCs w:val="20"/>
        </w:rPr>
        <w:t>Revenues for the secon</w:t>
      </w:r>
      <w:r>
        <w:rPr>
          <w:rFonts w:eastAsia="Times New Roman"/>
          <w:color w:val="000000"/>
          <w:sz w:val="20"/>
          <w:szCs w:val="20"/>
        </w:rPr>
        <w:t>d quarter of fiscal 2020 were $5.2 billion, an increase of 5% compared to the year ago quarter, with net income of $468 million, a decrease of 29% compared to the year ago quarter. Highlights and other key developments from the second quarter of fiscal 202</w:t>
      </w:r>
      <w:r>
        <w:rPr>
          <w:rFonts w:eastAsia="Times New Roman"/>
          <w:color w:val="000000"/>
          <w:sz w:val="20"/>
          <w:szCs w:val="20"/>
        </w:rPr>
        <w:t>0 and other recent events included:</w:t>
      </w:r>
      <w:r>
        <w:rPr>
          <w:rFonts w:eastAsia="Times New Roman"/>
          <w:color w:val="000000"/>
          <w:sz w:val="20"/>
          <w:szCs w:val="20"/>
        </w:rPr>
        <w:t xml:space="preserve"> </w:t>
      </w:r>
    </w:p>
    <w:p w:rsidR="00000000" w:rsidRDefault="00602C02">
      <w:pPr>
        <w:ind w:hanging="360"/>
        <w:divId w:val="848106113"/>
        <w:rPr>
          <w:rFonts w:eastAsia="Times New Roman"/>
        </w:rPr>
      </w:pPr>
      <w:r>
        <w:rPr>
          <w:rFonts w:eastAsia="Times New Roman"/>
          <w:color w:val="000000"/>
          <w:sz w:val="20"/>
          <w:szCs w:val="20"/>
        </w:rPr>
        <w:t>•</w:t>
      </w:r>
      <w:r>
        <w:rPr>
          <w:rFonts w:eastAsia="Times New Roman"/>
          <w:color w:val="000000"/>
          <w:sz w:val="20"/>
          <w:szCs w:val="20"/>
        </w:rPr>
        <w:t xml:space="preserve">The rapid, global spread of COVID-19 has negatively impacted consumer demand for devices that incorporate our products and intellectual property, which negatively impacted our business and results of operations in the </w:t>
      </w:r>
      <w:r>
        <w:rPr>
          <w:rFonts w:eastAsia="Times New Roman"/>
          <w:color w:val="000000"/>
          <w:sz w:val="20"/>
          <w:szCs w:val="20"/>
        </w:rPr>
        <w:t>second quarter of fiscal 2020. The negative impacts of the COVID-19 pandemic varied by region. In China, sales were significantly impacted early in the second fiscal quarter, but we started to see meaningful recovery by the end of March. Other regions were</w:t>
      </w:r>
      <w:r>
        <w:rPr>
          <w:rFonts w:eastAsia="Times New Roman"/>
          <w:color w:val="000000"/>
          <w:sz w:val="20"/>
          <w:szCs w:val="20"/>
        </w:rPr>
        <w:t xml:space="preserve"> impacted later in the second fiscal quarter, with increasing impacts exiting March. The impact of COVID-19 on our ability to fulfill customer orders has been minimal. In response to the pandemic, we implemented significant workforce changes that we determ</w:t>
      </w:r>
      <w:r>
        <w:rPr>
          <w:rFonts w:eastAsia="Times New Roman"/>
          <w:color w:val="000000"/>
          <w:sz w:val="20"/>
          <w:szCs w:val="20"/>
        </w:rPr>
        <w:t>ined were in the best interest of our employees, as well as the communities in which we operate, and which comply with government regulations. This included significantly</w:t>
      </w:r>
      <w:r>
        <w:rPr>
          <w:rFonts w:eastAsia="Times New Roman"/>
          <w:color w:val="000000"/>
          <w:sz w:val="20"/>
          <w:szCs w:val="20"/>
        </w:rPr>
        <w:t xml:space="preserve"> </w:t>
      </w:r>
    </w:p>
    <w:p w:rsidR="00000000" w:rsidRDefault="00602C02">
      <w:pPr>
        <w:jc w:val="center"/>
        <w:divId w:val="1849976290"/>
        <w:rPr>
          <w:rFonts w:eastAsia="Times New Roman"/>
        </w:rPr>
      </w:pPr>
      <w:r>
        <w:rPr>
          <w:rFonts w:eastAsia="Times New Roman"/>
          <w:color w:val="000000"/>
          <w:sz w:val="20"/>
          <w:szCs w:val="20"/>
        </w:rPr>
        <w:t>2</w:t>
      </w:r>
      <w:r>
        <w:rPr>
          <w:rFonts w:eastAsia="Times New Roman"/>
          <w:color w:val="000000"/>
          <w:sz w:val="20"/>
          <w:szCs w:val="20"/>
        </w:rPr>
        <w:t>0</w:t>
      </w:r>
    </w:p>
    <w:p w:rsidR="00000000" w:rsidRDefault="00602C02">
      <w:pPr>
        <w:rPr>
          <w:rFonts w:eastAsia="Times New Roman"/>
        </w:rPr>
      </w:pPr>
      <w:r>
        <w:rPr>
          <w:rFonts w:eastAsia="Times New Roman"/>
        </w:rPr>
        <w:pict>
          <v:rect id="_x0000_i1044" style="width:0;height:1.5pt" o:hralign="center" o:hrstd="t" o:hr="t" fillcolor="#a0a0a0" stroked="f"/>
        </w:pict>
      </w:r>
    </w:p>
    <w:p w:rsidR="00000000" w:rsidRDefault="00602C02">
      <w:pPr>
        <w:divId w:val="350687005"/>
        <w:rPr>
          <w:rFonts w:eastAsia="Times New Roman"/>
        </w:rPr>
      </w:pPr>
    </w:p>
    <w:p w:rsidR="00000000" w:rsidRDefault="00602C02">
      <w:pPr>
        <w:divId w:val="277376818"/>
        <w:rPr>
          <w:rFonts w:eastAsia="Times New Roman"/>
        </w:rPr>
      </w:pPr>
      <w:r>
        <w:rPr>
          <w:rFonts w:eastAsia="Times New Roman"/>
          <w:color w:val="000000"/>
          <w:sz w:val="20"/>
          <w:szCs w:val="20"/>
        </w:rPr>
        <w:t>reducing the number of people in our offices and implementing additional safety measures for employees continuing critical on-site work</w:t>
      </w:r>
      <w:r>
        <w:rPr>
          <w:rFonts w:eastAsia="Times New Roman"/>
          <w:color w:val="000000"/>
          <w:sz w:val="20"/>
          <w:szCs w:val="20"/>
        </w:rPr>
        <w:t>.</w:t>
      </w:r>
    </w:p>
    <w:p w:rsidR="00000000" w:rsidRDefault="00602C02">
      <w:pPr>
        <w:ind w:hanging="360"/>
        <w:divId w:val="2031906206"/>
        <w:rPr>
          <w:rFonts w:eastAsia="Times New Roman"/>
        </w:rPr>
      </w:pPr>
      <w:r>
        <w:rPr>
          <w:rFonts w:eastAsia="Times New Roman"/>
          <w:color w:val="000000"/>
          <w:sz w:val="20"/>
          <w:szCs w:val="20"/>
        </w:rPr>
        <w:t>•</w:t>
      </w:r>
      <w:r>
        <w:rPr>
          <w:rFonts w:eastAsia="Times New Roman"/>
          <w:color w:val="000000"/>
          <w:sz w:val="20"/>
          <w:szCs w:val="20"/>
        </w:rPr>
        <w:t xml:space="preserve">QTL revenues in the second quarter of fiscal 2020 benefited from the inclusion of royalties from Apple for sales made </w:t>
      </w:r>
      <w:r>
        <w:rPr>
          <w:rFonts w:eastAsia="Times New Roman"/>
          <w:color w:val="000000"/>
          <w:sz w:val="20"/>
          <w:szCs w:val="20"/>
        </w:rPr>
        <w:t>during the March 2020 quarter (as a result of the settlement with Apple and its contract manufacturers in April 2019), which was partially offset by the negative impact of COVID-19. We did not record any revenues in the second quarter of fiscal 2020 for ro</w:t>
      </w:r>
      <w:r>
        <w:rPr>
          <w:rFonts w:eastAsia="Times New Roman"/>
          <w:color w:val="000000"/>
          <w:sz w:val="20"/>
          <w:szCs w:val="20"/>
        </w:rPr>
        <w:t>yalties due on the sales of Huawei’s consumer wireless products.</w:t>
      </w:r>
      <w:r>
        <w:rPr>
          <w:rFonts w:eastAsia="Times New Roman"/>
          <w:color w:val="000000"/>
          <w:sz w:val="20"/>
          <w:szCs w:val="20"/>
        </w:rPr>
        <w:t xml:space="preserve"> </w:t>
      </w:r>
    </w:p>
    <w:p w:rsidR="00000000" w:rsidRDefault="00602C02">
      <w:pPr>
        <w:ind w:hanging="360"/>
        <w:divId w:val="2053339409"/>
        <w:rPr>
          <w:rFonts w:eastAsia="Times New Roman"/>
        </w:rPr>
      </w:pPr>
      <w:r>
        <w:rPr>
          <w:rFonts w:eastAsia="Times New Roman"/>
          <w:color w:val="000000"/>
          <w:sz w:val="20"/>
          <w:szCs w:val="20"/>
        </w:rPr>
        <w:t>•</w:t>
      </w:r>
      <w:r>
        <w:rPr>
          <w:rFonts w:eastAsia="Times New Roman"/>
          <w:color w:val="000000"/>
          <w:sz w:val="20"/>
          <w:szCs w:val="20"/>
        </w:rPr>
        <w:t>QCT revenues increased by 10% in the second quarter of fiscal 2020 compared to the year ago quarter, primarily due to an increase in demand for 5G products, partially offset by the negative</w:t>
      </w:r>
      <w:r>
        <w:rPr>
          <w:rFonts w:eastAsia="Times New Roman"/>
          <w:color w:val="000000"/>
          <w:sz w:val="20"/>
          <w:szCs w:val="20"/>
        </w:rPr>
        <w:t xml:space="preserve"> impact of COVID-19</w:t>
      </w:r>
      <w:r>
        <w:rPr>
          <w:rFonts w:eastAsia="Times New Roman"/>
          <w:color w:val="000000"/>
          <w:sz w:val="20"/>
          <w:szCs w:val="20"/>
        </w:rPr>
        <w:t>.</w:t>
      </w:r>
    </w:p>
    <w:p w:rsidR="00000000" w:rsidRDefault="00602C02">
      <w:pPr>
        <w:ind w:hanging="360"/>
        <w:divId w:val="1070234047"/>
        <w:rPr>
          <w:rFonts w:eastAsia="Times New Roman"/>
        </w:rPr>
      </w:pPr>
      <w:r>
        <w:rPr>
          <w:rFonts w:eastAsia="Times New Roman"/>
          <w:color w:val="000000"/>
          <w:sz w:val="20"/>
          <w:szCs w:val="20"/>
        </w:rPr>
        <w:t>•</w:t>
      </w:r>
      <w:r>
        <w:rPr>
          <w:rFonts w:eastAsia="Times New Roman"/>
          <w:color w:val="000000"/>
          <w:sz w:val="20"/>
          <w:szCs w:val="20"/>
        </w:rPr>
        <w:t>In the second quarter of fiscal 2020, we recorded $265 million in non-marketable investment impairments, resulting in part from the impacts of COVID-19.</w:t>
      </w:r>
      <w:r>
        <w:rPr>
          <w:rFonts w:eastAsia="Times New Roman"/>
          <w:color w:val="000000"/>
          <w:sz w:val="20"/>
          <w:szCs w:val="20"/>
        </w:rPr>
        <w:t xml:space="preserve"> </w:t>
      </w:r>
    </w:p>
    <w:p w:rsidR="00000000" w:rsidRDefault="00602C02">
      <w:pPr>
        <w:ind w:hanging="360"/>
        <w:divId w:val="929852469"/>
        <w:rPr>
          <w:rFonts w:eastAsia="Times New Roman"/>
        </w:rPr>
      </w:pPr>
      <w:r>
        <w:rPr>
          <w:rFonts w:eastAsia="Times New Roman"/>
          <w:color w:val="000000"/>
          <w:sz w:val="20"/>
          <w:szCs w:val="20"/>
        </w:rPr>
        <w:t>•</w:t>
      </w:r>
      <w:r>
        <w:rPr>
          <w:rFonts w:eastAsia="Times New Roman"/>
          <w:color w:val="000000"/>
          <w:sz w:val="20"/>
          <w:szCs w:val="20"/>
        </w:rPr>
        <w:t>We entered into new long-term, world-wide patent license agreements with Guangd</w:t>
      </w:r>
      <w:r>
        <w:rPr>
          <w:rFonts w:eastAsia="Times New Roman"/>
          <w:color w:val="000000"/>
          <w:sz w:val="20"/>
          <w:szCs w:val="20"/>
        </w:rPr>
        <w:t>ong OPPO Mobile Telecommunications Corp., Ltd. (Oppo) and BBK Communication Technology Co., Ltd. (vivo) (who were previously disclosed as two key Chinese licensees), effective as of April 1, 2020, covering 3G/4G/5G multimode devices. We also reached agreem</w:t>
      </w:r>
      <w:r>
        <w:rPr>
          <w:rFonts w:eastAsia="Times New Roman"/>
          <w:color w:val="000000"/>
          <w:sz w:val="20"/>
          <w:szCs w:val="20"/>
        </w:rPr>
        <w:t>ents with these licensees to provide for payment of amounts due under the license agreements that expired on March 31, 2020 and for which certain of such amounts for prior periods were withheld while good faith negotiations occurred. The licensees have agr</w:t>
      </w:r>
      <w:r>
        <w:rPr>
          <w:rFonts w:eastAsia="Times New Roman"/>
          <w:color w:val="000000"/>
          <w:sz w:val="20"/>
          <w:szCs w:val="20"/>
        </w:rPr>
        <w:t>eed to make full payment in the near term according to agreed upon payment schedules. These licensees/customers continue to make timely payments on purchases of integrated circuit products</w:t>
      </w:r>
      <w:r>
        <w:rPr>
          <w:rFonts w:eastAsia="Times New Roman"/>
          <w:color w:val="000000"/>
          <w:sz w:val="20"/>
          <w:szCs w:val="20"/>
        </w:rPr>
        <w:t>.</w:t>
      </w:r>
    </w:p>
    <w:p w:rsidR="00000000" w:rsidRDefault="00602C02">
      <w:pPr>
        <w:divId w:val="1568805565"/>
        <w:rPr>
          <w:rFonts w:eastAsia="Times New Roman"/>
        </w:rPr>
      </w:pPr>
      <w:r>
        <w:rPr>
          <w:rFonts w:eastAsia="Times New Roman"/>
          <w:b/>
          <w:bCs/>
          <w:color w:val="000000"/>
          <w:sz w:val="20"/>
          <w:szCs w:val="20"/>
        </w:rPr>
        <w:t>Our Business and Operating Segment</w:t>
      </w:r>
      <w:r>
        <w:rPr>
          <w:rFonts w:eastAsia="Times New Roman"/>
          <w:b/>
          <w:bCs/>
          <w:color w:val="000000"/>
          <w:sz w:val="20"/>
          <w:szCs w:val="20"/>
        </w:rPr>
        <w:t>s</w:t>
      </w:r>
    </w:p>
    <w:p w:rsidR="00000000" w:rsidRDefault="00602C02">
      <w:pPr>
        <w:ind w:firstLine="360"/>
        <w:divId w:val="1828521797"/>
        <w:rPr>
          <w:rFonts w:eastAsia="Times New Roman"/>
        </w:rPr>
      </w:pPr>
      <w:r>
        <w:rPr>
          <w:rFonts w:eastAsia="Times New Roman"/>
          <w:color w:val="000000"/>
          <w:sz w:val="20"/>
          <w:szCs w:val="20"/>
        </w:rPr>
        <w:t>We develop and commercialize f</w:t>
      </w:r>
      <w:r>
        <w:rPr>
          <w:rFonts w:eastAsia="Times New Roman"/>
          <w:color w:val="000000"/>
          <w:sz w:val="20"/>
          <w:szCs w:val="20"/>
        </w:rPr>
        <w:t>oundational technologies and products used in mobile devices and other wireless products. We derive revenues principally from sales of integrated circuit products and licensing our intellectual property, including patents and other rights</w:t>
      </w:r>
      <w:r>
        <w:rPr>
          <w:rFonts w:eastAsia="Times New Roman"/>
          <w:color w:val="000000"/>
          <w:sz w:val="20"/>
          <w:szCs w:val="20"/>
        </w:rPr>
        <w:t>.</w:t>
      </w:r>
    </w:p>
    <w:p w:rsidR="00000000" w:rsidRDefault="00602C02">
      <w:pPr>
        <w:ind w:firstLine="360"/>
        <w:divId w:val="2055153337"/>
        <w:rPr>
          <w:rFonts w:eastAsia="Times New Roman"/>
        </w:rPr>
      </w:pPr>
      <w:r>
        <w:rPr>
          <w:rFonts w:eastAsia="Times New Roman"/>
          <w:color w:val="000000"/>
          <w:sz w:val="20"/>
          <w:szCs w:val="20"/>
        </w:rPr>
        <w:t>We are organized</w:t>
      </w:r>
      <w:r>
        <w:rPr>
          <w:rFonts w:eastAsia="Times New Roman"/>
          <w:color w:val="000000"/>
          <w:sz w:val="20"/>
          <w:szCs w:val="20"/>
        </w:rPr>
        <w:t xml:space="preserve"> on the basis of products and services and have three reportable segments. We conduct business primarily through our QCT (Qualcomm CDMA Technologies) semiconductor business and our QTL (Qualcomm Technology Licensing) licensing business. QCT develops and su</w:t>
      </w:r>
      <w:r>
        <w:rPr>
          <w:rFonts w:eastAsia="Times New Roman"/>
          <w:color w:val="000000"/>
          <w:sz w:val="20"/>
          <w:szCs w:val="20"/>
        </w:rPr>
        <w:t>pplies integrated circuits and system software based on CDMA, OFDMA and other technologies for use in mobile devices (primarily smartphones), tablets, laptops, data modules, handheld wireless computers and gaming devices, access points and routers, broadba</w:t>
      </w:r>
      <w:r>
        <w:rPr>
          <w:rFonts w:eastAsia="Times New Roman"/>
          <w:color w:val="000000"/>
          <w:sz w:val="20"/>
          <w:szCs w:val="20"/>
        </w:rPr>
        <w:t>nd gateway equipment, data cards and infrastructure equipment, IoT devices and applications, other consumer electronics and automotive telematics and infotainment systems. QTL grants licenses or otherwise provides rights to use portions of our intellectual</w:t>
      </w:r>
      <w:r>
        <w:rPr>
          <w:rFonts w:eastAsia="Times New Roman"/>
          <w:color w:val="000000"/>
          <w:sz w:val="20"/>
          <w:szCs w:val="20"/>
        </w:rPr>
        <w:t xml:space="preserve"> property portfolio, which, among other rights, includes certain patent rights essential to and/or useful in the manufacture, sale and/or use of certain wireless products. Our QSI (Qualcomm Strategic Initiatives) reportable segment makes strategic investme</w:t>
      </w:r>
      <w:r>
        <w:rPr>
          <w:rFonts w:eastAsia="Times New Roman"/>
          <w:color w:val="000000"/>
          <w:sz w:val="20"/>
          <w:szCs w:val="20"/>
        </w:rPr>
        <w:t>nts. We also have nonreportable segments, including QGOV (Qualcomm Government Technologies) and other technology and service initiatives.</w:t>
      </w:r>
      <w:r>
        <w:rPr>
          <w:rFonts w:eastAsia="Times New Roman"/>
          <w:color w:val="000000"/>
          <w:sz w:val="20"/>
          <w:szCs w:val="20"/>
        </w:rPr>
        <w:t xml:space="preserve"> </w:t>
      </w:r>
    </w:p>
    <w:p w:rsidR="00000000" w:rsidRDefault="00602C02">
      <w:pPr>
        <w:ind w:firstLine="360"/>
        <w:divId w:val="431318011"/>
        <w:rPr>
          <w:rFonts w:eastAsia="Times New Roman"/>
        </w:rPr>
      </w:pPr>
      <w:r>
        <w:rPr>
          <w:rFonts w:eastAsia="Times New Roman"/>
          <w:color w:val="000000"/>
          <w:sz w:val="20"/>
          <w:szCs w:val="20"/>
        </w:rPr>
        <w:t>Our reportable segments are operated by QUALCOMM Incorporated and its direct and indirect subsidiaries. QTL is operat</w:t>
      </w:r>
      <w:r>
        <w:rPr>
          <w:rFonts w:eastAsia="Times New Roman"/>
          <w:color w:val="000000"/>
          <w:sz w:val="20"/>
          <w:szCs w:val="20"/>
        </w:rPr>
        <w:t>ed by QUALCOMM Incorporated, which owns the vast majority of our patent portfolio. Substantially all of our products and services businesses, including QCT, and substantially all of our engineering, research and development functions, are operated by Qualc</w:t>
      </w:r>
      <w:r>
        <w:rPr>
          <w:rFonts w:eastAsia="Times New Roman"/>
          <w:color w:val="000000"/>
          <w:sz w:val="20"/>
          <w:szCs w:val="20"/>
        </w:rPr>
        <w:t>omm Technologies, Inc. (QTI), a wholly-owned subsidiary of QUALCOMM Incorporated, and QTI’s subsidiaries. Neither QTI nor any of its subsidiaries has any right, power or authority to grant any licenses or other rights under or to any patents owned by QUALC</w:t>
      </w:r>
      <w:r>
        <w:rPr>
          <w:rFonts w:eastAsia="Times New Roman"/>
          <w:color w:val="000000"/>
          <w:sz w:val="20"/>
          <w:szCs w:val="20"/>
        </w:rPr>
        <w:t>OMM Incorporated</w:t>
      </w:r>
      <w:r>
        <w:rPr>
          <w:rFonts w:eastAsia="Times New Roman"/>
          <w:color w:val="000000"/>
          <w:sz w:val="20"/>
          <w:szCs w:val="20"/>
        </w:rPr>
        <w:t>.</w:t>
      </w:r>
    </w:p>
    <w:p w:rsidR="00000000" w:rsidRDefault="00602C02">
      <w:pPr>
        <w:ind w:firstLine="360"/>
        <w:divId w:val="733816026"/>
        <w:rPr>
          <w:rFonts w:eastAsia="Times New Roman"/>
        </w:rPr>
      </w:pPr>
      <w:r>
        <w:rPr>
          <w:rFonts w:eastAsia="Times New Roman"/>
          <w:b/>
          <w:bCs/>
          <w:i/>
          <w:iCs/>
          <w:color w:val="000000"/>
          <w:sz w:val="20"/>
          <w:szCs w:val="20"/>
        </w:rPr>
        <w:t>Seasonality.</w:t>
      </w:r>
      <w:r>
        <w:rPr>
          <w:rFonts w:eastAsia="Times New Roman"/>
          <w:b/>
          <w:bCs/>
          <w:i/>
          <w:iCs/>
          <w:color w:val="000000"/>
          <w:sz w:val="20"/>
          <w:szCs w:val="20"/>
        </w:rPr>
        <w:t xml:space="preserve"> </w:t>
      </w:r>
      <w:r>
        <w:rPr>
          <w:rFonts w:eastAsia="Times New Roman"/>
          <w:color w:val="000000"/>
          <w:sz w:val="20"/>
          <w:szCs w:val="20"/>
        </w:rPr>
        <w:t>Many of our products and/or much of our intellectual property are incorporated into consumer wireless devices, which are subject to seasonality and other fluctuations in demand. Our revenues have historically fluctuated based</w:t>
      </w:r>
      <w:r>
        <w:rPr>
          <w:rFonts w:eastAsia="Times New Roman"/>
          <w:color w:val="000000"/>
          <w:sz w:val="20"/>
          <w:szCs w:val="20"/>
        </w:rPr>
        <w:t xml:space="preserve"> on consumer demand for devices, as well as on the timing of customer/licensee device launches and/or innovation cycles (such as the transition to the next generation of wireless technologies). This has resulted in fluctuations in QCT revenues in advance o</w:t>
      </w:r>
      <w:r>
        <w:rPr>
          <w:rFonts w:eastAsia="Times New Roman"/>
          <w:color w:val="000000"/>
          <w:sz w:val="20"/>
          <w:szCs w:val="20"/>
        </w:rPr>
        <w:t xml:space="preserve">f and during device launches incorporating our products and in QTL revenues when the related royalties were recognized, which prior to fiscal 2019 was when licensees reported their sales and beginning in fiscal 2019 when the licensees’ sales occurred. Our </w:t>
      </w:r>
      <w:r>
        <w:rPr>
          <w:rFonts w:eastAsia="Times New Roman"/>
          <w:color w:val="000000"/>
          <w:sz w:val="20"/>
          <w:szCs w:val="20"/>
        </w:rPr>
        <w:t>historical trends were impacted by our prior dispute with Apple and its contract manufacturers, which was settled in April 2019. We expect to begin recording equipment revenues for new chipset models under our multi-year chipset agreement with Apple in the</w:t>
      </w:r>
      <w:r>
        <w:rPr>
          <w:rFonts w:eastAsia="Times New Roman"/>
          <w:color w:val="000000"/>
          <w:sz w:val="20"/>
          <w:szCs w:val="20"/>
        </w:rPr>
        <w:t xml:space="preserve"> second half of fiscal 2020. These trends may or may not continue in the future</w:t>
      </w:r>
      <w:r>
        <w:rPr>
          <w:rFonts w:eastAsia="Times New Roman"/>
          <w:color w:val="000000"/>
          <w:sz w:val="20"/>
          <w:szCs w:val="20"/>
        </w:rPr>
        <w:t xml:space="preserve"> </w:t>
      </w:r>
      <w:r>
        <w:rPr>
          <w:rFonts w:eastAsia="Times New Roman"/>
          <w:color w:val="000000"/>
          <w:sz w:val="20"/>
          <w:szCs w:val="20"/>
          <w:shd w:val="clear" w:color="auto" w:fill="FFFFFF"/>
        </w:rPr>
        <w:t>and have been impacted by the decline in consumer demand resulting from COVID-19. Further, the trends for QTL have be</w:t>
      </w:r>
      <w:r>
        <w:rPr>
          <w:rFonts w:eastAsia="Times New Roman"/>
          <w:color w:val="000000"/>
          <w:sz w:val="20"/>
          <w:szCs w:val="20"/>
          <w:shd w:val="clear" w:color="auto" w:fill="FFFFFF"/>
        </w:rPr>
        <w:t>e</w:t>
      </w:r>
      <w:r>
        <w:rPr>
          <w:rFonts w:eastAsia="Times New Roman"/>
          <w:color w:val="000000"/>
          <w:sz w:val="20"/>
          <w:szCs w:val="20"/>
        </w:rPr>
        <w:t>n, and/or may in the future be, impacted by disputes and/o</w:t>
      </w:r>
      <w:r>
        <w:rPr>
          <w:rFonts w:eastAsia="Times New Roman"/>
          <w:color w:val="000000"/>
          <w:sz w:val="20"/>
          <w:szCs w:val="20"/>
        </w:rPr>
        <w:t>r resolutions with licensees and/or governmental investigations or proceedings, including the lawsuit filed against us by the FTC</w:t>
      </w:r>
      <w:r>
        <w:rPr>
          <w:rFonts w:eastAsia="Times New Roman"/>
          <w:color w:val="000000"/>
          <w:sz w:val="20"/>
          <w:szCs w:val="20"/>
        </w:rPr>
        <w:t>.</w:t>
      </w:r>
    </w:p>
    <w:p w:rsidR="00000000" w:rsidRDefault="00602C02">
      <w:pPr>
        <w:jc w:val="center"/>
        <w:divId w:val="1541434340"/>
        <w:rPr>
          <w:rFonts w:eastAsia="Times New Roman"/>
        </w:rPr>
      </w:pPr>
      <w:r>
        <w:rPr>
          <w:rFonts w:eastAsia="Times New Roman"/>
          <w:color w:val="000000"/>
          <w:sz w:val="20"/>
          <w:szCs w:val="20"/>
        </w:rPr>
        <w:t>2</w:t>
      </w:r>
      <w:r>
        <w:rPr>
          <w:rFonts w:eastAsia="Times New Roman"/>
          <w:color w:val="000000"/>
          <w:sz w:val="20"/>
          <w:szCs w:val="20"/>
        </w:rPr>
        <w:t>1</w:t>
      </w:r>
    </w:p>
    <w:p w:rsidR="00000000" w:rsidRDefault="00602C02">
      <w:pPr>
        <w:rPr>
          <w:rFonts w:eastAsia="Times New Roman"/>
        </w:rPr>
      </w:pPr>
      <w:r>
        <w:rPr>
          <w:rFonts w:eastAsia="Times New Roman"/>
        </w:rPr>
        <w:pict>
          <v:rect id="_x0000_i1045" style="width:0;height:1.5pt" o:hralign="center" o:hrstd="t" o:hr="t" fillcolor="#a0a0a0" stroked="f"/>
        </w:pict>
      </w:r>
    </w:p>
    <w:p w:rsidR="00000000" w:rsidRDefault="00602C02">
      <w:pPr>
        <w:divId w:val="1661807591"/>
        <w:rPr>
          <w:rFonts w:eastAsia="Times New Roman"/>
        </w:rPr>
      </w:pPr>
    </w:p>
    <w:p w:rsidR="00000000" w:rsidRDefault="00602C02">
      <w:pPr>
        <w:divId w:val="1223830942"/>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7"/>
        <w:gridCol w:w="1717"/>
        <w:gridCol w:w="36"/>
        <w:gridCol w:w="125"/>
        <w:gridCol w:w="675"/>
        <w:gridCol w:w="80"/>
        <w:gridCol w:w="36"/>
        <w:gridCol w:w="36"/>
        <w:gridCol w:w="36"/>
        <w:gridCol w:w="125"/>
        <w:gridCol w:w="640"/>
        <w:gridCol w:w="80"/>
        <w:gridCol w:w="36"/>
        <w:gridCol w:w="36"/>
        <w:gridCol w:w="36"/>
        <w:gridCol w:w="126"/>
        <w:gridCol w:w="640"/>
        <w:gridCol w:w="80"/>
        <w:gridCol w:w="36"/>
        <w:gridCol w:w="36"/>
        <w:gridCol w:w="36"/>
        <w:gridCol w:w="125"/>
        <w:gridCol w:w="640"/>
        <w:gridCol w:w="80"/>
        <w:gridCol w:w="36"/>
        <w:gridCol w:w="36"/>
        <w:gridCol w:w="36"/>
        <w:gridCol w:w="125"/>
        <w:gridCol w:w="640"/>
        <w:gridCol w:w="80"/>
        <w:gridCol w:w="36"/>
        <w:gridCol w:w="36"/>
        <w:gridCol w:w="36"/>
        <w:gridCol w:w="126"/>
        <w:gridCol w:w="644"/>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892226659"/>
        </w:trPr>
        <w:tc>
          <w:tcPr>
            <w:tcW w:w="50" w:type="pct"/>
            <w:vAlign w:val="center"/>
            <w:hideMark/>
          </w:tcPr>
          <w:p w:rsidR="00000000" w:rsidRDefault="00602C02">
            <w:pPr>
              <w:rPr>
                <w:rFonts w:eastAsia="Times New Roman"/>
              </w:rPr>
            </w:pPr>
          </w:p>
        </w:tc>
        <w:tc>
          <w:tcPr>
            <w:tcW w:w="11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gridAfter w:val="9"/>
          <w:divId w:val="1892226659"/>
        </w:trPr>
        <w:tc>
          <w:tcPr>
            <w:tcW w:w="0" w:type="auto"/>
            <w:gridSpan w:val="18"/>
            <w:tcMar>
              <w:top w:w="30" w:type="dxa"/>
              <w:left w:w="20" w:type="dxa"/>
              <w:bottom w:w="30" w:type="dxa"/>
              <w:right w:w="20" w:type="dxa"/>
            </w:tcMar>
            <w:vAlign w:val="bottom"/>
            <w:hideMark/>
          </w:tcPr>
          <w:p w:rsidR="00000000" w:rsidRDefault="00602C02">
            <w:pPr>
              <w:ind w:firstLine="360"/>
              <w:divId w:val="523135177"/>
              <w:rPr>
                <w:rFonts w:eastAsia="Times New Roman"/>
              </w:rPr>
            </w:pPr>
            <w:r>
              <w:rPr>
                <w:rFonts w:eastAsia="Times New Roman"/>
                <w:b/>
                <w:bCs/>
                <w:i/>
                <w:iCs/>
                <w:color w:val="000000"/>
                <w:sz w:val="20"/>
                <w:szCs w:val="20"/>
              </w:rPr>
              <w:t>Revenues (in millions</w:t>
            </w:r>
            <w:r>
              <w:rPr>
                <w:rFonts w:eastAsia="Times New Roman"/>
                <w:b/>
                <w:bCs/>
                <w:i/>
                <w:iCs/>
                <w:color w:val="000000"/>
                <w:sz w:val="20"/>
                <w:szCs w:val="20"/>
              </w:rPr>
              <w:t>)</w:t>
            </w:r>
          </w:p>
        </w:tc>
        <w:tc>
          <w:tcPr>
            <w:tcW w:w="0" w:type="auto"/>
            <w:gridSpan w:val="3"/>
            <w:vAlign w:val="center"/>
            <w:hideMark/>
          </w:tcPr>
          <w:p w:rsidR="00000000" w:rsidRDefault="00602C02">
            <w:pPr>
              <w:ind w:firstLine="360"/>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92226659"/>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92226659"/>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92226659"/>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Equipment and service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4,050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3,753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7,583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7,506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92226659"/>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Licensin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1,166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1,229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2,709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2,318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391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92226659"/>
        </w:trPr>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5,216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4,982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10,292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9,824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468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divId w:val="1863131591"/>
        <w:rPr>
          <w:rFonts w:eastAsia="Times New Roman"/>
        </w:rPr>
      </w:pPr>
      <w:r>
        <w:rPr>
          <w:rFonts w:eastAsia="Times New Roman"/>
          <w:b/>
          <w:bCs/>
          <w:i/>
          <w:iCs/>
          <w:color w:val="000000"/>
          <w:sz w:val="20"/>
          <w:szCs w:val="20"/>
        </w:rPr>
        <w:t>Second quarter 2020 vs. 201</w:t>
      </w:r>
      <w:r>
        <w:rPr>
          <w:rFonts w:eastAsia="Times New Roman"/>
          <w:b/>
          <w:bCs/>
          <w:i/>
          <w:iCs/>
          <w:color w:val="000000"/>
          <w:sz w:val="20"/>
          <w:szCs w:val="20"/>
        </w:rPr>
        <w:t>9</w:t>
      </w:r>
    </w:p>
    <w:p w:rsidR="00000000" w:rsidRDefault="00602C02">
      <w:pPr>
        <w:divId w:val="1883402146"/>
        <w:rPr>
          <w:rFonts w:eastAsia="Times New Roman"/>
        </w:rPr>
      </w:pPr>
      <w:r>
        <w:rPr>
          <w:rFonts w:eastAsia="Times New Roman"/>
          <w:color w:val="000000"/>
          <w:sz w:val="20"/>
          <w:szCs w:val="20"/>
        </w:rPr>
        <w:t>The increase in revenues in the second quarter of fiscal 2020 was primarily due to</w:t>
      </w:r>
      <w:r>
        <w:rPr>
          <w:rFonts w:eastAsia="Times New Roman"/>
          <w:color w:val="000000"/>
          <w:sz w:val="20"/>
          <w:szCs w:val="20"/>
        </w:rPr>
        <w:t>:</w:t>
      </w:r>
    </w:p>
    <w:p w:rsidR="00000000" w:rsidRDefault="00602C02">
      <w:pPr>
        <w:ind w:hanging="360"/>
        <w:divId w:val="919221450"/>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$389 million in higher equipment and services revenues from our QCT segmen</w:t>
      </w:r>
      <w:r>
        <w:rPr>
          <w:rFonts w:eastAsia="Times New Roman"/>
          <w:color w:val="000000"/>
          <w:sz w:val="20"/>
          <w:szCs w:val="20"/>
        </w:rPr>
        <w:t>t</w:t>
      </w:r>
    </w:p>
    <w:p w:rsidR="00000000" w:rsidRDefault="00602C02">
      <w:pPr>
        <w:ind w:hanging="360"/>
        <w:divId w:val="834030127"/>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$88 million in lower equipment and services revenues from our QSI segmen</w:t>
      </w:r>
      <w:r>
        <w:rPr>
          <w:rFonts w:eastAsia="Times New Roman"/>
          <w:color w:val="000000"/>
          <w:sz w:val="20"/>
          <w:szCs w:val="20"/>
        </w:rPr>
        <w:t>t</w:t>
      </w:r>
    </w:p>
    <w:p w:rsidR="00000000" w:rsidRDefault="00602C02">
      <w:pPr>
        <w:ind w:hanging="360"/>
        <w:divId w:val="247619424"/>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$50 million in l</w:t>
      </w:r>
      <w:r>
        <w:rPr>
          <w:rFonts w:eastAsia="Times New Roman"/>
          <w:color w:val="000000"/>
          <w:sz w:val="20"/>
          <w:szCs w:val="20"/>
        </w:rPr>
        <w:t>ower licensing revenues from our QTL segmen</w:t>
      </w:r>
      <w:r>
        <w:rPr>
          <w:rFonts w:eastAsia="Times New Roman"/>
          <w:color w:val="000000"/>
          <w:sz w:val="20"/>
          <w:szCs w:val="20"/>
        </w:rPr>
        <w:t>t</w:t>
      </w:r>
    </w:p>
    <w:p w:rsidR="00000000" w:rsidRDefault="00602C02">
      <w:pPr>
        <w:ind w:hanging="720"/>
        <w:divId w:val="334000638"/>
        <w:rPr>
          <w:rFonts w:eastAsia="Times New Roman"/>
        </w:rPr>
      </w:pPr>
      <w:r>
        <w:rPr>
          <w:rFonts w:eastAsia="Times New Roman"/>
          <w:b/>
          <w:bCs/>
          <w:i/>
          <w:iCs/>
          <w:color w:val="000000"/>
          <w:sz w:val="20"/>
          <w:szCs w:val="20"/>
        </w:rPr>
        <w:t>First six months 2020 vs. 201</w:t>
      </w:r>
      <w:r>
        <w:rPr>
          <w:rFonts w:eastAsia="Times New Roman"/>
          <w:b/>
          <w:bCs/>
          <w:i/>
          <w:iCs/>
          <w:color w:val="000000"/>
          <w:sz w:val="20"/>
          <w:szCs w:val="20"/>
        </w:rPr>
        <w:t>9</w:t>
      </w:r>
    </w:p>
    <w:p w:rsidR="00000000" w:rsidRDefault="00602C02">
      <w:pPr>
        <w:divId w:val="1371145516"/>
        <w:rPr>
          <w:rFonts w:eastAsia="Times New Roman"/>
        </w:rPr>
      </w:pPr>
      <w:r>
        <w:rPr>
          <w:rFonts w:eastAsia="Times New Roman"/>
          <w:color w:val="000000"/>
          <w:sz w:val="20"/>
          <w:szCs w:val="20"/>
        </w:rPr>
        <w:t>The increase in revenues in the first six months of fiscal 2020 was primarily due to:</w:t>
      </w:r>
      <w:r>
        <w:rPr>
          <w:rFonts w:eastAsia="Times New Roman"/>
          <w:color w:val="000000"/>
          <w:sz w:val="20"/>
          <w:szCs w:val="20"/>
        </w:rPr>
        <w:t xml:space="preserve"> </w:t>
      </w:r>
    </w:p>
    <w:p w:rsidR="00000000" w:rsidRDefault="00602C02">
      <w:pPr>
        <w:ind w:hanging="360"/>
        <w:divId w:val="1900289511"/>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$336 million in higher licensing revenues from our QTL segmen</w:t>
      </w:r>
      <w:r>
        <w:rPr>
          <w:rFonts w:eastAsia="Times New Roman"/>
          <w:color w:val="000000"/>
          <w:sz w:val="20"/>
          <w:szCs w:val="20"/>
        </w:rPr>
        <w:t>t</w:t>
      </w:r>
    </w:p>
    <w:p w:rsidR="00000000" w:rsidRDefault="00602C02">
      <w:pPr>
        <w:ind w:hanging="360"/>
        <w:divId w:val="112881960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$196 million in higher equ</w:t>
      </w:r>
      <w:r>
        <w:rPr>
          <w:rFonts w:eastAsia="Times New Roman"/>
          <w:color w:val="000000"/>
          <w:sz w:val="20"/>
          <w:szCs w:val="20"/>
        </w:rPr>
        <w:t>ipment and services revenues from our QCT segmen</w:t>
      </w:r>
      <w:r>
        <w:rPr>
          <w:rFonts w:eastAsia="Times New Roman"/>
          <w:color w:val="000000"/>
          <w:sz w:val="20"/>
          <w:szCs w:val="20"/>
        </w:rPr>
        <w:t>t</w:t>
      </w:r>
    </w:p>
    <w:p w:rsidR="00000000" w:rsidRDefault="00602C02">
      <w:pPr>
        <w:ind w:hanging="360"/>
        <w:divId w:val="859204783"/>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$95 million in lower equipment and services revenues from our QSI segmen</w:t>
      </w:r>
      <w:r>
        <w:rPr>
          <w:rFonts w:eastAsia="Times New Roman"/>
          <w:color w:val="000000"/>
          <w:sz w:val="20"/>
          <w:szCs w:val="20"/>
        </w:rPr>
        <w:t>t</w:t>
      </w:r>
    </w:p>
    <w:tbl>
      <w:tblPr>
        <w:tblW w:w="5000" w:type="pct"/>
        <w:tblCellMar>
          <w:top w:w="15" w:type="dxa"/>
          <w:left w:w="15" w:type="dxa"/>
          <w:bottom w:w="15" w:type="dxa"/>
          <w:right w:w="15" w:type="dxa"/>
        </w:tblCellMar>
        <w:tblLook w:val="04A0" w:firstRow="1" w:lastRow="0" w:firstColumn="1" w:lastColumn="0" w:noHBand="0" w:noVBand="1"/>
      </w:tblPr>
      <w:tblGrid>
        <w:gridCol w:w="37"/>
        <w:gridCol w:w="1657"/>
        <w:gridCol w:w="36"/>
        <w:gridCol w:w="125"/>
        <w:gridCol w:w="615"/>
        <w:gridCol w:w="185"/>
        <w:gridCol w:w="36"/>
        <w:gridCol w:w="36"/>
        <w:gridCol w:w="36"/>
        <w:gridCol w:w="125"/>
        <w:gridCol w:w="580"/>
        <w:gridCol w:w="185"/>
        <w:gridCol w:w="36"/>
        <w:gridCol w:w="36"/>
        <w:gridCol w:w="36"/>
        <w:gridCol w:w="126"/>
        <w:gridCol w:w="580"/>
        <w:gridCol w:w="81"/>
        <w:gridCol w:w="36"/>
        <w:gridCol w:w="36"/>
        <w:gridCol w:w="36"/>
        <w:gridCol w:w="125"/>
        <w:gridCol w:w="580"/>
        <w:gridCol w:w="185"/>
        <w:gridCol w:w="36"/>
        <w:gridCol w:w="36"/>
        <w:gridCol w:w="36"/>
        <w:gridCol w:w="125"/>
        <w:gridCol w:w="580"/>
        <w:gridCol w:w="185"/>
        <w:gridCol w:w="36"/>
        <w:gridCol w:w="36"/>
        <w:gridCol w:w="36"/>
        <w:gridCol w:w="126"/>
        <w:gridCol w:w="583"/>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536430291"/>
        </w:trPr>
        <w:tc>
          <w:tcPr>
            <w:tcW w:w="50" w:type="pct"/>
            <w:vAlign w:val="center"/>
            <w:hideMark/>
          </w:tcPr>
          <w:p w:rsidR="00000000" w:rsidRDefault="00602C02">
            <w:pPr>
              <w:ind w:hanging="360"/>
              <w:rPr>
                <w:rFonts w:eastAsia="Times New Roman"/>
              </w:rPr>
            </w:pPr>
          </w:p>
        </w:tc>
        <w:tc>
          <w:tcPr>
            <w:tcW w:w="11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gridAfter w:val="9"/>
          <w:divId w:val="536430291"/>
        </w:trPr>
        <w:tc>
          <w:tcPr>
            <w:tcW w:w="0" w:type="auto"/>
            <w:gridSpan w:val="18"/>
            <w:tcMar>
              <w:top w:w="30" w:type="dxa"/>
              <w:left w:w="20" w:type="dxa"/>
              <w:bottom w:w="30" w:type="dxa"/>
              <w:right w:w="20" w:type="dxa"/>
            </w:tcMar>
            <w:vAlign w:val="bottom"/>
            <w:hideMark/>
          </w:tcPr>
          <w:p w:rsidR="00000000" w:rsidRDefault="00602C02">
            <w:pPr>
              <w:ind w:firstLine="360"/>
              <w:divId w:val="336544590"/>
              <w:rPr>
                <w:rFonts w:eastAsia="Times New Roman"/>
              </w:rPr>
            </w:pPr>
            <w:r>
              <w:rPr>
                <w:rFonts w:eastAsia="Times New Roman"/>
                <w:b/>
                <w:bCs/>
                <w:i/>
                <w:iCs/>
                <w:color w:val="000000"/>
                <w:sz w:val="20"/>
                <w:szCs w:val="20"/>
              </w:rPr>
              <w:t>Costs and Expenses (in millions, except percentages</w:t>
            </w:r>
            <w:r>
              <w:rPr>
                <w:rFonts w:eastAsia="Times New Roman"/>
                <w:b/>
                <w:bCs/>
                <w:i/>
                <w:iCs/>
                <w:color w:val="000000"/>
                <w:sz w:val="20"/>
                <w:szCs w:val="20"/>
              </w:rPr>
              <w:t>)</w:t>
            </w:r>
          </w:p>
        </w:tc>
        <w:tc>
          <w:tcPr>
            <w:tcW w:w="0" w:type="auto"/>
            <w:gridSpan w:val="3"/>
            <w:vAlign w:val="center"/>
            <w:hideMark/>
          </w:tcPr>
          <w:p w:rsidR="00000000" w:rsidRDefault="00602C02">
            <w:pPr>
              <w:ind w:firstLine="360"/>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536430291"/>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536430291"/>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36430291"/>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Cost of revenue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2,297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2,179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4,410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4,367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536430291"/>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Gross margi</w:t>
            </w:r>
            <w:r>
              <w:rPr>
                <w:rFonts w:eastAsia="Times New Roman"/>
                <w:color w:val="000000"/>
                <w:sz w:val="18"/>
                <w:szCs w:val="18"/>
              </w:rPr>
              <w:t>n</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divId w:val="412240646"/>
        <w:rPr>
          <w:rFonts w:eastAsia="Times New Roman"/>
        </w:rPr>
      </w:pPr>
      <w:r>
        <w:rPr>
          <w:rFonts w:eastAsia="Times New Roman"/>
          <w:b/>
          <w:bCs/>
          <w:i/>
          <w:iCs/>
          <w:color w:val="000000"/>
          <w:sz w:val="20"/>
          <w:szCs w:val="20"/>
        </w:rPr>
        <w:t>Second quarter 2020 vs. 201</w:t>
      </w:r>
      <w:r>
        <w:rPr>
          <w:rFonts w:eastAsia="Times New Roman"/>
          <w:b/>
          <w:bCs/>
          <w:i/>
          <w:iCs/>
          <w:color w:val="000000"/>
          <w:sz w:val="20"/>
          <w:szCs w:val="20"/>
        </w:rPr>
        <w:t>9</w:t>
      </w:r>
    </w:p>
    <w:p w:rsidR="00000000" w:rsidRDefault="00602C02">
      <w:pPr>
        <w:divId w:val="972637435"/>
        <w:rPr>
          <w:rFonts w:eastAsia="Times New Roman"/>
        </w:rPr>
      </w:pPr>
      <w:r>
        <w:rPr>
          <w:rFonts w:eastAsia="Times New Roman"/>
          <w:color w:val="000000"/>
          <w:sz w:val="20"/>
          <w:szCs w:val="20"/>
        </w:rPr>
        <w:t>Gross margin percentage remained flat in the second quarter of fiscal 2020 primarily due to</w:t>
      </w:r>
      <w:r>
        <w:rPr>
          <w:rFonts w:eastAsia="Times New Roman"/>
          <w:color w:val="000000"/>
          <w:sz w:val="20"/>
          <w:szCs w:val="20"/>
        </w:rPr>
        <w:t>:</w:t>
      </w:r>
    </w:p>
    <w:p w:rsidR="00000000" w:rsidRDefault="00602C02">
      <w:pPr>
        <w:ind w:hanging="360"/>
        <w:divId w:val="739791"/>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decrease in higher margin QTL licensing revenues as a proportion of total revenue</w:t>
      </w:r>
      <w:r>
        <w:rPr>
          <w:rFonts w:eastAsia="Times New Roman"/>
          <w:color w:val="000000"/>
          <w:sz w:val="20"/>
          <w:szCs w:val="20"/>
        </w:rPr>
        <w:t>s</w:t>
      </w:r>
    </w:p>
    <w:p w:rsidR="00000000" w:rsidRDefault="00602C02">
      <w:pPr>
        <w:ind w:hanging="360"/>
        <w:divId w:val="590436056"/>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increase in QCT gross margi</w:t>
      </w:r>
      <w:r>
        <w:rPr>
          <w:rFonts w:eastAsia="Times New Roman"/>
          <w:color w:val="000000"/>
          <w:sz w:val="20"/>
          <w:szCs w:val="20"/>
        </w:rPr>
        <w:t>n</w:t>
      </w:r>
    </w:p>
    <w:p w:rsidR="00000000" w:rsidRDefault="00602C02">
      <w:pPr>
        <w:divId w:val="1086805478"/>
        <w:rPr>
          <w:rFonts w:eastAsia="Times New Roman"/>
        </w:rPr>
      </w:pPr>
      <w:r>
        <w:rPr>
          <w:rFonts w:eastAsia="Times New Roman"/>
          <w:b/>
          <w:bCs/>
          <w:i/>
          <w:iCs/>
          <w:color w:val="000000"/>
          <w:sz w:val="20"/>
          <w:szCs w:val="20"/>
        </w:rPr>
        <w:t>First six months 2020 vs. 201</w:t>
      </w:r>
      <w:r>
        <w:rPr>
          <w:rFonts w:eastAsia="Times New Roman"/>
          <w:b/>
          <w:bCs/>
          <w:i/>
          <w:iCs/>
          <w:color w:val="000000"/>
          <w:sz w:val="20"/>
          <w:szCs w:val="20"/>
        </w:rPr>
        <w:t>9</w:t>
      </w:r>
    </w:p>
    <w:p w:rsidR="00000000" w:rsidRDefault="00602C02">
      <w:pPr>
        <w:divId w:val="2054888151"/>
        <w:rPr>
          <w:rFonts w:eastAsia="Times New Roman"/>
        </w:rPr>
      </w:pPr>
      <w:r>
        <w:rPr>
          <w:rFonts w:eastAsia="Times New Roman"/>
          <w:color w:val="000000"/>
          <w:sz w:val="20"/>
          <w:szCs w:val="20"/>
        </w:rPr>
        <w:t>Gross margin per</w:t>
      </w:r>
      <w:r>
        <w:rPr>
          <w:rFonts w:eastAsia="Times New Roman"/>
          <w:color w:val="000000"/>
          <w:sz w:val="20"/>
          <w:szCs w:val="20"/>
        </w:rPr>
        <w:t>centage increased in the first six months of fiscal 2020 primarily due to</w:t>
      </w:r>
      <w:r>
        <w:rPr>
          <w:rFonts w:eastAsia="Times New Roman"/>
          <w:color w:val="000000"/>
          <w:sz w:val="20"/>
          <w:szCs w:val="20"/>
        </w:rPr>
        <w:t>:</w:t>
      </w:r>
    </w:p>
    <w:p w:rsidR="00000000" w:rsidRDefault="00602C02">
      <w:pPr>
        <w:ind w:hanging="360"/>
        <w:divId w:val="1013456998"/>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increase in higher margin QTL licensing revenues as a proportion of total revenue</w:t>
      </w:r>
      <w:r>
        <w:rPr>
          <w:rFonts w:eastAsia="Times New Roman"/>
          <w:color w:val="000000"/>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38"/>
        <w:gridCol w:w="1644"/>
        <w:gridCol w:w="80"/>
        <w:gridCol w:w="125"/>
        <w:gridCol w:w="645"/>
        <w:gridCol w:w="185"/>
        <w:gridCol w:w="36"/>
        <w:gridCol w:w="36"/>
        <w:gridCol w:w="36"/>
        <w:gridCol w:w="125"/>
        <w:gridCol w:w="568"/>
        <w:gridCol w:w="185"/>
        <w:gridCol w:w="36"/>
        <w:gridCol w:w="36"/>
        <w:gridCol w:w="36"/>
        <w:gridCol w:w="126"/>
        <w:gridCol w:w="568"/>
        <w:gridCol w:w="80"/>
        <w:gridCol w:w="36"/>
        <w:gridCol w:w="36"/>
        <w:gridCol w:w="36"/>
        <w:gridCol w:w="125"/>
        <w:gridCol w:w="568"/>
        <w:gridCol w:w="185"/>
        <w:gridCol w:w="36"/>
        <w:gridCol w:w="36"/>
        <w:gridCol w:w="36"/>
        <w:gridCol w:w="125"/>
        <w:gridCol w:w="568"/>
        <w:gridCol w:w="185"/>
        <w:gridCol w:w="36"/>
        <w:gridCol w:w="36"/>
        <w:gridCol w:w="36"/>
        <w:gridCol w:w="126"/>
        <w:gridCol w:w="570"/>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393898926"/>
        </w:trPr>
        <w:tc>
          <w:tcPr>
            <w:tcW w:w="50" w:type="pct"/>
            <w:vAlign w:val="center"/>
            <w:hideMark/>
          </w:tcPr>
          <w:p w:rsidR="00000000" w:rsidRDefault="00602C02">
            <w:pPr>
              <w:ind w:hanging="360"/>
              <w:rPr>
                <w:rFonts w:eastAsia="Times New Roman"/>
              </w:rPr>
            </w:pPr>
          </w:p>
        </w:tc>
        <w:tc>
          <w:tcPr>
            <w:tcW w:w="11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393898926"/>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393898926"/>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93898926"/>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Research and developmen</w:t>
            </w:r>
            <w:r>
              <w:rPr>
                <w:rFonts w:eastAsia="Times New Roman"/>
                <w:color w:val="000000"/>
                <w:sz w:val="18"/>
                <w:szCs w:val="18"/>
              </w:rPr>
              <w:t>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1,468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2,873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2,577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93898926"/>
        </w:trPr>
        <w:tc>
          <w:tcPr>
            <w:tcW w:w="0" w:type="auto"/>
            <w:gridSpan w:val="2"/>
            <w:shd w:val="clear" w:color="auto" w:fill="FFFFFF"/>
            <w:tcMar>
              <w:top w:w="30" w:type="dxa"/>
              <w:left w:w="20" w:type="dxa"/>
              <w:bottom w:w="30" w:type="dxa"/>
              <w:right w:w="0" w:type="dxa"/>
            </w:tcMar>
            <w:vAlign w:val="bottom"/>
            <w:hideMark/>
          </w:tcPr>
          <w:p w:rsidR="00000000" w:rsidRDefault="00602C02">
            <w:pPr>
              <w:rPr>
                <w:rFonts w:eastAsia="Times New Roman"/>
              </w:rPr>
            </w:pPr>
            <w:r>
              <w:rPr>
                <w:rFonts w:eastAsia="Times New Roman"/>
                <w:color w:val="000000"/>
                <w:sz w:val="18"/>
                <w:szCs w:val="18"/>
              </w:rPr>
              <w:t>% of revenues</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93898926"/>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93898926"/>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393898926"/>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divId w:val="382606801"/>
        <w:rPr>
          <w:rFonts w:eastAsia="Times New Roman"/>
        </w:rPr>
      </w:pPr>
      <w:r>
        <w:rPr>
          <w:rFonts w:eastAsia="Times New Roman"/>
          <w:b/>
          <w:bCs/>
          <w:i/>
          <w:iCs/>
          <w:color w:val="000000"/>
          <w:sz w:val="20"/>
          <w:szCs w:val="20"/>
        </w:rPr>
        <w:t>Second quarter 2020 vs. 201</w:t>
      </w:r>
      <w:r>
        <w:rPr>
          <w:rFonts w:eastAsia="Times New Roman"/>
          <w:b/>
          <w:bCs/>
          <w:i/>
          <w:iCs/>
          <w:color w:val="000000"/>
          <w:sz w:val="20"/>
          <w:szCs w:val="20"/>
        </w:rPr>
        <w:t>9</w:t>
      </w:r>
    </w:p>
    <w:p w:rsidR="00000000" w:rsidRDefault="00602C02">
      <w:pPr>
        <w:divId w:val="2011519868"/>
        <w:rPr>
          <w:rFonts w:eastAsia="Times New Roman"/>
        </w:rPr>
      </w:pPr>
      <w:r>
        <w:rPr>
          <w:rFonts w:eastAsia="Times New Roman"/>
          <w:color w:val="000000"/>
          <w:sz w:val="20"/>
          <w:szCs w:val="20"/>
        </w:rPr>
        <w:t>The increase in research and development expenses in the second quarter of fiscal 2020 was primarily due to</w:t>
      </w:r>
      <w:r>
        <w:rPr>
          <w:rFonts w:eastAsia="Times New Roman"/>
          <w:color w:val="000000"/>
          <w:sz w:val="20"/>
          <w:szCs w:val="20"/>
        </w:rPr>
        <w:t>:</w:t>
      </w:r>
    </w:p>
    <w:p w:rsidR="00000000" w:rsidRDefault="00602C02">
      <w:pPr>
        <w:ind w:hanging="360"/>
        <w:divId w:val="1492135983"/>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$149 million increase driven by higher costs related to the development of wireless and integrated circuit technologies, including 5G and RFFE te</w:t>
      </w:r>
      <w:r>
        <w:rPr>
          <w:rFonts w:eastAsia="Times New Roman"/>
          <w:color w:val="000000"/>
          <w:sz w:val="20"/>
          <w:szCs w:val="20"/>
        </w:rPr>
        <w:t>chnologies</w:t>
      </w:r>
      <w:r>
        <w:rPr>
          <w:rFonts w:eastAsia="Times New Roman"/>
          <w:color w:val="000000"/>
          <w:sz w:val="20"/>
          <w:szCs w:val="20"/>
        </w:rPr>
        <w:t xml:space="preserve"> </w:t>
      </w:r>
    </w:p>
    <w:p w:rsidR="00000000" w:rsidRDefault="00602C02">
      <w:pPr>
        <w:ind w:hanging="360"/>
        <w:divId w:val="336884207"/>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$64 million increase in share-based compensation expens</w:t>
      </w:r>
      <w:r>
        <w:rPr>
          <w:rFonts w:eastAsia="Times New Roman"/>
          <w:color w:val="000000"/>
          <w:sz w:val="20"/>
          <w:szCs w:val="20"/>
        </w:rPr>
        <w:t>e</w:t>
      </w:r>
    </w:p>
    <w:p w:rsidR="00000000" w:rsidRDefault="00602C02">
      <w:pPr>
        <w:ind w:hanging="360"/>
        <w:divId w:val="139006982"/>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w:t>
      </w:r>
      <w:r>
        <w:rPr>
          <w:rFonts w:eastAsia="Times New Roman"/>
          <w:color w:val="000000"/>
          <w:sz w:val="20"/>
          <w:szCs w:val="20"/>
        </w:rPr>
        <w:t xml:space="preserve">$49 million in lower expenses driven by revaluation of our deferred compensation plan liabilities on weakened stock market performance (which resulted in a corresponding increase in net losses on marketable securities within investment and other (expense) </w:t>
      </w:r>
      <w:r>
        <w:rPr>
          <w:rFonts w:eastAsia="Times New Roman"/>
          <w:color w:val="000000"/>
          <w:sz w:val="20"/>
          <w:szCs w:val="20"/>
        </w:rPr>
        <w:t>income, net due to the revaluation of the related assets)</w:t>
      </w:r>
      <w:r>
        <w:rPr>
          <w:rFonts w:eastAsia="Times New Roman"/>
          <w:color w:val="000000"/>
          <w:sz w:val="20"/>
          <w:szCs w:val="20"/>
        </w:rPr>
        <w:t> </w:t>
      </w:r>
    </w:p>
    <w:p w:rsidR="00000000" w:rsidRDefault="00602C02">
      <w:pPr>
        <w:divId w:val="1226799568"/>
        <w:rPr>
          <w:rFonts w:eastAsia="Times New Roman"/>
        </w:rPr>
      </w:pPr>
      <w:r>
        <w:rPr>
          <w:rFonts w:eastAsia="Times New Roman"/>
          <w:b/>
          <w:bCs/>
          <w:i/>
          <w:iCs/>
          <w:color w:val="000000"/>
          <w:sz w:val="20"/>
          <w:szCs w:val="20"/>
        </w:rPr>
        <w:t>First six months 2020 vs. 201</w:t>
      </w:r>
      <w:r>
        <w:rPr>
          <w:rFonts w:eastAsia="Times New Roman"/>
          <w:b/>
          <w:bCs/>
          <w:i/>
          <w:iCs/>
          <w:color w:val="000000"/>
          <w:sz w:val="20"/>
          <w:szCs w:val="20"/>
        </w:rPr>
        <w:t>9</w:t>
      </w:r>
    </w:p>
    <w:p w:rsidR="00000000" w:rsidRDefault="00602C02">
      <w:pPr>
        <w:divId w:val="1183204325"/>
        <w:rPr>
          <w:rFonts w:eastAsia="Times New Roman"/>
        </w:rPr>
      </w:pPr>
      <w:r>
        <w:rPr>
          <w:rFonts w:eastAsia="Times New Roman"/>
          <w:color w:val="000000"/>
          <w:sz w:val="20"/>
          <w:szCs w:val="20"/>
        </w:rPr>
        <w:t>The increase in research and development expenses in the first six months of fiscal 2020 was primarily due to</w:t>
      </w:r>
      <w:r>
        <w:rPr>
          <w:rFonts w:eastAsia="Times New Roman"/>
          <w:color w:val="000000"/>
          <w:sz w:val="20"/>
          <w:szCs w:val="20"/>
        </w:rPr>
        <w:t>:</w:t>
      </w:r>
    </w:p>
    <w:p w:rsidR="00000000" w:rsidRDefault="00602C02">
      <w:pPr>
        <w:ind w:hanging="360"/>
        <w:divId w:val="1170490817"/>
        <w:rPr>
          <w:rFonts w:eastAsia="Times New Roman"/>
        </w:rPr>
      </w:pPr>
      <w:r>
        <w:rPr>
          <w:rFonts w:ascii="Century Gothic" w:eastAsia="Times New Roman" w:hAnsi="Century Gothic"/>
          <w:b/>
          <w:bCs/>
          <w:color w:val="000000"/>
          <w:sz w:val="20"/>
          <w:szCs w:val="20"/>
        </w:rPr>
        <w:t>+</w:t>
      </w:r>
      <w:r>
        <w:rPr>
          <w:rFonts w:eastAsia="Times New Roman"/>
          <w:b/>
          <w:bCs/>
          <w:color w:val="3253DC"/>
          <w:sz w:val="20"/>
          <w:szCs w:val="20"/>
        </w:rPr>
        <w:t> </w:t>
      </w:r>
      <w:r>
        <w:rPr>
          <w:rFonts w:eastAsia="Times New Roman"/>
          <w:color w:val="000000"/>
          <w:sz w:val="20"/>
          <w:szCs w:val="20"/>
        </w:rPr>
        <w:t xml:space="preserve">$213 million increase driven by higher costs related </w:t>
      </w:r>
      <w:r>
        <w:rPr>
          <w:rFonts w:eastAsia="Times New Roman"/>
          <w:color w:val="000000"/>
          <w:sz w:val="20"/>
          <w:szCs w:val="20"/>
        </w:rPr>
        <w:t>to the development of wireless and integrated circuit technologies, including 5G and RFFE technologies</w:t>
      </w:r>
      <w:r>
        <w:rPr>
          <w:rFonts w:eastAsia="Times New Roman"/>
          <w:color w:val="000000"/>
          <w:sz w:val="20"/>
          <w:szCs w:val="20"/>
        </w:rPr>
        <w:t xml:space="preserve"> </w:t>
      </w:r>
    </w:p>
    <w:p w:rsidR="00000000" w:rsidRDefault="00602C02">
      <w:pPr>
        <w:ind w:hanging="360"/>
        <w:divId w:val="156309406"/>
        <w:rPr>
          <w:rFonts w:eastAsia="Times New Roman"/>
        </w:rPr>
      </w:pPr>
      <w:r>
        <w:rPr>
          <w:rFonts w:ascii="Century Gothic" w:eastAsia="Times New Roman" w:hAnsi="Century Gothic"/>
          <w:b/>
          <w:bCs/>
          <w:color w:val="000000"/>
          <w:sz w:val="20"/>
          <w:szCs w:val="20"/>
        </w:rPr>
        <w:t>+</w:t>
      </w:r>
      <w:r>
        <w:rPr>
          <w:rFonts w:eastAsia="Times New Roman"/>
          <w:b/>
          <w:bCs/>
          <w:color w:val="000000"/>
          <w:sz w:val="20"/>
          <w:szCs w:val="20"/>
        </w:rPr>
        <w:t> </w:t>
      </w:r>
      <w:r>
        <w:rPr>
          <w:rFonts w:eastAsia="Times New Roman"/>
          <w:color w:val="000000"/>
          <w:sz w:val="20"/>
          <w:szCs w:val="20"/>
        </w:rPr>
        <w:t>$115 million increase in share-based compensation expense</w:t>
      </w:r>
      <w:r>
        <w:rPr>
          <w:rFonts w:eastAsia="Times New Roman"/>
          <w:color w:val="000000"/>
          <w:sz w:val="20"/>
          <w:szCs w:val="20"/>
        </w:rPr>
        <w:t> </w:t>
      </w:r>
    </w:p>
    <w:p w:rsidR="00000000" w:rsidRDefault="00602C02">
      <w:pPr>
        <w:jc w:val="center"/>
        <w:divId w:val="330836858"/>
        <w:rPr>
          <w:rFonts w:eastAsia="Times New Roman"/>
        </w:rPr>
      </w:pPr>
      <w:r>
        <w:rPr>
          <w:rFonts w:eastAsia="Times New Roman"/>
          <w:color w:val="000000"/>
          <w:sz w:val="20"/>
          <w:szCs w:val="20"/>
        </w:rPr>
        <w:t>2</w:t>
      </w:r>
      <w:r>
        <w:rPr>
          <w:rFonts w:eastAsia="Times New Roman"/>
          <w:color w:val="000000"/>
          <w:sz w:val="20"/>
          <w:szCs w:val="20"/>
        </w:rPr>
        <w:t>2</w:t>
      </w:r>
    </w:p>
    <w:p w:rsidR="00000000" w:rsidRDefault="00602C02">
      <w:pPr>
        <w:rPr>
          <w:rFonts w:eastAsia="Times New Roman"/>
        </w:rPr>
      </w:pPr>
      <w:r>
        <w:rPr>
          <w:rFonts w:eastAsia="Times New Roman"/>
        </w:rPr>
        <w:pict>
          <v:rect id="_x0000_i1046" style="width:0;height:1.5pt" o:hralign="center" o:hrstd="t" o:hr="t" fillcolor="#a0a0a0" stroked="f"/>
        </w:pict>
      </w:r>
    </w:p>
    <w:p w:rsidR="00000000" w:rsidRDefault="00602C02">
      <w:pPr>
        <w:divId w:val="1814105180"/>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1640"/>
        <w:gridCol w:w="80"/>
        <w:gridCol w:w="125"/>
        <w:gridCol w:w="645"/>
        <w:gridCol w:w="185"/>
        <w:gridCol w:w="36"/>
        <w:gridCol w:w="36"/>
        <w:gridCol w:w="36"/>
        <w:gridCol w:w="125"/>
        <w:gridCol w:w="568"/>
        <w:gridCol w:w="185"/>
        <w:gridCol w:w="36"/>
        <w:gridCol w:w="36"/>
        <w:gridCol w:w="36"/>
        <w:gridCol w:w="126"/>
        <w:gridCol w:w="568"/>
        <w:gridCol w:w="80"/>
        <w:gridCol w:w="36"/>
        <w:gridCol w:w="36"/>
        <w:gridCol w:w="36"/>
        <w:gridCol w:w="125"/>
        <w:gridCol w:w="568"/>
        <w:gridCol w:w="185"/>
        <w:gridCol w:w="36"/>
        <w:gridCol w:w="36"/>
        <w:gridCol w:w="36"/>
        <w:gridCol w:w="125"/>
        <w:gridCol w:w="568"/>
        <w:gridCol w:w="185"/>
        <w:gridCol w:w="36"/>
        <w:gridCol w:w="36"/>
        <w:gridCol w:w="36"/>
        <w:gridCol w:w="126"/>
        <w:gridCol w:w="570"/>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310134367"/>
        </w:trPr>
        <w:tc>
          <w:tcPr>
            <w:tcW w:w="50" w:type="pct"/>
            <w:vAlign w:val="center"/>
            <w:hideMark/>
          </w:tcPr>
          <w:p w:rsidR="00000000" w:rsidRDefault="00602C02">
            <w:pPr>
              <w:rPr>
                <w:rFonts w:eastAsia="Times New Roman"/>
              </w:rPr>
            </w:pPr>
          </w:p>
        </w:tc>
        <w:tc>
          <w:tcPr>
            <w:tcW w:w="11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310134367"/>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310134367"/>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310134367"/>
        </w:trPr>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310134367"/>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310134367"/>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Selling, general and administrativ</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483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573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(90</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1,011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(89</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310134367"/>
        </w:trPr>
        <w:tc>
          <w:tcPr>
            <w:tcW w:w="0" w:type="auto"/>
            <w:gridSpan w:val="2"/>
            <w:shd w:val="clear" w:color="auto" w:fill="FFFFFF"/>
            <w:tcMar>
              <w:top w:w="30" w:type="dxa"/>
              <w:left w:w="20" w:type="dxa"/>
              <w:bottom w:w="30" w:type="dxa"/>
              <w:right w:w="0" w:type="dxa"/>
            </w:tcMar>
            <w:vAlign w:val="bottom"/>
            <w:hideMark/>
          </w:tcPr>
          <w:p w:rsidR="00000000" w:rsidRDefault="00602C02">
            <w:pPr>
              <w:rPr>
                <w:rFonts w:eastAsia="Times New Roman"/>
              </w:rPr>
            </w:pPr>
            <w:r>
              <w:rPr>
                <w:rFonts w:eastAsia="Times New Roman"/>
                <w:color w:val="000000"/>
                <w:sz w:val="18"/>
                <w:szCs w:val="18"/>
              </w:rPr>
              <w:t>% of revenues</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310134367"/>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divId w:val="320088986"/>
        <w:rPr>
          <w:rFonts w:eastAsia="Times New Roman"/>
        </w:rPr>
      </w:pPr>
      <w:r>
        <w:rPr>
          <w:rFonts w:eastAsia="Times New Roman"/>
          <w:b/>
          <w:bCs/>
          <w:i/>
          <w:iCs/>
          <w:color w:val="000000"/>
          <w:sz w:val="20"/>
          <w:szCs w:val="20"/>
        </w:rPr>
        <w:t>Second quarter 2020 vs. 201</w:t>
      </w:r>
      <w:r>
        <w:rPr>
          <w:rFonts w:eastAsia="Times New Roman"/>
          <w:b/>
          <w:bCs/>
          <w:i/>
          <w:iCs/>
          <w:color w:val="000000"/>
          <w:sz w:val="20"/>
          <w:szCs w:val="20"/>
        </w:rPr>
        <w:t>9</w:t>
      </w:r>
    </w:p>
    <w:p w:rsidR="00000000" w:rsidRDefault="00602C02">
      <w:pPr>
        <w:divId w:val="1279486296"/>
        <w:rPr>
          <w:rFonts w:eastAsia="Times New Roman"/>
        </w:rPr>
      </w:pPr>
      <w:r>
        <w:rPr>
          <w:rFonts w:eastAsia="Times New Roman"/>
          <w:color w:val="000000"/>
          <w:sz w:val="20"/>
          <w:szCs w:val="20"/>
        </w:rPr>
        <w:t>The decrease in selling, general and administr</w:t>
      </w:r>
      <w:r>
        <w:rPr>
          <w:rFonts w:eastAsia="Times New Roman"/>
          <w:color w:val="000000"/>
          <w:sz w:val="20"/>
          <w:szCs w:val="20"/>
        </w:rPr>
        <w:t>ative expenses in the second quarter of fiscal 2020 was primarily due to</w:t>
      </w:r>
      <w:r>
        <w:rPr>
          <w:rFonts w:eastAsia="Times New Roman"/>
          <w:color w:val="000000"/>
          <w:sz w:val="20"/>
          <w:szCs w:val="20"/>
        </w:rPr>
        <w:t>:</w:t>
      </w:r>
    </w:p>
    <w:p w:rsidR="00000000" w:rsidRDefault="00602C02">
      <w:pPr>
        <w:ind w:hanging="360"/>
        <w:divId w:val="190008908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$84 million in lower litigation costs, primarily resulting from the settlement of our prior dispute with Apple and its contract manufacturers in April 201</w:t>
      </w:r>
      <w:r>
        <w:rPr>
          <w:rFonts w:eastAsia="Times New Roman"/>
          <w:color w:val="000000"/>
          <w:sz w:val="20"/>
          <w:szCs w:val="20"/>
        </w:rPr>
        <w:t>9</w:t>
      </w:r>
    </w:p>
    <w:p w:rsidR="00000000" w:rsidRDefault="00602C02">
      <w:pPr>
        <w:ind w:hanging="360"/>
        <w:divId w:val="1933128598"/>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 xml:space="preserve">$58 million in lower expenses driven by revaluation of our deferred compensation plan liabilities on weakened stock market performance </w:t>
      </w:r>
      <w:r>
        <w:rPr>
          <w:rFonts w:eastAsia="Times New Roman"/>
          <w:color w:val="000000"/>
          <w:sz w:val="20"/>
          <w:szCs w:val="20"/>
        </w:rPr>
        <w:t> </w:t>
      </w:r>
    </w:p>
    <w:p w:rsidR="00000000" w:rsidRDefault="00602C02">
      <w:pPr>
        <w:ind w:hanging="360"/>
        <w:divId w:val="624695108"/>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$23 million increase in share-based compensation expense</w:t>
      </w:r>
      <w:r>
        <w:rPr>
          <w:rFonts w:eastAsia="Times New Roman"/>
          <w:color w:val="000000"/>
          <w:sz w:val="20"/>
          <w:szCs w:val="20"/>
        </w:rPr>
        <w:t> </w:t>
      </w:r>
    </w:p>
    <w:p w:rsidR="00000000" w:rsidRDefault="00602C02">
      <w:pPr>
        <w:divId w:val="437531449"/>
        <w:rPr>
          <w:rFonts w:eastAsia="Times New Roman"/>
        </w:rPr>
      </w:pPr>
      <w:r>
        <w:rPr>
          <w:rFonts w:eastAsia="Times New Roman"/>
          <w:b/>
          <w:bCs/>
          <w:i/>
          <w:iCs/>
          <w:color w:val="000000"/>
          <w:sz w:val="20"/>
          <w:szCs w:val="20"/>
        </w:rPr>
        <w:t>First six months 2020 vs. 201</w:t>
      </w:r>
      <w:r>
        <w:rPr>
          <w:rFonts w:eastAsia="Times New Roman"/>
          <w:b/>
          <w:bCs/>
          <w:i/>
          <w:iCs/>
          <w:color w:val="000000"/>
          <w:sz w:val="20"/>
          <w:szCs w:val="20"/>
        </w:rPr>
        <w:t>9</w:t>
      </w:r>
    </w:p>
    <w:p w:rsidR="00000000" w:rsidRDefault="00602C02">
      <w:pPr>
        <w:divId w:val="408044280"/>
        <w:rPr>
          <w:rFonts w:eastAsia="Times New Roman"/>
        </w:rPr>
      </w:pPr>
      <w:r>
        <w:rPr>
          <w:rFonts w:eastAsia="Times New Roman"/>
          <w:color w:val="000000"/>
          <w:sz w:val="20"/>
          <w:szCs w:val="20"/>
        </w:rPr>
        <w:t>The decrease in selling, gen</w:t>
      </w:r>
      <w:r>
        <w:rPr>
          <w:rFonts w:eastAsia="Times New Roman"/>
          <w:color w:val="000000"/>
          <w:sz w:val="20"/>
          <w:szCs w:val="20"/>
        </w:rPr>
        <w:t>eral and administrative expenses in the first six months of fiscal 2020 was primarily due to</w:t>
      </w:r>
      <w:r>
        <w:rPr>
          <w:rFonts w:eastAsia="Times New Roman"/>
          <w:color w:val="000000"/>
          <w:sz w:val="20"/>
          <w:szCs w:val="20"/>
        </w:rPr>
        <w:t>:</w:t>
      </w:r>
    </w:p>
    <w:p w:rsidR="00000000" w:rsidRDefault="00602C02">
      <w:pPr>
        <w:ind w:hanging="360"/>
        <w:divId w:val="933822919"/>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$144 million in lower litigation costs, primarily resulting from the settlement of our prior dispute with Apple and its contract manufacturers in April 201</w:t>
      </w:r>
      <w:r>
        <w:rPr>
          <w:rFonts w:eastAsia="Times New Roman"/>
          <w:color w:val="000000"/>
          <w:sz w:val="20"/>
          <w:szCs w:val="20"/>
        </w:rPr>
        <w:t>9</w:t>
      </w:r>
    </w:p>
    <w:p w:rsidR="00000000" w:rsidRDefault="00602C02">
      <w:pPr>
        <w:ind w:hanging="360"/>
        <w:divId w:val="1102603230"/>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w:t>
      </w:r>
      <w:r>
        <w:rPr>
          <w:rFonts w:eastAsia="Times New Roman"/>
          <w:color w:val="000000"/>
          <w:sz w:val="20"/>
          <w:szCs w:val="20"/>
        </w:rPr>
        <w:t>35 million increase in share-based compensation expense</w:t>
      </w:r>
      <w:r>
        <w:rPr>
          <w:rFonts w:eastAsia="Times New Roman"/>
          <w:color w:val="000000"/>
          <w:sz w:val="20"/>
          <w:szCs w:val="20"/>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715"/>
        <w:gridCol w:w="36"/>
        <w:gridCol w:w="126"/>
        <w:gridCol w:w="675"/>
        <w:gridCol w:w="80"/>
        <w:gridCol w:w="36"/>
        <w:gridCol w:w="36"/>
        <w:gridCol w:w="36"/>
        <w:gridCol w:w="126"/>
        <w:gridCol w:w="640"/>
        <w:gridCol w:w="80"/>
        <w:gridCol w:w="36"/>
        <w:gridCol w:w="36"/>
        <w:gridCol w:w="36"/>
        <w:gridCol w:w="126"/>
        <w:gridCol w:w="640"/>
        <w:gridCol w:w="80"/>
        <w:gridCol w:w="36"/>
        <w:gridCol w:w="36"/>
        <w:gridCol w:w="36"/>
        <w:gridCol w:w="126"/>
        <w:gridCol w:w="640"/>
        <w:gridCol w:w="80"/>
        <w:gridCol w:w="36"/>
        <w:gridCol w:w="36"/>
        <w:gridCol w:w="36"/>
        <w:gridCol w:w="126"/>
        <w:gridCol w:w="640"/>
        <w:gridCol w:w="80"/>
        <w:gridCol w:w="36"/>
        <w:gridCol w:w="36"/>
        <w:gridCol w:w="36"/>
        <w:gridCol w:w="126"/>
        <w:gridCol w:w="642"/>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826968800"/>
          <w:jc w:val="center"/>
        </w:trPr>
        <w:tc>
          <w:tcPr>
            <w:tcW w:w="50" w:type="pct"/>
            <w:vAlign w:val="center"/>
            <w:hideMark/>
          </w:tcPr>
          <w:p w:rsidR="00000000" w:rsidRDefault="00602C02">
            <w:pPr>
              <w:ind w:hanging="360"/>
              <w:rPr>
                <w:rFonts w:eastAsia="Times New Roman"/>
              </w:rPr>
            </w:pPr>
          </w:p>
        </w:tc>
        <w:tc>
          <w:tcPr>
            <w:tcW w:w="11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826968800"/>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26968800"/>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26968800"/>
          <w:jc w:val="center"/>
        </w:trPr>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26968800"/>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26968800"/>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26968800"/>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26968800"/>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Other (income) expens</w:t>
            </w:r>
            <w:r>
              <w:rPr>
                <w:rFonts w:eastAsia="Times New Roman"/>
                <w:color w:val="000000"/>
                <w:sz w:val="18"/>
                <w:szCs w:val="18"/>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divId w:val="954480190"/>
        <w:rPr>
          <w:rFonts w:eastAsia="Times New Roman"/>
        </w:rPr>
      </w:pPr>
      <w:r>
        <w:rPr>
          <w:rFonts w:eastAsia="Times New Roman"/>
          <w:b/>
          <w:bCs/>
          <w:i/>
          <w:iCs/>
          <w:color w:val="000000"/>
          <w:sz w:val="20"/>
          <w:szCs w:val="20"/>
        </w:rPr>
        <w:t>Second quarter and first six months 202</w:t>
      </w:r>
      <w:r>
        <w:rPr>
          <w:rFonts w:eastAsia="Times New Roman"/>
          <w:b/>
          <w:bCs/>
          <w:i/>
          <w:iCs/>
          <w:color w:val="000000"/>
          <w:sz w:val="20"/>
          <w:szCs w:val="20"/>
        </w:rPr>
        <w:t>0</w:t>
      </w:r>
    </w:p>
    <w:p w:rsidR="00000000" w:rsidRDefault="00602C02">
      <w:pPr>
        <w:divId w:val="2068987169"/>
        <w:rPr>
          <w:rFonts w:eastAsia="Times New Roman"/>
        </w:rPr>
      </w:pPr>
      <w:r>
        <w:rPr>
          <w:rFonts w:eastAsia="Times New Roman"/>
          <w:color w:val="000000"/>
          <w:sz w:val="20"/>
          <w:szCs w:val="20"/>
        </w:rPr>
        <w:t>Other income in the three and six months ended March 29, 2020 consisted of</w:t>
      </w:r>
      <w:r>
        <w:rPr>
          <w:rFonts w:eastAsia="Times New Roman"/>
          <w:color w:val="000000"/>
          <w:sz w:val="20"/>
          <w:szCs w:val="20"/>
        </w:rPr>
        <w:t>:</w:t>
      </w:r>
    </w:p>
    <w:p w:rsidR="00000000" w:rsidRDefault="00602C02">
      <w:pPr>
        <w:ind w:hanging="360"/>
        <w:divId w:val="928076490"/>
        <w:rPr>
          <w:rFonts w:eastAsia="Times New Roman"/>
        </w:rPr>
      </w:pPr>
      <w:r>
        <w:rPr>
          <w:rFonts w:ascii="Century Gothic" w:eastAsia="Times New Roman" w:hAnsi="Century Gothic"/>
          <w:b/>
          <w:bCs/>
          <w:color w:val="000000"/>
          <w:sz w:val="20"/>
          <w:szCs w:val="20"/>
        </w:rPr>
        <w:t>+</w:t>
      </w:r>
      <w:r>
        <w:rPr>
          <w:rFonts w:eastAsia="Times New Roman"/>
          <w:color w:val="000000"/>
          <w:sz w:val="20"/>
          <w:szCs w:val="20"/>
        </w:rPr>
        <w:t> $23 million gain related to a favorable legal settlemen</w:t>
      </w:r>
      <w:r>
        <w:rPr>
          <w:rFonts w:eastAsia="Times New Roman"/>
          <w:color w:val="000000"/>
          <w:sz w:val="20"/>
          <w:szCs w:val="20"/>
        </w:rPr>
        <w:t>t</w:t>
      </w:r>
    </w:p>
    <w:p w:rsidR="00000000" w:rsidRDefault="00602C02">
      <w:pPr>
        <w:divId w:val="759253768"/>
        <w:rPr>
          <w:rFonts w:eastAsia="Times New Roman"/>
        </w:rPr>
      </w:pPr>
      <w:r>
        <w:rPr>
          <w:rFonts w:eastAsia="Times New Roman"/>
          <w:b/>
          <w:bCs/>
          <w:i/>
          <w:iCs/>
          <w:color w:val="000000"/>
          <w:sz w:val="20"/>
          <w:szCs w:val="20"/>
        </w:rPr>
        <w:t>Seco</w:t>
      </w:r>
      <w:r>
        <w:rPr>
          <w:rFonts w:eastAsia="Times New Roman"/>
          <w:b/>
          <w:bCs/>
          <w:i/>
          <w:iCs/>
          <w:color w:val="000000"/>
          <w:sz w:val="20"/>
          <w:szCs w:val="20"/>
        </w:rPr>
        <w:t>nd quarter 201</w:t>
      </w:r>
      <w:r>
        <w:rPr>
          <w:rFonts w:eastAsia="Times New Roman"/>
          <w:b/>
          <w:bCs/>
          <w:i/>
          <w:iCs/>
          <w:color w:val="000000"/>
          <w:sz w:val="20"/>
          <w:szCs w:val="20"/>
        </w:rPr>
        <w:t>9</w:t>
      </w:r>
    </w:p>
    <w:p w:rsidR="00000000" w:rsidRDefault="00602C02">
      <w:pPr>
        <w:divId w:val="251471312"/>
        <w:rPr>
          <w:rFonts w:eastAsia="Times New Roman"/>
        </w:rPr>
      </w:pPr>
      <w:r>
        <w:rPr>
          <w:rFonts w:eastAsia="Times New Roman"/>
          <w:color w:val="000000"/>
          <w:sz w:val="20"/>
          <w:szCs w:val="20"/>
        </w:rPr>
        <w:t>Other income in the second quarter of fiscal 2019 consisted of</w:t>
      </w:r>
      <w:r>
        <w:rPr>
          <w:rFonts w:eastAsia="Times New Roman"/>
          <w:color w:val="000000"/>
          <w:sz w:val="20"/>
          <w:szCs w:val="20"/>
        </w:rPr>
        <w:t>:</w:t>
      </w:r>
    </w:p>
    <w:p w:rsidR="00000000" w:rsidRDefault="00602C02">
      <w:pPr>
        <w:ind w:hanging="360"/>
        <w:divId w:val="100192901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$43 million gain due to partial recovery of a fine imposed in fiscal 2009 resulting from our appeal of the Korea Fair Trade Commission (KFTC) decisio</w:t>
      </w:r>
      <w:r>
        <w:rPr>
          <w:rFonts w:eastAsia="Times New Roman"/>
          <w:color w:val="000000"/>
          <w:sz w:val="20"/>
          <w:szCs w:val="20"/>
        </w:rPr>
        <w:t>n</w:t>
      </w:r>
    </w:p>
    <w:p w:rsidR="00000000" w:rsidRDefault="00602C02">
      <w:pPr>
        <w:ind w:hanging="360"/>
        <w:divId w:val="1461074776"/>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$25 million in net ch</w:t>
      </w:r>
      <w:r>
        <w:rPr>
          <w:rFonts w:eastAsia="Times New Roman"/>
          <w:color w:val="000000"/>
          <w:sz w:val="20"/>
          <w:szCs w:val="20"/>
        </w:rPr>
        <w:t>arges related to our Cost Plan that concluded in fiscal 2019, which included $70 million in restructuring and restructuring-related charges, partially offset by a $45 million net gain from the sale of certain assets related to wireless electric vehicle cha</w:t>
      </w:r>
      <w:r>
        <w:rPr>
          <w:rFonts w:eastAsia="Times New Roman"/>
          <w:color w:val="000000"/>
          <w:sz w:val="20"/>
          <w:szCs w:val="20"/>
        </w:rPr>
        <w:t>rging applications and the sale of our mobile health nonreportable segmen</w:t>
      </w:r>
      <w:r>
        <w:rPr>
          <w:rFonts w:eastAsia="Times New Roman"/>
          <w:color w:val="000000"/>
          <w:sz w:val="20"/>
          <w:szCs w:val="20"/>
        </w:rPr>
        <w:t>t</w:t>
      </w:r>
    </w:p>
    <w:p w:rsidR="00000000" w:rsidRDefault="00602C02">
      <w:pPr>
        <w:divId w:val="899364217"/>
        <w:rPr>
          <w:rFonts w:eastAsia="Times New Roman"/>
        </w:rPr>
      </w:pPr>
      <w:r>
        <w:rPr>
          <w:rFonts w:eastAsia="Times New Roman"/>
          <w:b/>
          <w:bCs/>
          <w:i/>
          <w:iCs/>
          <w:color w:val="000000"/>
          <w:sz w:val="20"/>
          <w:szCs w:val="20"/>
        </w:rPr>
        <w:t>First six months 201</w:t>
      </w:r>
      <w:r>
        <w:rPr>
          <w:rFonts w:eastAsia="Times New Roman"/>
          <w:b/>
          <w:bCs/>
          <w:i/>
          <w:iCs/>
          <w:color w:val="000000"/>
          <w:sz w:val="20"/>
          <w:szCs w:val="20"/>
        </w:rPr>
        <w:t>9</w:t>
      </w:r>
    </w:p>
    <w:p w:rsidR="00000000" w:rsidRDefault="00602C02">
      <w:pPr>
        <w:divId w:val="183909149"/>
        <w:rPr>
          <w:rFonts w:eastAsia="Times New Roman"/>
        </w:rPr>
      </w:pPr>
      <w:r>
        <w:rPr>
          <w:rFonts w:eastAsia="Times New Roman"/>
          <w:color w:val="000000"/>
          <w:sz w:val="20"/>
          <w:szCs w:val="20"/>
        </w:rPr>
        <w:t>Other expenses in the first six months of fiscal 2019 consisted of</w:t>
      </w:r>
      <w:r>
        <w:rPr>
          <w:rFonts w:eastAsia="Times New Roman"/>
          <w:color w:val="000000"/>
          <w:sz w:val="20"/>
          <w:szCs w:val="20"/>
        </w:rPr>
        <w:t>:</w:t>
      </w:r>
    </w:p>
    <w:p w:rsidR="00000000" w:rsidRDefault="00602C02">
      <w:pPr>
        <w:ind w:hanging="360"/>
        <w:divId w:val="1809282285"/>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$204 million net charges related to our Cost Plan, which included $249 million in restruc</w:t>
      </w:r>
      <w:r>
        <w:rPr>
          <w:rFonts w:eastAsia="Times New Roman"/>
          <w:color w:val="000000"/>
          <w:sz w:val="20"/>
          <w:szCs w:val="20"/>
        </w:rPr>
        <w:t>turing and restructuring-related charges, partially offset by a $45 million net gain from the sale of certain assets related to wireless electric vehicle charging applications and the sale of our mobile health nonreportable segmen</w:t>
      </w:r>
      <w:r>
        <w:rPr>
          <w:rFonts w:eastAsia="Times New Roman"/>
          <w:color w:val="000000"/>
          <w:sz w:val="20"/>
          <w:szCs w:val="20"/>
        </w:rPr>
        <w:t>t</w:t>
      </w:r>
    </w:p>
    <w:p w:rsidR="00000000" w:rsidRDefault="00602C02">
      <w:pPr>
        <w:ind w:hanging="360"/>
        <w:divId w:val="111105065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$43 million gain due t</w:t>
      </w:r>
      <w:r>
        <w:rPr>
          <w:rFonts w:eastAsia="Times New Roman"/>
          <w:color w:val="000000"/>
          <w:sz w:val="20"/>
          <w:szCs w:val="20"/>
        </w:rPr>
        <w:t>o the partial recovery of a fine imposed in fiscal 2009 resulting from our appeal of the KFTC decisio</w:t>
      </w:r>
      <w:r>
        <w:rPr>
          <w:rFonts w:eastAsia="Times New Roman"/>
          <w:color w:val="000000"/>
          <w:sz w:val="20"/>
          <w:szCs w:val="20"/>
        </w:rPr>
        <w:t>n</w:t>
      </w:r>
    </w:p>
    <w:p w:rsidR="00000000" w:rsidRDefault="00602C02">
      <w:pPr>
        <w:ind w:hanging="360"/>
        <w:divId w:val="947808562"/>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$31 million gain related to a favorable legal settlemen</w:t>
      </w:r>
      <w:r>
        <w:rPr>
          <w:rFonts w:eastAsia="Times New Roman"/>
          <w:color w:val="000000"/>
          <w:sz w:val="20"/>
          <w:szCs w:val="20"/>
        </w:rPr>
        <w:t>t</w:t>
      </w:r>
    </w:p>
    <w:p w:rsidR="00000000" w:rsidRDefault="00602C02">
      <w:pPr>
        <w:jc w:val="center"/>
        <w:divId w:val="1282957052"/>
        <w:rPr>
          <w:rFonts w:eastAsia="Times New Roman"/>
        </w:rPr>
      </w:pPr>
      <w:r>
        <w:rPr>
          <w:rFonts w:eastAsia="Times New Roman"/>
          <w:color w:val="000000"/>
          <w:sz w:val="20"/>
          <w:szCs w:val="20"/>
        </w:rPr>
        <w:t>2</w:t>
      </w:r>
      <w:r>
        <w:rPr>
          <w:rFonts w:eastAsia="Times New Roman"/>
          <w:color w:val="000000"/>
          <w:sz w:val="20"/>
          <w:szCs w:val="20"/>
        </w:rPr>
        <w:t>3</w:t>
      </w:r>
    </w:p>
    <w:p w:rsidR="00000000" w:rsidRDefault="00602C02">
      <w:pPr>
        <w:rPr>
          <w:rFonts w:eastAsia="Times New Roman"/>
        </w:rPr>
      </w:pPr>
      <w:r>
        <w:rPr>
          <w:rFonts w:eastAsia="Times New Roman"/>
        </w:rPr>
        <w:pict>
          <v:rect id="_x0000_i1047" style="width:0;height:1.5pt" o:hralign="center" o:hrstd="t" o:hr="t" fillcolor="#a0a0a0" stroked="f"/>
        </w:pict>
      </w:r>
    </w:p>
    <w:p w:rsidR="00000000" w:rsidRDefault="00602C02">
      <w:pPr>
        <w:divId w:val="48498072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1700"/>
        <w:gridCol w:w="80"/>
        <w:gridCol w:w="125"/>
        <w:gridCol w:w="677"/>
        <w:gridCol w:w="80"/>
        <w:gridCol w:w="36"/>
        <w:gridCol w:w="36"/>
        <w:gridCol w:w="36"/>
        <w:gridCol w:w="126"/>
        <w:gridCol w:w="632"/>
        <w:gridCol w:w="81"/>
        <w:gridCol w:w="36"/>
        <w:gridCol w:w="36"/>
        <w:gridCol w:w="36"/>
        <w:gridCol w:w="126"/>
        <w:gridCol w:w="632"/>
        <w:gridCol w:w="81"/>
        <w:gridCol w:w="36"/>
        <w:gridCol w:w="36"/>
        <w:gridCol w:w="36"/>
        <w:gridCol w:w="125"/>
        <w:gridCol w:w="632"/>
        <w:gridCol w:w="80"/>
        <w:gridCol w:w="36"/>
        <w:gridCol w:w="36"/>
        <w:gridCol w:w="36"/>
        <w:gridCol w:w="126"/>
        <w:gridCol w:w="632"/>
        <w:gridCol w:w="80"/>
        <w:gridCol w:w="36"/>
        <w:gridCol w:w="36"/>
        <w:gridCol w:w="36"/>
        <w:gridCol w:w="126"/>
        <w:gridCol w:w="634"/>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839929594"/>
        </w:trPr>
        <w:tc>
          <w:tcPr>
            <w:tcW w:w="50" w:type="pct"/>
            <w:vAlign w:val="center"/>
            <w:hideMark/>
          </w:tcPr>
          <w:p w:rsidR="00000000" w:rsidRDefault="00602C02">
            <w:pPr>
              <w:rPr>
                <w:rFonts w:eastAsia="Times New Roman"/>
              </w:rPr>
            </w:pPr>
          </w:p>
        </w:tc>
        <w:tc>
          <w:tcPr>
            <w:tcW w:w="11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gridAfter w:val="3"/>
          <w:divId w:val="1839929594"/>
        </w:trPr>
        <w:tc>
          <w:tcPr>
            <w:tcW w:w="0" w:type="auto"/>
            <w:gridSpan w:val="24"/>
            <w:tcMar>
              <w:top w:w="30" w:type="dxa"/>
              <w:left w:w="270" w:type="dxa"/>
              <w:bottom w:w="30" w:type="dxa"/>
              <w:right w:w="20" w:type="dxa"/>
            </w:tcMar>
            <w:vAlign w:val="bottom"/>
            <w:hideMark/>
          </w:tcPr>
          <w:p w:rsidR="00000000" w:rsidRDefault="00602C02">
            <w:pPr>
              <w:rPr>
                <w:rFonts w:eastAsia="Times New Roman"/>
              </w:rPr>
            </w:pPr>
            <w:r>
              <w:rPr>
                <w:rFonts w:eastAsia="Times New Roman"/>
                <w:b/>
                <w:bCs/>
                <w:i/>
                <w:iCs/>
                <w:color w:val="000000"/>
                <w:sz w:val="20"/>
                <w:szCs w:val="20"/>
              </w:rPr>
              <w:t>Interest Expense and Investment and Other (Expense) Income, Net (in millions</w:t>
            </w:r>
            <w:r>
              <w:rPr>
                <w:rFonts w:eastAsia="Times New Roman"/>
                <w:b/>
                <w:bCs/>
                <w:i/>
                <w:iCs/>
                <w:color w:val="000000"/>
                <w:sz w:val="20"/>
                <w:szCs w:val="20"/>
              </w:rPr>
              <w:t>)</w:t>
            </w:r>
          </w:p>
        </w:tc>
        <w:tc>
          <w:tcPr>
            <w:tcW w:w="0" w:type="auto"/>
            <w:gridSpan w:val="3"/>
            <w:vAlign w:val="center"/>
            <w:hideMark/>
          </w:tcPr>
          <w:p w:rsidR="00000000" w:rsidRDefault="00602C02">
            <w:pP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39929594"/>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39929594"/>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2"/>
            <w:shd w:val="clear" w:color="auto" w:fill="CCEEFF"/>
            <w:tcMar>
              <w:top w:w="30" w:type="dxa"/>
              <w:left w:w="20" w:type="dxa"/>
              <w:bottom w:w="30" w:type="dxa"/>
              <w:right w:w="0" w:type="dxa"/>
            </w:tcMar>
            <w:vAlign w:val="bottom"/>
            <w:hideMark/>
          </w:tcPr>
          <w:p w:rsidR="00000000" w:rsidRDefault="00602C02">
            <w:pPr>
              <w:rPr>
                <w:rFonts w:eastAsia="Times New Roman"/>
              </w:rPr>
            </w:pPr>
            <w:r>
              <w:rPr>
                <w:rFonts w:eastAsia="Times New Roman"/>
                <w:color w:val="000000"/>
                <w:sz w:val="18"/>
                <w:szCs w:val="18"/>
              </w:rPr>
              <w:t>Interest expense</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294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Height w:val="300"/>
        </w:trPr>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2"/>
            <w:shd w:val="clear" w:color="auto" w:fill="CCEEFF"/>
            <w:tcMar>
              <w:top w:w="30" w:type="dxa"/>
              <w:left w:w="20" w:type="dxa"/>
              <w:bottom w:w="30" w:type="dxa"/>
              <w:right w:w="0" w:type="dxa"/>
            </w:tcMar>
            <w:vAlign w:val="bottom"/>
            <w:hideMark/>
          </w:tcPr>
          <w:p w:rsidR="00000000" w:rsidRDefault="00602C02">
            <w:pPr>
              <w:rPr>
                <w:rFonts w:eastAsia="Times New Roman"/>
              </w:rPr>
            </w:pPr>
            <w:r>
              <w:rPr>
                <w:rFonts w:eastAsia="Times New Roman"/>
                <w:color w:val="000000"/>
                <w:sz w:val="18"/>
                <w:szCs w:val="18"/>
              </w:rPr>
              <w:t>Investment and other (expense) income, ne</w:t>
            </w:r>
            <w:r>
              <w:rPr>
                <w:rFonts w:eastAsia="Times New Roman"/>
                <w:color w:val="000000"/>
                <w:sz w:val="18"/>
                <w:szCs w:val="18"/>
              </w:rPr>
              <w:t>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602C02">
        <w:trPr>
          <w:divId w:val="1839929594"/>
        </w:trPr>
        <w:tc>
          <w:tcPr>
            <w:tcW w:w="0" w:type="auto"/>
            <w:gridSpan w:val="2"/>
            <w:shd w:val="clear" w:color="auto" w:fill="FFFFFF"/>
            <w:tcMar>
              <w:top w:w="30" w:type="dxa"/>
              <w:left w:w="135" w:type="dxa"/>
              <w:bottom w:w="30" w:type="dxa"/>
              <w:right w:w="0" w:type="dxa"/>
            </w:tcMar>
            <w:vAlign w:val="bottom"/>
            <w:hideMark/>
          </w:tcPr>
          <w:p w:rsidR="00000000" w:rsidRDefault="00602C02">
            <w:pPr>
              <w:rPr>
                <w:rFonts w:eastAsia="Times New Roman"/>
              </w:rPr>
            </w:pPr>
            <w:r>
              <w:rPr>
                <w:rFonts w:eastAsia="Times New Roman"/>
                <w:color w:val="000000"/>
                <w:sz w:val="18"/>
                <w:szCs w:val="18"/>
              </w:rPr>
              <w:t>Interest and dividend income</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2"/>
            <w:shd w:val="clear" w:color="auto" w:fill="CCEEFF"/>
            <w:tcMar>
              <w:top w:w="30" w:type="dxa"/>
              <w:left w:w="135" w:type="dxa"/>
              <w:bottom w:w="30" w:type="dxa"/>
              <w:right w:w="0" w:type="dxa"/>
            </w:tcMar>
            <w:vAlign w:val="bottom"/>
            <w:hideMark/>
          </w:tcPr>
          <w:p w:rsidR="00000000" w:rsidRDefault="00602C02">
            <w:pPr>
              <w:rPr>
                <w:rFonts w:eastAsia="Times New Roman"/>
              </w:rPr>
            </w:pPr>
            <w:r>
              <w:rPr>
                <w:rFonts w:eastAsia="Times New Roman"/>
                <w:color w:val="000000"/>
                <w:sz w:val="18"/>
                <w:szCs w:val="18"/>
              </w:rPr>
              <w:t>Net gains (losses) on marketable securitie</w:t>
            </w:r>
            <w:r>
              <w:rPr>
                <w:rFonts w:eastAsia="Times New Roman"/>
                <w:color w:val="000000"/>
                <w:sz w:val="18"/>
                <w:szCs w:val="18"/>
              </w:rPr>
              <w:t>s</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2"/>
            <w:shd w:val="clear" w:color="auto" w:fill="FFFFFF"/>
            <w:tcMar>
              <w:top w:w="30" w:type="dxa"/>
              <w:left w:w="135" w:type="dxa"/>
              <w:bottom w:w="30" w:type="dxa"/>
              <w:right w:w="0" w:type="dxa"/>
            </w:tcMar>
            <w:vAlign w:val="bottom"/>
            <w:hideMark/>
          </w:tcPr>
          <w:p w:rsidR="00000000" w:rsidRDefault="00602C02">
            <w:pPr>
              <w:rPr>
                <w:rFonts w:eastAsia="Times New Roman"/>
              </w:rPr>
            </w:pPr>
            <w:r>
              <w:rPr>
                <w:rFonts w:eastAsia="Times New Roman"/>
                <w:color w:val="000000"/>
                <w:sz w:val="18"/>
                <w:szCs w:val="18"/>
              </w:rPr>
              <w:t>Net (losses) gains on other investment</w:t>
            </w:r>
            <w:r>
              <w:rPr>
                <w:rFonts w:eastAsia="Times New Roman"/>
                <w:color w:val="000000"/>
                <w:sz w:val="18"/>
                <w:szCs w:val="18"/>
              </w:rPr>
              <w:t>s</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2"/>
            <w:shd w:val="clear" w:color="auto" w:fill="CCEEFF"/>
            <w:tcMar>
              <w:top w:w="30" w:type="dxa"/>
              <w:left w:w="135" w:type="dxa"/>
              <w:bottom w:w="30" w:type="dxa"/>
              <w:right w:w="0" w:type="dxa"/>
            </w:tcMar>
            <w:vAlign w:val="bottom"/>
            <w:hideMark/>
          </w:tcPr>
          <w:p w:rsidR="00000000" w:rsidRDefault="00602C02">
            <w:pPr>
              <w:rPr>
                <w:rFonts w:eastAsia="Times New Roman"/>
              </w:rPr>
            </w:pPr>
            <w:r>
              <w:rPr>
                <w:rFonts w:eastAsia="Times New Roman"/>
                <w:color w:val="000000"/>
                <w:sz w:val="18"/>
                <w:szCs w:val="18"/>
              </w:rPr>
              <w:t>Net (losses) gains on deferred compensation plan asset</w:t>
            </w:r>
            <w:r>
              <w:rPr>
                <w:rFonts w:eastAsia="Times New Roman"/>
                <w:color w:val="000000"/>
                <w:sz w:val="18"/>
                <w:szCs w:val="18"/>
              </w:rPr>
              <w:t>s</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2"/>
            <w:shd w:val="clear" w:color="auto" w:fill="FFFFFF"/>
            <w:tcMar>
              <w:top w:w="30" w:type="dxa"/>
              <w:left w:w="135" w:type="dxa"/>
              <w:bottom w:w="30" w:type="dxa"/>
              <w:right w:w="0" w:type="dxa"/>
            </w:tcMar>
            <w:vAlign w:val="bottom"/>
            <w:hideMark/>
          </w:tcPr>
          <w:p w:rsidR="00000000" w:rsidRDefault="00602C02">
            <w:pPr>
              <w:rPr>
                <w:rFonts w:eastAsia="Times New Roman"/>
              </w:rPr>
            </w:pPr>
            <w:r>
              <w:rPr>
                <w:rFonts w:eastAsia="Times New Roman"/>
                <w:color w:val="000000"/>
                <w:sz w:val="18"/>
                <w:szCs w:val="18"/>
              </w:rPr>
              <w:t>Impairment losses on other investments</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(265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(337</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(268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2"/>
            <w:shd w:val="clear" w:color="auto" w:fill="CCEEFF"/>
            <w:tcMar>
              <w:top w:w="30" w:type="dxa"/>
              <w:left w:w="135" w:type="dxa"/>
              <w:bottom w:w="30" w:type="dxa"/>
              <w:right w:w="0" w:type="dxa"/>
            </w:tcMar>
            <w:vAlign w:val="bottom"/>
            <w:hideMark/>
          </w:tcPr>
          <w:p w:rsidR="00000000" w:rsidRDefault="00602C02">
            <w:pPr>
              <w:rPr>
                <w:rFonts w:eastAsia="Times New Roman"/>
              </w:rPr>
            </w:pPr>
            <w:r>
              <w:rPr>
                <w:rFonts w:eastAsia="Times New Roman"/>
                <w:color w:val="000000"/>
                <w:sz w:val="18"/>
                <w:szCs w:val="18"/>
              </w:rPr>
              <w:t>Net (losses) gains on derivative instrument</w:t>
            </w:r>
            <w:r>
              <w:rPr>
                <w:rFonts w:eastAsia="Times New Roman"/>
                <w:color w:val="000000"/>
                <w:sz w:val="18"/>
                <w:szCs w:val="18"/>
              </w:rPr>
              <w:t>s</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2"/>
            <w:shd w:val="clear" w:color="auto" w:fill="FFFFFF"/>
            <w:tcMar>
              <w:top w:w="30" w:type="dxa"/>
              <w:left w:w="135" w:type="dxa"/>
              <w:bottom w:w="30" w:type="dxa"/>
              <w:right w:w="0" w:type="dxa"/>
            </w:tcMar>
            <w:vAlign w:val="bottom"/>
            <w:hideMark/>
          </w:tcPr>
          <w:p w:rsidR="00000000" w:rsidRDefault="00602C02">
            <w:pPr>
              <w:rPr>
                <w:rFonts w:eastAsia="Times New Roman"/>
              </w:rPr>
            </w:pPr>
            <w:r>
              <w:rPr>
                <w:rFonts w:eastAsia="Times New Roman"/>
                <w:color w:val="000000"/>
                <w:sz w:val="18"/>
                <w:szCs w:val="18"/>
              </w:rPr>
              <w:t>Equity in net losses of investees</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gains (losses) on foreign currency transaction</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839929594"/>
        </w:trPr>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(247</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(275</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(182</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(215</w:t>
            </w: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ind w:firstLine="360"/>
        <w:divId w:val="937367731"/>
        <w:rPr>
          <w:rFonts w:eastAsia="Times New Roman"/>
        </w:rPr>
      </w:pPr>
      <w:r>
        <w:rPr>
          <w:rFonts w:eastAsia="Times New Roman"/>
          <w:color w:val="000000"/>
          <w:sz w:val="20"/>
          <w:szCs w:val="20"/>
        </w:rPr>
        <w:t>COVID-19 had an impact on certain companies in which we hold non-marketable investments, resulting in an increase in impairment losses on other investments for the three and six months ended March 29, 20</w:t>
      </w:r>
      <w:r>
        <w:rPr>
          <w:rFonts w:eastAsia="Times New Roman"/>
          <w:color w:val="000000"/>
          <w:sz w:val="20"/>
          <w:szCs w:val="20"/>
        </w:rPr>
        <w:t>20. A significant portion of the impairment losses related to our investment in OneWeb (an equity method investee) who filed for bankruptcy in the second quarter of fiscal 2020. Additionally, COVID-19 had a negative impact on the fair values of our deferre</w:t>
      </w:r>
      <w:r>
        <w:rPr>
          <w:rFonts w:eastAsia="Times New Roman"/>
          <w:color w:val="000000"/>
          <w:sz w:val="20"/>
          <w:szCs w:val="20"/>
        </w:rPr>
        <w:t>d compensation plan assets, resulting in a net loss in the three and six months ended March 29, 2020.</w:t>
      </w:r>
      <w:r>
        <w:rPr>
          <w:rFonts w:eastAsia="Times New Roman"/>
          <w:color w:val="000000"/>
          <w:sz w:val="20"/>
          <w:szCs w:val="20"/>
        </w:rPr>
        <w:t xml:space="preserve"> </w:t>
      </w:r>
    </w:p>
    <w:p w:rsidR="00000000" w:rsidRDefault="00602C02">
      <w:pPr>
        <w:divId w:val="597560554"/>
        <w:rPr>
          <w:rFonts w:eastAsia="Times New Roman"/>
        </w:rPr>
      </w:pPr>
      <w:r>
        <w:rPr>
          <w:rFonts w:eastAsia="Times New Roman"/>
          <w:b/>
          <w:bCs/>
          <w:i/>
          <w:iCs/>
          <w:color w:val="000000"/>
          <w:sz w:val="20"/>
          <w:szCs w:val="20"/>
        </w:rPr>
        <w:t>Income Tax Expense (Benefit) (in millions, except percentages</w:t>
      </w:r>
      <w:r>
        <w:rPr>
          <w:rFonts w:eastAsia="Times New Roman"/>
          <w:b/>
          <w:bCs/>
          <w:i/>
          <w:iCs/>
          <w:color w:val="000000"/>
          <w:sz w:val="20"/>
          <w:szCs w:val="20"/>
        </w:rPr>
        <w:t>)</w:t>
      </w:r>
    </w:p>
    <w:p w:rsidR="00000000" w:rsidRDefault="00602C02">
      <w:pPr>
        <w:ind w:firstLine="360"/>
        <w:divId w:val="1725443321"/>
        <w:rPr>
          <w:rFonts w:eastAsia="Times New Roman"/>
        </w:rPr>
      </w:pPr>
      <w:r>
        <w:rPr>
          <w:rFonts w:eastAsia="Times New Roman"/>
          <w:color w:val="000000"/>
          <w:sz w:val="20"/>
          <w:szCs w:val="20"/>
        </w:rPr>
        <w:t>The following table summarizes the primary factors that caused our income tax provision to</w:t>
      </w:r>
      <w:r>
        <w:rPr>
          <w:rFonts w:eastAsia="Times New Roman"/>
          <w:color w:val="000000"/>
          <w:sz w:val="20"/>
          <w:szCs w:val="20"/>
        </w:rPr>
        <w:t xml:space="preserve"> differ from the expected income tax provision at the U.S. federal statutory rate</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9"/>
        <w:gridCol w:w="3693"/>
        <w:gridCol w:w="80"/>
        <w:gridCol w:w="125"/>
        <w:gridCol w:w="674"/>
        <w:gridCol w:w="185"/>
        <w:gridCol w:w="36"/>
        <w:gridCol w:w="36"/>
        <w:gridCol w:w="36"/>
        <w:gridCol w:w="125"/>
        <w:gridCol w:w="588"/>
        <w:gridCol w:w="185"/>
        <w:gridCol w:w="36"/>
        <w:gridCol w:w="36"/>
        <w:gridCol w:w="36"/>
        <w:gridCol w:w="125"/>
        <w:gridCol w:w="588"/>
        <w:gridCol w:w="185"/>
        <w:gridCol w:w="36"/>
        <w:gridCol w:w="36"/>
        <w:gridCol w:w="36"/>
        <w:gridCol w:w="125"/>
        <w:gridCol w:w="588"/>
        <w:gridCol w:w="245"/>
        <w:gridCol w:w="36"/>
        <w:gridCol w:w="36"/>
        <w:gridCol w:w="36"/>
        <w:gridCol w:w="36"/>
        <w:gridCol w:w="36"/>
        <w:gridCol w:w="36"/>
        <w:gridCol w:w="36"/>
        <w:gridCol w:w="36"/>
        <w:gridCol w:w="36"/>
        <w:gridCol w:w="36"/>
        <w:gridCol w:w="36"/>
        <w:gridCol w:w="36"/>
      </w:tblGrid>
      <w:tr w:rsidR="00000000">
        <w:trPr>
          <w:gridAfter w:val="12"/>
          <w:divId w:val="1164248788"/>
        </w:trPr>
        <w:tc>
          <w:tcPr>
            <w:tcW w:w="50" w:type="pct"/>
            <w:vAlign w:val="center"/>
            <w:hideMark/>
          </w:tcPr>
          <w:p w:rsidR="00000000" w:rsidRDefault="00602C02">
            <w:pPr>
              <w:ind w:firstLine="360"/>
              <w:rPr>
                <w:rFonts w:eastAsia="Times New Roman"/>
              </w:rPr>
            </w:pPr>
          </w:p>
        </w:tc>
        <w:tc>
          <w:tcPr>
            <w:tcW w:w="243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164248788"/>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r>
      <w:tr w:rsidR="00000000">
        <w:trPr>
          <w:divId w:val="1164248788"/>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2"/>
            <w:shd w:val="clear" w:color="auto" w:fill="CCEEFF"/>
            <w:tcMar>
              <w:top w:w="30" w:type="dxa"/>
              <w:left w:w="20" w:type="dxa"/>
              <w:bottom w:w="30" w:type="dxa"/>
              <w:right w:w="0" w:type="dxa"/>
            </w:tcMar>
            <w:vAlign w:val="bottom"/>
            <w:hideMark/>
          </w:tcPr>
          <w:p w:rsidR="00000000" w:rsidRDefault="00602C02">
            <w:pPr>
              <w:rPr>
                <w:rFonts w:eastAsia="Times New Roman"/>
              </w:rPr>
            </w:pPr>
            <w:r>
              <w:rPr>
                <w:rFonts w:eastAsia="Times New Roman"/>
                <w:color w:val="000000"/>
                <w:sz w:val="18"/>
                <w:szCs w:val="18"/>
              </w:rPr>
              <w:t>Expected income tax provision at federal statutory tax rate</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324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287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2"/>
            <w:shd w:val="clear" w:color="auto" w:fill="FFFFFF"/>
            <w:tcMar>
              <w:top w:w="30" w:type="dxa"/>
              <w:left w:w="20" w:type="dxa"/>
              <w:bottom w:w="30" w:type="dxa"/>
              <w:right w:w="0" w:type="dxa"/>
            </w:tcMar>
            <w:vAlign w:val="center"/>
            <w:hideMark/>
          </w:tcPr>
          <w:p w:rsidR="00000000" w:rsidRDefault="00602C02">
            <w:pPr>
              <w:rPr>
                <w:rFonts w:eastAsia="Times New Roman"/>
              </w:rPr>
            </w:pPr>
            <w:r>
              <w:rPr>
                <w:rFonts w:eastAsia="Times New Roman"/>
                <w:color w:val="000000"/>
                <w:sz w:val="18"/>
                <w:szCs w:val="18"/>
              </w:rPr>
              <w:t>Benefit from foreign-derived intangible income (FDII) deductio</w:t>
            </w:r>
            <w:r>
              <w:rPr>
                <w:rFonts w:eastAsia="Times New Roman"/>
                <w:color w:val="000000"/>
                <w:sz w:val="18"/>
                <w:szCs w:val="18"/>
              </w:rPr>
              <w:t>n</w:t>
            </w:r>
          </w:p>
        </w:tc>
        <w:tc>
          <w:tcPr>
            <w:tcW w:w="0" w:type="auto"/>
            <w:shd w:val="clear" w:color="auto" w:fill="FFFFFF"/>
            <w:tcMar>
              <w:top w:w="30" w:type="dxa"/>
              <w:left w:w="15" w:type="dxa"/>
              <w:bottom w:w="30" w:type="dxa"/>
              <w:right w:w="20" w:type="dxa"/>
            </w:tcMar>
            <w:vAlign w:val="center"/>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2"/>
            <w:shd w:val="clear" w:color="auto" w:fill="CCEEFF"/>
            <w:tcMar>
              <w:top w:w="30" w:type="dxa"/>
              <w:left w:w="20" w:type="dxa"/>
              <w:bottom w:w="30" w:type="dxa"/>
              <w:right w:w="0" w:type="dxa"/>
            </w:tcMar>
            <w:vAlign w:val="center"/>
            <w:hideMark/>
          </w:tcPr>
          <w:p w:rsidR="00000000" w:rsidRDefault="00602C02">
            <w:pPr>
              <w:rPr>
                <w:rFonts w:eastAsia="Times New Roman"/>
              </w:rPr>
            </w:pPr>
            <w:r>
              <w:rPr>
                <w:rFonts w:eastAsia="Times New Roman"/>
                <w:color w:val="000000"/>
                <w:sz w:val="18"/>
                <w:szCs w:val="18"/>
              </w:rPr>
              <w:t>Benefit related to the research and development tax credit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center"/>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2"/>
            <w:shd w:val="clear" w:color="auto" w:fill="FFFFFF"/>
            <w:tcMar>
              <w:top w:w="30" w:type="dxa"/>
              <w:left w:w="20" w:type="dxa"/>
              <w:bottom w:w="30" w:type="dxa"/>
              <w:right w:w="0" w:type="dxa"/>
            </w:tcMar>
            <w:vAlign w:val="center"/>
            <w:hideMark/>
          </w:tcPr>
          <w:p w:rsidR="00000000" w:rsidRDefault="00602C02">
            <w:pPr>
              <w:rPr>
                <w:rFonts w:eastAsia="Times New Roman"/>
              </w:rPr>
            </w:pPr>
            <w:r>
              <w:rPr>
                <w:rFonts w:eastAsia="Times New Roman"/>
                <w:color w:val="000000"/>
                <w:sz w:val="18"/>
                <w:szCs w:val="18"/>
              </w:rPr>
              <w:t>Excess tax (benefit) deficiency associated with share-based award</w:t>
            </w:r>
            <w:r>
              <w:rPr>
                <w:rFonts w:eastAsia="Times New Roman"/>
                <w:color w:val="000000"/>
                <w:sz w:val="18"/>
                <w:szCs w:val="18"/>
              </w:rPr>
              <w:t>s</w:t>
            </w:r>
          </w:p>
        </w:tc>
        <w:tc>
          <w:tcPr>
            <w:tcW w:w="0" w:type="auto"/>
            <w:shd w:val="clear" w:color="auto" w:fill="FFFFFF"/>
            <w:tcMar>
              <w:top w:w="30" w:type="dxa"/>
              <w:left w:w="15" w:type="dxa"/>
              <w:bottom w:w="30" w:type="dxa"/>
              <w:right w:w="20" w:type="dxa"/>
            </w:tcMar>
            <w:vAlign w:val="center"/>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2"/>
            <w:shd w:val="clear" w:color="auto" w:fill="CCEEFF"/>
            <w:tcMar>
              <w:top w:w="30" w:type="dxa"/>
              <w:left w:w="20" w:type="dxa"/>
              <w:bottom w:w="30" w:type="dxa"/>
              <w:right w:w="0" w:type="dxa"/>
            </w:tcMar>
            <w:vAlign w:val="center"/>
            <w:hideMark/>
          </w:tcPr>
          <w:p w:rsidR="00000000" w:rsidRDefault="00602C02">
            <w:pPr>
              <w:rPr>
                <w:rFonts w:eastAsia="Times New Roman"/>
              </w:rPr>
            </w:pPr>
            <w:r>
              <w:rPr>
                <w:rFonts w:eastAsia="Times New Roman"/>
                <w:color w:val="000000"/>
                <w:sz w:val="18"/>
                <w:szCs w:val="18"/>
              </w:rPr>
              <w:t>Valuation allowance on unused foreign tax credits</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center"/>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2"/>
            <w:shd w:val="clear" w:color="auto" w:fill="FFFFFF"/>
            <w:tcMar>
              <w:top w:w="30" w:type="dxa"/>
              <w:left w:w="20" w:type="dxa"/>
              <w:bottom w:w="30" w:type="dxa"/>
              <w:right w:w="0" w:type="dxa"/>
            </w:tcMar>
            <w:vAlign w:val="center"/>
            <w:hideMark/>
          </w:tcPr>
          <w:p w:rsidR="00000000" w:rsidRDefault="00602C02">
            <w:pPr>
              <w:rPr>
                <w:rFonts w:eastAsia="Times New Roman"/>
              </w:rPr>
            </w:pPr>
            <w:r>
              <w:rPr>
                <w:rFonts w:eastAsia="Times New Roman"/>
                <w:color w:val="000000"/>
                <w:sz w:val="18"/>
                <w:szCs w:val="18"/>
              </w:rPr>
              <w:t>Foreign currency loss related to foreign withholding tax receivable</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center"/>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3"/>
            <w:shd w:val="clear" w:color="auto" w:fill="CCEEFF"/>
            <w:tcMar>
              <w:top w:w="30" w:type="dxa"/>
              <w:left w:w="20" w:type="dxa"/>
              <w:bottom w:w="30" w:type="dxa"/>
              <w:right w:w="20" w:type="dxa"/>
            </w:tcMar>
            <w:vAlign w:val="center"/>
            <w:hideMark/>
          </w:tcPr>
          <w:p w:rsidR="00000000" w:rsidRDefault="00602C02">
            <w:pPr>
              <w:rPr>
                <w:rFonts w:eastAsia="Times New Roman"/>
              </w:rPr>
            </w:pPr>
            <w:r>
              <w:rPr>
                <w:rFonts w:eastAsia="Times New Roman"/>
                <w:color w:val="000000"/>
                <w:sz w:val="18"/>
                <w:szCs w:val="18"/>
              </w:rPr>
              <w:t>Benefit from establishing new U.S. net deferred tax asset</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(570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2"/>
            <w:shd w:val="clear" w:color="auto" w:fill="FFFFFF"/>
            <w:tcMar>
              <w:top w:w="30" w:type="dxa"/>
              <w:left w:w="20" w:type="dxa"/>
              <w:bottom w:w="30" w:type="dxa"/>
              <w:right w:w="0" w:type="dxa"/>
            </w:tcMar>
            <w:vAlign w:val="center"/>
            <w:hideMark/>
          </w:tcPr>
          <w:p w:rsidR="00000000" w:rsidRDefault="00602C02">
            <w:pPr>
              <w:rPr>
                <w:rFonts w:eastAsia="Times New Roman"/>
              </w:rPr>
            </w:pPr>
            <w:r>
              <w:rPr>
                <w:rFonts w:eastAsia="Times New Roman"/>
                <w:color w:val="000000"/>
                <w:sz w:val="18"/>
                <w:szCs w:val="18"/>
              </w:rPr>
              <w:t>Other</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center"/>
            <w:hideMark/>
          </w:tcPr>
          <w:p w:rsidR="00000000" w:rsidRDefault="00602C02">
            <w:pPr>
              <w:jc w:val="right"/>
              <w:rPr>
                <w:rFonts w:eastAsia="Times New Roman"/>
              </w:rPr>
            </w:pPr>
            <w:r>
              <w:rPr>
                <w:rFonts w:eastAsia="Times New Roman"/>
                <w:color w:val="000000"/>
                <w:sz w:val="18"/>
                <w:szCs w:val="18"/>
              </w:rPr>
              <w:t> </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2"/>
            <w:shd w:val="clear" w:color="auto" w:fill="CCEEFF"/>
            <w:tcMar>
              <w:top w:w="30" w:type="dxa"/>
              <w:left w:w="225" w:type="dxa"/>
              <w:bottom w:w="30" w:type="dxa"/>
              <w:right w:w="0" w:type="dxa"/>
            </w:tcMar>
            <w:vAlign w:val="bottom"/>
            <w:hideMark/>
          </w:tcPr>
          <w:p w:rsidR="00000000" w:rsidRDefault="00602C02">
            <w:pPr>
              <w:rPr>
                <w:rFonts w:eastAsia="Times New Roman"/>
              </w:rPr>
            </w:pPr>
            <w:r>
              <w:rPr>
                <w:rFonts w:eastAsia="Times New Roman"/>
                <w:color w:val="000000"/>
                <w:sz w:val="18"/>
                <w:szCs w:val="18"/>
              </w:rPr>
              <w:t>Income tax expense (benefit</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(365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164248788"/>
        </w:trPr>
        <w:tc>
          <w:tcPr>
            <w:tcW w:w="0" w:type="auto"/>
            <w:gridSpan w:val="2"/>
            <w:shd w:val="clear" w:color="auto" w:fill="FFFFFF"/>
            <w:tcMar>
              <w:top w:w="30" w:type="dxa"/>
              <w:left w:w="225" w:type="dxa"/>
              <w:bottom w:w="30" w:type="dxa"/>
              <w:right w:w="0" w:type="dxa"/>
            </w:tcMar>
            <w:vAlign w:val="bottom"/>
            <w:hideMark/>
          </w:tcPr>
          <w:p w:rsidR="00000000" w:rsidRDefault="00602C02">
            <w:pPr>
              <w:rPr>
                <w:rFonts w:eastAsia="Times New Roman"/>
              </w:rPr>
            </w:pPr>
            <w:r>
              <w:rPr>
                <w:rFonts w:eastAsia="Times New Roman"/>
                <w:color w:val="000000"/>
                <w:sz w:val="18"/>
                <w:szCs w:val="18"/>
              </w:rPr>
              <w:t>Effective tax rate</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22</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(27</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ind w:firstLine="360"/>
        <w:divId w:val="40598646"/>
        <w:rPr>
          <w:rFonts w:eastAsia="Times New Roman"/>
        </w:rPr>
      </w:pPr>
      <w:r>
        <w:rPr>
          <w:rFonts w:eastAsia="Times New Roman"/>
          <w:color w:val="000000"/>
          <w:sz w:val="20"/>
          <w:szCs w:val="20"/>
        </w:rPr>
        <w:t>We estimate our annual effective income tax rate to be 12% for fiscal 20</w:t>
      </w:r>
      <w:r>
        <w:rPr>
          <w:rFonts w:eastAsia="Times New Roman"/>
          <w:color w:val="000000"/>
          <w:sz w:val="20"/>
          <w:szCs w:val="20"/>
        </w:rPr>
        <w:t>20. The estimated annual effective tax rate for fiscal 2020 is lower than the U.S. federal statutory rate, primarily due to a significant portion of our income qualifying for preferential treatment as FDII at a 13</w:t>
      </w:r>
      <w:r>
        <w:rPr>
          <w:rFonts w:eastAsia="Times New Roman"/>
          <w:color w:val="000000"/>
          <w:sz w:val="20"/>
          <w:szCs w:val="20"/>
        </w:rPr>
        <w:t>%</w:t>
      </w:r>
      <w:r>
        <w:rPr>
          <w:rFonts w:eastAsia="Times New Roman"/>
          <w:color w:val="000000"/>
          <w:sz w:val="20"/>
          <w:szCs w:val="20"/>
          <w:shd w:val="clear" w:color="auto" w:fill="FFFFFF"/>
        </w:rPr>
        <w:t xml:space="preserve"> effect</w:t>
      </w:r>
      <w:r>
        <w:rPr>
          <w:rFonts w:eastAsia="Times New Roman"/>
          <w:color w:val="000000"/>
          <w:sz w:val="20"/>
          <w:szCs w:val="20"/>
          <w:shd w:val="clear" w:color="auto" w:fill="FFFFFF"/>
        </w:rPr>
        <w:t>i</w:t>
      </w:r>
      <w:r>
        <w:rPr>
          <w:rFonts w:eastAsia="Times New Roman"/>
          <w:color w:val="000000"/>
          <w:sz w:val="20"/>
          <w:szCs w:val="20"/>
        </w:rPr>
        <w:t xml:space="preserve">ve tax rate and benefits from our </w:t>
      </w:r>
      <w:r>
        <w:rPr>
          <w:rFonts w:eastAsia="Times New Roman"/>
          <w:color w:val="000000"/>
          <w:sz w:val="20"/>
          <w:szCs w:val="20"/>
        </w:rPr>
        <w:t>research and development tax credit.</w:t>
      </w:r>
      <w:r>
        <w:rPr>
          <w:rFonts w:eastAsia="Times New Roman"/>
          <w:color w:val="000000"/>
          <w:sz w:val="20"/>
          <w:szCs w:val="20"/>
        </w:rPr>
        <w:t xml:space="preserve"> </w:t>
      </w:r>
    </w:p>
    <w:p w:rsidR="00000000" w:rsidRDefault="00602C02">
      <w:pPr>
        <w:jc w:val="center"/>
        <w:divId w:val="1622808036"/>
        <w:rPr>
          <w:rFonts w:eastAsia="Times New Roman"/>
        </w:rPr>
      </w:pPr>
      <w:r>
        <w:rPr>
          <w:rFonts w:eastAsia="Times New Roman"/>
          <w:color w:val="000000"/>
          <w:sz w:val="20"/>
          <w:szCs w:val="20"/>
        </w:rPr>
        <w:t>2</w:t>
      </w:r>
      <w:r>
        <w:rPr>
          <w:rFonts w:eastAsia="Times New Roman"/>
          <w:color w:val="000000"/>
          <w:sz w:val="20"/>
          <w:szCs w:val="20"/>
        </w:rPr>
        <w:t>4</w:t>
      </w:r>
    </w:p>
    <w:p w:rsidR="00000000" w:rsidRDefault="00602C02">
      <w:pPr>
        <w:rPr>
          <w:rFonts w:eastAsia="Times New Roman"/>
        </w:rPr>
      </w:pPr>
      <w:r>
        <w:rPr>
          <w:rFonts w:eastAsia="Times New Roman"/>
        </w:rPr>
        <w:pict>
          <v:rect id="_x0000_i1048" style="width:0;height:1.5pt" o:hralign="center" o:hrstd="t" o:hr="t" fillcolor="#a0a0a0" stroked="f"/>
        </w:pict>
      </w:r>
    </w:p>
    <w:p w:rsidR="00000000" w:rsidRDefault="00602C02">
      <w:pPr>
        <w:divId w:val="101729697"/>
        <w:rPr>
          <w:rFonts w:eastAsia="Times New Roman"/>
        </w:rPr>
      </w:pPr>
    </w:p>
    <w:p w:rsidR="00000000" w:rsidRDefault="00602C02">
      <w:pPr>
        <w:ind w:firstLine="360"/>
        <w:divId w:val="917983526"/>
        <w:rPr>
          <w:rFonts w:eastAsia="Times New Roman"/>
        </w:rPr>
      </w:pPr>
      <w:r>
        <w:rPr>
          <w:rFonts w:eastAsia="Times New Roman"/>
          <w:color w:val="000000"/>
          <w:sz w:val="20"/>
          <w:szCs w:val="20"/>
        </w:rPr>
        <w:t xml:space="preserve">The United States Treasury Department has issued proposed regulations on several provisions of the 2017 Tax Cuts and Jobs Act (the Tax Legislation), including FDII and interest expense deduction limitations, which may </w:t>
      </w:r>
      <w:r>
        <w:rPr>
          <w:rFonts w:eastAsia="Times New Roman"/>
          <w:color w:val="000000"/>
          <w:sz w:val="20"/>
          <w:szCs w:val="20"/>
        </w:rPr>
        <w:t>be finalized in the next several months. When finalized, these proposed regulations may adversely affect our provision for income taxes, results of operations and/or cash flows</w:t>
      </w:r>
      <w:r>
        <w:rPr>
          <w:rFonts w:eastAsia="Times New Roman"/>
          <w:color w:val="000000"/>
          <w:sz w:val="20"/>
          <w:szCs w:val="20"/>
        </w:rPr>
        <w:t>.</w:t>
      </w:r>
    </w:p>
    <w:p w:rsidR="00000000" w:rsidRDefault="00602C02">
      <w:pPr>
        <w:divId w:val="738333844"/>
        <w:rPr>
          <w:rFonts w:eastAsia="Times New Roman"/>
        </w:rPr>
      </w:pPr>
      <w:r>
        <w:rPr>
          <w:rFonts w:eastAsia="Times New Roman"/>
          <w:b/>
          <w:bCs/>
          <w:color w:val="000000"/>
          <w:sz w:val="20"/>
          <w:szCs w:val="20"/>
        </w:rPr>
        <w:t>Segment Result</w:t>
      </w:r>
      <w:r>
        <w:rPr>
          <w:rFonts w:eastAsia="Times New Roman"/>
          <w:b/>
          <w:bCs/>
          <w:color w:val="000000"/>
          <w:sz w:val="20"/>
          <w:szCs w:val="20"/>
        </w:rPr>
        <w:t>s</w:t>
      </w:r>
    </w:p>
    <w:p w:rsidR="00000000" w:rsidRDefault="00602C02">
      <w:pPr>
        <w:ind w:firstLine="360"/>
        <w:divId w:val="1844856524"/>
        <w:rPr>
          <w:rFonts w:eastAsia="Times New Roman"/>
        </w:rPr>
      </w:pPr>
      <w:r>
        <w:rPr>
          <w:rFonts w:eastAsia="Times New Roman"/>
          <w:color w:val="000000"/>
          <w:sz w:val="20"/>
          <w:szCs w:val="20"/>
        </w:rPr>
        <w:t>The following should be read in conjunction with our financial results for the second quarter and first six months of fiscal 2020 for each reportable segment included in this Quarterly Report in “Notes to Condensed Consolidated Financial Statements, Note 6</w:t>
      </w:r>
      <w:r>
        <w:rPr>
          <w:rFonts w:eastAsia="Times New Roman"/>
          <w:color w:val="000000"/>
          <w:sz w:val="20"/>
          <w:szCs w:val="20"/>
        </w:rPr>
        <w:t>. Segment Information.</w:t>
      </w:r>
      <w:r>
        <w:rPr>
          <w:rFonts w:eastAsia="Times New Roman"/>
          <w:color w:val="000000"/>
          <w:sz w:val="20"/>
          <w:szCs w:val="20"/>
        </w:rPr>
        <w:t>”</w:t>
      </w:r>
    </w:p>
    <w:p w:rsidR="00000000" w:rsidRDefault="00602C02">
      <w:pPr>
        <w:divId w:val="277640166"/>
        <w:rPr>
          <w:rFonts w:eastAsia="Times New Roman"/>
        </w:rPr>
      </w:pPr>
      <w:r>
        <w:rPr>
          <w:rFonts w:eastAsia="Times New Roman"/>
          <w:b/>
          <w:bCs/>
          <w:i/>
          <w:iCs/>
          <w:color w:val="000000"/>
          <w:sz w:val="20"/>
          <w:szCs w:val="20"/>
        </w:rPr>
        <w:t>QCT Segment (in millions, except percentages</w:t>
      </w:r>
      <w:r>
        <w:rPr>
          <w:rFonts w:eastAsia="Times New Roman"/>
          <w:b/>
          <w:bCs/>
          <w:i/>
          <w:i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626"/>
        <w:gridCol w:w="36"/>
        <w:gridCol w:w="125"/>
        <w:gridCol w:w="585"/>
        <w:gridCol w:w="185"/>
        <w:gridCol w:w="36"/>
        <w:gridCol w:w="36"/>
        <w:gridCol w:w="36"/>
        <w:gridCol w:w="125"/>
        <w:gridCol w:w="550"/>
        <w:gridCol w:w="185"/>
        <w:gridCol w:w="36"/>
        <w:gridCol w:w="36"/>
        <w:gridCol w:w="36"/>
        <w:gridCol w:w="125"/>
        <w:gridCol w:w="550"/>
        <w:gridCol w:w="185"/>
        <w:gridCol w:w="36"/>
        <w:gridCol w:w="36"/>
        <w:gridCol w:w="36"/>
        <w:gridCol w:w="125"/>
        <w:gridCol w:w="551"/>
        <w:gridCol w:w="185"/>
        <w:gridCol w:w="36"/>
        <w:gridCol w:w="36"/>
        <w:gridCol w:w="36"/>
        <w:gridCol w:w="125"/>
        <w:gridCol w:w="552"/>
        <w:gridCol w:w="185"/>
        <w:gridCol w:w="36"/>
        <w:gridCol w:w="36"/>
        <w:gridCol w:w="36"/>
        <w:gridCol w:w="125"/>
        <w:gridCol w:w="554"/>
        <w:gridCol w:w="1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674498412"/>
          <w:jc w:val="center"/>
        </w:trPr>
        <w:tc>
          <w:tcPr>
            <w:tcW w:w="50" w:type="pct"/>
            <w:vAlign w:val="center"/>
            <w:hideMark/>
          </w:tcPr>
          <w:p w:rsidR="00000000" w:rsidRDefault="00602C02">
            <w:pPr>
              <w:rPr>
                <w:rFonts w:eastAsia="Times New Roman"/>
              </w:rPr>
            </w:pPr>
          </w:p>
        </w:tc>
        <w:tc>
          <w:tcPr>
            <w:tcW w:w="11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674498412"/>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674498412"/>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Revenue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shd w:val="clear" w:color="auto" w:fill="CCEE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Equipment and service</w:t>
            </w:r>
            <w:r>
              <w:rPr>
                <w:rFonts w:eastAsia="Times New Roman"/>
                <w:color w:val="000000"/>
                <w:sz w:val="18"/>
                <w:szCs w:val="18"/>
              </w:rPr>
              <w:t>s</w:t>
            </w: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4,011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3,622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7,496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7,300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196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shd w:val="clear" w:color="auto" w:fill="FFFFFF"/>
            <w:tcMar>
              <w:top w:w="30" w:type="dxa"/>
              <w:left w:w="135" w:type="dxa"/>
              <w:bottom w:w="30" w:type="dxa"/>
              <w:right w:w="20" w:type="dxa"/>
            </w:tcMar>
            <w:vAlign w:val="bottom"/>
            <w:hideMark/>
          </w:tcPr>
          <w:p w:rsidR="00000000" w:rsidRDefault="00602C02">
            <w:pPr>
              <w:rPr>
                <w:rFonts w:eastAsia="Times New Roman"/>
              </w:rPr>
            </w:pPr>
            <w:r>
              <w:rPr>
                <w:rFonts w:eastAsia="Times New Roman"/>
                <w:color w:val="000000"/>
                <w:sz w:val="18"/>
                <w:szCs w:val="18"/>
              </w:rPr>
              <w:t>Licensin</w:t>
            </w:r>
            <w:r>
              <w:rPr>
                <w:rFonts w:eastAsia="Times New Roman"/>
                <w:color w:val="000000"/>
                <w:sz w:val="18"/>
                <w:szCs w:val="18"/>
              </w:rPr>
              <w:t>g</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223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Total revenue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4,100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3,722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378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7,719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7,461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258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b/>
                <w:bCs/>
                <w:color w:val="000000"/>
                <w:sz w:val="18"/>
                <w:szCs w:val="18"/>
              </w:rPr>
              <w:t>Earnings before taxes (EBT</w:t>
            </w:r>
            <w:r>
              <w:rPr>
                <w:rFonts w:eastAsia="Times New Roman"/>
                <w:b/>
                <w:bCs/>
                <w:color w:val="000000"/>
                <w:sz w:val="18"/>
                <w:szCs w:val="18"/>
              </w:rPr>
              <w:t>)</w:t>
            </w: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667</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542</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125</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1,145</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1,140</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double" w:sz="6" w:space="0" w:color="000000"/>
            </w:tcBorders>
            <w:shd w:val="clear" w:color="auto" w:fill="FFFF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double" w:sz="6" w:space="0" w:color="000000"/>
            </w:tcBorders>
            <w:shd w:val="clear" w:color="auto" w:fill="FFFF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EBT as a % of revenue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74498412"/>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ind w:firstLine="360"/>
        <w:divId w:val="1313942731"/>
        <w:rPr>
          <w:rFonts w:eastAsia="Times New Roman"/>
        </w:rPr>
      </w:pPr>
      <w:r>
        <w:rPr>
          <w:rFonts w:eastAsia="Times New Roman"/>
          <w:color w:val="000000"/>
          <w:sz w:val="20"/>
          <w:szCs w:val="20"/>
        </w:rPr>
        <w:t>Equipment and s</w:t>
      </w:r>
      <w:r>
        <w:rPr>
          <w:rFonts w:eastAsia="Times New Roman"/>
          <w:color w:val="000000"/>
          <w:sz w:val="20"/>
          <w:szCs w:val="20"/>
        </w:rPr>
        <w:t xml:space="preserve">ervices revenues primarily relate to sales of MSM, Radio Frequency (RF), Power Management (PM) and wireless connectivity chipsets. MSM integrated circuits include our stand-alone Mobile Data Modems (MDMs) and Snapdragon platforms, which include processors </w:t>
      </w:r>
      <w:r>
        <w:rPr>
          <w:rFonts w:eastAsia="Times New Roman"/>
          <w:color w:val="000000"/>
          <w:sz w:val="20"/>
          <w:szCs w:val="20"/>
        </w:rPr>
        <w:t xml:space="preserve">and modems. Approximately 129 million and 155 million MSM integrated circuits were sold in the second quarter of fiscal 2020 and 2019, respectively, and approximately 283 million and 341 million MSM integrated circuits were sold in the first six months of </w:t>
      </w:r>
      <w:r>
        <w:rPr>
          <w:rFonts w:eastAsia="Times New Roman"/>
          <w:color w:val="000000"/>
          <w:sz w:val="20"/>
          <w:szCs w:val="20"/>
        </w:rPr>
        <w:t>fiscal 2020 and 2019, respectively.</w:t>
      </w:r>
      <w:r>
        <w:rPr>
          <w:rFonts w:eastAsia="Times New Roman"/>
          <w:color w:val="000000"/>
          <w:sz w:val="20"/>
          <w:szCs w:val="20"/>
        </w:rPr>
        <w:t xml:space="preserve"> </w:t>
      </w:r>
      <w:r>
        <w:rPr>
          <w:rFonts w:eastAsia="Times New Roman"/>
          <w:color w:val="000000"/>
          <w:sz w:val="20"/>
          <w:szCs w:val="20"/>
          <w:shd w:val="clear" w:color="auto" w:fill="FFFFFF"/>
        </w:rPr>
        <w:t>We use the volume of MSM integrated circuit shipments to allow management and investors to, in part, evaluate, assess and benchmark our QCT segment’</w:t>
      </w:r>
      <w:r>
        <w:rPr>
          <w:rFonts w:eastAsia="Times New Roman"/>
          <w:color w:val="000000"/>
          <w:sz w:val="20"/>
          <w:szCs w:val="20"/>
          <w:shd w:val="clear" w:color="auto" w:fill="FFFFFF"/>
        </w:rPr>
        <w:t>s performance. MSM integrated circuit shipments do not fully reflect the performance of our QCT segment, which can be impacted by other factors including changes in mix and average selling price of our MSM integrated circuits and revenues generated from pr</w:t>
      </w:r>
      <w:r>
        <w:rPr>
          <w:rFonts w:eastAsia="Times New Roman"/>
          <w:color w:val="000000"/>
          <w:sz w:val="20"/>
          <w:szCs w:val="20"/>
          <w:shd w:val="clear" w:color="auto" w:fill="FFFFFF"/>
        </w:rPr>
        <w:t>oducts other than MSM integrated circuits, such as RFFE products, among others.</w:t>
      </w:r>
    </w:p>
    <w:p w:rsidR="00000000" w:rsidRDefault="00602C02">
      <w:pPr>
        <w:divId w:val="172106790"/>
        <w:rPr>
          <w:rFonts w:eastAsia="Times New Roman"/>
        </w:rPr>
      </w:pPr>
      <w:r>
        <w:rPr>
          <w:rFonts w:eastAsia="Times New Roman"/>
          <w:b/>
          <w:bCs/>
          <w:i/>
          <w:iCs/>
          <w:color w:val="000000"/>
          <w:sz w:val="20"/>
          <w:szCs w:val="20"/>
        </w:rPr>
        <w:t>Second quarter 2020 vs. 201</w:t>
      </w:r>
      <w:r>
        <w:rPr>
          <w:rFonts w:eastAsia="Times New Roman"/>
          <w:b/>
          <w:bCs/>
          <w:i/>
          <w:iCs/>
          <w:color w:val="000000"/>
          <w:sz w:val="20"/>
          <w:szCs w:val="20"/>
        </w:rPr>
        <w:t>9</w:t>
      </w:r>
    </w:p>
    <w:p w:rsidR="00000000" w:rsidRDefault="00602C02">
      <w:pPr>
        <w:divId w:val="1670866064"/>
        <w:rPr>
          <w:rFonts w:eastAsia="Times New Roman"/>
        </w:rPr>
      </w:pPr>
      <w:r>
        <w:rPr>
          <w:rFonts w:eastAsia="Times New Roman"/>
          <w:color w:val="000000"/>
          <w:sz w:val="20"/>
          <w:szCs w:val="20"/>
        </w:rPr>
        <w:t>The increase in QCT equipment and services revenues in the second quarter of fiscal 2020 was primarily due to</w:t>
      </w:r>
      <w:r>
        <w:rPr>
          <w:rFonts w:eastAsia="Times New Roman"/>
          <w:color w:val="000000"/>
          <w:sz w:val="20"/>
          <w:szCs w:val="20"/>
        </w:rPr>
        <w:t>:</w:t>
      </w:r>
    </w:p>
    <w:p w:rsidR="00000000" w:rsidRDefault="00602C02">
      <w:pPr>
        <w:ind w:hanging="360"/>
        <w:divId w:val="173544989"/>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$378 million in higher revenues pe</w:t>
      </w:r>
      <w:r>
        <w:rPr>
          <w:rFonts w:eastAsia="Times New Roman"/>
          <w:color w:val="000000"/>
          <w:sz w:val="20"/>
          <w:szCs w:val="20"/>
        </w:rPr>
        <w:t>r MSM and accompanying RF, PM and wireless connectivity chipset shipments, primarily driven by a favorable shift in product mix as 5G devices launche</w:t>
      </w:r>
      <w:r>
        <w:rPr>
          <w:rFonts w:eastAsia="Times New Roman"/>
          <w:color w:val="000000"/>
          <w:sz w:val="20"/>
          <w:szCs w:val="20"/>
        </w:rPr>
        <w:t>d</w:t>
      </w:r>
    </w:p>
    <w:p w:rsidR="00000000" w:rsidRDefault="00602C02">
      <w:pPr>
        <w:ind w:hanging="360"/>
        <w:divId w:val="200882225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$265 million in higher RFFE product revenues, primarily driven by 5G device launche</w:t>
      </w:r>
      <w:r>
        <w:rPr>
          <w:rFonts w:eastAsia="Times New Roman"/>
          <w:color w:val="000000"/>
          <w:sz w:val="20"/>
          <w:szCs w:val="20"/>
        </w:rPr>
        <w:t>s</w:t>
      </w:r>
    </w:p>
    <w:p w:rsidR="00000000" w:rsidRDefault="00602C02">
      <w:pPr>
        <w:ind w:hanging="360"/>
        <w:divId w:val="47495632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 xml:space="preserve">$262 million in </w:t>
      </w:r>
      <w:r>
        <w:rPr>
          <w:rFonts w:eastAsia="Times New Roman"/>
          <w:color w:val="000000"/>
          <w:sz w:val="20"/>
          <w:szCs w:val="20"/>
        </w:rPr>
        <w:t>lower MSM and accompanying chipset shipments, primarily driven by a decrease in demand due to COVID-19 and lower modem sales to Appl</w:t>
      </w:r>
      <w:r>
        <w:rPr>
          <w:rFonts w:eastAsia="Times New Roman"/>
          <w:color w:val="000000"/>
          <w:sz w:val="20"/>
          <w:szCs w:val="20"/>
        </w:rPr>
        <w:t>e</w:t>
      </w:r>
    </w:p>
    <w:p w:rsidR="00000000" w:rsidRDefault="00602C02">
      <w:pPr>
        <w:divId w:val="16931355"/>
        <w:rPr>
          <w:rFonts w:eastAsia="Times New Roman"/>
        </w:rPr>
      </w:pPr>
      <w:r>
        <w:rPr>
          <w:rFonts w:eastAsia="Times New Roman"/>
          <w:color w:val="000000"/>
          <w:sz w:val="20"/>
          <w:szCs w:val="20"/>
        </w:rPr>
        <w:t>QCT EBT as a percentage of revenues increased in the second quarter of fiscal 2020 primarily due to</w:t>
      </w:r>
      <w:r>
        <w:rPr>
          <w:rFonts w:eastAsia="Times New Roman"/>
          <w:color w:val="000000"/>
          <w:sz w:val="20"/>
          <w:szCs w:val="20"/>
        </w:rPr>
        <w:t>:</w:t>
      </w:r>
    </w:p>
    <w:p w:rsidR="00000000" w:rsidRDefault="00602C02">
      <w:pPr>
        <w:ind w:hanging="360"/>
        <w:divId w:val="1442842213"/>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higher QCT revenue</w:t>
      </w:r>
      <w:r>
        <w:rPr>
          <w:rFonts w:eastAsia="Times New Roman"/>
          <w:color w:val="000000"/>
          <w:sz w:val="20"/>
          <w:szCs w:val="20"/>
        </w:rPr>
        <w:t>s</w:t>
      </w:r>
    </w:p>
    <w:p w:rsidR="00000000" w:rsidRDefault="00602C02">
      <w:pPr>
        <w:ind w:hanging="360"/>
        <w:divId w:val="1515532779"/>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higher gross margin, primarily driven by a favorable shift in product mix towards 5G product</w:t>
      </w:r>
      <w:r>
        <w:rPr>
          <w:rFonts w:eastAsia="Times New Roman"/>
          <w:color w:val="000000"/>
          <w:sz w:val="20"/>
          <w:szCs w:val="20"/>
        </w:rPr>
        <w:t>s</w:t>
      </w:r>
    </w:p>
    <w:p w:rsidR="00000000" w:rsidRDefault="00602C02">
      <w:pPr>
        <w:ind w:hanging="360"/>
        <w:divId w:val="65576769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higher operating expenses, primarily driven by higher research and development cost</w:t>
      </w:r>
      <w:r>
        <w:rPr>
          <w:rFonts w:eastAsia="Times New Roman"/>
          <w:color w:val="000000"/>
          <w:sz w:val="20"/>
          <w:szCs w:val="20"/>
        </w:rPr>
        <w:t>s</w:t>
      </w:r>
    </w:p>
    <w:p w:rsidR="00000000" w:rsidRDefault="00602C02">
      <w:pPr>
        <w:divId w:val="888761708"/>
        <w:rPr>
          <w:rFonts w:eastAsia="Times New Roman"/>
        </w:rPr>
      </w:pPr>
      <w:r>
        <w:rPr>
          <w:rFonts w:eastAsia="Times New Roman"/>
          <w:b/>
          <w:bCs/>
          <w:i/>
          <w:iCs/>
          <w:color w:val="000000"/>
          <w:sz w:val="20"/>
          <w:szCs w:val="20"/>
        </w:rPr>
        <w:t>First six months 2020 vs. 201</w:t>
      </w:r>
      <w:r>
        <w:rPr>
          <w:rFonts w:eastAsia="Times New Roman"/>
          <w:b/>
          <w:bCs/>
          <w:i/>
          <w:iCs/>
          <w:color w:val="000000"/>
          <w:sz w:val="20"/>
          <w:szCs w:val="20"/>
        </w:rPr>
        <w:t>9</w:t>
      </w:r>
    </w:p>
    <w:p w:rsidR="00000000" w:rsidRDefault="00602C02">
      <w:pPr>
        <w:divId w:val="1720545871"/>
        <w:rPr>
          <w:rFonts w:eastAsia="Times New Roman"/>
        </w:rPr>
      </w:pPr>
      <w:r>
        <w:rPr>
          <w:rFonts w:eastAsia="Times New Roman"/>
          <w:color w:val="000000"/>
          <w:sz w:val="20"/>
          <w:szCs w:val="20"/>
        </w:rPr>
        <w:t>The increase in QCT equipment and services revenues in the first six months of fiscal 2020 was primarily due to</w:t>
      </w:r>
      <w:r>
        <w:rPr>
          <w:rFonts w:eastAsia="Times New Roman"/>
          <w:color w:val="000000"/>
          <w:sz w:val="20"/>
          <w:szCs w:val="20"/>
        </w:rPr>
        <w:t>:</w:t>
      </w:r>
    </w:p>
    <w:p w:rsidR="00000000" w:rsidRDefault="00602C02">
      <w:pPr>
        <w:ind w:hanging="360"/>
        <w:divId w:val="2024820680"/>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$422 million in higher re</w:t>
      </w:r>
      <w:r>
        <w:rPr>
          <w:rFonts w:eastAsia="Times New Roman"/>
          <w:color w:val="000000"/>
          <w:sz w:val="20"/>
          <w:szCs w:val="20"/>
        </w:rPr>
        <w:t>venues per MSM and accompanying RF, PM and wireless connectivity chipset shipments, primarily driven by a favorable shift in product mix as 5G devices launche</w:t>
      </w:r>
      <w:r>
        <w:rPr>
          <w:rFonts w:eastAsia="Times New Roman"/>
          <w:color w:val="000000"/>
          <w:sz w:val="20"/>
          <w:szCs w:val="20"/>
        </w:rPr>
        <w:t>d</w:t>
      </w:r>
    </w:p>
    <w:p w:rsidR="00000000" w:rsidRDefault="00602C02">
      <w:pPr>
        <w:ind w:hanging="360"/>
        <w:divId w:val="1398625162"/>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$295 million in higher RFFE product revenues, primarily driven by 5G device launche</w:t>
      </w:r>
      <w:r>
        <w:rPr>
          <w:rFonts w:eastAsia="Times New Roman"/>
          <w:color w:val="000000"/>
          <w:sz w:val="20"/>
          <w:szCs w:val="20"/>
        </w:rPr>
        <w:t>s</w:t>
      </w:r>
    </w:p>
    <w:p w:rsidR="00000000" w:rsidRDefault="00602C02">
      <w:pPr>
        <w:ind w:hanging="360"/>
        <w:divId w:val="1799494226"/>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$584 mi</w:t>
      </w:r>
      <w:r>
        <w:rPr>
          <w:rFonts w:eastAsia="Times New Roman"/>
          <w:color w:val="000000"/>
          <w:sz w:val="20"/>
          <w:szCs w:val="20"/>
        </w:rPr>
        <w:t>llion in lower MSM and accompanying chipset shipments, primarily driven by a decrease in demand due to COVID-19 and lower modem sales to Appl</w:t>
      </w:r>
      <w:r>
        <w:rPr>
          <w:rFonts w:eastAsia="Times New Roman"/>
          <w:color w:val="000000"/>
          <w:sz w:val="20"/>
          <w:szCs w:val="20"/>
        </w:rPr>
        <w:t>e</w:t>
      </w:r>
    </w:p>
    <w:p w:rsidR="00000000" w:rsidRDefault="00602C02">
      <w:pPr>
        <w:divId w:val="1540776736"/>
        <w:rPr>
          <w:rFonts w:eastAsia="Times New Roman"/>
        </w:rPr>
      </w:pPr>
      <w:r>
        <w:rPr>
          <w:rFonts w:eastAsia="Times New Roman"/>
          <w:color w:val="000000"/>
          <w:sz w:val="20"/>
          <w:szCs w:val="20"/>
        </w:rPr>
        <w:t>QCT EBT as a percentage of revenues remained flat in the first six months of fiscal 2020 primarily due to</w:t>
      </w:r>
      <w:r>
        <w:rPr>
          <w:rFonts w:eastAsia="Times New Roman"/>
          <w:color w:val="000000"/>
          <w:sz w:val="20"/>
          <w:szCs w:val="20"/>
        </w:rPr>
        <w:t>:</w:t>
      </w:r>
    </w:p>
    <w:p w:rsidR="00000000" w:rsidRDefault="00602C02">
      <w:pPr>
        <w:ind w:hanging="360"/>
        <w:divId w:val="1439833191"/>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3253DC"/>
          <w:sz w:val="20"/>
          <w:szCs w:val="20"/>
        </w:rPr>
        <w:t> </w:t>
      </w:r>
      <w:r>
        <w:rPr>
          <w:rFonts w:eastAsia="Times New Roman"/>
          <w:color w:val="000000"/>
          <w:sz w:val="20"/>
          <w:szCs w:val="20"/>
        </w:rPr>
        <w:t>high</w:t>
      </w:r>
      <w:r>
        <w:rPr>
          <w:rFonts w:eastAsia="Times New Roman"/>
          <w:color w:val="000000"/>
          <w:sz w:val="20"/>
          <w:szCs w:val="20"/>
        </w:rPr>
        <w:t>er QCT revenue</w:t>
      </w:r>
      <w:r>
        <w:rPr>
          <w:rFonts w:eastAsia="Times New Roman"/>
          <w:color w:val="000000"/>
          <w:sz w:val="20"/>
          <w:szCs w:val="20"/>
        </w:rPr>
        <w:t>s</w:t>
      </w:r>
    </w:p>
    <w:p w:rsidR="00000000" w:rsidRDefault="00602C02">
      <w:pPr>
        <w:ind w:hanging="360"/>
        <w:divId w:val="937636390"/>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000000"/>
          <w:sz w:val="20"/>
          <w:szCs w:val="20"/>
        </w:rPr>
        <w:t> </w:t>
      </w:r>
      <w:r>
        <w:rPr>
          <w:rFonts w:eastAsia="Times New Roman"/>
          <w:color w:val="000000"/>
          <w:sz w:val="20"/>
          <w:szCs w:val="20"/>
        </w:rPr>
        <w:t>higher operating expenses, primarily driven by higher research and development cost</w:t>
      </w:r>
      <w:r>
        <w:rPr>
          <w:rFonts w:eastAsia="Times New Roman"/>
          <w:color w:val="000000"/>
          <w:sz w:val="20"/>
          <w:szCs w:val="20"/>
        </w:rPr>
        <w:t>s</w:t>
      </w:r>
    </w:p>
    <w:p w:rsidR="00000000" w:rsidRDefault="00602C02">
      <w:pPr>
        <w:ind w:firstLine="360"/>
        <w:divId w:val="2002610693"/>
        <w:rPr>
          <w:rFonts w:eastAsia="Times New Roman"/>
        </w:rPr>
      </w:pPr>
      <w:r>
        <w:rPr>
          <w:rFonts w:eastAsia="Times New Roman"/>
          <w:color w:val="000000"/>
          <w:sz w:val="20"/>
          <w:szCs w:val="20"/>
        </w:rPr>
        <w:t>QCT accounts receivable increased by 75% in the first six months of fiscal 2020 from $908 million to $1.59 billion, primarily driven by an increase in re</w:t>
      </w:r>
      <w:r>
        <w:rPr>
          <w:rFonts w:eastAsia="Times New Roman"/>
          <w:color w:val="000000"/>
          <w:sz w:val="20"/>
          <w:szCs w:val="20"/>
        </w:rPr>
        <w:t>venues combined with the timing of integrated circuit shipments during the quarter and a</w:t>
      </w:r>
      <w:r>
        <w:rPr>
          <w:rFonts w:eastAsia="Times New Roman"/>
          <w:color w:val="000000"/>
          <w:sz w:val="20"/>
          <w:szCs w:val="20"/>
        </w:rPr>
        <w:t xml:space="preserve"> </w:t>
      </w:r>
    </w:p>
    <w:p w:rsidR="00000000" w:rsidRDefault="00602C02">
      <w:pPr>
        <w:jc w:val="center"/>
        <w:divId w:val="1786774609"/>
        <w:rPr>
          <w:rFonts w:eastAsia="Times New Roman"/>
        </w:rPr>
      </w:pPr>
      <w:r>
        <w:rPr>
          <w:rFonts w:eastAsia="Times New Roman"/>
          <w:color w:val="000000"/>
          <w:sz w:val="20"/>
          <w:szCs w:val="20"/>
        </w:rPr>
        <w:t>2</w:t>
      </w:r>
      <w:r>
        <w:rPr>
          <w:rFonts w:eastAsia="Times New Roman"/>
          <w:color w:val="000000"/>
          <w:sz w:val="20"/>
          <w:szCs w:val="20"/>
        </w:rPr>
        <w:t>5</w:t>
      </w:r>
    </w:p>
    <w:p w:rsidR="00000000" w:rsidRDefault="00602C02">
      <w:pPr>
        <w:rPr>
          <w:rFonts w:eastAsia="Times New Roman"/>
        </w:rPr>
      </w:pPr>
      <w:r>
        <w:rPr>
          <w:rFonts w:eastAsia="Times New Roman"/>
        </w:rPr>
        <w:pict>
          <v:rect id="_x0000_i1049" style="width:0;height:1.5pt" o:hralign="center" o:hrstd="t" o:hr="t" fillcolor="#a0a0a0" stroked="f"/>
        </w:pict>
      </w:r>
    </w:p>
    <w:p w:rsidR="00000000" w:rsidRDefault="00602C02">
      <w:pPr>
        <w:divId w:val="260531448"/>
        <w:rPr>
          <w:rFonts w:eastAsia="Times New Roman"/>
        </w:rPr>
      </w:pPr>
    </w:p>
    <w:p w:rsidR="00000000" w:rsidRDefault="00602C02">
      <w:pPr>
        <w:divId w:val="204871509"/>
        <w:rPr>
          <w:rFonts w:eastAsia="Times New Roman"/>
        </w:rPr>
      </w:pPr>
      <w:r>
        <w:rPr>
          <w:rFonts w:eastAsia="Times New Roman"/>
          <w:color w:val="000000"/>
          <w:sz w:val="20"/>
          <w:szCs w:val="20"/>
        </w:rPr>
        <w:t>decrease in the relative proportion of customer incentive arrangements that are recorded in accounts receivable. QCT invento</w:t>
      </w:r>
      <w:r>
        <w:rPr>
          <w:rFonts w:eastAsia="Times New Roman"/>
          <w:color w:val="000000"/>
          <w:sz w:val="20"/>
          <w:szCs w:val="20"/>
        </w:rPr>
        <w:t>ries increased by 21% in the first six months of fiscal 2020 from $1.40 billion to $1.70 billion, primarily driven by the ramp in 5G</w:t>
      </w:r>
      <w:r>
        <w:rPr>
          <w:rFonts w:eastAsia="Times New Roman"/>
          <w:color w:val="000000"/>
          <w:sz w:val="20"/>
          <w:szCs w:val="20"/>
        </w:rPr>
        <w:t>.</w:t>
      </w:r>
    </w:p>
    <w:p w:rsidR="00000000" w:rsidRDefault="00602C02">
      <w:pPr>
        <w:divId w:val="602348627"/>
        <w:rPr>
          <w:rFonts w:eastAsia="Times New Roman"/>
        </w:rPr>
      </w:pPr>
      <w:r>
        <w:rPr>
          <w:rFonts w:eastAsia="Times New Roman"/>
          <w:b/>
          <w:bCs/>
          <w:i/>
          <w:iCs/>
          <w:color w:val="000000"/>
          <w:sz w:val="20"/>
          <w:szCs w:val="20"/>
        </w:rPr>
        <w:t>QTL Segment (in millions, except percentages</w:t>
      </w:r>
      <w:r>
        <w:rPr>
          <w:rFonts w:eastAsia="Times New Roman"/>
          <w:b/>
          <w:bCs/>
          <w:i/>
          <w:iCs/>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1604"/>
        <w:gridCol w:w="36"/>
        <w:gridCol w:w="125"/>
        <w:gridCol w:w="584"/>
        <w:gridCol w:w="185"/>
        <w:gridCol w:w="36"/>
        <w:gridCol w:w="36"/>
        <w:gridCol w:w="36"/>
        <w:gridCol w:w="125"/>
        <w:gridCol w:w="551"/>
        <w:gridCol w:w="185"/>
        <w:gridCol w:w="36"/>
        <w:gridCol w:w="36"/>
        <w:gridCol w:w="36"/>
        <w:gridCol w:w="126"/>
        <w:gridCol w:w="551"/>
        <w:gridCol w:w="185"/>
        <w:gridCol w:w="36"/>
        <w:gridCol w:w="36"/>
        <w:gridCol w:w="36"/>
        <w:gridCol w:w="125"/>
        <w:gridCol w:w="551"/>
        <w:gridCol w:w="185"/>
        <w:gridCol w:w="36"/>
        <w:gridCol w:w="36"/>
        <w:gridCol w:w="36"/>
        <w:gridCol w:w="125"/>
        <w:gridCol w:w="551"/>
        <w:gridCol w:w="185"/>
        <w:gridCol w:w="36"/>
        <w:gridCol w:w="36"/>
        <w:gridCol w:w="36"/>
        <w:gridCol w:w="125"/>
        <w:gridCol w:w="551"/>
        <w:gridCol w:w="18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225487059"/>
          <w:jc w:val="center"/>
        </w:trPr>
        <w:tc>
          <w:tcPr>
            <w:tcW w:w="50" w:type="pct"/>
            <w:vAlign w:val="center"/>
            <w:hideMark/>
          </w:tcPr>
          <w:p w:rsidR="00000000" w:rsidRDefault="00602C02">
            <w:pPr>
              <w:rPr>
                <w:rFonts w:eastAsia="Times New Roman"/>
              </w:rPr>
            </w:pPr>
          </w:p>
        </w:tc>
        <w:tc>
          <w:tcPr>
            <w:tcW w:w="1176"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225487059"/>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225487059"/>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Licensing revenue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1,072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1,122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(50</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2,477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2,141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336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EB</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674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1,689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1,264</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425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225487059"/>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EBT as a % of revenue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ind w:firstLine="360"/>
        <w:divId w:val="635841553"/>
        <w:rPr>
          <w:rFonts w:eastAsia="Times New Roman"/>
        </w:rPr>
      </w:pPr>
      <w:r>
        <w:rPr>
          <w:rFonts w:eastAsia="Times New Roman"/>
          <w:color w:val="000000"/>
          <w:sz w:val="20"/>
          <w:szCs w:val="20"/>
        </w:rPr>
        <w:t>As a result of the settlement with Apple and its contract manufacturers in April 2019, QTL results for the sec</w:t>
      </w:r>
      <w:r>
        <w:rPr>
          <w:rFonts w:eastAsia="Times New Roman"/>
          <w:color w:val="000000"/>
          <w:sz w:val="20"/>
          <w:szCs w:val="20"/>
        </w:rPr>
        <w:t>ond quarter and first six months of fiscal 2020 included royalties from Apple and its contract manufactures. Revenues in the second quarter and first six months of fiscal 2019 did not include royalties from sales of Apple or other products by Apple’s contr</w:t>
      </w:r>
      <w:r>
        <w:rPr>
          <w:rFonts w:eastAsia="Times New Roman"/>
          <w:color w:val="000000"/>
          <w:sz w:val="20"/>
          <w:szCs w:val="20"/>
        </w:rPr>
        <w:t>act manufacturers</w:t>
      </w:r>
      <w:r>
        <w:rPr>
          <w:rFonts w:eastAsia="Times New Roman"/>
          <w:color w:val="000000"/>
          <w:sz w:val="20"/>
          <w:szCs w:val="20"/>
        </w:rPr>
        <w:t>.</w:t>
      </w:r>
    </w:p>
    <w:p w:rsidR="00000000" w:rsidRDefault="00602C02">
      <w:pPr>
        <w:ind w:firstLine="360"/>
        <w:divId w:val="290749845"/>
        <w:rPr>
          <w:rFonts w:eastAsia="Times New Roman"/>
        </w:rPr>
      </w:pPr>
      <w:r>
        <w:rPr>
          <w:rFonts w:eastAsia="Times New Roman"/>
          <w:color w:val="000000"/>
          <w:sz w:val="20"/>
          <w:szCs w:val="20"/>
        </w:rPr>
        <w:t>QTL revenues in the second quarter and first six months of fiscal 2019 included $150 million and $300 million, respectively, of royalties from Huawei under a second interim agreement that concluded in the third quarter of fiscal 2019. Th</w:t>
      </w:r>
      <w:r>
        <w:rPr>
          <w:rFonts w:eastAsia="Times New Roman"/>
          <w:color w:val="000000"/>
          <w:sz w:val="20"/>
          <w:szCs w:val="20"/>
        </w:rPr>
        <w:t>is represented a minimum, non-refundable amount for royalties due and does not reflect the full amount of royalties due under the underlying license agreement, which expired on December 31, 2019. We have not reached a final amended or new agreement with Hu</w:t>
      </w:r>
      <w:r>
        <w:rPr>
          <w:rFonts w:eastAsia="Times New Roman"/>
          <w:color w:val="000000"/>
          <w:sz w:val="20"/>
          <w:szCs w:val="20"/>
        </w:rPr>
        <w:t>awei, and we did not record any revenues in the first six months of fiscal 2020 for royalties due on the sales of Huawei’s consumer wireless products</w:t>
      </w:r>
      <w:r>
        <w:rPr>
          <w:rFonts w:eastAsia="Times New Roman"/>
          <w:color w:val="000000"/>
          <w:sz w:val="20"/>
          <w:szCs w:val="20"/>
        </w:rPr>
        <w:t>.</w:t>
      </w:r>
    </w:p>
    <w:p w:rsidR="00000000" w:rsidRDefault="00602C02">
      <w:pPr>
        <w:divId w:val="1867402048"/>
        <w:rPr>
          <w:rFonts w:eastAsia="Times New Roman"/>
        </w:rPr>
      </w:pPr>
      <w:r>
        <w:rPr>
          <w:rFonts w:eastAsia="Times New Roman"/>
          <w:b/>
          <w:bCs/>
          <w:i/>
          <w:iCs/>
          <w:color w:val="000000"/>
          <w:sz w:val="20"/>
          <w:szCs w:val="20"/>
        </w:rPr>
        <w:t>Second quarter 2020 vs. 201</w:t>
      </w:r>
      <w:r>
        <w:rPr>
          <w:rFonts w:eastAsia="Times New Roman"/>
          <w:b/>
          <w:bCs/>
          <w:i/>
          <w:iCs/>
          <w:color w:val="000000"/>
          <w:sz w:val="20"/>
          <w:szCs w:val="20"/>
        </w:rPr>
        <w:t>9</w:t>
      </w:r>
    </w:p>
    <w:p w:rsidR="00000000" w:rsidRDefault="00602C02">
      <w:pPr>
        <w:divId w:val="2111701482"/>
        <w:rPr>
          <w:rFonts w:eastAsia="Times New Roman"/>
        </w:rPr>
      </w:pPr>
      <w:r>
        <w:rPr>
          <w:rFonts w:eastAsia="Times New Roman"/>
          <w:color w:val="000000"/>
          <w:sz w:val="20"/>
          <w:szCs w:val="20"/>
        </w:rPr>
        <w:t xml:space="preserve">The decrease in QTL licensing revenues in the second quarter of fiscal 2020 </w:t>
      </w:r>
      <w:r>
        <w:rPr>
          <w:rFonts w:eastAsia="Times New Roman"/>
          <w:color w:val="000000"/>
          <w:sz w:val="20"/>
          <w:szCs w:val="20"/>
        </w:rPr>
        <w:t>was primarily due to</w:t>
      </w:r>
      <w:r>
        <w:rPr>
          <w:rFonts w:eastAsia="Times New Roman"/>
          <w:color w:val="000000"/>
          <w:sz w:val="20"/>
          <w:szCs w:val="20"/>
        </w:rPr>
        <w:t>:</w:t>
      </w:r>
    </w:p>
    <w:p w:rsidR="00000000" w:rsidRDefault="00602C02">
      <w:pPr>
        <w:ind w:hanging="360"/>
        <w:divId w:val="198523451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$150 million in lower royalty revenues from Huawei due to the expiration of the interim agreemen</w:t>
      </w:r>
      <w:r>
        <w:rPr>
          <w:rFonts w:eastAsia="Times New Roman"/>
          <w:color w:val="000000"/>
          <w:sz w:val="20"/>
          <w:szCs w:val="20"/>
        </w:rPr>
        <w:t>t</w:t>
      </w:r>
    </w:p>
    <w:p w:rsidR="00000000" w:rsidRDefault="00602C02">
      <w:pPr>
        <w:ind w:hanging="360"/>
        <w:divId w:val="104224412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$76 million in lower estimated revenues per unit, in part reflecting licensees entering into new 5G multimode license agreements with rights to our cellular standard-essential patents only (compared to previous licenses which also included rights to certai</w:t>
      </w:r>
      <w:r>
        <w:rPr>
          <w:rFonts w:eastAsia="Times New Roman"/>
          <w:color w:val="000000"/>
          <w:sz w:val="20"/>
          <w:szCs w:val="20"/>
        </w:rPr>
        <w:t>n other non-cellular essential patents) and decreases in our per unit royalty cap</w:t>
      </w:r>
      <w:r>
        <w:rPr>
          <w:rFonts w:eastAsia="Times New Roman"/>
          <w:color w:val="000000"/>
          <w:sz w:val="20"/>
          <w:szCs w:val="20"/>
        </w:rPr>
        <w:t>s</w:t>
      </w:r>
    </w:p>
    <w:p w:rsidR="00000000" w:rsidRDefault="00602C02">
      <w:pPr>
        <w:ind w:hanging="360"/>
        <w:divId w:val="1757358066"/>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$182 million increase in estimated sales of 3G/4G/5G-based products (including multimode products), primarily due to the new license agreement with Apple, partially offset by the negative impact of COVID-19 to licensees’ sale</w:t>
      </w:r>
      <w:r>
        <w:rPr>
          <w:rFonts w:eastAsia="Times New Roman"/>
          <w:color w:val="000000"/>
          <w:sz w:val="20"/>
          <w:szCs w:val="20"/>
        </w:rPr>
        <w:t>s</w:t>
      </w:r>
    </w:p>
    <w:p w:rsidR="00000000" w:rsidRDefault="00602C02">
      <w:pPr>
        <w:divId w:val="85200841"/>
        <w:rPr>
          <w:rFonts w:eastAsia="Times New Roman"/>
        </w:rPr>
      </w:pPr>
      <w:r>
        <w:rPr>
          <w:rFonts w:eastAsia="Times New Roman"/>
          <w:color w:val="000000"/>
          <w:sz w:val="20"/>
          <w:szCs w:val="20"/>
        </w:rPr>
        <w:t>QTL EBT as a percentage of re</w:t>
      </w:r>
      <w:r>
        <w:rPr>
          <w:rFonts w:eastAsia="Times New Roman"/>
          <w:color w:val="000000"/>
          <w:sz w:val="20"/>
          <w:szCs w:val="20"/>
        </w:rPr>
        <w:t>venues increased in the second quarter of fiscal 2020 primarily due to</w:t>
      </w:r>
      <w:r>
        <w:rPr>
          <w:rFonts w:eastAsia="Times New Roman"/>
          <w:color w:val="000000"/>
          <w:sz w:val="20"/>
          <w:szCs w:val="20"/>
        </w:rPr>
        <w:t>:</w:t>
      </w:r>
    </w:p>
    <w:p w:rsidR="00000000" w:rsidRDefault="00602C02">
      <w:pPr>
        <w:ind w:hanging="360"/>
        <w:divId w:val="39724449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lower selling, general and administrative expenses, primarily from lower litigation cost</w:t>
      </w:r>
      <w:r>
        <w:rPr>
          <w:rFonts w:eastAsia="Times New Roman"/>
          <w:color w:val="000000"/>
          <w:sz w:val="20"/>
          <w:szCs w:val="20"/>
        </w:rPr>
        <w:t>s</w:t>
      </w:r>
    </w:p>
    <w:p w:rsidR="00000000" w:rsidRDefault="00602C02">
      <w:pPr>
        <w:ind w:hanging="360"/>
        <w:divId w:val="115948238"/>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higher research and development expense</w:t>
      </w:r>
      <w:r>
        <w:rPr>
          <w:rFonts w:eastAsia="Times New Roman"/>
          <w:color w:val="000000"/>
          <w:sz w:val="20"/>
          <w:szCs w:val="20"/>
        </w:rPr>
        <w:t>s</w:t>
      </w:r>
    </w:p>
    <w:p w:rsidR="00000000" w:rsidRDefault="00602C02">
      <w:pPr>
        <w:ind w:hanging="360"/>
        <w:divId w:val="9764965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lower QTL revenue</w:t>
      </w:r>
      <w:r>
        <w:rPr>
          <w:rFonts w:eastAsia="Times New Roman"/>
          <w:color w:val="000000"/>
          <w:sz w:val="20"/>
          <w:szCs w:val="20"/>
        </w:rPr>
        <w:t>s</w:t>
      </w:r>
    </w:p>
    <w:p w:rsidR="00000000" w:rsidRDefault="00602C02">
      <w:pPr>
        <w:ind w:hanging="720"/>
        <w:divId w:val="2107458541"/>
        <w:rPr>
          <w:rFonts w:eastAsia="Times New Roman"/>
        </w:rPr>
      </w:pPr>
      <w:r>
        <w:rPr>
          <w:rFonts w:eastAsia="Times New Roman"/>
          <w:b/>
          <w:bCs/>
          <w:i/>
          <w:iCs/>
          <w:color w:val="000000"/>
          <w:sz w:val="20"/>
          <w:szCs w:val="20"/>
        </w:rPr>
        <w:t>First six months 2020 vs. 20</w:t>
      </w:r>
      <w:r>
        <w:rPr>
          <w:rFonts w:eastAsia="Times New Roman"/>
          <w:b/>
          <w:bCs/>
          <w:i/>
          <w:iCs/>
          <w:color w:val="000000"/>
          <w:sz w:val="20"/>
          <w:szCs w:val="20"/>
        </w:rPr>
        <w:t>1</w:t>
      </w:r>
      <w:r>
        <w:rPr>
          <w:rFonts w:eastAsia="Times New Roman"/>
          <w:b/>
          <w:bCs/>
          <w:i/>
          <w:iCs/>
          <w:color w:val="000000"/>
          <w:sz w:val="20"/>
          <w:szCs w:val="20"/>
        </w:rPr>
        <w:t>9</w:t>
      </w:r>
    </w:p>
    <w:p w:rsidR="00000000" w:rsidRDefault="00602C02">
      <w:pPr>
        <w:divId w:val="1832335194"/>
        <w:rPr>
          <w:rFonts w:eastAsia="Times New Roman"/>
        </w:rPr>
      </w:pPr>
      <w:r>
        <w:rPr>
          <w:rFonts w:eastAsia="Times New Roman"/>
          <w:color w:val="000000"/>
          <w:sz w:val="20"/>
          <w:szCs w:val="20"/>
        </w:rPr>
        <w:t>The increase in QTL licensing revenues in the first six months of fiscal 2020 was primarily due to</w:t>
      </w:r>
      <w:r>
        <w:rPr>
          <w:rFonts w:eastAsia="Times New Roman"/>
          <w:color w:val="000000"/>
          <w:sz w:val="20"/>
          <w:szCs w:val="20"/>
        </w:rPr>
        <w:t>:</w:t>
      </w:r>
    </w:p>
    <w:p w:rsidR="00000000" w:rsidRDefault="00602C02">
      <w:pPr>
        <w:ind w:hanging="360"/>
        <w:divId w:val="37585908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$775 million increase in estimated sales of 3G/4G/5G-based products (including multimode products), primarily due to the new license agreement with App</w:t>
      </w:r>
      <w:r>
        <w:rPr>
          <w:rFonts w:eastAsia="Times New Roman"/>
          <w:color w:val="000000"/>
          <w:sz w:val="20"/>
          <w:szCs w:val="20"/>
        </w:rPr>
        <w:t>le, which reflected the impact of Apple’s fall device launches in advance of the holiday season, partially offset by the negative impact of COVID-19 to licensees’ sale</w:t>
      </w:r>
      <w:r>
        <w:rPr>
          <w:rFonts w:eastAsia="Times New Roman"/>
          <w:color w:val="000000"/>
          <w:sz w:val="20"/>
          <w:szCs w:val="20"/>
        </w:rPr>
        <w:t>s</w:t>
      </w:r>
    </w:p>
    <w:p w:rsidR="00000000" w:rsidRDefault="00602C02">
      <w:pPr>
        <w:ind w:hanging="360"/>
        <w:divId w:val="668095728"/>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$300 million in lower royalty revenues from Huawei due to the expiration of the inter</w:t>
      </w:r>
      <w:r>
        <w:rPr>
          <w:rFonts w:eastAsia="Times New Roman"/>
          <w:color w:val="000000"/>
          <w:sz w:val="20"/>
          <w:szCs w:val="20"/>
        </w:rPr>
        <w:t>im agreemen</w:t>
      </w:r>
      <w:r>
        <w:rPr>
          <w:rFonts w:eastAsia="Times New Roman"/>
          <w:color w:val="000000"/>
          <w:sz w:val="20"/>
          <w:szCs w:val="20"/>
        </w:rPr>
        <w:t>t</w:t>
      </w:r>
    </w:p>
    <w:p w:rsidR="00000000" w:rsidRDefault="00602C02">
      <w:pPr>
        <w:ind w:hanging="360"/>
        <w:divId w:val="372778960"/>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 xml:space="preserve">$177 million in lower estimated revenues per unit, in part reflecting licensees entering into new 5G multimode license agreements with rights to our cellular standard-essential patents only (compared to previous licenses which also included </w:t>
      </w:r>
      <w:r>
        <w:rPr>
          <w:rFonts w:eastAsia="Times New Roman"/>
          <w:color w:val="000000"/>
          <w:sz w:val="20"/>
          <w:szCs w:val="20"/>
        </w:rPr>
        <w:t>rights to certain other non-cellular essential patents) and decreases in our per unit royalty cap</w:t>
      </w:r>
      <w:r>
        <w:rPr>
          <w:rFonts w:eastAsia="Times New Roman"/>
          <w:color w:val="000000"/>
          <w:sz w:val="20"/>
          <w:szCs w:val="20"/>
        </w:rPr>
        <w:t>s</w:t>
      </w:r>
    </w:p>
    <w:p w:rsidR="00000000" w:rsidRDefault="00602C02">
      <w:pPr>
        <w:divId w:val="1799492938"/>
        <w:rPr>
          <w:rFonts w:eastAsia="Times New Roman"/>
        </w:rPr>
      </w:pPr>
      <w:r>
        <w:rPr>
          <w:rFonts w:eastAsia="Times New Roman"/>
          <w:color w:val="000000"/>
          <w:sz w:val="20"/>
          <w:szCs w:val="20"/>
        </w:rPr>
        <w:t>QTL EBT as a percentage of revenues increased in the first six months of fiscal 2020 primarily due to</w:t>
      </w:r>
      <w:r>
        <w:rPr>
          <w:rFonts w:eastAsia="Times New Roman"/>
          <w:color w:val="000000"/>
          <w:sz w:val="20"/>
          <w:szCs w:val="20"/>
        </w:rPr>
        <w:t>:</w:t>
      </w:r>
    </w:p>
    <w:p w:rsidR="00000000" w:rsidRDefault="00602C02">
      <w:pPr>
        <w:divId w:val="1115321173"/>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higher QTL revenue</w:t>
      </w:r>
      <w:r>
        <w:rPr>
          <w:rFonts w:eastAsia="Times New Roman"/>
          <w:color w:val="000000"/>
          <w:sz w:val="20"/>
          <w:szCs w:val="20"/>
        </w:rPr>
        <w:t>s</w:t>
      </w:r>
    </w:p>
    <w:p w:rsidR="00000000" w:rsidRDefault="00602C02">
      <w:pPr>
        <w:divId w:val="675310368"/>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lower selling, general and adm</w:t>
      </w:r>
      <w:r>
        <w:rPr>
          <w:rFonts w:eastAsia="Times New Roman"/>
          <w:color w:val="000000"/>
          <w:sz w:val="20"/>
          <w:szCs w:val="20"/>
        </w:rPr>
        <w:t>inistrative expenses, primarily from lower litigation cost</w:t>
      </w:r>
      <w:r>
        <w:rPr>
          <w:rFonts w:eastAsia="Times New Roman"/>
          <w:color w:val="000000"/>
          <w:sz w:val="20"/>
          <w:szCs w:val="20"/>
        </w:rPr>
        <w:t>s</w:t>
      </w:r>
    </w:p>
    <w:p w:rsidR="00000000" w:rsidRDefault="00602C02">
      <w:pPr>
        <w:divId w:val="113143588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w:t>
      </w:r>
      <w:r>
        <w:rPr>
          <w:rFonts w:eastAsia="Times New Roman"/>
          <w:color w:val="000000"/>
          <w:sz w:val="20"/>
          <w:szCs w:val="20"/>
        </w:rPr>
        <w:t>higher research and development expenses</w:t>
      </w:r>
      <w:r>
        <w:rPr>
          <w:rFonts w:eastAsia="Times New Roman"/>
          <w:color w:val="000000"/>
          <w:sz w:val="20"/>
          <w:szCs w:val="20"/>
        </w:rPr>
        <w:t xml:space="preserve"> </w:t>
      </w:r>
    </w:p>
    <w:p w:rsidR="00000000" w:rsidRDefault="00602C02">
      <w:pPr>
        <w:jc w:val="center"/>
        <w:divId w:val="1606304263"/>
        <w:rPr>
          <w:rFonts w:eastAsia="Times New Roman"/>
        </w:rPr>
      </w:pPr>
      <w:r>
        <w:rPr>
          <w:rFonts w:eastAsia="Times New Roman"/>
          <w:color w:val="000000"/>
          <w:sz w:val="20"/>
          <w:szCs w:val="20"/>
        </w:rPr>
        <w:t>2</w:t>
      </w:r>
      <w:r>
        <w:rPr>
          <w:rFonts w:eastAsia="Times New Roman"/>
          <w:color w:val="000000"/>
          <w:sz w:val="20"/>
          <w:szCs w:val="20"/>
        </w:rPr>
        <w:t>6</w:t>
      </w:r>
    </w:p>
    <w:p w:rsidR="00000000" w:rsidRDefault="00602C02">
      <w:pPr>
        <w:rPr>
          <w:rFonts w:eastAsia="Times New Roman"/>
        </w:rPr>
      </w:pPr>
      <w:r>
        <w:rPr>
          <w:rFonts w:eastAsia="Times New Roman"/>
        </w:rPr>
        <w:pict>
          <v:rect id="_x0000_i1050" style="width:0;height:1.5pt" o:hralign="center" o:hrstd="t" o:hr="t" fillcolor="#a0a0a0" stroked="f"/>
        </w:pict>
      </w:r>
    </w:p>
    <w:p w:rsidR="00000000" w:rsidRDefault="00602C02">
      <w:pPr>
        <w:divId w:val="947666488"/>
        <w:rPr>
          <w:rFonts w:eastAsia="Times New Roman"/>
        </w:rPr>
      </w:pPr>
    </w:p>
    <w:p w:rsidR="00000000" w:rsidRDefault="00602C02">
      <w:pPr>
        <w:ind w:firstLine="360"/>
        <w:divId w:val="1485972097"/>
        <w:rPr>
          <w:rFonts w:eastAsia="Times New Roman"/>
        </w:rPr>
      </w:pPr>
      <w:r>
        <w:rPr>
          <w:rFonts w:eastAsia="Times New Roman"/>
          <w:b/>
          <w:bCs/>
          <w:i/>
          <w:iCs/>
          <w:color w:val="000000"/>
          <w:sz w:val="20"/>
          <w:szCs w:val="20"/>
        </w:rPr>
        <w:t>QSI Segment (in millions</w:t>
      </w:r>
      <w:r>
        <w:rPr>
          <w:rFonts w:eastAsia="Times New Roman"/>
          <w:b/>
          <w:bCs/>
          <w:i/>
          <w:iCs/>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1709"/>
        <w:gridCol w:w="80"/>
        <w:gridCol w:w="126"/>
        <w:gridCol w:w="677"/>
        <w:gridCol w:w="80"/>
        <w:gridCol w:w="36"/>
        <w:gridCol w:w="36"/>
        <w:gridCol w:w="36"/>
        <w:gridCol w:w="126"/>
        <w:gridCol w:w="632"/>
        <w:gridCol w:w="80"/>
        <w:gridCol w:w="36"/>
        <w:gridCol w:w="36"/>
        <w:gridCol w:w="36"/>
        <w:gridCol w:w="126"/>
        <w:gridCol w:w="632"/>
        <w:gridCol w:w="80"/>
        <w:gridCol w:w="36"/>
        <w:gridCol w:w="36"/>
        <w:gridCol w:w="36"/>
        <w:gridCol w:w="126"/>
        <w:gridCol w:w="632"/>
        <w:gridCol w:w="80"/>
        <w:gridCol w:w="36"/>
        <w:gridCol w:w="36"/>
        <w:gridCol w:w="36"/>
        <w:gridCol w:w="126"/>
        <w:gridCol w:w="632"/>
        <w:gridCol w:w="80"/>
        <w:gridCol w:w="36"/>
        <w:gridCol w:w="36"/>
        <w:gridCol w:w="36"/>
        <w:gridCol w:w="126"/>
        <w:gridCol w:w="634"/>
        <w:gridCol w:w="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662902191"/>
          <w:jc w:val="center"/>
        </w:trPr>
        <w:tc>
          <w:tcPr>
            <w:tcW w:w="50" w:type="pct"/>
            <w:vAlign w:val="center"/>
            <w:hideMark/>
          </w:tcPr>
          <w:p w:rsidR="00000000" w:rsidRDefault="00602C02">
            <w:pPr>
              <w:ind w:firstLine="360"/>
              <w:rPr>
                <w:rFonts w:eastAsia="Times New Roman"/>
              </w:rPr>
            </w:pPr>
          </w:p>
        </w:tc>
        <w:tc>
          <w:tcPr>
            <w:tcW w:w="11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88"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662902191"/>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Three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662902191"/>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2"/>
            <w:shd w:val="clear" w:color="auto" w:fill="CCEEFF"/>
            <w:tcMar>
              <w:top w:w="30" w:type="dxa"/>
              <w:left w:w="20" w:type="dxa"/>
              <w:bottom w:w="30" w:type="dxa"/>
              <w:right w:w="0" w:type="dxa"/>
            </w:tcMar>
            <w:vAlign w:val="bottom"/>
            <w:hideMark/>
          </w:tcPr>
          <w:p w:rsidR="00000000" w:rsidRDefault="00602C02">
            <w:pPr>
              <w:rPr>
                <w:rFonts w:eastAsia="Times New Roman"/>
              </w:rPr>
            </w:pPr>
            <w:r>
              <w:rPr>
                <w:rFonts w:eastAsia="Times New Roman"/>
                <w:color w:val="000000"/>
                <w:sz w:val="18"/>
                <w:szCs w:val="18"/>
              </w:rPr>
              <w:t>Equipment and services revenues</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(88</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2"/>
            <w:tcMar>
              <w:top w:w="30" w:type="dxa"/>
              <w:left w:w="20" w:type="dxa"/>
              <w:bottom w:w="30" w:type="dxa"/>
              <w:right w:w="0" w:type="dxa"/>
            </w:tcMar>
            <w:vAlign w:val="bottom"/>
            <w:hideMark/>
          </w:tcPr>
          <w:p w:rsidR="00000000" w:rsidRDefault="00602C02">
            <w:pPr>
              <w:rPr>
                <w:rFonts w:eastAsia="Times New Roman"/>
              </w:rPr>
            </w:pPr>
            <w:r>
              <w:rPr>
                <w:rFonts w:eastAsia="Times New Roman"/>
                <w:color w:val="000000"/>
                <w:sz w:val="18"/>
                <w:szCs w:val="18"/>
              </w:rPr>
              <w:t>EBT</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(208</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(225</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(210</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25</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(235</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662902191"/>
          <w:jc w:val="center"/>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divId w:val="1571454904"/>
        <w:rPr>
          <w:rFonts w:eastAsia="Times New Roman"/>
        </w:rPr>
      </w:pPr>
      <w:r>
        <w:rPr>
          <w:rFonts w:eastAsia="Times New Roman"/>
          <w:b/>
          <w:bCs/>
          <w:i/>
          <w:iCs/>
          <w:color w:val="000000"/>
          <w:sz w:val="20"/>
          <w:szCs w:val="20"/>
        </w:rPr>
        <w:t>Second quarter 2020 vs. 201</w:t>
      </w:r>
      <w:r>
        <w:rPr>
          <w:rFonts w:eastAsia="Times New Roman"/>
          <w:b/>
          <w:bCs/>
          <w:i/>
          <w:iCs/>
          <w:color w:val="000000"/>
          <w:sz w:val="20"/>
          <w:szCs w:val="20"/>
        </w:rPr>
        <w:t>9</w:t>
      </w:r>
    </w:p>
    <w:p w:rsidR="00000000" w:rsidRDefault="00602C02">
      <w:pPr>
        <w:divId w:val="1657957940"/>
        <w:rPr>
          <w:rFonts w:eastAsia="Times New Roman"/>
        </w:rPr>
      </w:pPr>
      <w:r>
        <w:rPr>
          <w:rFonts w:eastAsia="Times New Roman"/>
          <w:color w:val="000000"/>
          <w:sz w:val="20"/>
          <w:szCs w:val="20"/>
        </w:rPr>
        <w:t>The decrease in QSI EBT in the s</w:t>
      </w:r>
      <w:r>
        <w:rPr>
          <w:rFonts w:eastAsia="Times New Roman"/>
          <w:color w:val="000000"/>
          <w:sz w:val="20"/>
          <w:szCs w:val="20"/>
        </w:rPr>
        <w:t>econd quarter of fiscal 2020 was primarily due to</w:t>
      </w:r>
      <w:r>
        <w:rPr>
          <w:rFonts w:eastAsia="Times New Roman"/>
          <w:color w:val="000000"/>
          <w:sz w:val="20"/>
          <w:szCs w:val="20"/>
        </w:rPr>
        <w:t>:</w:t>
      </w:r>
    </w:p>
    <w:p w:rsidR="00000000" w:rsidRDefault="00602C02">
      <w:pPr>
        <w:ind w:hanging="360"/>
        <w:divId w:val="1527718669"/>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$203 million increase in impairment losses on other investments, of which a significant portion related to the full impairment of our investment in OneWeb (an equity method investee) who filed for bankr</w:t>
      </w:r>
      <w:r>
        <w:rPr>
          <w:rFonts w:eastAsia="Times New Roman"/>
          <w:color w:val="000000"/>
          <w:sz w:val="20"/>
          <w:szCs w:val="20"/>
        </w:rPr>
        <w:t>uptcy in the second quarter of fiscal 202</w:t>
      </w:r>
      <w:r>
        <w:rPr>
          <w:rFonts w:eastAsia="Times New Roman"/>
          <w:color w:val="000000"/>
          <w:sz w:val="20"/>
          <w:szCs w:val="20"/>
        </w:rPr>
        <w:t>0</w:t>
      </w:r>
    </w:p>
    <w:p w:rsidR="00000000" w:rsidRDefault="00602C02">
      <w:pPr>
        <w:ind w:hanging="360"/>
        <w:divId w:val="976295944"/>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$88 million decrease in revenues associated with certain development contracts with OneWeb</w:t>
      </w:r>
      <w:r>
        <w:rPr>
          <w:rFonts w:eastAsia="Times New Roman"/>
          <w:color w:val="000000"/>
          <w:sz w:val="20"/>
          <w:szCs w:val="20"/>
        </w:rPr>
        <w:t xml:space="preserve"> </w:t>
      </w:r>
    </w:p>
    <w:p w:rsidR="00000000" w:rsidRDefault="00602C02">
      <w:pPr>
        <w:ind w:hanging="360"/>
        <w:divId w:val="1987516426"/>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$36 million increase in net gains on investment</w:t>
      </w:r>
      <w:r>
        <w:rPr>
          <w:rFonts w:eastAsia="Times New Roman"/>
          <w:color w:val="000000"/>
          <w:sz w:val="20"/>
          <w:szCs w:val="20"/>
        </w:rPr>
        <w:t>s</w:t>
      </w:r>
    </w:p>
    <w:p w:rsidR="00000000" w:rsidRDefault="00602C02">
      <w:pPr>
        <w:ind w:hanging="360"/>
        <w:divId w:val="104406475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$26 million decrease in our share of equity method investee losse</w:t>
      </w:r>
      <w:r>
        <w:rPr>
          <w:rFonts w:eastAsia="Times New Roman"/>
          <w:color w:val="000000"/>
          <w:sz w:val="20"/>
          <w:szCs w:val="20"/>
        </w:rPr>
        <w:t>s</w:t>
      </w:r>
    </w:p>
    <w:p w:rsidR="00000000" w:rsidRDefault="00602C02">
      <w:pPr>
        <w:ind w:hanging="720"/>
        <w:divId w:val="1051417259"/>
        <w:rPr>
          <w:rFonts w:eastAsia="Times New Roman"/>
        </w:rPr>
      </w:pPr>
      <w:r>
        <w:rPr>
          <w:rFonts w:eastAsia="Times New Roman"/>
          <w:b/>
          <w:bCs/>
          <w:i/>
          <w:iCs/>
          <w:color w:val="000000"/>
          <w:sz w:val="20"/>
          <w:szCs w:val="20"/>
        </w:rPr>
        <w:t>First six months 2020 vs. 201</w:t>
      </w:r>
      <w:r>
        <w:rPr>
          <w:rFonts w:eastAsia="Times New Roman"/>
          <w:b/>
          <w:bCs/>
          <w:i/>
          <w:iCs/>
          <w:color w:val="000000"/>
          <w:sz w:val="20"/>
          <w:szCs w:val="20"/>
        </w:rPr>
        <w:t>9</w:t>
      </w:r>
    </w:p>
    <w:p w:rsidR="00000000" w:rsidRDefault="00602C02">
      <w:pPr>
        <w:divId w:val="1671253180"/>
        <w:rPr>
          <w:rFonts w:eastAsia="Times New Roman"/>
        </w:rPr>
      </w:pPr>
      <w:r>
        <w:rPr>
          <w:rFonts w:eastAsia="Times New Roman"/>
          <w:color w:val="000000"/>
          <w:sz w:val="20"/>
          <w:szCs w:val="20"/>
        </w:rPr>
        <w:t>The decrease in QSI EBT in the first six months of fiscal 2020 was primarily due to</w:t>
      </w:r>
      <w:r>
        <w:rPr>
          <w:rFonts w:eastAsia="Times New Roman"/>
          <w:color w:val="000000"/>
          <w:sz w:val="20"/>
          <w:szCs w:val="20"/>
        </w:rPr>
        <w:t>:</w:t>
      </w:r>
    </w:p>
    <w:p w:rsidR="00000000" w:rsidRDefault="00602C02">
      <w:pPr>
        <w:ind w:hanging="360"/>
        <w:divId w:val="1537816057"/>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$264 million increase in impairment losses on other investments, of wh</w:t>
      </w:r>
      <w:r>
        <w:rPr>
          <w:rFonts w:eastAsia="Times New Roman"/>
          <w:color w:val="000000"/>
          <w:sz w:val="20"/>
          <w:szCs w:val="20"/>
        </w:rPr>
        <w:t>ich a significant portion related to our investment in OneWe</w:t>
      </w:r>
      <w:r>
        <w:rPr>
          <w:rFonts w:eastAsia="Times New Roman"/>
          <w:color w:val="000000"/>
          <w:sz w:val="20"/>
          <w:szCs w:val="20"/>
        </w:rPr>
        <w:t>b</w:t>
      </w:r>
    </w:p>
    <w:p w:rsidR="00000000" w:rsidRDefault="00602C02">
      <w:pPr>
        <w:ind w:hanging="360"/>
        <w:divId w:val="475417192"/>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$95 million decrease in revenues associated with certain development contracts with OneWeb</w:t>
      </w:r>
      <w:r>
        <w:rPr>
          <w:rFonts w:eastAsia="Times New Roman"/>
          <w:color w:val="000000"/>
          <w:sz w:val="20"/>
          <w:szCs w:val="20"/>
        </w:rPr>
        <w:t xml:space="preserve"> </w:t>
      </w:r>
    </w:p>
    <w:p w:rsidR="00000000" w:rsidRDefault="00602C02">
      <w:pPr>
        <w:ind w:hanging="360"/>
        <w:divId w:val="501703141"/>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$81 million increase in net gains on investment</w:t>
      </w:r>
      <w:r>
        <w:rPr>
          <w:rFonts w:eastAsia="Times New Roman"/>
          <w:color w:val="000000"/>
          <w:sz w:val="20"/>
          <w:szCs w:val="20"/>
        </w:rPr>
        <w:t>s</w:t>
      </w:r>
    </w:p>
    <w:p w:rsidR="00000000" w:rsidRDefault="00602C02">
      <w:pPr>
        <w:ind w:hanging="360"/>
        <w:divId w:val="663437589"/>
        <w:rPr>
          <w:rFonts w:eastAsia="Times New Roman"/>
        </w:rPr>
      </w:pPr>
      <w:r>
        <w:rPr>
          <w:rFonts w:ascii="Century Gothic" w:eastAsia="Times New Roman" w:hAnsi="Century Gothic"/>
          <w:b/>
          <w:bCs/>
          <w:color w:val="000000"/>
          <w:sz w:val="20"/>
          <w:szCs w:val="20"/>
        </w:rPr>
        <w:t>+</w:t>
      </w:r>
      <w:r>
        <w:rPr>
          <w:rFonts w:ascii="Century Gothic" w:eastAsia="Times New Roman" w:hAnsi="Century Gothic"/>
          <w:b/>
          <w:bCs/>
          <w:color w:val="29AC9F"/>
          <w:sz w:val="20"/>
          <w:szCs w:val="20"/>
        </w:rPr>
        <w:t xml:space="preserve"> </w:t>
      </w:r>
      <w:r>
        <w:rPr>
          <w:rFonts w:ascii="Century Gothic" w:eastAsia="Times New Roman" w:hAnsi="Century Gothic"/>
          <w:b/>
          <w:bCs/>
          <w:color w:val="29AC9F"/>
          <w:sz w:val="20"/>
          <w:szCs w:val="20"/>
        </w:rPr>
        <w:t> </w:t>
      </w:r>
      <w:r>
        <w:rPr>
          <w:rFonts w:eastAsia="Times New Roman"/>
          <w:color w:val="000000"/>
          <w:sz w:val="20"/>
          <w:szCs w:val="20"/>
        </w:rPr>
        <w:t xml:space="preserve">$29 million decrease in our share of equity </w:t>
      </w:r>
      <w:r>
        <w:rPr>
          <w:rFonts w:eastAsia="Times New Roman"/>
          <w:color w:val="000000"/>
          <w:sz w:val="20"/>
          <w:szCs w:val="20"/>
        </w:rPr>
        <w:t>method investee losse</w:t>
      </w:r>
      <w:r>
        <w:rPr>
          <w:rFonts w:eastAsia="Times New Roman"/>
          <w:color w:val="000000"/>
          <w:sz w:val="20"/>
          <w:szCs w:val="20"/>
        </w:rPr>
        <w:t>s</w:t>
      </w:r>
    </w:p>
    <w:p w:rsidR="00000000" w:rsidRDefault="00602C02">
      <w:pPr>
        <w:ind w:firstLine="360"/>
        <w:divId w:val="1370297573"/>
        <w:rPr>
          <w:rFonts w:eastAsia="Times New Roman"/>
        </w:rPr>
      </w:pPr>
      <w:r>
        <w:rPr>
          <w:rFonts w:eastAsia="Times New Roman"/>
          <w:color w:val="000000"/>
          <w:sz w:val="20"/>
          <w:szCs w:val="20"/>
        </w:rPr>
        <w:t>QSI segment assets, which primarily consist of non-marketable and marketable equity investments, decreased by 25% in the first six months of fiscal 2020 from $1.71 billion to $1.28 billion, primarily due to impairment losses on other</w:t>
      </w:r>
      <w:r>
        <w:rPr>
          <w:rFonts w:eastAsia="Times New Roman"/>
          <w:color w:val="000000"/>
          <w:sz w:val="20"/>
          <w:szCs w:val="20"/>
        </w:rPr>
        <w:t xml:space="preserve"> investments and the sale of certain marketable equity investments</w:t>
      </w:r>
      <w:r>
        <w:rPr>
          <w:rFonts w:eastAsia="Times New Roman"/>
          <w:color w:val="000000"/>
          <w:sz w:val="20"/>
          <w:szCs w:val="20"/>
        </w:rPr>
        <w:t>.</w:t>
      </w:r>
    </w:p>
    <w:p w:rsidR="00000000" w:rsidRDefault="00602C02">
      <w:pPr>
        <w:divId w:val="749498755"/>
        <w:rPr>
          <w:rFonts w:eastAsia="Times New Roman"/>
        </w:rPr>
      </w:pPr>
      <w:r>
        <w:rPr>
          <w:rFonts w:eastAsia="Times New Roman"/>
          <w:b/>
          <w:bCs/>
          <w:color w:val="000000"/>
          <w:sz w:val="20"/>
          <w:szCs w:val="20"/>
        </w:rPr>
        <w:t>Looking Forwar</w:t>
      </w:r>
      <w:r>
        <w:rPr>
          <w:rFonts w:eastAsia="Times New Roman"/>
          <w:b/>
          <w:bCs/>
          <w:color w:val="000000"/>
          <w:sz w:val="20"/>
          <w:szCs w:val="20"/>
        </w:rPr>
        <w:t>d</w:t>
      </w:r>
    </w:p>
    <w:p w:rsidR="00000000" w:rsidRDefault="00602C02">
      <w:pPr>
        <w:ind w:firstLine="360"/>
        <w:divId w:val="1733388608"/>
        <w:rPr>
          <w:rFonts w:eastAsia="Times New Roman"/>
        </w:rPr>
      </w:pPr>
      <w:r>
        <w:rPr>
          <w:rFonts w:eastAsia="Times New Roman"/>
          <w:color w:val="000000"/>
          <w:sz w:val="20"/>
          <w:szCs w:val="20"/>
        </w:rPr>
        <w:t>In the coming years, we expect consumer demand for 3G/4G multimode and 4G products and services to decline as new consumer demand for 3G/4G/5G multimode and 5G products and services ramps around the world. We expect growth in emerging device categories and</w:t>
      </w:r>
      <w:r>
        <w:rPr>
          <w:rFonts w:eastAsia="Times New Roman"/>
          <w:color w:val="000000"/>
          <w:sz w:val="20"/>
          <w:szCs w:val="20"/>
        </w:rPr>
        <w:t xml:space="preserve"> industries, resulting from the expanding adoption of certain technologies that are already commonly used in smartphones by industry segments outside traditional cellular industries, such as automotive, computing, IoT and networking.</w:t>
      </w:r>
      <w:r>
        <w:rPr>
          <w:rFonts w:eastAsia="Times New Roman"/>
          <w:color w:val="000000"/>
          <w:sz w:val="20"/>
          <w:szCs w:val="20"/>
        </w:rPr>
        <w:t xml:space="preserve"> </w:t>
      </w:r>
    </w:p>
    <w:p w:rsidR="00000000" w:rsidRDefault="00602C02">
      <w:pPr>
        <w:ind w:firstLine="360"/>
        <w:divId w:val="1855537260"/>
        <w:rPr>
          <w:rFonts w:eastAsia="Times New Roman"/>
        </w:rPr>
      </w:pPr>
      <w:r>
        <w:rPr>
          <w:rFonts w:eastAsia="Times New Roman"/>
          <w:color w:val="000000"/>
          <w:sz w:val="20"/>
          <w:szCs w:val="20"/>
        </w:rPr>
        <w:t>As we look forward to</w:t>
      </w:r>
      <w:r>
        <w:rPr>
          <w:rFonts w:eastAsia="Times New Roman"/>
          <w:color w:val="000000"/>
          <w:sz w:val="20"/>
          <w:szCs w:val="20"/>
        </w:rPr>
        <w:t xml:space="preserve"> the next several months and beyond, we expect our business to be impacted by the following key items</w:t>
      </w:r>
      <w:r>
        <w:rPr>
          <w:rFonts w:eastAsia="Times New Roman"/>
          <w:color w:val="000000"/>
          <w:sz w:val="20"/>
          <w:szCs w:val="20"/>
        </w:rPr>
        <w:t>:</w:t>
      </w:r>
    </w:p>
    <w:p w:rsidR="00000000" w:rsidRDefault="00602C02">
      <w:pPr>
        <w:ind w:hanging="360"/>
        <w:divId w:val="296032209"/>
        <w:rPr>
          <w:rFonts w:eastAsia="Times New Roman"/>
        </w:rPr>
      </w:pPr>
      <w:r>
        <w:rPr>
          <w:rFonts w:eastAsia="Times New Roman"/>
          <w:color w:val="000000"/>
          <w:sz w:val="20"/>
          <w:szCs w:val="20"/>
        </w:rPr>
        <w:t>•</w:t>
      </w:r>
      <w:r>
        <w:rPr>
          <w:rFonts w:eastAsia="Times New Roman"/>
          <w:color w:val="000000"/>
          <w:sz w:val="20"/>
          <w:szCs w:val="20"/>
        </w:rPr>
        <w:t>It is likely that the economic slowdown caused by the COVID-19 pandemic will continue, potentially for an extended duration, and there may be a global r</w:t>
      </w:r>
      <w:r>
        <w:rPr>
          <w:rFonts w:eastAsia="Times New Roman"/>
          <w:color w:val="000000"/>
          <w:sz w:val="20"/>
          <w:szCs w:val="20"/>
        </w:rPr>
        <w:t>ecession. We expect the pandemic to have an increasingly negative impact on QTL and QCT revenues in the near term based on a reduction in consumer demand for smartphones and other products. Our current planning assumption is that sales in China for devices</w:t>
      </w:r>
      <w:r>
        <w:rPr>
          <w:rFonts w:eastAsia="Times New Roman"/>
          <w:color w:val="000000"/>
          <w:sz w:val="20"/>
          <w:szCs w:val="20"/>
        </w:rPr>
        <w:t xml:space="preserve"> that incorporate our products and intellectual property will continue to improve throughout the June quarter,</w:t>
      </w:r>
      <w:r>
        <w:rPr>
          <w:rFonts w:eastAsia="Times New Roman"/>
          <w:color w:val="000000"/>
          <w:sz w:val="20"/>
          <w:szCs w:val="20"/>
        </w:rPr>
        <w:t xml:space="preserve"> </w:t>
      </w:r>
      <w:r>
        <w:rPr>
          <w:rFonts w:eastAsia="Times New Roman"/>
          <w:color w:val="000000"/>
          <w:sz w:val="20"/>
          <w:szCs w:val="20"/>
          <w:shd w:val="clear" w:color="auto" w:fill="FFFFFF"/>
        </w:rPr>
        <w:t xml:space="preserve">which reflects gradual recovery from the exit rate of the March quarter. Outside </w:t>
      </w:r>
      <w:r>
        <w:rPr>
          <w:rFonts w:eastAsia="Times New Roman"/>
          <w:color w:val="000000"/>
          <w:sz w:val="20"/>
          <w:szCs w:val="20"/>
          <w:shd w:val="clear" w:color="auto" w:fill="FFFFFF"/>
        </w:rPr>
        <w:t>o</w:t>
      </w:r>
      <w:r>
        <w:rPr>
          <w:rFonts w:eastAsia="Times New Roman"/>
          <w:color w:val="000000"/>
          <w:sz w:val="20"/>
          <w:szCs w:val="20"/>
        </w:rPr>
        <w:t>f China, our current planning assumption is that device sales w</w:t>
      </w:r>
      <w:r>
        <w:rPr>
          <w:rFonts w:eastAsia="Times New Roman"/>
          <w:color w:val="000000"/>
          <w:sz w:val="20"/>
          <w:szCs w:val="20"/>
        </w:rPr>
        <w:t xml:space="preserve">ill follow a similar pattern to that experienced in China, with a recovery starting in June. Our near-term planning assumptions also reflect the latest demand signals from our customers as they contemplate the impact of COVID-19 and reconcile their supply </w:t>
      </w:r>
      <w:r>
        <w:rPr>
          <w:rFonts w:eastAsia="Times New Roman"/>
          <w:color w:val="000000"/>
          <w:sz w:val="20"/>
          <w:szCs w:val="20"/>
        </w:rPr>
        <w:t>chains to lower anticipated device sell through. We have not experienced, and we currently do not anticipate a material adverse impact on our ability, or our suppliers’ ability, to manufacture and test our products or on our ability to provide our products</w:t>
      </w:r>
      <w:r>
        <w:rPr>
          <w:rFonts w:eastAsia="Times New Roman"/>
          <w:color w:val="000000"/>
          <w:sz w:val="20"/>
          <w:szCs w:val="20"/>
        </w:rPr>
        <w:t xml:space="preserve"> to our customers. Workforce changes that we implemented in the second quarter of fiscal 2020 are expected to remain in effect in the near term. The degree to which the COVID-19 pandemic impacts our business, financial condition and results of operations w</w:t>
      </w:r>
      <w:r>
        <w:rPr>
          <w:rFonts w:eastAsia="Times New Roman"/>
          <w:color w:val="000000"/>
          <w:sz w:val="20"/>
          <w:szCs w:val="20"/>
        </w:rPr>
        <w:t xml:space="preserve">ill depend on future developments, which are highly uncertain. See “Risk Factors” in this Quarterly Report, specifically the Risk Factor entitled </w:t>
      </w:r>
      <w:r>
        <w:rPr>
          <w:rFonts w:eastAsia="Times New Roman"/>
          <w:color w:val="000000"/>
          <w:sz w:val="20"/>
          <w:szCs w:val="20"/>
        </w:rPr>
        <w:t>“</w:t>
      </w:r>
      <w:r>
        <w:rPr>
          <w:rFonts w:eastAsia="Times New Roman"/>
          <w:i/>
          <w:iCs/>
          <w:color w:val="000000"/>
          <w:sz w:val="20"/>
          <w:szCs w:val="20"/>
        </w:rPr>
        <w:t>The recent coronavirus (COVID-19) pandemic has had an adverse effect on our business and results of operation</w:t>
      </w:r>
      <w:r>
        <w:rPr>
          <w:rFonts w:eastAsia="Times New Roman"/>
          <w:i/>
          <w:iCs/>
          <w:color w:val="000000"/>
          <w:sz w:val="20"/>
          <w:szCs w:val="20"/>
        </w:rPr>
        <w:t>s, and we expect its impact will increase, at least in the near term</w:t>
      </w:r>
      <w:r>
        <w:rPr>
          <w:rFonts w:eastAsia="Times New Roman"/>
          <w:i/>
          <w:iCs/>
          <w:color w:val="000000"/>
          <w:sz w:val="20"/>
          <w:szCs w:val="20"/>
        </w:rPr>
        <w:t>.</w:t>
      </w:r>
      <w:r>
        <w:rPr>
          <w:rFonts w:eastAsia="Times New Roman"/>
          <w:color w:val="000000"/>
          <w:sz w:val="20"/>
          <w:szCs w:val="20"/>
        </w:rPr>
        <w:t>”</w:t>
      </w:r>
    </w:p>
    <w:p w:rsidR="00000000" w:rsidRDefault="00602C02">
      <w:pPr>
        <w:ind w:hanging="360"/>
        <w:divId w:val="1114716141"/>
        <w:rPr>
          <w:rFonts w:eastAsia="Times New Roman"/>
        </w:rPr>
      </w:pPr>
      <w:r>
        <w:rPr>
          <w:rFonts w:eastAsia="Times New Roman"/>
          <w:color w:val="000000"/>
          <w:sz w:val="20"/>
          <w:szCs w:val="20"/>
        </w:rPr>
        <w:t>•</w:t>
      </w:r>
      <w:r>
        <w:rPr>
          <w:rFonts w:eastAsia="Times New Roman"/>
          <w:color w:val="000000"/>
          <w:sz w:val="20"/>
          <w:szCs w:val="20"/>
        </w:rPr>
        <w:t>In May 2019, in</w:t>
      </w:r>
      <w:r>
        <w:rPr>
          <w:rFonts w:eastAsia="Times New Roman"/>
          <w:color w:val="000000"/>
          <w:sz w:val="20"/>
          <w:szCs w:val="20"/>
        </w:rPr>
        <w:t xml:space="preserve"> </w:t>
      </w:r>
      <w:r>
        <w:rPr>
          <w:rFonts w:eastAsia="Times New Roman"/>
          <w:i/>
          <w:iCs/>
          <w:color w:val="000000"/>
          <w:sz w:val="20"/>
          <w:szCs w:val="20"/>
        </w:rPr>
        <w:t>United States Federal Trade Commission (FTC) v. QUALCOMM Incorporate</w:t>
      </w:r>
      <w:r>
        <w:rPr>
          <w:rFonts w:eastAsia="Times New Roman"/>
          <w:i/>
          <w:iCs/>
          <w:color w:val="000000"/>
          <w:sz w:val="20"/>
          <w:szCs w:val="20"/>
        </w:rPr>
        <w:t>d</w:t>
      </w:r>
      <w:r>
        <w:rPr>
          <w:rFonts w:eastAsia="Times New Roman"/>
          <w:color w:val="000000"/>
          <w:sz w:val="20"/>
          <w:szCs w:val="20"/>
        </w:rPr>
        <w:t>, the court issued an Order ruling against us and imposing certain injunctive relief. We disagree w</w:t>
      </w:r>
      <w:r>
        <w:rPr>
          <w:rFonts w:eastAsia="Times New Roman"/>
          <w:color w:val="000000"/>
          <w:sz w:val="20"/>
          <w:szCs w:val="20"/>
        </w:rPr>
        <w:t>ith the court’s conclusions, interpretation of the facts and application of the law. Accordingly, we filed a motion to stay certain of the remedies with, and appealed the decision to, the Ninth Circuit Court of Appeals (Ninth Circuit). In July 2019, the Ni</w:t>
      </w:r>
      <w:r>
        <w:rPr>
          <w:rFonts w:eastAsia="Times New Roman"/>
          <w:color w:val="000000"/>
          <w:sz w:val="20"/>
          <w:szCs w:val="20"/>
        </w:rPr>
        <w:t>nth</w:t>
      </w:r>
      <w:r>
        <w:rPr>
          <w:rFonts w:eastAsia="Times New Roman"/>
          <w:color w:val="000000"/>
          <w:sz w:val="20"/>
          <w:szCs w:val="20"/>
        </w:rPr>
        <w:t xml:space="preserve"> </w:t>
      </w:r>
    </w:p>
    <w:p w:rsidR="00000000" w:rsidRDefault="00602C02">
      <w:pPr>
        <w:jc w:val="center"/>
        <w:divId w:val="288513445"/>
        <w:rPr>
          <w:rFonts w:eastAsia="Times New Roman"/>
        </w:rPr>
      </w:pPr>
      <w:r>
        <w:rPr>
          <w:rFonts w:eastAsia="Times New Roman"/>
          <w:color w:val="000000"/>
          <w:sz w:val="20"/>
          <w:szCs w:val="20"/>
        </w:rPr>
        <w:t>2</w:t>
      </w:r>
      <w:r>
        <w:rPr>
          <w:rFonts w:eastAsia="Times New Roman"/>
          <w:color w:val="000000"/>
          <w:sz w:val="20"/>
          <w:szCs w:val="20"/>
        </w:rPr>
        <w:t>7</w:t>
      </w:r>
    </w:p>
    <w:p w:rsidR="00000000" w:rsidRDefault="00602C02">
      <w:pPr>
        <w:rPr>
          <w:rFonts w:eastAsia="Times New Roman"/>
        </w:rPr>
      </w:pPr>
      <w:r>
        <w:rPr>
          <w:rFonts w:eastAsia="Times New Roman"/>
        </w:rPr>
        <w:pict>
          <v:rect id="_x0000_i1051" style="width:0;height:1.5pt" o:hralign="center" o:hrstd="t" o:hr="t" fillcolor="#a0a0a0" stroked="f"/>
        </w:pict>
      </w:r>
    </w:p>
    <w:p w:rsidR="00000000" w:rsidRDefault="00602C02">
      <w:pPr>
        <w:divId w:val="1795100776"/>
        <w:rPr>
          <w:rFonts w:eastAsia="Times New Roman"/>
        </w:rPr>
      </w:pPr>
    </w:p>
    <w:p w:rsidR="00000000" w:rsidRDefault="00602C02">
      <w:pPr>
        <w:divId w:val="966547855"/>
        <w:rPr>
          <w:rFonts w:eastAsia="Times New Roman"/>
        </w:rPr>
      </w:pPr>
      <w:r>
        <w:rPr>
          <w:rFonts w:eastAsia="Times New Roman"/>
          <w:color w:val="000000"/>
          <w:sz w:val="20"/>
          <w:szCs w:val="20"/>
        </w:rPr>
        <w:t>Circuit granted our appeal. In August 2019, the Ninth Circuit granted our partial motion to stay in its entir</w:t>
      </w:r>
      <w:r>
        <w:rPr>
          <w:rFonts w:eastAsia="Times New Roman"/>
          <w:color w:val="000000"/>
          <w:sz w:val="20"/>
          <w:szCs w:val="20"/>
        </w:rPr>
        <w:t>e</w:t>
      </w:r>
      <w:r>
        <w:rPr>
          <w:rFonts w:eastAsia="Times New Roman"/>
          <w:color w:val="000000"/>
          <w:sz w:val="20"/>
          <w:szCs w:val="20"/>
          <w:shd w:val="clear" w:color="auto" w:fill="FFFFFF"/>
        </w:rPr>
        <w:t>ty. In February 2020, the Ninth Circuit heard oral arguments from Qualcomm and the FTC. The Ninth Ci</w:t>
      </w:r>
      <w:r>
        <w:rPr>
          <w:rFonts w:eastAsia="Times New Roman"/>
          <w:color w:val="000000"/>
          <w:sz w:val="20"/>
          <w:szCs w:val="20"/>
          <w:shd w:val="clear" w:color="auto" w:fill="FFFFFF"/>
        </w:rPr>
        <w:t>rcuit also heard oral arguments from the Department of Justice who presented positions in support of Qualcomm’s appeal.</w:t>
      </w:r>
      <w:r>
        <w:rPr>
          <w:rFonts w:eastAsia="Times New Roman"/>
          <w:color w:val="000000"/>
          <w:sz w:val="20"/>
          <w:szCs w:val="20"/>
          <w:shd w:val="clear" w:color="auto" w:fill="FFFFFF"/>
        </w:rPr>
        <w:t xml:space="preserve"> </w:t>
      </w:r>
      <w:r>
        <w:rPr>
          <w:rFonts w:eastAsia="Times New Roman"/>
          <w:color w:val="000000"/>
          <w:sz w:val="20"/>
          <w:szCs w:val="20"/>
        </w:rPr>
        <w:t>Regulatory authorities in certain other jurisdictions are investigating and/or have investigated our business practices and instituted p</w:t>
      </w:r>
      <w:r>
        <w:rPr>
          <w:rFonts w:eastAsia="Times New Roman"/>
          <w:color w:val="000000"/>
          <w:sz w:val="20"/>
          <w:szCs w:val="20"/>
        </w:rPr>
        <w:t>roceedings against us, and they or other regulatory authorities may do so in the future. Additionally, certain of our direct and indirect customers and licensees have pursued, and they or others may in the future pursue, litigation or arbitration against u</w:t>
      </w:r>
      <w:r>
        <w:rPr>
          <w:rFonts w:eastAsia="Times New Roman"/>
          <w:color w:val="000000"/>
          <w:sz w:val="20"/>
          <w:szCs w:val="20"/>
        </w:rPr>
        <w:t>s related to our business. Unfavorable resolutions of one or more of these matters have had and could in the future have a material adverse effect on our business, revenues, results of operations, financial condition and cash flows. Depending on the matter</w:t>
      </w:r>
      <w:r>
        <w:rPr>
          <w:rFonts w:eastAsia="Times New Roman"/>
          <w:color w:val="000000"/>
          <w:sz w:val="20"/>
          <w:szCs w:val="20"/>
        </w:rPr>
        <w:t>, various remedies that could result from an unfavorable resolution include, among others, the loss of our ability to enforce one or more of our patents; injunctions; monetary damages or fines or other orders to pay money; the issuance of orders to cease c</w:t>
      </w:r>
      <w:r>
        <w:rPr>
          <w:rFonts w:eastAsia="Times New Roman"/>
          <w:color w:val="000000"/>
          <w:sz w:val="20"/>
          <w:szCs w:val="20"/>
        </w:rPr>
        <w:t>ertain conduct or modify our business practices, such as requiring us to reduce our royalty rates, reduce the base on which our royalties are calculated, grant patent licenses to chipset manufacturers, sell chipsets to unlicensed OEMs or modify or renegoti</w:t>
      </w:r>
      <w:r>
        <w:rPr>
          <w:rFonts w:eastAsia="Times New Roman"/>
          <w:color w:val="000000"/>
          <w:sz w:val="20"/>
          <w:szCs w:val="20"/>
        </w:rPr>
        <w:t xml:space="preserve">ate some or all of our existing license agreements; and determinations that some or all of our license agreements are invalid or unenforceable. These activities have required, and we expect that they will continue to require, the investment of significant </w:t>
      </w:r>
      <w:r>
        <w:rPr>
          <w:rFonts w:eastAsia="Times New Roman"/>
          <w:color w:val="000000"/>
          <w:sz w:val="20"/>
          <w:szCs w:val="20"/>
        </w:rPr>
        <w:t>management time and attention and have resulted, and we expect that they will continue to result, in increased legal costs until the respective matters are resolved. See “Notes to Condensed Consolidated Financial Statements, Note 5. Commitments and Conting</w:t>
      </w:r>
      <w:r>
        <w:rPr>
          <w:rFonts w:eastAsia="Times New Roman"/>
          <w:color w:val="000000"/>
          <w:sz w:val="20"/>
          <w:szCs w:val="20"/>
        </w:rPr>
        <w:t>encies” and “Risk Factors” in this Quarterly Report, including the Risk Factors entitled</w:t>
      </w:r>
      <w:r>
        <w:rPr>
          <w:rFonts w:eastAsia="Times New Roman"/>
          <w:color w:val="000000"/>
          <w:sz w:val="20"/>
          <w:szCs w:val="20"/>
        </w:rPr>
        <w:t xml:space="preserve"> </w:t>
      </w:r>
      <w:r>
        <w:rPr>
          <w:rFonts w:eastAsia="Times New Roman"/>
          <w:i/>
          <w:iCs/>
          <w:color w:val="000000"/>
          <w:sz w:val="20"/>
          <w:szCs w:val="20"/>
        </w:rPr>
        <w:t>“Our business, particularly our licensing business, may suffer as a result of adverse rulings in government investigations or proceedings,” “Changes in our patent lice</w:t>
      </w:r>
      <w:r>
        <w:rPr>
          <w:rFonts w:eastAsia="Times New Roman"/>
          <w:i/>
          <w:iCs/>
          <w:color w:val="000000"/>
          <w:sz w:val="20"/>
          <w:szCs w:val="20"/>
        </w:rPr>
        <w:t>nsing practices, whether due to governmental investigations or private legal proceedings challenging those practices, or otherwise, could adversely impact our business and results of operations</w:t>
      </w:r>
      <w:r>
        <w:rPr>
          <w:rFonts w:eastAsia="Times New Roman"/>
          <w:i/>
          <w:iCs/>
          <w:color w:val="000000"/>
          <w:sz w:val="20"/>
          <w:szCs w:val="20"/>
        </w:rPr>
        <w:t>”</w:t>
      </w:r>
      <w:r>
        <w:rPr>
          <w:rFonts w:eastAsia="Times New Roman"/>
          <w:color w:val="000000"/>
          <w:sz w:val="20"/>
          <w:szCs w:val="20"/>
        </w:rPr>
        <w:t xml:space="preserve"> and </w:t>
      </w:r>
      <w:r>
        <w:rPr>
          <w:rFonts w:eastAsia="Times New Roman"/>
          <w:color w:val="000000"/>
          <w:sz w:val="20"/>
          <w:szCs w:val="20"/>
        </w:rPr>
        <w:t>“</w:t>
      </w:r>
      <w:r>
        <w:rPr>
          <w:rFonts w:eastAsia="Times New Roman"/>
          <w:i/>
          <w:iCs/>
          <w:color w:val="000000"/>
          <w:sz w:val="20"/>
          <w:szCs w:val="20"/>
        </w:rPr>
        <w:t xml:space="preserve">Efforts by some OEMs or their customers to avoid paying </w:t>
      </w:r>
      <w:r>
        <w:rPr>
          <w:rFonts w:eastAsia="Times New Roman"/>
          <w:i/>
          <w:iCs/>
          <w:color w:val="000000"/>
          <w:sz w:val="20"/>
          <w:szCs w:val="20"/>
        </w:rPr>
        <w:t xml:space="preserve">fair and reasonable royalties for the use of our intellectual property may require the investment of substantial management time and financial resources and may result in legal decisions or actions by governments, courts, regulators or agencies, Standards </w:t>
      </w:r>
      <w:r>
        <w:rPr>
          <w:rFonts w:eastAsia="Times New Roman"/>
          <w:i/>
          <w:iCs/>
          <w:color w:val="000000"/>
          <w:sz w:val="20"/>
          <w:szCs w:val="20"/>
        </w:rPr>
        <w:t>Development Organizations (SDOs) or other industry organizations that harm our business.</w:t>
      </w:r>
      <w:r>
        <w:rPr>
          <w:rFonts w:eastAsia="Times New Roman"/>
          <w:i/>
          <w:iCs/>
          <w:color w:val="000000"/>
          <w:sz w:val="20"/>
          <w:szCs w:val="20"/>
        </w:rPr>
        <w:t>”</w:t>
      </w:r>
      <w:r>
        <w:rPr>
          <w:rFonts w:eastAsia="Times New Roman"/>
          <w:color w:val="000000"/>
          <w:sz w:val="20"/>
          <w:szCs w:val="20"/>
        </w:rPr>
        <w:t xml:space="preserve"> </w:t>
      </w:r>
    </w:p>
    <w:p w:rsidR="00000000" w:rsidRDefault="00602C02">
      <w:pPr>
        <w:ind w:hanging="360"/>
        <w:divId w:val="1602563463"/>
        <w:rPr>
          <w:rFonts w:eastAsia="Times New Roman"/>
        </w:rPr>
      </w:pPr>
      <w:r>
        <w:rPr>
          <w:rFonts w:eastAsia="Times New Roman"/>
          <w:color w:val="000000"/>
          <w:sz w:val="20"/>
          <w:szCs w:val="20"/>
        </w:rPr>
        <w:t>•</w:t>
      </w:r>
      <w:r>
        <w:rPr>
          <w:rFonts w:eastAsia="Times New Roman"/>
          <w:color w:val="000000"/>
          <w:sz w:val="20"/>
          <w:szCs w:val="20"/>
        </w:rPr>
        <w:t>We did not record any revenues in the first six months of fiscal 2020 for royalties due on the sales of Huawei’s consumer wireless products, and our license agreeme</w:t>
      </w:r>
      <w:r>
        <w:rPr>
          <w:rFonts w:eastAsia="Times New Roman"/>
          <w:color w:val="000000"/>
          <w:sz w:val="20"/>
          <w:szCs w:val="20"/>
        </w:rPr>
        <w:t>nt with Huawei expired on December 31, 2019. The agreement provides either party the right to initiate binding arbitration for a period of several months, the result of which will be a new license agreement effective January 1, 2020. To date, neither party</w:t>
      </w:r>
      <w:r>
        <w:rPr>
          <w:rFonts w:eastAsia="Times New Roman"/>
          <w:color w:val="000000"/>
          <w:sz w:val="20"/>
          <w:szCs w:val="20"/>
        </w:rPr>
        <w:t xml:space="preserve"> has initiated arbitration. Huawei may not make any other payments or may not make full payments due under the prior or any new license agreement. This may result in significant legal costs and will negatively impact our future revenues, as well as our fin</w:t>
      </w:r>
      <w:r>
        <w:rPr>
          <w:rFonts w:eastAsia="Times New Roman"/>
          <w:color w:val="000000"/>
          <w:sz w:val="20"/>
          <w:szCs w:val="20"/>
        </w:rPr>
        <w:t>ancial condition, results of operations and cash flows, until the dispute is resolved.</w:t>
      </w:r>
      <w:r>
        <w:rPr>
          <w:rFonts w:eastAsia="Times New Roman"/>
          <w:color w:val="000000"/>
          <w:sz w:val="20"/>
          <w:szCs w:val="20"/>
        </w:rPr>
        <w:t xml:space="preserve"> </w:t>
      </w:r>
    </w:p>
    <w:p w:rsidR="00000000" w:rsidRDefault="00602C02">
      <w:pPr>
        <w:ind w:hanging="360"/>
        <w:divId w:val="602688813"/>
        <w:rPr>
          <w:rFonts w:eastAsia="Times New Roman"/>
        </w:rPr>
      </w:pPr>
      <w:r>
        <w:rPr>
          <w:rFonts w:eastAsia="Times New Roman"/>
          <w:color w:val="000000"/>
          <w:sz w:val="20"/>
          <w:szCs w:val="20"/>
        </w:rPr>
        <w:t>•</w:t>
      </w:r>
      <w:r>
        <w:rPr>
          <w:rFonts w:eastAsia="Times New Roman"/>
          <w:color w:val="000000"/>
          <w:sz w:val="20"/>
          <w:szCs w:val="20"/>
        </w:rPr>
        <w:t>We have not been the sole supplier of modems for iPhone products beginning with products that launched in September 2016, and Apple is not utilizing our modems for iPh</w:t>
      </w:r>
      <w:r>
        <w:rPr>
          <w:rFonts w:eastAsia="Times New Roman"/>
          <w:color w:val="000000"/>
          <w:sz w:val="20"/>
          <w:szCs w:val="20"/>
        </w:rPr>
        <w:t>one products that launched in September 2019. We</w:t>
      </w:r>
      <w:r>
        <w:rPr>
          <w:rFonts w:eastAsia="Times New Roman"/>
          <w:color w:val="000000"/>
          <w:sz w:val="20"/>
          <w:szCs w:val="20"/>
        </w:rPr>
        <w:t xml:space="preserve"> </w:t>
      </w:r>
      <w:r>
        <w:rPr>
          <w:rFonts w:eastAsia="Times New Roman"/>
          <w:color w:val="000000"/>
          <w:sz w:val="20"/>
          <w:szCs w:val="20"/>
          <w:shd w:val="clear" w:color="auto" w:fill="FFFFFF"/>
        </w:rPr>
        <w:t>currently</w:t>
      </w:r>
      <w:r>
        <w:rPr>
          <w:rFonts w:eastAsia="Times New Roman"/>
          <w:color w:val="000000"/>
          <w:sz w:val="20"/>
          <w:szCs w:val="20"/>
          <w:shd w:val="clear" w:color="auto" w:fill="FFFFFF"/>
        </w:rPr>
        <w:t xml:space="preserve"> </w:t>
      </w:r>
      <w:r>
        <w:rPr>
          <w:rFonts w:eastAsia="Times New Roman"/>
          <w:color w:val="000000"/>
          <w:sz w:val="20"/>
          <w:szCs w:val="20"/>
        </w:rPr>
        <w:t>expect QCT to begin recording revenues in the second half of fiscal 2020 under our multi-year chipset agreement with Apple announced in April 2019</w:t>
      </w:r>
      <w:r>
        <w:rPr>
          <w:rFonts w:eastAsia="Times New Roman"/>
          <w:color w:val="000000"/>
          <w:sz w:val="20"/>
          <w:szCs w:val="20"/>
        </w:rPr>
        <w:t>.</w:t>
      </w:r>
    </w:p>
    <w:p w:rsidR="00000000" w:rsidRDefault="00602C02">
      <w:pPr>
        <w:ind w:hanging="360"/>
        <w:divId w:val="1631546535"/>
        <w:rPr>
          <w:rFonts w:eastAsia="Times New Roman"/>
        </w:rPr>
      </w:pPr>
      <w:r>
        <w:rPr>
          <w:rFonts w:eastAsia="Times New Roman"/>
          <w:color w:val="000000"/>
          <w:sz w:val="20"/>
          <w:szCs w:val="20"/>
        </w:rPr>
        <w:t>•</w:t>
      </w:r>
      <w:r>
        <w:rPr>
          <w:rFonts w:eastAsia="Times New Roman"/>
          <w:color w:val="000000"/>
          <w:sz w:val="20"/>
          <w:szCs w:val="20"/>
        </w:rPr>
        <w:t>We expect our business, particularly QCT, to con</w:t>
      </w:r>
      <w:r>
        <w:rPr>
          <w:rFonts w:eastAsia="Times New Roman"/>
          <w:color w:val="000000"/>
          <w:sz w:val="20"/>
          <w:szCs w:val="20"/>
        </w:rPr>
        <w:t>tinue to be impacted by industry dynamics, including</w:t>
      </w:r>
      <w:r>
        <w:rPr>
          <w:rFonts w:eastAsia="Times New Roman"/>
          <w:color w:val="000000"/>
          <w:sz w:val="20"/>
          <w:szCs w:val="20"/>
        </w:rPr>
        <w:t>:</w:t>
      </w:r>
    </w:p>
    <w:p w:rsidR="00000000" w:rsidRDefault="00602C02">
      <w:pPr>
        <w:spacing w:before="120"/>
        <w:ind w:hanging="360"/>
        <w:divId w:val="1570918394"/>
        <w:rPr>
          <w:rFonts w:eastAsia="Times New Roman"/>
        </w:rPr>
      </w:pPr>
      <w:r>
        <w:rPr>
          <w:rFonts w:eastAsia="Times New Roman"/>
          <w:color w:val="000000"/>
          <w:sz w:val="20"/>
          <w:szCs w:val="20"/>
        </w:rPr>
        <w:t>◦</w:t>
      </w:r>
      <w:r>
        <w:rPr>
          <w:rFonts w:eastAsia="Times New Roman"/>
          <w:color w:val="000000"/>
          <w:sz w:val="20"/>
          <w:szCs w:val="20"/>
        </w:rPr>
        <w:t>Increased concentration of device share among a few companies, particularly within the premium tier, resulting in significant supply chain leverage for those companies, and exacerbating the negative im</w:t>
      </w:r>
      <w:r>
        <w:rPr>
          <w:rFonts w:eastAsia="Times New Roman"/>
          <w:color w:val="000000"/>
          <w:sz w:val="20"/>
          <w:szCs w:val="20"/>
        </w:rPr>
        <w:t>pact to our business and financial results to the extent those companies do not utilize our chipsets. For example, Huawei has taken, and may continue to take, share in China from other Chinese OEMs, negatively impacting QCT as we sell a limited number of c</w:t>
      </w:r>
      <w:r>
        <w:rPr>
          <w:rFonts w:eastAsia="Times New Roman"/>
          <w:color w:val="000000"/>
          <w:sz w:val="20"/>
          <w:szCs w:val="20"/>
        </w:rPr>
        <w:t>hipsets to Huawei as compared to many of those other OEMs. In addition, the negative impact to our overall business of Huawei share gains at the expense of other Chinese OEMs may be further exacerbated if a new license agreement with Huawei is not signed i</w:t>
      </w:r>
      <w:r>
        <w:rPr>
          <w:rFonts w:eastAsia="Times New Roman"/>
          <w:color w:val="000000"/>
          <w:sz w:val="20"/>
          <w:szCs w:val="20"/>
        </w:rPr>
        <w:t>n the near term and/or Huawei continues to not pay us royalties or does not make full payment due to us under the prior or any new license agreement</w:t>
      </w:r>
      <w:r>
        <w:rPr>
          <w:rFonts w:eastAsia="Times New Roman"/>
          <w:color w:val="000000"/>
          <w:sz w:val="20"/>
          <w:szCs w:val="20"/>
        </w:rPr>
        <w:t>;</w:t>
      </w:r>
    </w:p>
    <w:p w:rsidR="00000000" w:rsidRDefault="00602C02">
      <w:pPr>
        <w:spacing w:before="120"/>
        <w:ind w:hanging="360"/>
        <w:divId w:val="1262950118"/>
        <w:rPr>
          <w:rFonts w:eastAsia="Times New Roman"/>
        </w:rPr>
      </w:pPr>
      <w:r>
        <w:rPr>
          <w:rFonts w:eastAsia="Times New Roman"/>
          <w:color w:val="000000"/>
          <w:sz w:val="20"/>
          <w:szCs w:val="20"/>
        </w:rPr>
        <w:t>◦</w:t>
      </w:r>
      <w:r>
        <w:rPr>
          <w:rFonts w:eastAsia="Times New Roman"/>
          <w:color w:val="000000"/>
          <w:sz w:val="20"/>
          <w:szCs w:val="20"/>
        </w:rPr>
        <w:t xml:space="preserve">Decisions by companies to utilize their own internally-developed integrated circuit products and/or sell </w:t>
      </w:r>
      <w:r>
        <w:rPr>
          <w:rFonts w:eastAsia="Times New Roman"/>
          <w:color w:val="000000"/>
          <w:sz w:val="20"/>
          <w:szCs w:val="20"/>
        </w:rPr>
        <w:t>such products to others, including by selling them together with certain of their other products</w:t>
      </w:r>
      <w:r>
        <w:rPr>
          <w:rFonts w:eastAsia="Times New Roman"/>
          <w:color w:val="000000"/>
          <w:sz w:val="20"/>
          <w:szCs w:val="20"/>
        </w:rPr>
        <w:t>;</w:t>
      </w:r>
    </w:p>
    <w:p w:rsidR="00000000" w:rsidRDefault="00602C02">
      <w:pPr>
        <w:spacing w:before="120"/>
        <w:ind w:hanging="360"/>
        <w:divId w:val="1929456473"/>
        <w:rPr>
          <w:rFonts w:eastAsia="Times New Roman"/>
        </w:rPr>
      </w:pPr>
      <w:r>
        <w:rPr>
          <w:rFonts w:eastAsia="Times New Roman"/>
          <w:color w:val="000000"/>
          <w:sz w:val="20"/>
          <w:szCs w:val="20"/>
        </w:rPr>
        <w:t>◦</w:t>
      </w:r>
      <w:r>
        <w:rPr>
          <w:rFonts w:eastAsia="Times New Roman"/>
          <w:color w:val="000000"/>
          <w:sz w:val="20"/>
          <w:szCs w:val="20"/>
        </w:rPr>
        <w:t>Decisions by certain companies to utilize our competitors’ integrated circuit products in all or a portion of their devices</w:t>
      </w:r>
      <w:r>
        <w:rPr>
          <w:rFonts w:eastAsia="Times New Roman"/>
          <w:color w:val="000000"/>
          <w:sz w:val="20"/>
          <w:szCs w:val="20"/>
        </w:rPr>
        <w:t>;</w:t>
      </w:r>
    </w:p>
    <w:p w:rsidR="00000000" w:rsidRDefault="00602C02">
      <w:pPr>
        <w:spacing w:before="120"/>
        <w:ind w:hanging="360"/>
        <w:divId w:val="119540906"/>
        <w:rPr>
          <w:rFonts w:eastAsia="Times New Roman"/>
        </w:rPr>
      </w:pPr>
      <w:r>
        <w:rPr>
          <w:rFonts w:eastAsia="Times New Roman"/>
          <w:color w:val="000000"/>
          <w:sz w:val="20"/>
          <w:szCs w:val="20"/>
        </w:rPr>
        <w:t>◦</w:t>
      </w:r>
      <w:r>
        <w:rPr>
          <w:rFonts w:eastAsia="Times New Roman"/>
          <w:color w:val="000000"/>
          <w:sz w:val="20"/>
          <w:szCs w:val="20"/>
        </w:rPr>
        <w:t>Intense competition, particular</w:t>
      </w:r>
      <w:r>
        <w:rPr>
          <w:rFonts w:eastAsia="Times New Roman"/>
          <w:color w:val="000000"/>
          <w:sz w:val="20"/>
          <w:szCs w:val="20"/>
        </w:rPr>
        <w:t>ly in China, as our competitors expand their product offerings and/or reduce the prices of their products as part of a strategy to attract new and/or retain existing customers</w:t>
      </w:r>
      <w:r>
        <w:rPr>
          <w:rFonts w:eastAsia="Times New Roman"/>
          <w:color w:val="000000"/>
          <w:sz w:val="20"/>
          <w:szCs w:val="20"/>
        </w:rPr>
        <w:t>;</w:t>
      </w:r>
    </w:p>
    <w:p w:rsidR="00000000" w:rsidRDefault="00602C02">
      <w:pPr>
        <w:jc w:val="center"/>
        <w:divId w:val="1736512675"/>
        <w:rPr>
          <w:rFonts w:eastAsia="Times New Roman"/>
        </w:rPr>
      </w:pPr>
      <w:r>
        <w:rPr>
          <w:rFonts w:eastAsia="Times New Roman"/>
          <w:color w:val="000000"/>
          <w:sz w:val="20"/>
          <w:szCs w:val="20"/>
        </w:rPr>
        <w:t>2</w:t>
      </w:r>
      <w:r>
        <w:rPr>
          <w:rFonts w:eastAsia="Times New Roman"/>
          <w:color w:val="000000"/>
          <w:sz w:val="20"/>
          <w:szCs w:val="20"/>
        </w:rPr>
        <w:t>8</w:t>
      </w:r>
    </w:p>
    <w:p w:rsidR="00000000" w:rsidRDefault="00602C02">
      <w:pPr>
        <w:rPr>
          <w:rFonts w:eastAsia="Times New Roman"/>
        </w:rPr>
      </w:pPr>
      <w:r>
        <w:rPr>
          <w:rFonts w:eastAsia="Times New Roman"/>
        </w:rPr>
        <w:pict>
          <v:rect id="_x0000_i1052" style="width:0;height:1.5pt" o:hralign="center" o:hrstd="t" o:hr="t" fillcolor="#a0a0a0" stroked="f"/>
        </w:pict>
      </w:r>
    </w:p>
    <w:p w:rsidR="00000000" w:rsidRDefault="00602C02">
      <w:pPr>
        <w:divId w:val="780147646"/>
        <w:rPr>
          <w:rFonts w:eastAsia="Times New Roman"/>
        </w:rPr>
      </w:pPr>
    </w:p>
    <w:p w:rsidR="00000000" w:rsidRDefault="00602C02">
      <w:pPr>
        <w:spacing w:before="120"/>
        <w:ind w:hanging="360"/>
        <w:divId w:val="700008117"/>
        <w:rPr>
          <w:rFonts w:eastAsia="Times New Roman"/>
        </w:rPr>
      </w:pPr>
      <w:r>
        <w:rPr>
          <w:rFonts w:eastAsia="Times New Roman"/>
          <w:color w:val="000000"/>
          <w:sz w:val="20"/>
          <w:szCs w:val="20"/>
        </w:rPr>
        <w:t>◦</w:t>
      </w:r>
      <w:r>
        <w:rPr>
          <w:rFonts w:eastAsia="Times New Roman"/>
          <w:color w:val="000000"/>
          <w:sz w:val="20"/>
          <w:szCs w:val="20"/>
        </w:rPr>
        <w:t>Lengthened handset replacement cycles and consumer demand, which is increasingly driven by new product launches and/or innovation cycles; an</w:t>
      </w:r>
      <w:r>
        <w:rPr>
          <w:rFonts w:eastAsia="Times New Roman"/>
          <w:color w:val="000000"/>
          <w:sz w:val="20"/>
          <w:szCs w:val="20"/>
        </w:rPr>
        <w:t>d</w:t>
      </w:r>
    </w:p>
    <w:p w:rsidR="00000000" w:rsidRDefault="00602C02">
      <w:pPr>
        <w:spacing w:before="120"/>
        <w:ind w:hanging="360"/>
        <w:divId w:val="955721736"/>
        <w:rPr>
          <w:rFonts w:eastAsia="Times New Roman"/>
        </w:rPr>
      </w:pPr>
      <w:r>
        <w:rPr>
          <w:rFonts w:eastAsia="Times New Roman"/>
          <w:color w:val="000000"/>
          <w:sz w:val="20"/>
          <w:szCs w:val="20"/>
        </w:rPr>
        <w:t>◦</w:t>
      </w:r>
      <w:r>
        <w:rPr>
          <w:rFonts w:eastAsia="Times New Roman"/>
          <w:color w:val="000000"/>
          <w:sz w:val="20"/>
          <w:szCs w:val="20"/>
        </w:rPr>
        <w:t xml:space="preserve">Growth of device share </w:t>
      </w:r>
      <w:r>
        <w:rPr>
          <w:rFonts w:eastAsia="Times New Roman"/>
          <w:color w:val="000000"/>
          <w:sz w:val="20"/>
          <w:szCs w:val="20"/>
        </w:rPr>
        <w:t>b</w:t>
      </w:r>
      <w:r>
        <w:rPr>
          <w:rFonts w:eastAsia="Times New Roman"/>
          <w:color w:val="000000"/>
          <w:sz w:val="20"/>
          <w:szCs w:val="20"/>
          <w:shd w:val="clear" w:color="auto" w:fill="FFFFFF"/>
        </w:rPr>
        <w:t xml:space="preserve">y certain </w:t>
      </w:r>
      <w:r>
        <w:rPr>
          <w:rFonts w:eastAsia="Times New Roman"/>
          <w:color w:val="000000"/>
          <w:sz w:val="20"/>
          <w:szCs w:val="20"/>
          <w:shd w:val="clear" w:color="auto" w:fill="FFFFFF"/>
        </w:rPr>
        <w:t>C</w:t>
      </w:r>
      <w:r>
        <w:rPr>
          <w:rFonts w:eastAsia="Times New Roman"/>
          <w:color w:val="000000"/>
          <w:sz w:val="20"/>
          <w:szCs w:val="20"/>
        </w:rPr>
        <w:t>hinese OEMs in China and in regions outside of China</w:t>
      </w:r>
      <w:r>
        <w:rPr>
          <w:rFonts w:eastAsia="Times New Roman"/>
          <w:color w:val="000000"/>
          <w:sz w:val="20"/>
          <w:szCs w:val="20"/>
        </w:rPr>
        <w:t>.</w:t>
      </w:r>
    </w:p>
    <w:p w:rsidR="00000000" w:rsidRDefault="00602C02">
      <w:pPr>
        <w:ind w:hanging="360"/>
        <w:divId w:val="1171482388"/>
        <w:rPr>
          <w:rFonts w:eastAsia="Times New Roman"/>
        </w:rPr>
      </w:pPr>
      <w:r>
        <w:rPr>
          <w:rFonts w:eastAsia="Times New Roman"/>
          <w:color w:val="000000"/>
          <w:sz w:val="20"/>
          <w:szCs w:val="20"/>
        </w:rPr>
        <w:t>•</w:t>
      </w:r>
      <w:r>
        <w:rPr>
          <w:rFonts w:eastAsia="Times New Roman"/>
          <w:color w:val="000000"/>
          <w:sz w:val="20"/>
          <w:szCs w:val="20"/>
        </w:rPr>
        <w:t>Current U.S./China trad</w:t>
      </w:r>
      <w:r>
        <w:rPr>
          <w:rFonts w:eastAsia="Times New Roman"/>
          <w:color w:val="000000"/>
          <w:sz w:val="20"/>
          <w:szCs w:val="20"/>
        </w:rPr>
        <w:t>e relations and/or national security protection policies, which may be further exacerbated by COVID-19, may negatively impact our business, growth prospects and results of operations</w:t>
      </w:r>
      <w:r>
        <w:rPr>
          <w:rFonts w:eastAsia="Times New Roman"/>
          <w:color w:val="000000"/>
          <w:sz w:val="20"/>
          <w:szCs w:val="20"/>
        </w:rPr>
        <w:t>.</w:t>
      </w:r>
    </w:p>
    <w:p w:rsidR="00000000" w:rsidRDefault="00602C02">
      <w:pPr>
        <w:ind w:hanging="360"/>
        <w:divId w:val="135489975"/>
        <w:rPr>
          <w:rFonts w:eastAsia="Times New Roman"/>
        </w:rPr>
      </w:pPr>
      <w:r>
        <w:rPr>
          <w:rFonts w:eastAsia="Times New Roman"/>
          <w:color w:val="000000"/>
          <w:sz w:val="20"/>
          <w:szCs w:val="20"/>
          <w:shd w:val="clear" w:color="auto" w:fill="FFFFFF"/>
        </w:rPr>
        <w:t>•</w:t>
      </w:r>
      <w:r>
        <w:rPr>
          <w:rFonts w:eastAsia="Times New Roman"/>
          <w:color w:val="000000"/>
          <w:sz w:val="20"/>
          <w:szCs w:val="20"/>
        </w:rPr>
        <w:t>Commercial 5G network deployments and device launches will continue thr</w:t>
      </w:r>
      <w:r>
        <w:rPr>
          <w:rFonts w:eastAsia="Times New Roman"/>
          <w:color w:val="000000"/>
          <w:sz w:val="20"/>
          <w:szCs w:val="20"/>
        </w:rPr>
        <w:t>ough calendar 2020 and bey</w:t>
      </w:r>
      <w:r>
        <w:rPr>
          <w:rFonts w:eastAsia="Times New Roman"/>
          <w:color w:val="000000"/>
          <w:sz w:val="20"/>
          <w:szCs w:val="20"/>
        </w:rPr>
        <w:t>o</w:t>
      </w:r>
      <w:r>
        <w:rPr>
          <w:rFonts w:eastAsia="Times New Roman"/>
          <w:color w:val="000000"/>
          <w:sz w:val="20"/>
          <w:szCs w:val="20"/>
          <w:shd w:val="clear" w:color="auto" w:fill="FFFFFF"/>
        </w:rPr>
        <w:t>nd. We currently anticipate no significant delays in the timing of 5G network deployments and device launches in key regions resulting from the impacts of COVID-19; however, the timing of such deployments may be delayed and consu</w:t>
      </w:r>
      <w:r>
        <w:rPr>
          <w:rFonts w:eastAsia="Times New Roman"/>
          <w:color w:val="000000"/>
          <w:sz w:val="20"/>
          <w:szCs w:val="20"/>
          <w:shd w:val="clear" w:color="auto" w:fill="FFFFFF"/>
        </w:rPr>
        <w:t>mer demand for devices that are launched has been and may continue to be negatively impacted by COVID-19. The degree to which such delays and lower demand impacts our future business, financial condition and results of operations will depend on future deve</w:t>
      </w:r>
      <w:r>
        <w:rPr>
          <w:rFonts w:eastAsia="Times New Roman"/>
          <w:color w:val="000000"/>
          <w:sz w:val="20"/>
          <w:szCs w:val="20"/>
          <w:shd w:val="clear" w:color="auto" w:fill="FFFFFF"/>
        </w:rPr>
        <w:t>lopments, which are uncertain. We believe that 5G techn</w:t>
      </w:r>
      <w:r>
        <w:rPr>
          <w:rFonts w:eastAsia="Times New Roman"/>
          <w:color w:val="000000"/>
          <w:sz w:val="20"/>
          <w:szCs w:val="20"/>
          <w:shd w:val="clear" w:color="auto" w:fill="FFFFFF"/>
        </w:rPr>
        <w:t>o</w:t>
      </w:r>
      <w:r>
        <w:rPr>
          <w:rFonts w:eastAsia="Times New Roman"/>
          <w:color w:val="000000"/>
          <w:sz w:val="20"/>
          <w:szCs w:val="20"/>
        </w:rPr>
        <w:t xml:space="preserve">logies will empower a new era of smartphones and connected devices. We also believe that 5G will drive transformation across industries beyond traditional cellular communications that will create new </w:t>
      </w:r>
      <w:r>
        <w:rPr>
          <w:rFonts w:eastAsia="Times New Roman"/>
          <w:color w:val="000000"/>
          <w:sz w:val="20"/>
          <w:szCs w:val="20"/>
        </w:rPr>
        <w:t>business models and new services. We believe it is important that we remain a leader in 5G technology development, standardization, intellectual property creation and licensing of 5G technologies, and to be a leading developer and supplier of 5G integrated</w:t>
      </w:r>
      <w:r>
        <w:rPr>
          <w:rFonts w:eastAsia="Times New Roman"/>
          <w:color w:val="000000"/>
          <w:sz w:val="20"/>
          <w:szCs w:val="20"/>
        </w:rPr>
        <w:t xml:space="preserve"> circuit products in order to sustain and grow our business long term</w:t>
      </w:r>
      <w:r>
        <w:rPr>
          <w:rFonts w:eastAsia="Times New Roman"/>
          <w:color w:val="000000"/>
          <w:sz w:val="20"/>
          <w:szCs w:val="20"/>
        </w:rPr>
        <w:t>.</w:t>
      </w:r>
    </w:p>
    <w:p w:rsidR="00000000" w:rsidRDefault="00602C02">
      <w:pPr>
        <w:ind w:firstLine="360"/>
        <w:divId w:val="1111320428"/>
        <w:rPr>
          <w:rFonts w:eastAsia="Times New Roman"/>
        </w:rPr>
      </w:pPr>
      <w:r>
        <w:rPr>
          <w:rFonts w:eastAsia="Times New Roman"/>
          <w:color w:val="000000"/>
          <w:sz w:val="20"/>
          <w:szCs w:val="20"/>
        </w:rPr>
        <w:t>In addition to the foregoing business and market-based matters, we continue to devote resources to working with and educating participants in the wireless value chain and governments as</w:t>
      </w:r>
      <w:r>
        <w:rPr>
          <w:rFonts w:eastAsia="Times New Roman"/>
          <w:color w:val="000000"/>
          <w:sz w:val="20"/>
          <w:szCs w:val="20"/>
        </w:rPr>
        <w:t xml:space="preserve"> to the benefits of our licensing program and our extensive technology investments in promoting a highly competitive and innovative wireless industry. However, we expect that certain companies may continue to be dissatisfied with the need to pay reasonable</w:t>
      </w:r>
      <w:r>
        <w:rPr>
          <w:rFonts w:eastAsia="Times New Roman"/>
          <w:color w:val="000000"/>
          <w:sz w:val="20"/>
          <w:szCs w:val="20"/>
        </w:rPr>
        <w:t xml:space="preserve"> royalties for the use of our technology and not welcome the success of our licensing program in enabling new, highly cost-effective competitors to their products. Accordingly, such companies, and/or governments or regulators, may continue to challenge our</w:t>
      </w:r>
      <w:r>
        <w:rPr>
          <w:rFonts w:eastAsia="Times New Roman"/>
          <w:color w:val="000000"/>
          <w:sz w:val="20"/>
          <w:szCs w:val="20"/>
        </w:rPr>
        <w:t xml:space="preserve"> business model in various forums throughout the world</w:t>
      </w:r>
      <w:r>
        <w:rPr>
          <w:rFonts w:eastAsia="Times New Roman"/>
          <w:color w:val="000000"/>
          <w:sz w:val="20"/>
          <w:szCs w:val="20"/>
        </w:rPr>
        <w:t>.</w:t>
      </w:r>
    </w:p>
    <w:p w:rsidR="00000000" w:rsidRDefault="00602C02">
      <w:pPr>
        <w:ind w:firstLine="360"/>
        <w:divId w:val="927929089"/>
        <w:rPr>
          <w:rFonts w:eastAsia="Times New Roman"/>
        </w:rPr>
      </w:pPr>
      <w:r>
        <w:rPr>
          <w:rFonts w:eastAsia="Times New Roman"/>
          <w:color w:val="000000"/>
          <w:sz w:val="20"/>
          <w:szCs w:val="20"/>
        </w:rPr>
        <w:t>Further discussion of risks related to our business is provided in the section labeled “Risk Factors” included in this Quarterly Report</w:t>
      </w:r>
      <w:r>
        <w:rPr>
          <w:rFonts w:eastAsia="Times New Roman"/>
          <w:color w:val="000000"/>
          <w:sz w:val="20"/>
          <w:szCs w:val="20"/>
        </w:rPr>
        <w:t>.</w:t>
      </w:r>
    </w:p>
    <w:p w:rsidR="00000000" w:rsidRDefault="00602C02">
      <w:pPr>
        <w:divId w:val="324864590"/>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602C02">
      <w:pPr>
        <w:ind w:firstLine="360"/>
        <w:divId w:val="1369136714"/>
        <w:rPr>
          <w:rFonts w:eastAsia="Times New Roman"/>
        </w:rPr>
      </w:pPr>
      <w:r>
        <w:rPr>
          <w:rFonts w:eastAsia="Times New Roman"/>
          <w:color w:val="000000"/>
          <w:sz w:val="20"/>
          <w:szCs w:val="20"/>
        </w:rPr>
        <w:t>Our principal sources of liquid</w:t>
      </w:r>
      <w:r>
        <w:rPr>
          <w:rFonts w:eastAsia="Times New Roman"/>
          <w:color w:val="000000"/>
          <w:sz w:val="20"/>
          <w:szCs w:val="20"/>
        </w:rPr>
        <w:t>ity are our existing cash, cash equivalents and marketable securities, cash generated from operations and cash provided by our debt programs. The following table presents selected financial information related to our liquidity as of March 29, 2020 and Sept</w:t>
      </w:r>
      <w:r>
        <w:rPr>
          <w:rFonts w:eastAsia="Times New Roman"/>
          <w:color w:val="000000"/>
          <w:sz w:val="20"/>
          <w:szCs w:val="20"/>
        </w:rPr>
        <w:t>ember 29, 2019 and for the first six months of fiscal 2020 and 2019 (in millions)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6"/>
        <w:gridCol w:w="4946"/>
        <w:gridCol w:w="58"/>
        <w:gridCol w:w="125"/>
        <w:gridCol w:w="802"/>
        <w:gridCol w:w="80"/>
        <w:gridCol w:w="36"/>
        <w:gridCol w:w="36"/>
        <w:gridCol w:w="36"/>
        <w:gridCol w:w="126"/>
        <w:gridCol w:w="770"/>
        <w:gridCol w:w="80"/>
        <w:gridCol w:w="36"/>
        <w:gridCol w:w="36"/>
        <w:gridCol w:w="36"/>
        <w:gridCol w:w="125"/>
        <w:gridCol w:w="770"/>
        <w:gridCol w:w="80"/>
        <w:gridCol w:w="36"/>
        <w:gridCol w:w="36"/>
      </w:tblGrid>
      <w:tr w:rsidR="00000000">
        <w:trPr>
          <w:divId w:val="1379861878"/>
        </w:trPr>
        <w:tc>
          <w:tcPr>
            <w:tcW w:w="50" w:type="pct"/>
            <w:vAlign w:val="center"/>
            <w:hideMark/>
          </w:tcPr>
          <w:p w:rsidR="00000000" w:rsidRDefault="00602C02">
            <w:pPr>
              <w:ind w:firstLine="360"/>
              <w:rPr>
                <w:rFonts w:eastAsia="Times New Roman"/>
              </w:rPr>
            </w:pPr>
          </w:p>
        </w:tc>
        <w:tc>
          <w:tcPr>
            <w:tcW w:w="301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divId w:val="1379861878"/>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September 29,</w:t>
            </w:r>
            <w:r>
              <w:rPr>
                <w:rFonts w:eastAsia="Times New Roman"/>
                <w:b/>
                <w:bCs/>
                <w:color w:val="000000"/>
                <w:sz w:val="18"/>
                <w:szCs w:val="18"/>
              </w:rPr>
              <w:br/>
              <w:t>201</w:t>
            </w:r>
            <w:r>
              <w:rPr>
                <w:rFonts w:eastAsia="Times New Roman"/>
                <w:b/>
                <w:bCs/>
                <w:color w:val="000000"/>
                <w:sz w:val="18"/>
                <w:szCs w:val="18"/>
              </w:rPr>
              <w:t>9</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jc w:val="center"/>
              <w:rPr>
                <w:rFonts w:eastAsia="Times New Roman"/>
              </w:rPr>
            </w:pPr>
          </w:p>
        </w:tc>
        <w:tc>
          <w:tcPr>
            <w:tcW w:w="0" w:type="auto"/>
            <w:vAlign w:val="center"/>
            <w:hideMark/>
          </w:tcPr>
          <w:p w:rsidR="00000000" w:rsidRDefault="00602C02">
            <w:pPr>
              <w:rPr>
                <w:rFonts w:eastAsia="Times New Roman"/>
                <w:sz w:val="20"/>
                <w:szCs w:val="20"/>
              </w:rPr>
            </w:pPr>
          </w:p>
        </w:tc>
      </w:tr>
      <w:tr w:rsidR="00000000">
        <w:trPr>
          <w:divId w:val="1379861878"/>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Cash, cash equivalents and marketable securitie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9,979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12,296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(2,317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jc w:val="right"/>
              <w:rPr>
                <w:rFonts w:eastAsia="Times New Roman"/>
              </w:rPr>
            </w:pPr>
          </w:p>
        </w:tc>
        <w:tc>
          <w:tcPr>
            <w:tcW w:w="0" w:type="auto"/>
            <w:vAlign w:val="center"/>
            <w:hideMark/>
          </w:tcPr>
          <w:p w:rsidR="00000000" w:rsidRDefault="00602C02">
            <w:pPr>
              <w:rPr>
                <w:rFonts w:eastAsia="Times New Roman"/>
                <w:sz w:val="20"/>
                <w:szCs w:val="20"/>
              </w:rPr>
            </w:pPr>
          </w:p>
        </w:tc>
      </w:tr>
      <w:tr w:rsidR="00000000">
        <w:trPr>
          <w:divId w:val="1379861878"/>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Accounts receivable, ne</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3,081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jc w:val="right"/>
              <w:rPr>
                <w:rFonts w:eastAsia="Times New Roman"/>
              </w:rPr>
            </w:pPr>
          </w:p>
        </w:tc>
        <w:tc>
          <w:tcPr>
            <w:tcW w:w="0" w:type="auto"/>
            <w:vAlign w:val="center"/>
            <w:hideMark/>
          </w:tcPr>
          <w:p w:rsidR="00000000" w:rsidRDefault="00602C02">
            <w:pPr>
              <w:rPr>
                <w:rFonts w:eastAsia="Times New Roman"/>
                <w:sz w:val="20"/>
                <w:szCs w:val="20"/>
              </w:rPr>
            </w:pPr>
          </w:p>
        </w:tc>
      </w:tr>
      <w:tr w:rsidR="00000000">
        <w:trPr>
          <w:divId w:val="1379861878"/>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Inventorie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1,400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jc w:val="right"/>
              <w:rPr>
                <w:rFonts w:eastAsia="Times New Roman"/>
              </w:rPr>
            </w:pPr>
          </w:p>
        </w:tc>
        <w:tc>
          <w:tcPr>
            <w:tcW w:w="0" w:type="auto"/>
            <w:vAlign w:val="center"/>
            <w:hideMark/>
          </w:tcPr>
          <w:p w:rsidR="00000000" w:rsidRDefault="00602C02">
            <w:pPr>
              <w:rPr>
                <w:rFonts w:eastAsia="Times New Roman"/>
                <w:sz w:val="20"/>
                <w:szCs w:val="20"/>
              </w:rPr>
            </w:pPr>
          </w:p>
        </w:tc>
      </w:tr>
      <w:tr w:rsidR="00000000">
        <w:trPr>
          <w:divId w:val="1379861878"/>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Short-term deb</w:t>
            </w:r>
            <w:r>
              <w:rPr>
                <w:rFonts w:eastAsia="Times New Roman"/>
                <w:color w:val="000000"/>
                <w:sz w:val="18"/>
                <w:szCs w:val="18"/>
              </w:rPr>
              <w:t>t</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2,496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jc w:val="right"/>
              <w:rPr>
                <w:rFonts w:eastAsia="Times New Roman"/>
              </w:rPr>
            </w:pPr>
          </w:p>
        </w:tc>
        <w:tc>
          <w:tcPr>
            <w:tcW w:w="0" w:type="auto"/>
            <w:vAlign w:val="center"/>
            <w:hideMark/>
          </w:tcPr>
          <w:p w:rsidR="00000000" w:rsidRDefault="00602C02">
            <w:pPr>
              <w:rPr>
                <w:rFonts w:eastAsia="Times New Roman"/>
                <w:sz w:val="20"/>
                <w:szCs w:val="20"/>
              </w:rPr>
            </w:pPr>
          </w:p>
        </w:tc>
      </w:tr>
      <w:tr w:rsidR="00000000">
        <w:trPr>
          <w:divId w:val="1379861878"/>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Long-term deb</w:t>
            </w:r>
            <w:r>
              <w:rPr>
                <w:rFonts w:eastAsia="Times New Roman"/>
                <w:color w:val="000000"/>
                <w:sz w:val="18"/>
                <w:szCs w:val="18"/>
              </w:rPr>
              <w:t>t</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13,449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13,437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jc w:val="right"/>
              <w:rPr>
                <w:rFonts w:eastAsia="Times New Roman"/>
              </w:rPr>
            </w:pPr>
          </w:p>
        </w:tc>
        <w:tc>
          <w:tcPr>
            <w:tcW w:w="0" w:type="auto"/>
            <w:vAlign w:val="center"/>
            <w:hideMark/>
          </w:tcPr>
          <w:p w:rsidR="00000000" w:rsidRDefault="00602C02">
            <w:pPr>
              <w:rPr>
                <w:rFonts w:eastAsia="Times New Roman"/>
                <w:sz w:val="20"/>
                <w:szCs w:val="20"/>
              </w:rPr>
            </w:pPr>
          </w:p>
        </w:tc>
      </w:tr>
      <w:tr w:rsidR="00000000">
        <w:trPr>
          <w:divId w:val="1379861878"/>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Noncurrent income taxes payabl</w:t>
            </w:r>
            <w:r>
              <w:rPr>
                <w:rFonts w:eastAsia="Times New Roman"/>
                <w:color w:val="000000"/>
                <w:sz w:val="18"/>
                <w:szCs w:val="18"/>
              </w:rPr>
              <w:t>e</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1,879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2,088</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jc w:val="right"/>
              <w:rPr>
                <w:rFonts w:eastAsia="Times New Roman"/>
              </w:rPr>
            </w:pPr>
          </w:p>
        </w:tc>
        <w:tc>
          <w:tcPr>
            <w:tcW w:w="0" w:type="auto"/>
            <w:vAlign w:val="center"/>
            <w:hideMark/>
          </w:tcPr>
          <w:p w:rsidR="00000000" w:rsidRDefault="00602C02">
            <w:pPr>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4986"/>
        <w:gridCol w:w="144"/>
        <w:gridCol w:w="144"/>
        <w:gridCol w:w="833"/>
        <w:gridCol w:w="144"/>
        <w:gridCol w:w="144"/>
        <w:gridCol w:w="144"/>
        <w:gridCol w:w="144"/>
        <w:gridCol w:w="144"/>
        <w:gridCol w:w="833"/>
        <w:gridCol w:w="144"/>
        <w:gridCol w:w="144"/>
        <w:gridCol w:w="144"/>
        <w:gridCol w:w="144"/>
        <w:gridCol w:w="144"/>
        <w:gridCol w:w="833"/>
        <w:gridCol w:w="144"/>
        <w:gridCol w:w="480"/>
        <w:gridCol w:w="1440"/>
        <w:gridCol w:w="160"/>
        <w:gridCol w:w="160"/>
        <w:gridCol w:w="160"/>
        <w:gridCol w:w="480"/>
        <w:gridCol w:w="480"/>
        <w:gridCol w:w="480"/>
        <w:gridCol w:w="480"/>
        <w:gridCol w:w="480"/>
        <w:gridCol w:w="480"/>
        <w:gridCol w:w="480"/>
        <w:gridCol w:w="480"/>
        <w:gridCol w:w="480"/>
      </w:tblGrid>
      <w:tr w:rsidR="00000000">
        <w:trPr>
          <w:gridAfter w:val="12"/>
          <w:jc w:val="center"/>
        </w:trPr>
        <w:tc>
          <w:tcPr>
            <w:tcW w:w="50" w:type="pct"/>
            <w:vAlign w:val="center"/>
            <w:hideMark/>
          </w:tcPr>
          <w:p w:rsidR="00000000" w:rsidRDefault="00602C02">
            <w:pPr>
              <w:rPr>
                <w:rFonts w:eastAsia="Times New Roman"/>
              </w:rPr>
            </w:pPr>
          </w:p>
        </w:tc>
        <w:tc>
          <w:tcPr>
            <w:tcW w:w="30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42"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Six Months Ende</w:t>
            </w:r>
            <w:r>
              <w:rPr>
                <w:rFonts w:eastAsia="Times New Roman"/>
                <w:b/>
                <w:bCs/>
                <w:color w:val="000000"/>
                <w:sz w:val="18"/>
                <w:szCs w:val="18"/>
              </w:rPr>
              <w:t>d</w:t>
            </w:r>
          </w:p>
        </w:tc>
        <w:tc>
          <w:tcPr>
            <w:tcW w:w="0" w:type="auto"/>
            <w:vAlign w:val="center"/>
            <w:hideMark/>
          </w:tcPr>
          <w:p w:rsidR="00000000" w:rsidRDefault="00602C02">
            <w:pPr>
              <w:jc w:val="center"/>
              <w:rPr>
                <w:rFonts w:eastAsia="Times New Roman"/>
              </w:rPr>
            </w:pPr>
          </w:p>
        </w:tc>
        <w:tc>
          <w:tcPr>
            <w:tcW w:w="0" w:type="auto"/>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jc w:val="center"/>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29,</w:t>
            </w:r>
            <w:r>
              <w:rPr>
                <w:rFonts w:eastAsia="Times New Roman"/>
                <w:b/>
                <w:bCs/>
                <w:color w:val="000000"/>
                <w:sz w:val="18"/>
                <w:szCs w:val="18"/>
              </w:rPr>
              <w:br/>
              <w:t>202</w:t>
            </w:r>
            <w:r>
              <w:rPr>
                <w:rFonts w:eastAsia="Times New Roman"/>
                <w:b/>
                <w:bCs/>
                <w:color w:val="000000"/>
                <w:sz w:val="18"/>
                <w:szCs w:val="18"/>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March 31,</w:t>
            </w:r>
            <w:r>
              <w:rPr>
                <w:rFonts w:eastAsia="Times New Roman"/>
                <w:b/>
                <w:bCs/>
                <w:color w:val="000000"/>
                <w:sz w:val="18"/>
                <w:szCs w:val="18"/>
              </w:rPr>
              <w:br/>
              <w:t>201</w:t>
            </w:r>
            <w:r>
              <w:rPr>
                <w:rFonts w:eastAsia="Times New Roman"/>
                <w:b/>
                <w:bCs/>
                <w:color w:val="000000"/>
                <w:sz w:val="18"/>
                <w:szCs w:val="18"/>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Chang</w:t>
            </w:r>
            <w:r>
              <w:rPr>
                <w:rFonts w:eastAsia="Times New Roman"/>
                <w:b/>
                <w:bCs/>
                <w:color w:val="000000"/>
                <w:sz w:val="18"/>
                <w:szCs w:val="18"/>
              </w:rPr>
              <w:t>e</w:t>
            </w:r>
          </w:p>
        </w:tc>
        <w:tc>
          <w:tcPr>
            <w:tcW w:w="0" w:type="auto"/>
            <w:vAlign w:val="center"/>
            <w:hideMark/>
          </w:tcPr>
          <w:p w:rsidR="00000000" w:rsidRDefault="00602C02">
            <w:pPr>
              <w:jc w:val="center"/>
              <w:rPr>
                <w:rFonts w:eastAsia="Times New Roman"/>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cash provided by operating activitie</w:t>
            </w:r>
            <w:r>
              <w:rPr>
                <w:rFonts w:eastAsia="Times New Roman"/>
                <w:color w:val="000000"/>
                <w:sz w:val="18"/>
                <w:szCs w:val="18"/>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2,201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1,150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1,051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jc w:val="right"/>
              <w:rPr>
                <w:rFonts w:eastAsia="Times New Roman"/>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cash used by investing activitie</w:t>
            </w:r>
            <w:r>
              <w:rPr>
                <w:rFonts w:eastAsia="Times New Roman"/>
                <w:color w:val="000000"/>
                <w:sz w:val="18"/>
                <w:szCs w:val="18"/>
              </w:rPr>
              <w:t>s</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(1,769</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(261</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(1,508</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jc w:val="right"/>
              <w:rPr>
                <w:rFonts w:eastAsia="Times New Roman"/>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Net cash used by financing activitie</w:t>
            </w:r>
            <w:r>
              <w:rPr>
                <w:rFonts w:eastAsia="Times New Roman"/>
                <w:color w:val="000000"/>
                <w:sz w:val="18"/>
                <w:szCs w:val="18"/>
              </w:rPr>
              <w:t>s</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(3,868</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(2,531</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(1,337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vAlign w:val="center"/>
            <w:hideMark/>
          </w:tcPr>
          <w:p w:rsidR="00000000" w:rsidRDefault="00602C02">
            <w:pPr>
              <w:jc w:val="right"/>
              <w:rPr>
                <w:rFonts w:eastAsia="Times New Roman"/>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c>
          <w:tcPr>
            <w:tcW w:w="0" w:type="auto"/>
            <w:vAlign w:val="center"/>
            <w:hideMark/>
          </w:tcPr>
          <w:p w:rsidR="00000000" w:rsidRDefault="00602C02">
            <w:pPr>
              <w:rPr>
                <w:rFonts w:eastAsia="Times New Roman"/>
                <w:sz w:val="20"/>
                <w:szCs w:val="20"/>
              </w:rPr>
            </w:pPr>
          </w:p>
        </w:tc>
      </w:tr>
    </w:tbl>
    <w:p w:rsidR="00000000" w:rsidRDefault="00602C02">
      <w:pPr>
        <w:ind w:firstLine="360"/>
        <w:divId w:val="542403753"/>
        <w:rPr>
          <w:rFonts w:eastAsia="Times New Roman"/>
        </w:rPr>
      </w:pPr>
      <w:r>
        <w:rPr>
          <w:rFonts w:eastAsia="Times New Roman"/>
          <w:color w:val="000000"/>
          <w:sz w:val="20"/>
          <w:szCs w:val="20"/>
        </w:rPr>
        <w:t>The net decrease in cash, cash equivalents and marketable securities was primarily due to $2.3 billion in payments to repurchase shares of our common stock, $1.4 billion in cash dividends paid, $641 million in capital expenditures and $232 million in payme</w:t>
      </w:r>
      <w:r>
        <w:rPr>
          <w:rFonts w:eastAsia="Times New Roman"/>
          <w:color w:val="000000"/>
          <w:sz w:val="20"/>
          <w:szCs w:val="20"/>
        </w:rPr>
        <w:t>nts of tax withholdings related to the vesting of share-based awards, partially offset by net cash provided by operating activitie</w:t>
      </w:r>
      <w:r>
        <w:rPr>
          <w:rFonts w:eastAsia="Times New Roman"/>
          <w:color w:val="000000"/>
          <w:sz w:val="20"/>
          <w:szCs w:val="20"/>
        </w:rPr>
        <w:t>s</w:t>
      </w:r>
      <w:r>
        <w:rPr>
          <w:rFonts w:eastAsia="Times New Roman"/>
          <w:color w:val="000000"/>
          <w:sz w:val="20"/>
          <w:szCs w:val="20"/>
          <w:shd w:val="clear" w:color="auto" w:fill="FFFFFF"/>
        </w:rPr>
        <w:t xml:space="preserve"> and $174 million in proceeds from the issuance of common stock.</w:t>
      </w:r>
    </w:p>
    <w:p w:rsidR="00000000" w:rsidRDefault="00602C02">
      <w:pPr>
        <w:ind w:firstLine="360"/>
        <w:divId w:val="1114208447"/>
        <w:rPr>
          <w:rFonts w:eastAsia="Times New Roman"/>
        </w:rPr>
      </w:pPr>
      <w:r>
        <w:rPr>
          <w:rFonts w:eastAsia="Times New Roman"/>
          <w:color w:val="000000"/>
          <w:sz w:val="20"/>
          <w:szCs w:val="20"/>
        </w:rPr>
        <w:t>The increase in accounts receivable was primarily due to an increase in QCT revenues combined with the timing of QCT integrated circuit shipments during the quarter and a decrease in the relative proportion of customer incentive arrangements</w:t>
      </w:r>
      <w:r>
        <w:rPr>
          <w:rFonts w:eastAsia="Times New Roman"/>
          <w:color w:val="000000"/>
          <w:sz w:val="20"/>
          <w:szCs w:val="20"/>
        </w:rPr>
        <w:t xml:space="preserve"> </w:t>
      </w:r>
    </w:p>
    <w:p w:rsidR="00000000" w:rsidRDefault="00602C02">
      <w:pPr>
        <w:jc w:val="center"/>
        <w:divId w:val="1690451549"/>
        <w:rPr>
          <w:rFonts w:eastAsia="Times New Roman"/>
        </w:rPr>
      </w:pPr>
      <w:r>
        <w:rPr>
          <w:rFonts w:eastAsia="Times New Roman"/>
          <w:color w:val="000000"/>
          <w:sz w:val="20"/>
          <w:szCs w:val="20"/>
        </w:rPr>
        <w:t>2</w:t>
      </w:r>
      <w:r>
        <w:rPr>
          <w:rFonts w:eastAsia="Times New Roman"/>
          <w:color w:val="000000"/>
          <w:sz w:val="20"/>
          <w:szCs w:val="20"/>
        </w:rPr>
        <w:t>9</w:t>
      </w:r>
    </w:p>
    <w:p w:rsidR="00000000" w:rsidRDefault="00602C02">
      <w:pPr>
        <w:rPr>
          <w:rFonts w:eastAsia="Times New Roman"/>
        </w:rPr>
      </w:pPr>
      <w:r>
        <w:rPr>
          <w:rFonts w:eastAsia="Times New Roman"/>
        </w:rPr>
        <w:pict>
          <v:rect id="_x0000_i1053" style="width:0;height:1.5pt" o:hralign="center" o:hrstd="t" o:hr="t" fillcolor="#a0a0a0" stroked="f"/>
        </w:pict>
      </w:r>
    </w:p>
    <w:p w:rsidR="00000000" w:rsidRDefault="00602C02">
      <w:pPr>
        <w:divId w:val="1238638317"/>
        <w:rPr>
          <w:rFonts w:eastAsia="Times New Roman"/>
        </w:rPr>
      </w:pPr>
    </w:p>
    <w:p w:rsidR="00000000" w:rsidRDefault="00602C02">
      <w:pPr>
        <w:divId w:val="2008824424"/>
        <w:rPr>
          <w:rFonts w:eastAsia="Times New Roman"/>
        </w:rPr>
      </w:pPr>
      <w:r>
        <w:rPr>
          <w:rFonts w:eastAsia="Times New Roman"/>
          <w:color w:val="000000"/>
          <w:sz w:val="20"/>
          <w:szCs w:val="20"/>
        </w:rPr>
        <w:t>recorded as a reduction to QCT accounts receivable at March 29, 2020, as compared to September 29, 2019. The increase in inventories was primarily driven by the ramp in 5G.</w:t>
      </w:r>
      <w:r>
        <w:rPr>
          <w:rFonts w:eastAsia="Times New Roman"/>
          <w:color w:val="000000"/>
          <w:sz w:val="20"/>
          <w:szCs w:val="20"/>
        </w:rPr>
        <w:t xml:space="preserve"> </w:t>
      </w:r>
    </w:p>
    <w:p w:rsidR="00000000" w:rsidRDefault="00602C02">
      <w:pPr>
        <w:ind w:firstLine="360"/>
        <w:divId w:val="1002195810"/>
        <w:rPr>
          <w:rFonts w:eastAsia="Times New Roman"/>
        </w:rPr>
      </w:pPr>
      <w:r>
        <w:rPr>
          <w:rFonts w:eastAsia="Times New Roman"/>
          <w:b/>
          <w:bCs/>
          <w:i/>
          <w:iCs/>
          <w:color w:val="000000"/>
          <w:sz w:val="20"/>
          <w:szCs w:val="20"/>
        </w:rPr>
        <w:t>Debt.</w:t>
      </w:r>
      <w:r>
        <w:rPr>
          <w:rFonts w:eastAsia="Times New Roman"/>
          <w:b/>
          <w:bCs/>
          <w:i/>
          <w:iCs/>
          <w:color w:val="000000"/>
          <w:sz w:val="20"/>
          <w:szCs w:val="20"/>
        </w:rPr>
        <w:t xml:space="preserve"> </w:t>
      </w:r>
      <w:r>
        <w:rPr>
          <w:rFonts w:eastAsia="Times New Roman"/>
          <w:color w:val="000000"/>
          <w:sz w:val="20"/>
          <w:szCs w:val="20"/>
        </w:rPr>
        <w:t>At March 29, 2020, we had $15.5 billion of princ</w:t>
      </w:r>
      <w:r>
        <w:rPr>
          <w:rFonts w:eastAsia="Times New Roman"/>
          <w:color w:val="000000"/>
          <w:sz w:val="20"/>
          <w:szCs w:val="20"/>
        </w:rPr>
        <w:t>ipal floating- and fixed-rate notes outstanding, $2.0 billion of which mature in May 2020. The remaining debt has maturity dates in 2022 through 2047.</w:t>
      </w:r>
      <w:r>
        <w:rPr>
          <w:rFonts w:eastAsia="Times New Roman"/>
          <w:color w:val="000000"/>
          <w:sz w:val="20"/>
          <w:szCs w:val="20"/>
        </w:rPr>
        <w:t xml:space="preserve"> </w:t>
      </w:r>
    </w:p>
    <w:p w:rsidR="00000000" w:rsidRDefault="00602C02">
      <w:pPr>
        <w:ind w:firstLine="360"/>
        <w:divId w:val="354965195"/>
        <w:rPr>
          <w:rFonts w:eastAsia="Times New Roman"/>
        </w:rPr>
      </w:pPr>
      <w:r>
        <w:rPr>
          <w:rFonts w:eastAsia="Times New Roman"/>
          <w:color w:val="000000"/>
          <w:sz w:val="20"/>
          <w:szCs w:val="20"/>
        </w:rPr>
        <w:t>Our Amended and Restated Revolving Credit Facility (Revolving Credit Facility) provides for unsecured re</w:t>
      </w:r>
      <w:r>
        <w:rPr>
          <w:rFonts w:eastAsia="Times New Roman"/>
          <w:color w:val="000000"/>
          <w:sz w:val="20"/>
          <w:szCs w:val="20"/>
        </w:rPr>
        <w:t>volving facility loans, swing line loans and letters of credit in the aggregate amount of up to $4.5 billion, which expires on November 8, 2021. At March 29, 2020, no amounts were outstanding under the Revolving Credit Facility</w:t>
      </w:r>
      <w:r>
        <w:rPr>
          <w:rFonts w:eastAsia="Times New Roman"/>
          <w:color w:val="000000"/>
          <w:sz w:val="20"/>
          <w:szCs w:val="20"/>
        </w:rPr>
        <w:t>.</w:t>
      </w:r>
    </w:p>
    <w:p w:rsidR="00000000" w:rsidRDefault="00602C02">
      <w:pPr>
        <w:ind w:firstLine="360"/>
        <w:divId w:val="1500003429"/>
        <w:rPr>
          <w:rFonts w:eastAsia="Times New Roman"/>
        </w:rPr>
      </w:pPr>
      <w:r>
        <w:rPr>
          <w:rFonts w:eastAsia="Times New Roman"/>
          <w:color w:val="000000"/>
          <w:sz w:val="20"/>
          <w:szCs w:val="20"/>
        </w:rPr>
        <w:t>We have an unsecured commer</w:t>
      </w:r>
      <w:r>
        <w:rPr>
          <w:rFonts w:eastAsia="Times New Roman"/>
          <w:color w:val="000000"/>
          <w:sz w:val="20"/>
          <w:szCs w:val="20"/>
        </w:rPr>
        <w:t>cial paper program, which currently provides for the issuance of up to $4.5 billion of commercial paper. Net proceeds from this program are used for general corporate purposes. At March 29, 2020, we had $499 million of commercial paper outstanding</w:t>
      </w:r>
      <w:r>
        <w:rPr>
          <w:rFonts w:eastAsia="Times New Roman"/>
          <w:color w:val="000000"/>
          <w:sz w:val="20"/>
          <w:szCs w:val="20"/>
        </w:rPr>
        <w:t>.</w:t>
      </w:r>
    </w:p>
    <w:p w:rsidR="00000000" w:rsidRDefault="00602C02">
      <w:pPr>
        <w:ind w:firstLine="360"/>
        <w:divId w:val="39062757"/>
        <w:rPr>
          <w:rFonts w:eastAsia="Times New Roman"/>
        </w:rPr>
      </w:pPr>
      <w:r>
        <w:rPr>
          <w:rFonts w:eastAsia="Times New Roman"/>
          <w:color w:val="000000"/>
          <w:sz w:val="20"/>
          <w:szCs w:val="20"/>
          <w:shd w:val="clear" w:color="auto" w:fill="FFFFFF"/>
        </w:rPr>
        <w:t>We curr</w:t>
      </w:r>
      <w:r>
        <w:rPr>
          <w:rFonts w:eastAsia="Times New Roman"/>
          <w:color w:val="000000"/>
          <w:sz w:val="20"/>
          <w:szCs w:val="20"/>
          <w:shd w:val="clear" w:color="auto" w:fill="FFFFFF"/>
        </w:rPr>
        <w:t>ently expect to issue additional debt in the near future. COVID-19 has led to disruption and volatility in the global capital markets, which may adversely impact the cost of and access to capital. The amount and timing of such additional borrowings, if any</w:t>
      </w:r>
      <w:r>
        <w:rPr>
          <w:rFonts w:eastAsia="Times New Roman"/>
          <w:color w:val="000000"/>
          <w:sz w:val="20"/>
          <w:szCs w:val="20"/>
          <w:shd w:val="clear" w:color="auto" w:fill="FFFFFF"/>
        </w:rPr>
        <w:t>, will depend on a number of factors, including maturities of our existing debt,</w:t>
      </w:r>
      <w:r>
        <w:rPr>
          <w:rFonts w:eastAsia="Times New Roman"/>
          <w:color w:val="000000"/>
          <w:sz w:val="20"/>
          <w:szCs w:val="20"/>
          <w:shd w:val="clear" w:color="auto" w:fill="FFFFFF"/>
        </w:rPr>
        <w:t xml:space="preserve"> </w:t>
      </w:r>
      <w:r>
        <w:rPr>
          <w:rFonts w:eastAsia="Times New Roman"/>
          <w:color w:val="000000"/>
          <w:sz w:val="20"/>
          <w:szCs w:val="20"/>
        </w:rPr>
        <w:t>acquisitions and strategic investments, acceptable interest rates and changes in corporate income tax law. Additional information regarding our outstanding debt is provided in</w:t>
      </w:r>
      <w:r>
        <w:rPr>
          <w:rFonts w:eastAsia="Times New Roman"/>
          <w:color w:val="000000"/>
          <w:sz w:val="20"/>
          <w:szCs w:val="20"/>
        </w:rPr>
        <w:t xml:space="preserve"> “Notes to Consolidated Financial Statements, Note 6. Debt” in our 2019 Annual Report on Form 10-K.</w:t>
      </w:r>
      <w:r>
        <w:rPr>
          <w:rFonts w:eastAsia="Times New Roman"/>
          <w:color w:val="000000"/>
          <w:sz w:val="20"/>
          <w:szCs w:val="20"/>
        </w:rPr>
        <w:t xml:space="preserve"> </w:t>
      </w:r>
    </w:p>
    <w:p w:rsidR="00000000" w:rsidRDefault="00602C02">
      <w:pPr>
        <w:ind w:firstLine="360"/>
        <w:divId w:val="1084883050"/>
        <w:rPr>
          <w:rFonts w:eastAsia="Times New Roman"/>
        </w:rPr>
      </w:pPr>
      <w:r>
        <w:rPr>
          <w:rFonts w:eastAsia="Times New Roman"/>
          <w:b/>
          <w:bCs/>
          <w:i/>
          <w:iCs/>
          <w:color w:val="000000"/>
          <w:sz w:val="20"/>
          <w:szCs w:val="20"/>
        </w:rPr>
        <w:t>Income Taxes</w:t>
      </w:r>
      <w:r>
        <w:rPr>
          <w:rFonts w:eastAsia="Times New Roman"/>
          <w:b/>
          <w:bCs/>
          <w:i/>
          <w:iCs/>
          <w:color w:val="000000"/>
          <w:sz w:val="20"/>
          <w:szCs w:val="20"/>
        </w:rPr>
        <w:t>.</w:t>
      </w:r>
      <w:r>
        <w:rPr>
          <w:rFonts w:eastAsia="Times New Roman"/>
          <w:color w:val="000000"/>
          <w:sz w:val="20"/>
          <w:szCs w:val="20"/>
        </w:rPr>
        <w:t xml:space="preserve"> At March 29, 2020, we estimated remaining future payments of $2.1 billion for the one-time U.S. repatriation tax accrued in fiscal 2018 (Toll</w:t>
      </w:r>
      <w:r>
        <w:rPr>
          <w:rFonts w:eastAsia="Times New Roman"/>
          <w:color w:val="000000"/>
          <w:sz w:val="20"/>
          <w:szCs w:val="20"/>
        </w:rPr>
        <w:t xml:space="preserve"> Charge), after application of certain tax credits, which is payable in installments over the nex</w:t>
      </w:r>
      <w:r>
        <w:rPr>
          <w:rFonts w:eastAsia="Times New Roman"/>
          <w:color w:val="000000"/>
          <w:sz w:val="20"/>
          <w:szCs w:val="20"/>
        </w:rPr>
        <w:t>t</w:t>
      </w:r>
      <w:r>
        <w:rPr>
          <w:rFonts w:eastAsia="Times New Roman"/>
          <w:color w:val="000000"/>
          <w:sz w:val="20"/>
          <w:szCs w:val="20"/>
          <w:shd w:val="clear" w:color="auto" w:fill="FFFFFF"/>
        </w:rPr>
        <w:t xml:space="preserve"> six year</w:t>
      </w:r>
      <w:r>
        <w:rPr>
          <w:rFonts w:eastAsia="Times New Roman"/>
          <w:color w:val="000000"/>
          <w:sz w:val="20"/>
          <w:szCs w:val="20"/>
          <w:shd w:val="clear" w:color="auto" w:fill="FFFFFF"/>
        </w:rPr>
        <w:t>s</w:t>
      </w:r>
      <w:r>
        <w:rPr>
          <w:rFonts w:eastAsia="Times New Roman"/>
          <w:color w:val="000000"/>
          <w:sz w:val="20"/>
          <w:szCs w:val="20"/>
        </w:rPr>
        <w:t>. At March 29, 2020, other current liabilities included $176 millio</w:t>
      </w:r>
      <w:r>
        <w:rPr>
          <w:rFonts w:eastAsia="Times New Roman"/>
          <w:color w:val="000000"/>
          <w:sz w:val="20"/>
          <w:szCs w:val="20"/>
        </w:rPr>
        <w:t>n</w:t>
      </w:r>
      <w:r>
        <w:rPr>
          <w:rFonts w:eastAsia="Times New Roman"/>
          <w:color w:val="000000"/>
          <w:sz w:val="20"/>
          <w:szCs w:val="20"/>
          <w:shd w:val="clear" w:color="auto" w:fill="FFFFFF"/>
        </w:rPr>
        <w:t xml:space="preserve"> </w:t>
      </w:r>
      <w:r>
        <w:rPr>
          <w:rFonts w:eastAsia="Times New Roman"/>
          <w:color w:val="000000"/>
          <w:sz w:val="20"/>
          <w:szCs w:val="20"/>
        </w:rPr>
        <w:t>reflecting our estimate of the next installment due in January 2021</w:t>
      </w:r>
      <w:r>
        <w:rPr>
          <w:rFonts w:eastAsia="Times New Roman"/>
          <w:color w:val="000000"/>
          <w:sz w:val="20"/>
          <w:szCs w:val="20"/>
        </w:rPr>
        <w:t>.</w:t>
      </w:r>
    </w:p>
    <w:p w:rsidR="00000000" w:rsidRDefault="00602C02">
      <w:pPr>
        <w:ind w:firstLine="360"/>
        <w:divId w:val="1895235595"/>
        <w:rPr>
          <w:rFonts w:eastAsia="Times New Roman"/>
        </w:rPr>
      </w:pPr>
      <w:r>
        <w:rPr>
          <w:rFonts w:eastAsia="Times New Roman"/>
          <w:color w:val="000000"/>
          <w:sz w:val="20"/>
          <w:szCs w:val="20"/>
        </w:rPr>
        <w:t>Additional information regarding our income taxes is provided in this Quarterly Report in “Notes to Condensed Consolidated Financial Statements, Note 3. Income Taxes.</w:t>
      </w:r>
      <w:r>
        <w:rPr>
          <w:rFonts w:eastAsia="Times New Roman"/>
          <w:color w:val="000000"/>
          <w:sz w:val="20"/>
          <w:szCs w:val="20"/>
        </w:rPr>
        <w:t>”</w:t>
      </w:r>
    </w:p>
    <w:p w:rsidR="00000000" w:rsidRDefault="00602C02">
      <w:pPr>
        <w:ind w:firstLine="360"/>
        <w:divId w:val="1014309708"/>
        <w:rPr>
          <w:rFonts w:eastAsia="Times New Roman"/>
        </w:rPr>
      </w:pPr>
      <w:r>
        <w:rPr>
          <w:rFonts w:eastAsia="Times New Roman"/>
          <w:b/>
          <w:bCs/>
          <w:i/>
          <w:iCs/>
          <w:color w:val="000000"/>
          <w:sz w:val="20"/>
          <w:szCs w:val="20"/>
        </w:rPr>
        <w:t>Capital Return Program.</w:t>
      </w:r>
      <w:r>
        <w:rPr>
          <w:rFonts w:eastAsia="Times New Roman"/>
          <w:b/>
          <w:bCs/>
          <w:i/>
          <w:iCs/>
          <w:color w:val="000000"/>
          <w:sz w:val="20"/>
          <w:szCs w:val="20"/>
        </w:rPr>
        <w:t xml:space="preserve"> </w:t>
      </w:r>
      <w:r>
        <w:rPr>
          <w:rFonts w:eastAsia="Times New Roman"/>
          <w:color w:val="000000"/>
          <w:sz w:val="20"/>
          <w:szCs w:val="20"/>
        </w:rPr>
        <w:t>In fiscal 2018, we announced a stock repurchase program authoriz</w:t>
      </w:r>
      <w:r>
        <w:rPr>
          <w:rFonts w:eastAsia="Times New Roman"/>
          <w:color w:val="000000"/>
          <w:sz w:val="20"/>
          <w:szCs w:val="20"/>
        </w:rPr>
        <w:t>ing us to repurchase up to $30 billion of our common stock. In the first six months of fiscal 2020, we repurchased and retired 29.3 million shares of our common stock for $2.3 billion, before commissions. At March 29, 2020, $4.7 billion remained authorized</w:t>
      </w:r>
      <w:r>
        <w:rPr>
          <w:rFonts w:eastAsia="Times New Roman"/>
          <w:color w:val="000000"/>
          <w:sz w:val="20"/>
          <w:szCs w:val="20"/>
        </w:rPr>
        <w:t xml:space="preserve"> for repurchase under the stock repurchase progra</w:t>
      </w:r>
      <w:r>
        <w:rPr>
          <w:rFonts w:eastAsia="Times New Roman"/>
          <w:color w:val="000000"/>
          <w:sz w:val="20"/>
          <w:szCs w:val="20"/>
        </w:rPr>
        <w:t>m</w:t>
      </w:r>
      <w:r>
        <w:rPr>
          <w:rFonts w:eastAsia="Times New Roman"/>
          <w:color w:val="000000"/>
          <w:sz w:val="20"/>
          <w:szCs w:val="20"/>
          <w:shd w:val="clear" w:color="auto" w:fill="FFFFFF"/>
        </w:rPr>
        <w:t>. Our stock repurchase program is subject to periodic evaluations to determine when and if repurchases are in the best interests of our stockholders, and we may accelerate, suspend, delay or discontinue rep</w:t>
      </w:r>
      <w:r>
        <w:rPr>
          <w:rFonts w:eastAsia="Times New Roman"/>
          <w:color w:val="000000"/>
          <w:sz w:val="20"/>
          <w:szCs w:val="20"/>
          <w:shd w:val="clear" w:color="auto" w:fill="FFFFFF"/>
        </w:rPr>
        <w:t>urchases at any time. Subsequent to March 29, 2020, to maintain our financial liquidity position and flexibility, we suspended our stock repurchases, at least for the near-term, in light of COVID-19. We have the ability to reinstate repurchases if we deter</w:t>
      </w:r>
      <w:r>
        <w:rPr>
          <w:rFonts w:eastAsia="Times New Roman"/>
          <w:color w:val="000000"/>
          <w:sz w:val="20"/>
          <w:szCs w:val="20"/>
          <w:shd w:val="clear" w:color="auto" w:fill="FFFFFF"/>
        </w:rPr>
        <w:t>mine it to be in the best interest of stockholders.</w:t>
      </w:r>
    </w:p>
    <w:p w:rsidR="00000000" w:rsidRDefault="00602C02">
      <w:pPr>
        <w:ind w:firstLine="360"/>
        <w:divId w:val="790512155"/>
        <w:rPr>
          <w:rFonts w:eastAsia="Times New Roman"/>
        </w:rPr>
      </w:pPr>
      <w:r>
        <w:rPr>
          <w:rFonts w:eastAsia="Times New Roman"/>
          <w:color w:val="000000"/>
          <w:sz w:val="20"/>
          <w:szCs w:val="20"/>
          <w:shd w:val="clear" w:color="auto" w:fill="FFFFFF"/>
        </w:rPr>
        <w:t>On March 10, 2020, we announced a 5% increase in our quarterly dividend per share of common stock from $0.62 to $0.65, which is effective for dividends payable after March 26, 2020.</w:t>
      </w:r>
      <w:r>
        <w:rPr>
          <w:rFonts w:eastAsia="Times New Roman"/>
          <w:color w:val="000000"/>
          <w:sz w:val="20"/>
          <w:szCs w:val="20"/>
          <w:shd w:val="clear" w:color="auto" w:fill="FFFFFF"/>
        </w:rPr>
        <w:t>I</w:t>
      </w:r>
      <w:r>
        <w:rPr>
          <w:rFonts w:eastAsia="Times New Roman"/>
          <w:color w:val="000000"/>
          <w:sz w:val="20"/>
          <w:szCs w:val="20"/>
        </w:rPr>
        <w:t>n the first six months</w:t>
      </w:r>
      <w:r>
        <w:rPr>
          <w:rFonts w:eastAsia="Times New Roman"/>
          <w:color w:val="000000"/>
          <w:sz w:val="20"/>
          <w:szCs w:val="20"/>
        </w:rPr>
        <w:t xml:space="preserve"> of fiscal 2020, we paid cash dividends totaling $1.4 billion, o</w:t>
      </w:r>
      <w:r>
        <w:rPr>
          <w:rFonts w:eastAsia="Times New Roman"/>
          <w:color w:val="000000"/>
          <w:sz w:val="20"/>
          <w:szCs w:val="20"/>
        </w:rPr>
        <w:t>r</w:t>
      </w:r>
      <w:r>
        <w:rPr>
          <w:rFonts w:eastAsia="Times New Roman"/>
          <w:color w:val="000000"/>
          <w:sz w:val="20"/>
          <w:szCs w:val="20"/>
          <w:shd w:val="clear" w:color="auto" w:fill="FFFFFF"/>
        </w:rPr>
        <w:t xml:space="preserve"> $1.2</w:t>
      </w:r>
      <w:r>
        <w:rPr>
          <w:rFonts w:eastAsia="Times New Roman"/>
          <w:color w:val="000000"/>
          <w:sz w:val="20"/>
          <w:szCs w:val="20"/>
          <w:shd w:val="clear" w:color="auto" w:fill="FFFFFF"/>
        </w:rPr>
        <w:t>4</w:t>
      </w:r>
      <w:r>
        <w:rPr>
          <w:rFonts w:eastAsia="Times New Roman"/>
          <w:color w:val="000000"/>
          <w:sz w:val="20"/>
          <w:szCs w:val="20"/>
        </w:rPr>
        <w:t xml:space="preserve"> per share. On</w:t>
      </w:r>
      <w:r>
        <w:rPr>
          <w:rFonts w:eastAsia="Times New Roman"/>
          <w:color w:val="000000"/>
          <w:sz w:val="20"/>
          <w:szCs w:val="20"/>
        </w:rPr>
        <w:t xml:space="preserve"> </w:t>
      </w:r>
      <w:r>
        <w:rPr>
          <w:rFonts w:eastAsia="Times New Roman"/>
          <w:color w:val="000000"/>
          <w:sz w:val="20"/>
          <w:szCs w:val="20"/>
          <w:shd w:val="clear" w:color="auto" w:fill="FFFFFF"/>
        </w:rPr>
        <w:t>April 21, 202</w:t>
      </w:r>
      <w:r>
        <w:rPr>
          <w:rFonts w:eastAsia="Times New Roman"/>
          <w:color w:val="000000"/>
          <w:sz w:val="20"/>
          <w:szCs w:val="20"/>
          <w:shd w:val="clear" w:color="auto" w:fill="FFFFFF"/>
        </w:rPr>
        <w:t>0</w:t>
      </w:r>
      <w:r>
        <w:rPr>
          <w:rFonts w:eastAsia="Times New Roman"/>
          <w:color w:val="000000"/>
          <w:sz w:val="20"/>
          <w:szCs w:val="20"/>
        </w:rPr>
        <w:t>, we announced a cash dividend of</w:t>
      </w:r>
      <w:r>
        <w:rPr>
          <w:rFonts w:eastAsia="Times New Roman"/>
          <w:color w:val="000000"/>
          <w:sz w:val="20"/>
          <w:szCs w:val="20"/>
        </w:rPr>
        <w:t xml:space="preserve"> </w:t>
      </w:r>
      <w:r>
        <w:rPr>
          <w:rFonts w:eastAsia="Times New Roman"/>
          <w:color w:val="000000"/>
          <w:sz w:val="20"/>
          <w:szCs w:val="20"/>
          <w:shd w:val="clear" w:color="auto" w:fill="FFFFFF"/>
        </w:rPr>
        <w:t>$0.65</w:t>
      </w:r>
      <w:r>
        <w:rPr>
          <w:rFonts w:eastAsia="Times New Roman"/>
          <w:color w:val="000000"/>
          <w:sz w:val="20"/>
          <w:szCs w:val="20"/>
          <w:shd w:val="clear" w:color="auto" w:fill="FFFFFF"/>
        </w:rPr>
        <w:t xml:space="preserve"> </w:t>
      </w:r>
      <w:r>
        <w:rPr>
          <w:rFonts w:eastAsia="Times New Roman"/>
          <w:color w:val="000000"/>
          <w:sz w:val="20"/>
          <w:szCs w:val="20"/>
        </w:rPr>
        <w:t>per share on our common stock, payable on</w:t>
      </w:r>
      <w:r>
        <w:rPr>
          <w:rFonts w:eastAsia="Times New Roman"/>
          <w:color w:val="000000"/>
          <w:sz w:val="20"/>
          <w:szCs w:val="20"/>
        </w:rPr>
        <w:t xml:space="preserve"> </w:t>
      </w:r>
      <w:r>
        <w:rPr>
          <w:rFonts w:eastAsia="Times New Roman"/>
          <w:color w:val="000000"/>
          <w:sz w:val="20"/>
          <w:szCs w:val="20"/>
          <w:shd w:val="clear" w:color="auto" w:fill="FFFFFF"/>
        </w:rPr>
        <w:t>June 25, 202</w:t>
      </w:r>
      <w:r>
        <w:rPr>
          <w:rFonts w:eastAsia="Times New Roman"/>
          <w:color w:val="000000"/>
          <w:sz w:val="20"/>
          <w:szCs w:val="20"/>
          <w:shd w:val="clear" w:color="auto" w:fill="FFFFFF"/>
        </w:rPr>
        <w:t>0</w:t>
      </w:r>
      <w:r>
        <w:rPr>
          <w:rFonts w:eastAsia="Times New Roman"/>
          <w:color w:val="000000"/>
          <w:sz w:val="20"/>
          <w:szCs w:val="20"/>
        </w:rPr>
        <w:t xml:space="preserve"> to stockholders of record as of the close of business on</w:t>
      </w:r>
      <w:r>
        <w:rPr>
          <w:rFonts w:eastAsia="Times New Roman"/>
          <w:color w:val="000000"/>
          <w:sz w:val="20"/>
          <w:szCs w:val="20"/>
        </w:rPr>
        <w:t xml:space="preserve"> </w:t>
      </w:r>
      <w:r>
        <w:rPr>
          <w:rFonts w:eastAsia="Times New Roman"/>
          <w:color w:val="000000"/>
          <w:sz w:val="20"/>
          <w:szCs w:val="20"/>
          <w:shd w:val="clear" w:color="auto" w:fill="FFFFFF"/>
        </w:rPr>
        <w:t>Jun</w:t>
      </w:r>
      <w:r>
        <w:rPr>
          <w:rFonts w:eastAsia="Times New Roman"/>
          <w:color w:val="000000"/>
          <w:sz w:val="20"/>
          <w:szCs w:val="20"/>
          <w:shd w:val="clear" w:color="auto" w:fill="FFFFFF"/>
        </w:rPr>
        <w:t>e 4, 202</w:t>
      </w:r>
      <w:r>
        <w:rPr>
          <w:rFonts w:eastAsia="Times New Roman"/>
          <w:color w:val="000000"/>
          <w:sz w:val="20"/>
          <w:szCs w:val="20"/>
          <w:shd w:val="clear" w:color="auto" w:fill="FFFFFF"/>
        </w:rPr>
        <w:t>0</w:t>
      </w:r>
      <w:r>
        <w:rPr>
          <w:rFonts w:eastAsia="Times New Roman"/>
          <w:color w:val="000000"/>
          <w:sz w:val="20"/>
          <w:szCs w:val="20"/>
        </w:rPr>
        <w:t>. We</w:t>
      </w:r>
      <w:r>
        <w:rPr>
          <w:rFonts w:eastAsia="Times New Roman"/>
          <w:color w:val="000000"/>
          <w:sz w:val="20"/>
          <w:szCs w:val="20"/>
        </w:rPr>
        <w:t xml:space="preserve"> </w:t>
      </w:r>
      <w:r>
        <w:rPr>
          <w:rFonts w:eastAsia="Times New Roman"/>
          <w:color w:val="000000"/>
          <w:sz w:val="20"/>
          <w:szCs w:val="20"/>
          <w:shd w:val="clear" w:color="auto" w:fill="FFFFFF"/>
        </w:rPr>
        <w:t xml:space="preserve">currently intend to continue to use cash dividends as a means of returning capital to stockholders, subject to capital availability, which may be impacted by COVID-19, </w:t>
      </w:r>
      <w:r>
        <w:rPr>
          <w:rFonts w:eastAsia="Times New Roman"/>
          <w:color w:val="000000"/>
          <w:sz w:val="20"/>
          <w:szCs w:val="20"/>
          <w:shd w:val="clear" w:color="auto" w:fill="FFFFFF"/>
        </w:rPr>
        <w:t>a</w:t>
      </w:r>
      <w:r>
        <w:rPr>
          <w:rFonts w:eastAsia="Times New Roman"/>
          <w:color w:val="000000"/>
          <w:sz w:val="20"/>
          <w:szCs w:val="20"/>
        </w:rPr>
        <w:t>nd our view that cash dividends are in the best interests of our stockhol</w:t>
      </w:r>
      <w:r>
        <w:rPr>
          <w:rFonts w:eastAsia="Times New Roman"/>
          <w:color w:val="000000"/>
          <w:sz w:val="20"/>
          <w:szCs w:val="20"/>
        </w:rPr>
        <w:t>ders, among other factors</w:t>
      </w:r>
      <w:r>
        <w:rPr>
          <w:rFonts w:eastAsia="Times New Roman"/>
          <w:color w:val="000000"/>
          <w:sz w:val="20"/>
          <w:szCs w:val="20"/>
        </w:rPr>
        <w:t>.</w:t>
      </w:r>
    </w:p>
    <w:p w:rsidR="00000000" w:rsidRDefault="00602C02">
      <w:pPr>
        <w:ind w:firstLine="315"/>
        <w:divId w:val="682047727"/>
        <w:rPr>
          <w:rFonts w:eastAsia="Times New Roman"/>
        </w:rPr>
      </w:pPr>
      <w:r>
        <w:rPr>
          <w:rFonts w:eastAsia="Times New Roman"/>
          <w:b/>
          <w:bCs/>
          <w:i/>
          <w:iCs/>
          <w:color w:val="000000"/>
          <w:sz w:val="20"/>
          <w:szCs w:val="20"/>
        </w:rPr>
        <w:t>Additional Capital Requirements.</w:t>
      </w:r>
      <w:r>
        <w:rPr>
          <w:rFonts w:eastAsia="Times New Roman"/>
          <w:b/>
          <w:bCs/>
          <w:i/>
          <w:iCs/>
          <w:color w:val="000000"/>
          <w:sz w:val="20"/>
          <w:szCs w:val="20"/>
        </w:rPr>
        <w:t xml:space="preserve"> </w:t>
      </w:r>
      <w:r>
        <w:rPr>
          <w:rFonts w:eastAsia="Times New Roman"/>
          <w:color w:val="000000"/>
          <w:sz w:val="20"/>
          <w:szCs w:val="20"/>
        </w:rPr>
        <w:t>Expected working and other capital requirements are described in our 2019 Annual Report on Form 10-K in “Part II, Item 7. Management’s Discussion and Analysis of Financial Condition and Results of</w:t>
      </w:r>
      <w:r>
        <w:rPr>
          <w:rFonts w:eastAsia="Times New Roman"/>
          <w:color w:val="000000"/>
          <w:sz w:val="20"/>
          <w:szCs w:val="20"/>
        </w:rPr>
        <w:t xml:space="preserve"> Operations.” At March 29, 2020, there have been no material changes to our expected working and other capital requirements described in our 2019 Annual Report on Form 10-K. At March 29, 2020</w:t>
      </w:r>
      <w:r>
        <w:rPr>
          <w:rFonts w:eastAsia="Times New Roman"/>
          <w:color w:val="000000"/>
          <w:sz w:val="20"/>
          <w:szCs w:val="20"/>
        </w:rPr>
        <w:t>,</w:t>
      </w:r>
      <w:r>
        <w:rPr>
          <w:rFonts w:eastAsia="Times New Roman"/>
          <w:color w:val="000000"/>
          <w:sz w:val="20"/>
          <w:szCs w:val="20"/>
          <w:shd w:val="clear" w:color="auto" w:fill="FFFFFF"/>
        </w:rPr>
        <w:t xml:space="preserve"> $1.4 billio</w:t>
      </w:r>
      <w:r>
        <w:rPr>
          <w:rFonts w:eastAsia="Times New Roman"/>
          <w:color w:val="000000"/>
          <w:sz w:val="20"/>
          <w:szCs w:val="20"/>
          <w:shd w:val="clear" w:color="auto" w:fill="FFFFFF"/>
        </w:rPr>
        <w:t>n</w:t>
      </w:r>
      <w:r>
        <w:rPr>
          <w:rFonts w:eastAsia="Times New Roman"/>
          <w:color w:val="000000"/>
          <w:sz w:val="20"/>
          <w:szCs w:val="20"/>
        </w:rPr>
        <w:t xml:space="preserve"> was accrued related to two fines imposed by the EC</w:t>
      </w:r>
      <w:r>
        <w:rPr>
          <w:rFonts w:eastAsia="Times New Roman"/>
          <w:color w:val="000000"/>
          <w:sz w:val="20"/>
          <w:szCs w:val="20"/>
        </w:rPr>
        <w:t xml:space="preserve"> (based on the exchange rate at March 29, 2020, including related foreign currency gains and accrued interest). We have provided financial guarantees in lieu of cash payment to satisfy the obligations while we appeal the EC’s decisions.</w:t>
      </w:r>
      <w:r>
        <w:rPr>
          <w:rFonts w:eastAsia="Times New Roman"/>
          <w:color w:val="000000"/>
          <w:sz w:val="20"/>
          <w:szCs w:val="20"/>
        </w:rPr>
        <w:t xml:space="preserve"> </w:t>
      </w:r>
    </w:p>
    <w:p w:rsidR="00000000" w:rsidRDefault="00602C02">
      <w:pPr>
        <w:ind w:firstLine="360"/>
        <w:divId w:val="1021396761"/>
        <w:rPr>
          <w:rFonts w:eastAsia="Times New Roman"/>
        </w:rPr>
      </w:pPr>
      <w:r>
        <w:rPr>
          <w:rFonts w:eastAsia="Times New Roman"/>
          <w:color w:val="000000"/>
          <w:sz w:val="20"/>
          <w:szCs w:val="20"/>
        </w:rPr>
        <w:t>Further, regulator</w:t>
      </w:r>
      <w:r>
        <w:rPr>
          <w:rFonts w:eastAsia="Times New Roman"/>
          <w:color w:val="000000"/>
          <w:sz w:val="20"/>
          <w:szCs w:val="20"/>
        </w:rPr>
        <w:t xml:space="preserve">y authorities in certain jurisdictions are investigating and/or have investigated our business practices and instituted proceedings against us, including the lawsuit filed against us by the FTC in which a ruling was issued in favor of the FTC in May 2019, </w:t>
      </w:r>
      <w:r>
        <w:rPr>
          <w:rFonts w:eastAsia="Times New Roman"/>
          <w:color w:val="000000"/>
          <w:sz w:val="20"/>
          <w:szCs w:val="20"/>
        </w:rPr>
        <w:t>and they or other regulatory authorities may do so in the future. Additionally, certain of our direct and indirect customers and licensees, have pursued, and others may in the future pursue, litigation or arbitration against us related to our business. Unf</w:t>
      </w:r>
      <w:r>
        <w:rPr>
          <w:rFonts w:eastAsia="Times New Roman"/>
          <w:color w:val="000000"/>
          <w:sz w:val="20"/>
          <w:szCs w:val="20"/>
        </w:rPr>
        <w:t>avorable resolutions of one or more of these matters have had and could in the future have a material adverse effect on our business, revenues, results of operations, financial condition and cash flows. See “Notes to Condensed Consolidated Financial Statem</w:t>
      </w:r>
      <w:r>
        <w:rPr>
          <w:rFonts w:eastAsia="Times New Roman"/>
          <w:color w:val="000000"/>
          <w:sz w:val="20"/>
          <w:szCs w:val="20"/>
        </w:rPr>
        <w:t>ents, Note 5. Commitments and Contingencies” and “Risk Factors” in this Quarterly Report.</w:t>
      </w:r>
      <w:r>
        <w:rPr>
          <w:rFonts w:eastAsia="Times New Roman"/>
          <w:color w:val="000000"/>
          <w:sz w:val="20"/>
          <w:szCs w:val="20"/>
        </w:rPr>
        <w:t xml:space="preserve"> </w:t>
      </w:r>
    </w:p>
    <w:p w:rsidR="00000000" w:rsidRDefault="00602C02">
      <w:pPr>
        <w:jc w:val="center"/>
        <w:divId w:val="659619907"/>
        <w:rPr>
          <w:rFonts w:eastAsia="Times New Roman"/>
        </w:rPr>
      </w:pPr>
      <w:r>
        <w:rPr>
          <w:rFonts w:eastAsia="Times New Roman"/>
          <w:color w:val="000000"/>
          <w:sz w:val="20"/>
          <w:szCs w:val="20"/>
        </w:rPr>
        <w:t>3</w:t>
      </w:r>
      <w:r>
        <w:rPr>
          <w:rFonts w:eastAsia="Times New Roman"/>
          <w:color w:val="000000"/>
          <w:sz w:val="20"/>
          <w:szCs w:val="20"/>
        </w:rPr>
        <w:t>0</w:t>
      </w:r>
    </w:p>
    <w:p w:rsidR="00000000" w:rsidRDefault="00602C02">
      <w:pPr>
        <w:rPr>
          <w:rFonts w:eastAsia="Times New Roman"/>
        </w:rPr>
      </w:pPr>
      <w:r>
        <w:rPr>
          <w:rFonts w:eastAsia="Times New Roman"/>
        </w:rPr>
        <w:pict>
          <v:rect id="_x0000_i1054" style="width:0;height:1.5pt" o:hralign="center" o:hrstd="t" o:hr="t" fillcolor="#a0a0a0" stroked="f"/>
        </w:pict>
      </w:r>
    </w:p>
    <w:p w:rsidR="00000000" w:rsidRDefault="00602C02">
      <w:pPr>
        <w:divId w:val="871722602"/>
        <w:rPr>
          <w:rFonts w:eastAsia="Times New Roman"/>
        </w:rPr>
      </w:pPr>
    </w:p>
    <w:p w:rsidR="00000000" w:rsidRDefault="00602C02">
      <w:pPr>
        <w:ind w:firstLine="360"/>
        <w:divId w:val="27993191"/>
        <w:rPr>
          <w:rFonts w:eastAsia="Times New Roman"/>
        </w:rPr>
      </w:pPr>
      <w:r>
        <w:rPr>
          <w:rFonts w:eastAsia="Times New Roman"/>
          <w:color w:val="000000"/>
          <w:sz w:val="20"/>
          <w:szCs w:val="20"/>
          <w:shd w:val="clear" w:color="auto" w:fill="FFFFFF"/>
        </w:rPr>
        <w:t>Although we expect future estimated operating cash flows to be adversely affected by the impact of COVID-19, most significan</w:t>
      </w:r>
      <w:r>
        <w:rPr>
          <w:rFonts w:eastAsia="Times New Roman"/>
          <w:color w:val="000000"/>
          <w:sz w:val="20"/>
          <w:szCs w:val="20"/>
          <w:shd w:val="clear" w:color="auto" w:fill="FFFFFF"/>
        </w:rPr>
        <w:t>tly through reduced QTL royalty revenues and QCT equipment revenues, we believe, based on our current business plan and the facts and factors known by us, our cash, cash equivalents and marketable securities, our expected cash flow generated from operation</w:t>
      </w:r>
      <w:r>
        <w:rPr>
          <w:rFonts w:eastAsia="Times New Roman"/>
          <w:color w:val="000000"/>
          <w:sz w:val="20"/>
          <w:szCs w:val="20"/>
          <w:shd w:val="clear" w:color="auto" w:fill="FFFFFF"/>
        </w:rPr>
        <w:t xml:space="preserve">s and our expected financing activities will satisfy our working and other capital requirements for at least the next 12 months. See “Risk Factors” in this Quarterly Report, including the Risk Factor entitled </w:t>
      </w:r>
      <w:r>
        <w:rPr>
          <w:rFonts w:eastAsia="Times New Roman"/>
          <w:i/>
          <w:iCs/>
          <w:color w:val="000000"/>
          <w:sz w:val="20"/>
          <w:szCs w:val="20"/>
          <w:shd w:val="clear" w:color="auto" w:fill="FFFFFF"/>
        </w:rPr>
        <w:t>“The recent coronavirus (COVID-19) pandemic has</w:t>
      </w:r>
      <w:r>
        <w:rPr>
          <w:rFonts w:eastAsia="Times New Roman"/>
          <w:i/>
          <w:iCs/>
          <w:color w:val="000000"/>
          <w:sz w:val="20"/>
          <w:szCs w:val="20"/>
          <w:shd w:val="clear" w:color="auto" w:fill="FFFFFF"/>
        </w:rPr>
        <w:t xml:space="preserve"> had an adverse effect on our business and results of operations, and we expect its impact will increase, at least in the near term.”</w:t>
      </w:r>
    </w:p>
    <w:p w:rsidR="00000000" w:rsidRDefault="00602C02">
      <w:pPr>
        <w:divId w:val="363605840"/>
        <w:rPr>
          <w:rFonts w:eastAsia="Times New Roman"/>
        </w:rPr>
      </w:pPr>
      <w:r>
        <w:rPr>
          <w:rFonts w:eastAsia="Times New Roman"/>
          <w:b/>
          <w:bCs/>
          <w:color w:val="000000"/>
          <w:sz w:val="20"/>
          <w:szCs w:val="20"/>
        </w:rPr>
        <w:t>Contractual Obligations/Off-Balance Sheet Arrangement</w:t>
      </w:r>
      <w:r>
        <w:rPr>
          <w:rFonts w:eastAsia="Times New Roman"/>
          <w:b/>
          <w:bCs/>
          <w:color w:val="000000"/>
          <w:sz w:val="20"/>
          <w:szCs w:val="20"/>
        </w:rPr>
        <w:t>s</w:t>
      </w:r>
    </w:p>
    <w:p w:rsidR="00000000" w:rsidRDefault="00602C02">
      <w:pPr>
        <w:ind w:firstLine="360"/>
        <w:divId w:val="404499433"/>
        <w:rPr>
          <w:rFonts w:eastAsia="Times New Roman"/>
        </w:rPr>
      </w:pPr>
      <w:r>
        <w:rPr>
          <w:rFonts w:eastAsia="Times New Roman"/>
          <w:color w:val="000000"/>
          <w:sz w:val="20"/>
          <w:szCs w:val="20"/>
          <w:shd w:val="clear" w:color="auto" w:fill="FFFFFF"/>
        </w:rPr>
        <w:t>We have no significant contractual obligations not fully recorded o</w:t>
      </w:r>
      <w:r>
        <w:rPr>
          <w:rFonts w:eastAsia="Times New Roman"/>
          <w:color w:val="000000"/>
          <w:sz w:val="20"/>
          <w:szCs w:val="20"/>
          <w:shd w:val="clear" w:color="auto" w:fill="FFFFFF"/>
        </w:rPr>
        <w:t>n our consolidated balance sheets or fully disclosed in the notes to our condensed consolidated financial statements, or otherwise disclosed in our 2019 Annual Report on Form 10-K. We have no material off-balance sheet arrangements as defined in Regulation</w:t>
      </w:r>
      <w:r>
        <w:rPr>
          <w:rFonts w:eastAsia="Times New Roman"/>
          <w:color w:val="000000"/>
          <w:sz w:val="20"/>
          <w:szCs w:val="20"/>
          <w:shd w:val="clear" w:color="auto" w:fill="FFFFFF"/>
        </w:rPr>
        <w:t xml:space="preserve"> S-K 303(a)(4)(ii).</w:t>
      </w:r>
    </w:p>
    <w:p w:rsidR="00000000" w:rsidRDefault="00602C02">
      <w:pPr>
        <w:ind w:firstLine="315"/>
        <w:divId w:val="351492648"/>
        <w:rPr>
          <w:rFonts w:eastAsia="Times New Roman"/>
        </w:rPr>
      </w:pPr>
      <w:r>
        <w:rPr>
          <w:rFonts w:eastAsia="Times New Roman"/>
          <w:color w:val="000000"/>
          <w:sz w:val="20"/>
          <w:szCs w:val="20"/>
        </w:rPr>
        <w:t>Additional information regarding our financial commitments at March 29, 2020 is provided in this Quarterly Report in “Notes to Condensed Consolidated Financial Statements, Note 2. Composition of Certain Financial Statement Items,” “Note</w:t>
      </w:r>
      <w:r>
        <w:rPr>
          <w:rFonts w:eastAsia="Times New Roman"/>
          <w:color w:val="000000"/>
          <w:sz w:val="20"/>
          <w:szCs w:val="20"/>
        </w:rPr>
        <w:t xml:space="preserve"> 3. Income Taxes” and “Note 5. Commitments and Contingencies.</w:t>
      </w:r>
      <w:r>
        <w:rPr>
          <w:rFonts w:eastAsia="Times New Roman"/>
          <w:color w:val="000000"/>
          <w:sz w:val="20"/>
          <w:szCs w:val="20"/>
        </w:rPr>
        <w:t>”</w:t>
      </w:r>
    </w:p>
    <w:p w:rsidR="00000000" w:rsidRDefault="00602C02">
      <w:pPr>
        <w:divId w:val="1166869452"/>
        <w:rPr>
          <w:rFonts w:eastAsia="Times New Roman"/>
        </w:rPr>
      </w:pPr>
      <w:r>
        <w:rPr>
          <w:rFonts w:eastAsia="Times New Roman"/>
          <w:b/>
          <w:bCs/>
          <w:color w:val="000000"/>
          <w:sz w:val="20"/>
          <w:szCs w:val="20"/>
        </w:rPr>
        <w:t>Recent Accounting Guidanc</w:t>
      </w:r>
      <w:r>
        <w:rPr>
          <w:rFonts w:eastAsia="Times New Roman"/>
          <w:b/>
          <w:bCs/>
          <w:color w:val="000000"/>
          <w:sz w:val="20"/>
          <w:szCs w:val="20"/>
        </w:rPr>
        <w:t>e</w:t>
      </w:r>
    </w:p>
    <w:p w:rsidR="00000000" w:rsidRDefault="00602C02">
      <w:pPr>
        <w:ind w:firstLine="360"/>
        <w:divId w:val="723025859"/>
        <w:rPr>
          <w:rFonts w:eastAsia="Times New Roman"/>
        </w:rPr>
      </w:pPr>
      <w:r>
        <w:rPr>
          <w:rFonts w:eastAsia="Times New Roman"/>
          <w:color w:val="000000"/>
          <w:sz w:val="20"/>
          <w:szCs w:val="20"/>
        </w:rPr>
        <w:t>Information regarding recent accounting guidance and the impact of such guidance on our consolidated financial statements is provided in this Quarterly Report in “Not</w:t>
      </w:r>
      <w:r>
        <w:rPr>
          <w:rFonts w:eastAsia="Times New Roman"/>
          <w:color w:val="000000"/>
          <w:sz w:val="20"/>
          <w:szCs w:val="20"/>
        </w:rPr>
        <w:t>es to Condensed Consolidated Financial Statements, Note 1. Basis of Presentation and Significant Accounting Policies Update.</w:t>
      </w:r>
      <w:r>
        <w:rPr>
          <w:rFonts w:eastAsia="Times New Roman"/>
          <w:color w:val="000000"/>
          <w:sz w:val="20"/>
          <w:szCs w:val="20"/>
        </w:rPr>
        <w:t>”</w:t>
      </w:r>
    </w:p>
    <w:p w:rsidR="00000000" w:rsidRDefault="00602C02">
      <w:pPr>
        <w:divId w:val="40597752"/>
        <w:rPr>
          <w:rFonts w:eastAsia="Times New Roman"/>
        </w:rPr>
      </w:pPr>
      <w:r>
        <w:rPr>
          <w:rFonts w:eastAsia="Times New Roman"/>
          <w:b/>
          <w:bCs/>
          <w:color w:val="000000"/>
          <w:sz w:val="20"/>
          <w:szCs w:val="20"/>
        </w:rPr>
        <w:t>Risk Factor</w:t>
      </w:r>
      <w:r>
        <w:rPr>
          <w:rFonts w:eastAsia="Times New Roman"/>
          <w:b/>
          <w:bCs/>
          <w:color w:val="000000"/>
          <w:sz w:val="20"/>
          <w:szCs w:val="20"/>
        </w:rPr>
        <w:t>s</w:t>
      </w:r>
    </w:p>
    <w:p w:rsidR="00000000" w:rsidRDefault="00602C02">
      <w:pPr>
        <w:ind w:firstLine="360"/>
        <w:divId w:val="2035038434"/>
        <w:rPr>
          <w:rFonts w:eastAsia="Times New Roman"/>
        </w:rPr>
      </w:pPr>
      <w:r>
        <w:rPr>
          <w:rFonts w:eastAsia="Times New Roman"/>
          <w:color w:val="000000"/>
          <w:sz w:val="20"/>
          <w:szCs w:val="20"/>
        </w:rPr>
        <w:t>You should consider each of the following factors in evaluating our business and our prospects. The risks and uncerta</w:t>
      </w:r>
      <w:r>
        <w:rPr>
          <w:rFonts w:eastAsia="Times New Roman"/>
          <w:color w:val="000000"/>
          <w:sz w:val="20"/>
          <w:szCs w:val="20"/>
        </w:rPr>
        <w:t xml:space="preserve">inties described below are not the only ones we face. Additional risks and uncertainties not presently known to us or that we currently consider immaterial may also negatively impact our business, results of operations, financial condition and cash flows, </w:t>
      </w:r>
      <w:r>
        <w:rPr>
          <w:rFonts w:eastAsia="Times New Roman"/>
          <w:color w:val="000000"/>
          <w:sz w:val="20"/>
          <w:szCs w:val="20"/>
        </w:rPr>
        <w:t>and require significant management time and attention. In that case, the trading price of our common stock could declin</w:t>
      </w:r>
      <w:r>
        <w:rPr>
          <w:rFonts w:eastAsia="Times New Roman"/>
          <w:color w:val="000000"/>
          <w:sz w:val="20"/>
          <w:szCs w:val="20"/>
        </w:rPr>
        <w:t>e</w:t>
      </w:r>
      <w:r>
        <w:rPr>
          <w:rFonts w:eastAsia="Times New Roman"/>
          <w:color w:val="000000"/>
          <w:sz w:val="20"/>
          <w:szCs w:val="20"/>
          <w:shd w:val="clear" w:color="auto" w:fill="FFFFFF"/>
        </w:rPr>
        <w:t xml:space="preserve">. In addition to the risks and uncertainties set forth in the Risk Factor below entitled </w:t>
      </w:r>
      <w:r>
        <w:rPr>
          <w:rFonts w:eastAsia="Times New Roman"/>
          <w:i/>
          <w:iCs/>
          <w:color w:val="000000"/>
          <w:sz w:val="20"/>
          <w:szCs w:val="20"/>
          <w:shd w:val="clear" w:color="auto" w:fill="FFFFFF"/>
        </w:rPr>
        <w:t>“The recent coronavirus (COVID-19) pandemic has</w:t>
      </w:r>
      <w:r>
        <w:rPr>
          <w:rFonts w:eastAsia="Times New Roman"/>
          <w:i/>
          <w:iCs/>
          <w:color w:val="000000"/>
          <w:sz w:val="20"/>
          <w:szCs w:val="20"/>
          <w:shd w:val="clear" w:color="auto" w:fill="FFFFFF"/>
        </w:rPr>
        <w:t xml:space="preserve"> had an adverse effect on our business and results of operations, and we expect its impact will increase, at least in the near term,” </w:t>
      </w:r>
      <w:r>
        <w:rPr>
          <w:rFonts w:eastAsia="Times New Roman"/>
          <w:color w:val="000000"/>
          <w:sz w:val="20"/>
          <w:szCs w:val="20"/>
          <w:shd w:val="clear" w:color="auto" w:fill="FFFFFF"/>
        </w:rPr>
        <w:t>many of the risks and uncertainties set forth in the other Risk Factors below will be exacerbated by the COVID-19 pandemic</w:t>
      </w:r>
      <w:r>
        <w:rPr>
          <w:rFonts w:eastAsia="Times New Roman"/>
          <w:color w:val="000000"/>
          <w:sz w:val="20"/>
          <w:szCs w:val="20"/>
          <w:shd w:val="clear" w:color="auto" w:fill="FFFFFF"/>
        </w:rPr>
        <w:t>, government and business responses thereto and any further resulting decline in the global business and economic environment</w:t>
      </w:r>
      <w:r>
        <w:rPr>
          <w:rFonts w:eastAsia="Times New Roman"/>
          <w:color w:val="000000"/>
          <w:sz w:val="20"/>
          <w:szCs w:val="20"/>
          <w:shd w:val="clear" w:color="auto" w:fill="FFFFFF"/>
        </w:rPr>
        <w:t>.</w:t>
      </w:r>
      <w:r>
        <w:rPr>
          <w:rFonts w:eastAsia="Times New Roman"/>
          <w:color w:val="000000"/>
          <w:sz w:val="20"/>
          <w:szCs w:val="20"/>
        </w:rPr>
        <w:t xml:space="preserve"> You should also consider the other information set forth in this Quarterly Report in evaluating our business and our prospects, i</w:t>
      </w:r>
      <w:r>
        <w:rPr>
          <w:rFonts w:eastAsia="Times New Roman"/>
          <w:color w:val="000000"/>
          <w:sz w:val="20"/>
          <w:szCs w:val="20"/>
        </w:rPr>
        <w:t>ncluding but not limited to our financial statements and the related notes, and “Part I, Item 2. Management’s Discussion and Analysis of Financial Condition and Results of Operations.” References to “and” and “or” should be read to include the other as wel</w:t>
      </w:r>
      <w:r>
        <w:rPr>
          <w:rFonts w:eastAsia="Times New Roman"/>
          <w:color w:val="000000"/>
          <w:sz w:val="20"/>
          <w:szCs w:val="20"/>
        </w:rPr>
        <w:t>l as “and/or,” as appropriate.</w:t>
      </w:r>
      <w:r>
        <w:rPr>
          <w:rFonts w:eastAsia="Times New Roman"/>
          <w:color w:val="000000"/>
          <w:sz w:val="20"/>
          <w:szCs w:val="20"/>
        </w:rPr>
        <w:t xml:space="preserve"> </w:t>
      </w:r>
    </w:p>
    <w:p w:rsidR="00000000" w:rsidRDefault="00602C02">
      <w:pPr>
        <w:divId w:val="1500078355"/>
        <w:rPr>
          <w:rFonts w:eastAsia="Times New Roman"/>
        </w:rPr>
      </w:pPr>
      <w:r>
        <w:rPr>
          <w:rFonts w:eastAsia="Times New Roman"/>
          <w:b/>
          <w:bCs/>
          <w:color w:val="000000"/>
          <w:sz w:val="20"/>
          <w:szCs w:val="20"/>
        </w:rPr>
        <w:t>Risks Related to Our Businesse</w:t>
      </w:r>
      <w:r>
        <w:rPr>
          <w:rFonts w:eastAsia="Times New Roman"/>
          <w:b/>
          <w:bCs/>
          <w:color w:val="000000"/>
          <w:sz w:val="20"/>
          <w:szCs w:val="20"/>
        </w:rPr>
        <w:t>s</w:t>
      </w:r>
    </w:p>
    <w:p w:rsidR="00000000" w:rsidRDefault="00602C02">
      <w:pPr>
        <w:divId w:val="1129973300"/>
        <w:rPr>
          <w:rFonts w:eastAsia="Times New Roman"/>
        </w:rPr>
      </w:pPr>
      <w:r>
        <w:rPr>
          <w:rFonts w:eastAsia="Times New Roman"/>
          <w:b/>
          <w:bCs/>
          <w:i/>
          <w:iCs/>
          <w:color w:val="000000"/>
          <w:sz w:val="20"/>
          <w:szCs w:val="20"/>
          <w:shd w:val="clear" w:color="auto" w:fill="FFFFFF"/>
        </w:rPr>
        <w:t>The recent coronavirus (COVID-19) pandemic has had an adverse effect on our business and results of operations, and we expect its impact will increase, at least in the near term.</w:t>
      </w:r>
    </w:p>
    <w:p w:rsidR="00000000" w:rsidRDefault="00602C02">
      <w:pPr>
        <w:ind w:firstLine="360"/>
        <w:divId w:val="250625966"/>
        <w:rPr>
          <w:rFonts w:eastAsia="Times New Roman"/>
        </w:rPr>
      </w:pPr>
      <w:r>
        <w:rPr>
          <w:rFonts w:eastAsia="Times New Roman"/>
          <w:color w:val="000000"/>
          <w:sz w:val="20"/>
          <w:szCs w:val="20"/>
          <w:shd w:val="clear" w:color="auto" w:fill="FFFFFF"/>
        </w:rPr>
        <w:t>The rapid, global spread of COVID-19 and the fear it has created has resulted in significant economic uncertainty, significant declines in business and consumer confidence and global demand in the wireless industry (among others), a global economic slowdow</w:t>
      </w:r>
      <w:r>
        <w:rPr>
          <w:rFonts w:eastAsia="Times New Roman"/>
          <w:color w:val="000000"/>
          <w:sz w:val="20"/>
          <w:szCs w:val="20"/>
          <w:shd w:val="clear" w:color="auto" w:fill="FFFFFF"/>
        </w:rPr>
        <w:t>n, and could lead to a global recession. Government policies and other preventive and precautionary measures that we, other businesses and governments have implemented to limit the spread of COVID-19, including but not limited to travel bans and restrictio</w:t>
      </w:r>
      <w:r>
        <w:rPr>
          <w:rFonts w:eastAsia="Times New Roman"/>
          <w:color w:val="000000"/>
          <w:sz w:val="20"/>
          <w:szCs w:val="20"/>
          <w:shd w:val="clear" w:color="auto" w:fill="FFFFFF"/>
        </w:rPr>
        <w:t>ns, quarantines, shelter-in-place and social distancing orders, declarations of states of emergency and shutdowns, have exacerbated these issues and we expect will continue to do so, at least in the near term. Specifically, the decline in demand for smartp</w:t>
      </w:r>
      <w:r>
        <w:rPr>
          <w:rFonts w:eastAsia="Times New Roman"/>
          <w:color w:val="000000"/>
          <w:sz w:val="20"/>
          <w:szCs w:val="20"/>
          <w:shd w:val="clear" w:color="auto" w:fill="FFFFFF"/>
        </w:rPr>
        <w:t>hones and other consumer devices sold by our customers or licensees has resulted in decreased demand for our integrated circuit products (which are incorporated into such devices) and a decrease in the royalties we earn on the licensing of our intellectual</w:t>
      </w:r>
      <w:r>
        <w:rPr>
          <w:rFonts w:eastAsia="Times New Roman"/>
          <w:color w:val="000000"/>
          <w:sz w:val="20"/>
          <w:szCs w:val="20"/>
          <w:shd w:val="clear" w:color="auto" w:fill="FFFFFF"/>
        </w:rPr>
        <w:t xml:space="preserve"> property (which is dependent upon the number of such devices sold that utilize our intellectual property). </w:t>
      </w:r>
    </w:p>
    <w:p w:rsidR="00000000" w:rsidRDefault="00602C02">
      <w:pPr>
        <w:ind w:firstLine="360"/>
        <w:divId w:val="327026654"/>
        <w:rPr>
          <w:rFonts w:eastAsia="Times New Roman"/>
        </w:rPr>
      </w:pPr>
      <w:r>
        <w:rPr>
          <w:rFonts w:eastAsia="Times New Roman"/>
          <w:color w:val="000000"/>
          <w:sz w:val="20"/>
          <w:szCs w:val="20"/>
          <w:shd w:val="clear" w:color="auto" w:fill="FFFFFF"/>
        </w:rPr>
        <w:t>We expect that demand for our products and demand for the products of our customers or licensees will be increasingly negatively impacted in the ne</w:t>
      </w:r>
      <w:r>
        <w:rPr>
          <w:rFonts w:eastAsia="Times New Roman"/>
          <w:color w:val="000000"/>
          <w:sz w:val="20"/>
          <w:szCs w:val="20"/>
          <w:shd w:val="clear" w:color="auto" w:fill="FFFFFF"/>
        </w:rPr>
        <w:t>ar term, and to the extent that economic uncertainty, business and consumer confidence, demand for our products and demand for the products of our customers or licensees does not improve, our business and results of operations will be further negatively im</w:t>
      </w:r>
      <w:r>
        <w:rPr>
          <w:rFonts w:eastAsia="Times New Roman"/>
          <w:color w:val="000000"/>
          <w:sz w:val="20"/>
          <w:szCs w:val="20"/>
          <w:shd w:val="clear" w:color="auto" w:fill="FFFFFF"/>
        </w:rPr>
        <w:t>pacted.</w:t>
      </w:r>
    </w:p>
    <w:p w:rsidR="00000000" w:rsidRDefault="00602C02">
      <w:pPr>
        <w:ind w:firstLine="360"/>
        <w:divId w:val="1595670577"/>
        <w:rPr>
          <w:rFonts w:eastAsia="Times New Roman"/>
        </w:rPr>
      </w:pPr>
      <w:r>
        <w:rPr>
          <w:rFonts w:eastAsia="Times New Roman"/>
          <w:color w:val="000000"/>
          <w:sz w:val="20"/>
          <w:szCs w:val="20"/>
          <w:shd w:val="clear" w:color="auto" w:fill="FFFFFF"/>
        </w:rPr>
        <w:t>The COVID-19 pandemic, and government policies and business measures in response thereto, such as those described above, have also negatively impacted the global wireless supply chain and workforce, including the manufacturing facilities and workfo</w:t>
      </w:r>
      <w:r>
        <w:rPr>
          <w:rFonts w:eastAsia="Times New Roman"/>
          <w:color w:val="000000"/>
          <w:sz w:val="20"/>
          <w:szCs w:val="20"/>
          <w:shd w:val="clear" w:color="auto" w:fill="FFFFFF"/>
        </w:rPr>
        <w:t>rces of our suppliers, customers and licensees. In particular, travel bans and restrictions, quarantines, shelter-in-</w:t>
      </w:r>
    </w:p>
    <w:p w:rsidR="00000000" w:rsidRDefault="00602C02">
      <w:pPr>
        <w:jc w:val="center"/>
        <w:divId w:val="1594045432"/>
        <w:rPr>
          <w:rFonts w:eastAsia="Times New Roman"/>
        </w:rPr>
      </w:pPr>
      <w:r>
        <w:rPr>
          <w:rFonts w:eastAsia="Times New Roman"/>
          <w:color w:val="000000"/>
          <w:sz w:val="20"/>
          <w:szCs w:val="20"/>
        </w:rPr>
        <w:t>3</w:t>
      </w:r>
      <w:r>
        <w:rPr>
          <w:rFonts w:eastAsia="Times New Roman"/>
          <w:color w:val="000000"/>
          <w:sz w:val="20"/>
          <w:szCs w:val="20"/>
        </w:rPr>
        <w:t>1</w:t>
      </w:r>
    </w:p>
    <w:p w:rsidR="00000000" w:rsidRDefault="00602C02">
      <w:pPr>
        <w:rPr>
          <w:rFonts w:eastAsia="Times New Roman"/>
        </w:rPr>
      </w:pPr>
      <w:r>
        <w:rPr>
          <w:rFonts w:eastAsia="Times New Roman"/>
        </w:rPr>
        <w:pict>
          <v:rect id="_x0000_i1055" style="width:0;height:1.5pt" o:hralign="center" o:hrstd="t" o:hr="t" fillcolor="#a0a0a0" stroked="f"/>
        </w:pict>
      </w:r>
    </w:p>
    <w:p w:rsidR="00000000" w:rsidRDefault="00602C02">
      <w:pPr>
        <w:divId w:val="1640302790"/>
        <w:rPr>
          <w:rFonts w:eastAsia="Times New Roman"/>
        </w:rPr>
      </w:pPr>
    </w:p>
    <w:p w:rsidR="00000000" w:rsidRDefault="00602C02">
      <w:pPr>
        <w:divId w:val="1099331006"/>
        <w:rPr>
          <w:rFonts w:eastAsia="Times New Roman"/>
        </w:rPr>
      </w:pPr>
      <w:r>
        <w:rPr>
          <w:rFonts w:eastAsia="Times New Roman"/>
          <w:color w:val="000000"/>
          <w:sz w:val="20"/>
          <w:szCs w:val="20"/>
          <w:shd w:val="clear" w:color="auto" w:fill="FFFFFF"/>
        </w:rPr>
        <w:t>place and social distancing orders, declarations of states of emergency and shutdowns have resul</w:t>
      </w:r>
      <w:r>
        <w:rPr>
          <w:rFonts w:eastAsia="Times New Roman"/>
          <w:color w:val="000000"/>
          <w:sz w:val="20"/>
          <w:szCs w:val="20"/>
          <w:shd w:val="clear" w:color="auto" w:fill="FFFFFF"/>
        </w:rPr>
        <w:t xml:space="preserve">ted in longer product cycle times, transportation, shipment and delivery delays, additional costs and reductions in output across the supply chain. However, to date, we have not seen a significant impact on our manufacturing facilities, the ability of our </w:t>
      </w:r>
      <w:r>
        <w:rPr>
          <w:rFonts w:eastAsia="Times New Roman"/>
          <w:color w:val="000000"/>
          <w:sz w:val="20"/>
          <w:szCs w:val="20"/>
          <w:shd w:val="clear" w:color="auto" w:fill="FFFFFF"/>
        </w:rPr>
        <w:t>suppliers to deliver on their commitments to us, or our ability to ship our products to our customers, and we expect this to continue to be true, at least in the near term.</w:t>
      </w:r>
    </w:p>
    <w:p w:rsidR="00000000" w:rsidRDefault="00602C02">
      <w:pPr>
        <w:ind w:firstLine="360"/>
        <w:divId w:val="424497151"/>
        <w:rPr>
          <w:rFonts w:eastAsia="Times New Roman"/>
        </w:rPr>
      </w:pPr>
      <w:r>
        <w:rPr>
          <w:rFonts w:eastAsia="Times New Roman"/>
          <w:color w:val="000000"/>
          <w:sz w:val="20"/>
          <w:szCs w:val="20"/>
          <w:shd w:val="clear" w:color="auto" w:fill="FFFFFF"/>
        </w:rPr>
        <w:t>Nonetheless, continued negative effects on the global wireless supply chain could r</w:t>
      </w:r>
      <w:r>
        <w:rPr>
          <w:rFonts w:eastAsia="Times New Roman"/>
          <w:color w:val="000000"/>
          <w:sz w:val="20"/>
          <w:szCs w:val="20"/>
          <w:shd w:val="clear" w:color="auto" w:fill="FFFFFF"/>
        </w:rPr>
        <w:t>esult in a reduction in our ability, or our inability, to supply our products to our customers, or a reduction in the ability, or the inability, of our suppliers to deliver on their commitments to us or of our customers or licensees to supply their product</w:t>
      </w:r>
      <w:r>
        <w:rPr>
          <w:rFonts w:eastAsia="Times New Roman"/>
          <w:color w:val="000000"/>
          <w:sz w:val="20"/>
          <w:szCs w:val="20"/>
          <w:shd w:val="clear" w:color="auto" w:fill="FFFFFF"/>
        </w:rPr>
        <w:t>s to consumers or other end users. In addition, if the suppliers (or their suppliers) that we rely on to perform the manufacturing and assembly, and most of the testing, of our integrated circuits produced in our fabless production model, the suppliers (or</w:t>
      </w:r>
      <w:r>
        <w:rPr>
          <w:rFonts w:eastAsia="Times New Roman"/>
          <w:color w:val="000000"/>
          <w:sz w:val="20"/>
          <w:szCs w:val="20"/>
          <w:shd w:val="clear" w:color="auto" w:fill="FFFFFF"/>
        </w:rPr>
        <w:t xml:space="preserve"> their suppliers) of raw materials or products utilized in our facilities that manufacture our RFFE modules and RF filter acoustic products, or our sources of distribution or transportation, continue to be or are further impacted, we may need to procure al</w:t>
      </w:r>
      <w:r>
        <w:rPr>
          <w:rFonts w:eastAsia="Times New Roman"/>
          <w:color w:val="000000"/>
          <w:sz w:val="20"/>
          <w:szCs w:val="20"/>
          <w:shd w:val="clear" w:color="auto" w:fill="FFFFFF"/>
        </w:rPr>
        <w:t>ternative or additional suppliers or sources of distribution or transportation, which may not be available or which may increase our costs or cause delays in our ability to provide our products to our customers or licensees. This risk is exacerbated to the</w:t>
      </w:r>
      <w:r>
        <w:rPr>
          <w:rFonts w:eastAsia="Times New Roman"/>
          <w:color w:val="000000"/>
          <w:sz w:val="20"/>
          <w:szCs w:val="20"/>
          <w:shd w:val="clear" w:color="auto" w:fill="FFFFFF"/>
        </w:rPr>
        <w:t xml:space="preserve"> extent we procure products, services or materials from a single source or limited sources. See also the Risk Factor entitled “</w:t>
      </w:r>
      <w:r>
        <w:rPr>
          <w:rFonts w:eastAsia="Times New Roman"/>
          <w:i/>
          <w:iCs/>
          <w:color w:val="000000"/>
          <w:sz w:val="20"/>
          <w:szCs w:val="20"/>
          <w:shd w:val="clear" w:color="auto" w:fill="FFFFFF"/>
        </w:rPr>
        <w:t xml:space="preserve">We depend on a limited number of third-party suppliers for the procurement, manufacture and testing of our products manufactured </w:t>
      </w:r>
      <w:r>
        <w:rPr>
          <w:rFonts w:eastAsia="Times New Roman"/>
          <w:i/>
          <w:iCs/>
          <w:color w:val="000000"/>
          <w:sz w:val="20"/>
          <w:szCs w:val="20"/>
          <w:shd w:val="clear" w:color="auto" w:fill="FFFFFF"/>
        </w:rPr>
        <w:t>in a fabless production model. If we fail to execute supply strategies that provide technology leadership, supply assurance and reasonable margins, our business and results of operations may be harmed. We are also subject to order and shipment uncertaintie</w:t>
      </w:r>
      <w:r>
        <w:rPr>
          <w:rFonts w:eastAsia="Times New Roman"/>
          <w:i/>
          <w:iCs/>
          <w:color w:val="000000"/>
          <w:sz w:val="20"/>
          <w:szCs w:val="20"/>
          <w:shd w:val="clear" w:color="auto" w:fill="FFFFFF"/>
        </w:rPr>
        <w:t>s that could negatively impact our results of operations</w:t>
      </w:r>
      <w:r>
        <w:rPr>
          <w:rFonts w:eastAsia="Times New Roman"/>
          <w:color w:val="000000"/>
          <w:sz w:val="20"/>
          <w:szCs w:val="20"/>
          <w:shd w:val="clear" w:color="auto" w:fill="FFFFFF"/>
        </w:rPr>
        <w:t xml:space="preserve">.” </w:t>
      </w:r>
    </w:p>
    <w:p w:rsidR="00000000" w:rsidRDefault="00602C02">
      <w:pPr>
        <w:ind w:firstLine="360"/>
        <w:divId w:val="463236001"/>
        <w:rPr>
          <w:rFonts w:eastAsia="Times New Roman"/>
        </w:rPr>
      </w:pPr>
      <w:r>
        <w:rPr>
          <w:rFonts w:eastAsia="Times New Roman"/>
          <w:color w:val="000000"/>
          <w:sz w:val="20"/>
          <w:szCs w:val="20"/>
          <w:shd w:val="clear" w:color="auto" w:fill="FFFFFF"/>
        </w:rPr>
        <w:t>Further, the spread of COVID-19 has caused us to modify our workforce practices, and we may take further actions that we determine are in the best interests of our employees or as required by gove</w:t>
      </w:r>
      <w:r>
        <w:rPr>
          <w:rFonts w:eastAsia="Times New Roman"/>
          <w:color w:val="000000"/>
          <w:sz w:val="20"/>
          <w:szCs w:val="20"/>
          <w:shd w:val="clear" w:color="auto" w:fill="FFFFFF"/>
        </w:rPr>
        <w:t>rnments. Since January 2020, we have complied with government restrictions in China which have limited our employees’ ability to work in our offices in China, although such restrictions have since lessened. On March 12, 2020, we announced a global mandator</w:t>
      </w:r>
      <w:r>
        <w:rPr>
          <w:rFonts w:eastAsia="Times New Roman"/>
          <w:color w:val="000000"/>
          <w:sz w:val="20"/>
          <w:szCs w:val="20"/>
          <w:shd w:val="clear" w:color="auto" w:fill="FFFFFF"/>
        </w:rPr>
        <w:t xml:space="preserve">y work from home policy for all of our other employees who are able to perform their jobs remotely, which remains in place. Prior to this announcement, we took various other measures to mitigate the risk to our employees and operations globally, including </w:t>
      </w:r>
      <w:r>
        <w:rPr>
          <w:rFonts w:eastAsia="Times New Roman"/>
          <w:color w:val="000000"/>
          <w:sz w:val="20"/>
          <w:szCs w:val="20"/>
          <w:shd w:val="clear" w:color="auto" w:fill="FFFFFF"/>
        </w:rPr>
        <w:t>certain employee travel and visitor restrictions, and cancellation of or limitations on physical participation in meetings, events and conferences, among others. On March 19, 2020, California, where our corporate headquarters is located, issued a shelter-i</w:t>
      </w:r>
      <w:r>
        <w:rPr>
          <w:rFonts w:eastAsia="Times New Roman"/>
          <w:color w:val="000000"/>
          <w:sz w:val="20"/>
          <w:szCs w:val="20"/>
          <w:shd w:val="clear" w:color="auto" w:fill="FFFFFF"/>
        </w:rPr>
        <w:t>n-place order, and other states and countries where we have employees have implemented similar restrictions. While this has not been the case to date, our business and results of operations could be negatively affected if a significant number of our employ</w:t>
      </w:r>
      <w:r>
        <w:rPr>
          <w:rFonts w:eastAsia="Times New Roman"/>
          <w:color w:val="000000"/>
          <w:sz w:val="20"/>
          <w:szCs w:val="20"/>
          <w:shd w:val="clear" w:color="auto" w:fill="FFFFFF"/>
        </w:rPr>
        <w:t>ees, or employees who perform critical functions such as certain engineering employees, employees necessary to maintain the continuity of our business operations, or employees that are critical to complete and support our key accounting close processes, fi</w:t>
      </w:r>
      <w:r>
        <w:rPr>
          <w:rFonts w:eastAsia="Times New Roman"/>
          <w:color w:val="000000"/>
          <w:sz w:val="20"/>
          <w:szCs w:val="20"/>
          <w:shd w:val="clear" w:color="auto" w:fill="FFFFFF"/>
        </w:rPr>
        <w:t>nancial reporting systems, internal control over financial reporting and disclosure controls and procedures, become ill and/or are quarantined as the result of exposure to COVID-19, or if government policies restrict the ability of those employees to perfo</w:t>
      </w:r>
      <w:r>
        <w:rPr>
          <w:rFonts w:eastAsia="Times New Roman"/>
          <w:color w:val="000000"/>
          <w:sz w:val="20"/>
          <w:szCs w:val="20"/>
          <w:shd w:val="clear" w:color="auto" w:fill="FFFFFF"/>
        </w:rPr>
        <w:t>rm their critical functions. Any actions we take with respect to our workforce may not be sufficient to mitigate the risks posed by COVID-19, and our ability to perform critical functions could be harmed.</w:t>
      </w:r>
    </w:p>
    <w:p w:rsidR="00000000" w:rsidRDefault="00602C02">
      <w:pPr>
        <w:ind w:firstLine="360"/>
        <w:divId w:val="842235209"/>
        <w:rPr>
          <w:rFonts w:eastAsia="Times New Roman"/>
        </w:rPr>
      </w:pPr>
      <w:r>
        <w:rPr>
          <w:rFonts w:eastAsia="Times New Roman"/>
          <w:color w:val="000000"/>
          <w:sz w:val="20"/>
          <w:szCs w:val="20"/>
          <w:shd w:val="clear" w:color="auto" w:fill="FFFFFF"/>
        </w:rPr>
        <w:t>We expect the foregoing demand, supply and workforc</w:t>
      </w:r>
      <w:r>
        <w:rPr>
          <w:rFonts w:eastAsia="Times New Roman"/>
          <w:color w:val="000000"/>
          <w:sz w:val="20"/>
          <w:szCs w:val="20"/>
          <w:shd w:val="clear" w:color="auto" w:fill="FFFFFF"/>
        </w:rPr>
        <w:t>e issues to continue, and in some instances increase, at least in the near term. Our business, financial condition and results of operations could also be impacted by delayed, reduced or cancelled customer orders; the inability of our customers or licensee</w:t>
      </w:r>
      <w:r>
        <w:rPr>
          <w:rFonts w:eastAsia="Times New Roman"/>
          <w:color w:val="000000"/>
          <w:sz w:val="20"/>
          <w:szCs w:val="20"/>
          <w:shd w:val="clear" w:color="auto" w:fill="FFFFFF"/>
        </w:rPr>
        <w:t>s to purchase or pay for our products or technologies; the insolvency of key suppliers, customers or licensees; delays in reporting or payments from our customers or licensees; or failures by other counterparties.</w:t>
      </w:r>
    </w:p>
    <w:p w:rsidR="00000000" w:rsidRDefault="00602C02">
      <w:pPr>
        <w:ind w:firstLine="360"/>
        <w:divId w:val="289357748"/>
        <w:rPr>
          <w:rFonts w:eastAsia="Times New Roman"/>
        </w:rPr>
      </w:pPr>
      <w:r>
        <w:rPr>
          <w:rFonts w:eastAsia="Times New Roman"/>
          <w:color w:val="000000"/>
          <w:sz w:val="20"/>
          <w:szCs w:val="20"/>
          <w:shd w:val="clear" w:color="auto" w:fill="FFFFFF"/>
        </w:rPr>
        <w:t>Further, trade and/or national security pr</w:t>
      </w:r>
      <w:r>
        <w:rPr>
          <w:rFonts w:eastAsia="Times New Roman"/>
          <w:color w:val="000000"/>
          <w:sz w:val="20"/>
          <w:szCs w:val="20"/>
          <w:shd w:val="clear" w:color="auto" w:fill="FFFFFF"/>
        </w:rPr>
        <w:t>otection policies may be adjusted as a result of the COVID-19 pandemic, such as actions by governments that limit, restrict or prevent the movement of certain goods into a country and/or region, and current U.S./China trade relations may be further exacerb</w:t>
      </w:r>
      <w:r>
        <w:rPr>
          <w:rFonts w:eastAsia="Times New Roman"/>
          <w:color w:val="000000"/>
          <w:sz w:val="20"/>
          <w:szCs w:val="20"/>
          <w:shd w:val="clear" w:color="auto" w:fill="FFFFFF"/>
        </w:rPr>
        <w:t xml:space="preserve">ated by the pandemic. </w:t>
      </w:r>
    </w:p>
    <w:p w:rsidR="00000000" w:rsidRDefault="00602C02">
      <w:pPr>
        <w:ind w:firstLine="360"/>
        <w:divId w:val="1941062345"/>
        <w:rPr>
          <w:rFonts w:eastAsia="Times New Roman"/>
        </w:rPr>
      </w:pPr>
      <w:r>
        <w:rPr>
          <w:rFonts w:eastAsia="Times New Roman"/>
          <w:color w:val="000000"/>
          <w:sz w:val="20"/>
          <w:szCs w:val="20"/>
          <w:shd w:val="clear" w:color="auto" w:fill="FFFFFF"/>
        </w:rPr>
        <w:t xml:space="preserve">We monitor goodwill and other long-lived assets for events or changes in circumstances in interim periods that could indicate such assets may be impaired. At September 29, 2019, the estimated fair values of our QCT and QTL reporting </w:t>
      </w:r>
      <w:r>
        <w:rPr>
          <w:rFonts w:eastAsia="Times New Roman"/>
          <w:color w:val="000000"/>
          <w:sz w:val="20"/>
          <w:szCs w:val="20"/>
          <w:shd w:val="clear" w:color="auto" w:fill="FFFFFF"/>
        </w:rPr>
        <w:t>units were substantially in excess of their respective carrying values. Based on facts and factors currently known by us, we did not record any impairment of goodwill or other long-lived assets during the second quarter of fiscal 2020 as a result of the im</w:t>
      </w:r>
      <w:r>
        <w:rPr>
          <w:rFonts w:eastAsia="Times New Roman"/>
          <w:color w:val="000000"/>
          <w:sz w:val="20"/>
          <w:szCs w:val="20"/>
          <w:shd w:val="clear" w:color="auto" w:fill="FFFFFF"/>
        </w:rPr>
        <w:t xml:space="preserve">pact of the COVID-19 pandemic on our business. Although we believe that our estimates and the assumptions supporting our impairment assessments are reasonable, future events or changes in circumstances could cause us to conclude that impairment indicators </w:t>
      </w:r>
      <w:r>
        <w:rPr>
          <w:rFonts w:eastAsia="Times New Roman"/>
          <w:color w:val="000000"/>
          <w:sz w:val="20"/>
          <w:szCs w:val="20"/>
          <w:shd w:val="clear" w:color="auto" w:fill="FFFFFF"/>
        </w:rPr>
        <w:t xml:space="preserve">exist, and that goodwill or other long-lived assets are impaired. </w:t>
      </w:r>
    </w:p>
    <w:p w:rsidR="00000000" w:rsidRDefault="00602C02">
      <w:pPr>
        <w:ind w:firstLine="360"/>
        <w:divId w:val="953824878"/>
        <w:rPr>
          <w:rFonts w:eastAsia="Times New Roman"/>
        </w:rPr>
      </w:pPr>
      <w:r>
        <w:rPr>
          <w:rFonts w:eastAsia="Times New Roman"/>
          <w:color w:val="000000"/>
          <w:sz w:val="20"/>
          <w:szCs w:val="20"/>
          <w:shd w:val="clear" w:color="auto" w:fill="FFFFFF"/>
        </w:rPr>
        <w:t>In addition, in the second quarter of fiscal 2020, we recorded impairment losses on certain of our equity method and non-marketable equity and debt investments in part resulting from the im</w:t>
      </w:r>
      <w:r>
        <w:rPr>
          <w:rFonts w:eastAsia="Times New Roman"/>
          <w:color w:val="000000"/>
          <w:sz w:val="20"/>
          <w:szCs w:val="20"/>
          <w:shd w:val="clear" w:color="auto" w:fill="FFFFFF"/>
        </w:rPr>
        <w:t>pact of COVID-19, and we may in the future record additional impairment losses in part or entirely resulting from COVID-19. Any resulting impairment losses in the future could have an adverse impact on our financial condition and results of operations. Fur</w:t>
      </w:r>
      <w:r>
        <w:rPr>
          <w:rFonts w:eastAsia="Times New Roman"/>
          <w:color w:val="000000"/>
          <w:sz w:val="20"/>
          <w:szCs w:val="20"/>
          <w:shd w:val="clear" w:color="auto" w:fill="FFFFFF"/>
        </w:rPr>
        <w:t xml:space="preserve">ther, while we have experienced </w:t>
      </w:r>
    </w:p>
    <w:p w:rsidR="00000000" w:rsidRDefault="00602C02">
      <w:pPr>
        <w:jc w:val="center"/>
        <w:divId w:val="990132680"/>
        <w:rPr>
          <w:rFonts w:eastAsia="Times New Roman"/>
        </w:rPr>
      </w:pPr>
      <w:r>
        <w:rPr>
          <w:rFonts w:eastAsia="Times New Roman"/>
          <w:color w:val="000000"/>
          <w:sz w:val="20"/>
          <w:szCs w:val="20"/>
        </w:rPr>
        <w:t>3</w:t>
      </w:r>
      <w:r>
        <w:rPr>
          <w:rFonts w:eastAsia="Times New Roman"/>
          <w:color w:val="000000"/>
          <w:sz w:val="20"/>
          <w:szCs w:val="20"/>
        </w:rPr>
        <w:t>2</w:t>
      </w:r>
    </w:p>
    <w:p w:rsidR="00000000" w:rsidRDefault="00602C02">
      <w:pPr>
        <w:rPr>
          <w:rFonts w:eastAsia="Times New Roman"/>
        </w:rPr>
      </w:pPr>
      <w:r>
        <w:rPr>
          <w:rFonts w:eastAsia="Times New Roman"/>
        </w:rPr>
        <w:pict>
          <v:rect id="_x0000_i1056" style="width:0;height:1.5pt" o:hralign="center" o:hrstd="t" o:hr="t" fillcolor="#a0a0a0" stroked="f"/>
        </w:pict>
      </w:r>
    </w:p>
    <w:p w:rsidR="00000000" w:rsidRDefault="00602C02">
      <w:pPr>
        <w:divId w:val="454829544"/>
        <w:rPr>
          <w:rFonts w:eastAsia="Times New Roman"/>
        </w:rPr>
      </w:pPr>
    </w:p>
    <w:p w:rsidR="00000000" w:rsidRDefault="00602C02">
      <w:pPr>
        <w:divId w:val="1053195016"/>
        <w:rPr>
          <w:rFonts w:eastAsia="Times New Roman"/>
        </w:rPr>
      </w:pPr>
      <w:r>
        <w:rPr>
          <w:rFonts w:eastAsia="Times New Roman"/>
          <w:color w:val="000000"/>
          <w:sz w:val="20"/>
          <w:szCs w:val="20"/>
          <w:shd w:val="clear" w:color="auto" w:fill="FFFFFF"/>
        </w:rPr>
        <w:t>minimal impact to date, our customers or licensees may experience a negative impact to their cash flow, which may impact our ability to recognize revenues and/or result in the recogn</w:t>
      </w:r>
      <w:r>
        <w:rPr>
          <w:rFonts w:eastAsia="Times New Roman"/>
          <w:color w:val="000000"/>
          <w:sz w:val="20"/>
          <w:szCs w:val="20"/>
          <w:shd w:val="clear" w:color="auto" w:fill="FFFFFF"/>
        </w:rPr>
        <w:t xml:space="preserve">ition of an allowance for doubtful accounts related to our accounts receivables, both of which would adversely impact our results of operations. </w:t>
      </w:r>
    </w:p>
    <w:p w:rsidR="00000000" w:rsidRDefault="00602C02">
      <w:pPr>
        <w:ind w:firstLine="360"/>
        <w:divId w:val="144862844"/>
        <w:rPr>
          <w:rFonts w:eastAsia="Times New Roman"/>
        </w:rPr>
      </w:pPr>
      <w:r>
        <w:rPr>
          <w:rFonts w:eastAsia="Times New Roman"/>
          <w:color w:val="000000"/>
          <w:sz w:val="20"/>
          <w:szCs w:val="20"/>
          <w:shd w:val="clear" w:color="auto" w:fill="FFFFFF"/>
        </w:rPr>
        <w:t>The degree to which the COVID-19 pandemic impacts our future business, financial condition and results of oper</w:t>
      </w:r>
      <w:r>
        <w:rPr>
          <w:rFonts w:eastAsia="Times New Roman"/>
          <w:color w:val="000000"/>
          <w:sz w:val="20"/>
          <w:szCs w:val="20"/>
          <w:shd w:val="clear" w:color="auto" w:fill="FFFFFF"/>
        </w:rPr>
        <w:t>ations will depend on future developments, which are uncertain, including but not limited to the duration, spread and severity of the pandemic, government responses and other actions to mitigate the spread of and to treat COVID-19, and when and to what ext</w:t>
      </w:r>
      <w:r>
        <w:rPr>
          <w:rFonts w:eastAsia="Times New Roman"/>
          <w:color w:val="000000"/>
          <w:sz w:val="20"/>
          <w:szCs w:val="20"/>
          <w:shd w:val="clear" w:color="auto" w:fill="FFFFFF"/>
        </w:rPr>
        <w:t>ent normal business, economic and social activity and conditions resume. We are similarly unable to predict the extent to which the pandemic impacts our customers, licensees, suppliers and other partners (and their suppliers and partners) and their financi</w:t>
      </w:r>
      <w:r>
        <w:rPr>
          <w:rFonts w:eastAsia="Times New Roman"/>
          <w:color w:val="000000"/>
          <w:sz w:val="20"/>
          <w:szCs w:val="20"/>
          <w:shd w:val="clear" w:color="auto" w:fill="FFFFFF"/>
        </w:rPr>
        <w:t>al conditions, but adverse effects on these parties could also adversely affect us. Finally, the COVID-19 pandemic makes it challenging for management to estimate the future performance of our business.</w:t>
      </w:r>
    </w:p>
    <w:p w:rsidR="00000000" w:rsidRDefault="00602C02">
      <w:pPr>
        <w:divId w:val="1100755652"/>
        <w:rPr>
          <w:rFonts w:eastAsia="Times New Roman"/>
        </w:rPr>
      </w:pPr>
      <w:r>
        <w:rPr>
          <w:rFonts w:eastAsia="Times New Roman"/>
          <w:b/>
          <w:bCs/>
          <w:i/>
          <w:iCs/>
          <w:color w:val="000000"/>
          <w:sz w:val="20"/>
          <w:szCs w:val="20"/>
        </w:rPr>
        <w:t>Our revenues depend on commercial network deployments</w:t>
      </w:r>
      <w:r>
        <w:rPr>
          <w:rFonts w:eastAsia="Times New Roman"/>
          <w:b/>
          <w:bCs/>
          <w:i/>
          <w:iCs/>
          <w:color w:val="000000"/>
          <w:sz w:val="20"/>
          <w:szCs w:val="20"/>
        </w:rPr>
        <w:t>, expansions and upgrades of CDMA, OFDMA and other communications technologies, including 5G; our customers’ and licensees’ sales of products and services based on these technologies; and customers’ demand for our products and services</w:t>
      </w:r>
      <w:r>
        <w:rPr>
          <w:rFonts w:eastAsia="Times New Roman"/>
          <w:b/>
          <w:bCs/>
          <w:i/>
          <w:iCs/>
          <w:color w:val="000000"/>
          <w:sz w:val="20"/>
          <w:szCs w:val="20"/>
        </w:rPr>
        <w:t>.</w:t>
      </w:r>
    </w:p>
    <w:p w:rsidR="00000000" w:rsidRDefault="00602C02">
      <w:pPr>
        <w:ind w:firstLine="360"/>
        <w:divId w:val="692614991"/>
        <w:rPr>
          <w:rFonts w:eastAsia="Times New Roman"/>
        </w:rPr>
      </w:pPr>
      <w:r>
        <w:rPr>
          <w:rFonts w:eastAsia="Times New Roman"/>
          <w:color w:val="000000"/>
          <w:sz w:val="20"/>
          <w:szCs w:val="20"/>
        </w:rPr>
        <w:t xml:space="preserve">We develop, patent </w:t>
      </w:r>
      <w:r>
        <w:rPr>
          <w:rFonts w:eastAsia="Times New Roman"/>
          <w:color w:val="000000"/>
          <w:sz w:val="20"/>
          <w:szCs w:val="20"/>
        </w:rPr>
        <w:t xml:space="preserve">and commercialize technology and products based on CDMA, OFDMA and other communications technologies, which are primarily wireless. We depend on operators of wireless networks and our customers and licensees to adopt and implement the latest generation of </w:t>
      </w:r>
      <w:r>
        <w:rPr>
          <w:rFonts w:eastAsia="Times New Roman"/>
          <w:color w:val="000000"/>
          <w:sz w:val="20"/>
          <w:szCs w:val="20"/>
        </w:rPr>
        <w:t>these technologies for use in their networks, devices and services. We also depend on our customers and licensees to develop devices and services based on these technologies with value-added features to drive consumer demand for new 3G/4G and 3G/4G/5G mult</w:t>
      </w:r>
      <w:r>
        <w:rPr>
          <w:rFonts w:eastAsia="Times New Roman"/>
          <w:color w:val="000000"/>
          <w:sz w:val="20"/>
          <w:szCs w:val="20"/>
        </w:rPr>
        <w:t>imode devices, as well as 3G, 4G and 5G single-mode devices, and to establish the selling prices for such devices. Further, the timing of our shipment of products and completion of services is dependent on the timing of our customers’ and licensees’ deploy</w:t>
      </w:r>
      <w:r>
        <w:rPr>
          <w:rFonts w:eastAsia="Times New Roman"/>
          <w:color w:val="000000"/>
          <w:sz w:val="20"/>
          <w:szCs w:val="20"/>
        </w:rPr>
        <w:t>ments of new devices and services based on these technologies. Increasingly, we also depend on operators of wireless networks, our customers and licensees and other third parties to incorporate these technologies into new device types and into industries a</w:t>
      </w:r>
      <w:r>
        <w:rPr>
          <w:rFonts w:eastAsia="Times New Roman"/>
          <w:color w:val="000000"/>
          <w:sz w:val="20"/>
          <w:szCs w:val="20"/>
        </w:rPr>
        <w:t>nd applications beyond traditional cellular communications, such as automotive, computing, IoT (including the connected home, smart cities, wearables, voice and music and robotics) and networking, among others</w:t>
      </w:r>
      <w:r>
        <w:rPr>
          <w:rFonts w:eastAsia="Times New Roman"/>
          <w:color w:val="000000"/>
          <w:sz w:val="20"/>
          <w:szCs w:val="20"/>
        </w:rPr>
        <w:t>.</w:t>
      </w:r>
    </w:p>
    <w:p w:rsidR="00000000" w:rsidRDefault="00602C02">
      <w:pPr>
        <w:ind w:firstLine="360"/>
        <w:divId w:val="1299460513"/>
        <w:rPr>
          <w:rFonts w:eastAsia="Times New Roman"/>
        </w:rPr>
      </w:pPr>
      <w:r>
        <w:rPr>
          <w:rFonts w:eastAsia="Times New Roman"/>
          <w:color w:val="000000"/>
          <w:sz w:val="20"/>
          <w:szCs w:val="20"/>
        </w:rPr>
        <w:t>We have historically been successful during w</w:t>
      </w:r>
      <w:r>
        <w:rPr>
          <w:rFonts w:eastAsia="Times New Roman"/>
          <w:color w:val="000000"/>
          <w:sz w:val="20"/>
          <w:szCs w:val="20"/>
        </w:rPr>
        <w:t>ireless technology transitions, including 3G and 4G. The latest generation of wireless technologies is 5G, which we expect will empower a new era of connected devices and will be utilized not only in handsets but also in new device types, industries and ap</w:t>
      </w:r>
      <w:r>
        <w:rPr>
          <w:rFonts w:eastAsia="Times New Roman"/>
          <w:color w:val="000000"/>
          <w:sz w:val="20"/>
          <w:szCs w:val="20"/>
        </w:rPr>
        <w:t>plications beyond traditional cellular communications, as described above (see also Part I, Item 1, “Business” in our most recent Annual Report on Form 10-K for further description of 5G). Commercial deployments of 5G networks and devices have begun and wi</w:t>
      </w:r>
      <w:r>
        <w:rPr>
          <w:rFonts w:eastAsia="Times New Roman"/>
          <w:color w:val="000000"/>
          <w:sz w:val="20"/>
          <w:szCs w:val="20"/>
        </w:rPr>
        <w:t>ll continue through fiscal 2020 and beyond</w:t>
      </w:r>
      <w:r>
        <w:rPr>
          <w:rFonts w:eastAsia="Times New Roman"/>
          <w:color w:val="000000"/>
          <w:sz w:val="20"/>
          <w:szCs w:val="20"/>
        </w:rPr>
        <w:t>.</w:t>
      </w:r>
      <w:r>
        <w:rPr>
          <w:rFonts w:eastAsia="Times New Roman"/>
          <w:color w:val="000000"/>
          <w:sz w:val="20"/>
          <w:szCs w:val="20"/>
          <w:shd w:val="clear" w:color="auto" w:fill="FFFFFF"/>
        </w:rPr>
        <w:t xml:space="preserve"> However, the timing and scale of such deployments, in certain regions, may be delayed due to the COVID-19 pandemic. We believe it is important that we remain a leader in 5G technology development, standardization</w:t>
      </w:r>
      <w:r>
        <w:rPr>
          <w:rFonts w:eastAsia="Times New Roman"/>
          <w:color w:val="000000"/>
          <w:sz w:val="20"/>
          <w:szCs w:val="20"/>
          <w:shd w:val="clear" w:color="auto" w:fill="FFFFFF"/>
        </w:rPr>
        <w:t>, intellectual property c</w:t>
      </w:r>
      <w:r>
        <w:rPr>
          <w:rFonts w:eastAsia="Times New Roman"/>
          <w:color w:val="000000"/>
          <w:sz w:val="20"/>
          <w:szCs w:val="20"/>
          <w:shd w:val="clear" w:color="auto" w:fill="FFFFFF"/>
        </w:rPr>
        <w:t>r</w:t>
      </w:r>
      <w:r>
        <w:rPr>
          <w:rFonts w:eastAsia="Times New Roman"/>
          <w:color w:val="000000"/>
          <w:sz w:val="20"/>
          <w:szCs w:val="20"/>
        </w:rPr>
        <w:t>eation and technology licensing, and that we develop, commercialize and be a leading supplier of 5G integrated circuit products and services, in order to sustain and grow our business long-term</w:t>
      </w:r>
      <w:r>
        <w:rPr>
          <w:rFonts w:eastAsia="Times New Roman"/>
          <w:color w:val="000000"/>
          <w:sz w:val="20"/>
          <w:szCs w:val="20"/>
        </w:rPr>
        <w:t>.</w:t>
      </w:r>
    </w:p>
    <w:p w:rsidR="00000000" w:rsidRDefault="00602C02">
      <w:pPr>
        <w:ind w:firstLine="360"/>
        <w:divId w:val="324018432"/>
        <w:rPr>
          <w:rFonts w:eastAsia="Times New Roman"/>
        </w:rPr>
      </w:pPr>
      <w:r>
        <w:rPr>
          <w:rFonts w:eastAsia="Times New Roman"/>
          <w:color w:val="000000"/>
          <w:sz w:val="20"/>
          <w:szCs w:val="20"/>
        </w:rPr>
        <w:t>Our revenues and growth in revenues</w:t>
      </w:r>
      <w:r>
        <w:rPr>
          <w:rFonts w:eastAsia="Times New Roman"/>
          <w:color w:val="000000"/>
          <w:sz w:val="20"/>
          <w:szCs w:val="20"/>
        </w:rPr>
        <w:t xml:space="preserve"> could be negatively impacted, our business may be harmed and our substantial investments in these technologies may not provide us an adequate return, if</w:t>
      </w:r>
      <w:r>
        <w:rPr>
          <w:rFonts w:eastAsia="Times New Roman"/>
          <w:color w:val="000000"/>
          <w:sz w:val="20"/>
          <w:szCs w:val="20"/>
        </w:rPr>
        <w:t>:</w:t>
      </w:r>
    </w:p>
    <w:p w:rsidR="00000000" w:rsidRDefault="00602C02">
      <w:pPr>
        <w:ind w:hanging="360"/>
        <w:divId w:val="350842842"/>
        <w:rPr>
          <w:rFonts w:eastAsia="Times New Roman"/>
        </w:rPr>
      </w:pPr>
      <w:r>
        <w:rPr>
          <w:rFonts w:eastAsia="Times New Roman"/>
          <w:color w:val="000000"/>
          <w:sz w:val="20"/>
          <w:szCs w:val="20"/>
        </w:rPr>
        <w:t>•</w:t>
      </w:r>
      <w:r>
        <w:rPr>
          <w:rFonts w:eastAsia="Times New Roman"/>
          <w:color w:val="000000"/>
          <w:sz w:val="20"/>
          <w:szCs w:val="20"/>
        </w:rPr>
        <w:t>wireless operators and industries beyond traditional cellular communications deploy alternative tech</w:t>
      </w:r>
      <w:r>
        <w:rPr>
          <w:rFonts w:eastAsia="Times New Roman"/>
          <w:color w:val="000000"/>
          <w:sz w:val="20"/>
          <w:szCs w:val="20"/>
        </w:rPr>
        <w:t>nologies</w:t>
      </w:r>
      <w:r>
        <w:rPr>
          <w:rFonts w:eastAsia="Times New Roman"/>
          <w:color w:val="000000"/>
          <w:sz w:val="20"/>
          <w:szCs w:val="20"/>
        </w:rPr>
        <w:t>;</w:t>
      </w:r>
    </w:p>
    <w:p w:rsidR="00000000" w:rsidRDefault="00602C02">
      <w:pPr>
        <w:ind w:hanging="360"/>
        <w:divId w:val="726883122"/>
        <w:rPr>
          <w:rFonts w:eastAsia="Times New Roman"/>
        </w:rPr>
      </w:pPr>
      <w:r>
        <w:rPr>
          <w:rFonts w:eastAsia="Times New Roman"/>
          <w:color w:val="000000"/>
          <w:sz w:val="20"/>
          <w:szCs w:val="20"/>
        </w:rPr>
        <w:t>•</w:t>
      </w:r>
      <w:r>
        <w:rPr>
          <w:rFonts w:eastAsia="Times New Roman"/>
          <w:color w:val="000000"/>
          <w:sz w:val="20"/>
          <w:szCs w:val="20"/>
        </w:rPr>
        <w:t>wireless operators delay next-generation network deployments, expansions or upgrades or delay moving customers to 3G/4G and 3G/4G/5G multimode devices, as well as 4G and 5G single-mode devices</w:t>
      </w:r>
      <w:r>
        <w:rPr>
          <w:rFonts w:eastAsia="Times New Roman"/>
          <w:color w:val="000000"/>
          <w:sz w:val="20"/>
          <w:szCs w:val="20"/>
        </w:rPr>
        <w:t>;</w:t>
      </w:r>
    </w:p>
    <w:p w:rsidR="00000000" w:rsidRDefault="00602C02">
      <w:pPr>
        <w:ind w:hanging="360"/>
        <w:divId w:val="757017322"/>
        <w:rPr>
          <w:rFonts w:eastAsia="Times New Roman"/>
        </w:rPr>
      </w:pPr>
      <w:r>
        <w:rPr>
          <w:rFonts w:eastAsia="Times New Roman"/>
          <w:color w:val="000000"/>
          <w:sz w:val="20"/>
          <w:szCs w:val="20"/>
        </w:rPr>
        <w:t>•</w:t>
      </w:r>
      <w:r>
        <w:rPr>
          <w:rFonts w:eastAsia="Times New Roman"/>
          <w:color w:val="000000"/>
          <w:sz w:val="20"/>
          <w:szCs w:val="20"/>
        </w:rPr>
        <w:t>government regulators delay making sufficient spec</w:t>
      </w:r>
      <w:r>
        <w:rPr>
          <w:rFonts w:eastAsia="Times New Roman"/>
          <w:color w:val="000000"/>
          <w:sz w:val="20"/>
          <w:szCs w:val="20"/>
        </w:rPr>
        <w:t>trum available for 4G and 5G wireless technologies, including unlicensed spectrum and shared spectrum technologies, thereby delaying or precluding the initial deployment or expanded deployment of these technologies</w:t>
      </w:r>
      <w:r>
        <w:rPr>
          <w:rFonts w:eastAsia="Times New Roman"/>
          <w:color w:val="000000"/>
          <w:sz w:val="20"/>
          <w:szCs w:val="20"/>
        </w:rPr>
        <w:t>;</w:t>
      </w:r>
    </w:p>
    <w:p w:rsidR="00000000" w:rsidRDefault="00602C02">
      <w:pPr>
        <w:ind w:hanging="360"/>
        <w:divId w:val="1908105793"/>
        <w:rPr>
          <w:rFonts w:eastAsia="Times New Roman"/>
        </w:rPr>
      </w:pPr>
      <w:r>
        <w:rPr>
          <w:rFonts w:eastAsia="Times New Roman"/>
          <w:color w:val="000000"/>
          <w:sz w:val="20"/>
          <w:szCs w:val="20"/>
        </w:rPr>
        <w:t>•</w:t>
      </w:r>
      <w:r>
        <w:rPr>
          <w:rFonts w:eastAsia="Times New Roman"/>
          <w:color w:val="000000"/>
          <w:sz w:val="20"/>
          <w:szCs w:val="20"/>
        </w:rPr>
        <w:t>wireless operators delay or do not driv</w:t>
      </w:r>
      <w:r>
        <w:rPr>
          <w:rFonts w:eastAsia="Times New Roman"/>
          <w:color w:val="000000"/>
          <w:sz w:val="20"/>
          <w:szCs w:val="20"/>
        </w:rPr>
        <w:t>e improvements in 4G or 5G, or 3G/4G or 3G/4G/5G multimode network performance and capacity</w:t>
      </w:r>
      <w:r>
        <w:rPr>
          <w:rFonts w:eastAsia="Times New Roman"/>
          <w:color w:val="000000"/>
          <w:sz w:val="20"/>
          <w:szCs w:val="20"/>
        </w:rPr>
        <w:t>;</w:t>
      </w:r>
    </w:p>
    <w:p w:rsidR="00000000" w:rsidRDefault="00602C02">
      <w:pPr>
        <w:ind w:hanging="360"/>
        <w:divId w:val="227114199"/>
        <w:rPr>
          <w:rFonts w:eastAsia="Times New Roman"/>
        </w:rPr>
      </w:pPr>
      <w:r>
        <w:rPr>
          <w:rFonts w:eastAsia="Times New Roman"/>
          <w:color w:val="000000"/>
          <w:sz w:val="20"/>
          <w:szCs w:val="20"/>
        </w:rPr>
        <w:t>•</w:t>
      </w:r>
      <w:r>
        <w:rPr>
          <w:rFonts w:eastAsia="Times New Roman"/>
          <w:color w:val="000000"/>
          <w:sz w:val="20"/>
          <w:szCs w:val="20"/>
        </w:rPr>
        <w:t xml:space="preserve">our customers’ and licensees’ </w:t>
      </w:r>
      <w:r>
        <w:rPr>
          <w:rFonts w:eastAsia="Times New Roman"/>
          <w:color w:val="000000"/>
          <w:sz w:val="20"/>
          <w:szCs w:val="20"/>
        </w:rPr>
        <w:t>revenues and sales of products, particularly premium-tier products, and services using these technologies, and average selling prices of such products, decline, do not grow or do not grow meaningfully due to, for example, the maturity of smartphone penetra</w:t>
      </w:r>
      <w:r>
        <w:rPr>
          <w:rFonts w:eastAsia="Times New Roman"/>
          <w:color w:val="000000"/>
          <w:sz w:val="20"/>
          <w:szCs w:val="20"/>
        </w:rPr>
        <w:t>tion in developed regions and China</w:t>
      </w:r>
      <w:r>
        <w:rPr>
          <w:rFonts w:eastAsia="Times New Roman"/>
          <w:color w:val="000000"/>
          <w:sz w:val="20"/>
          <w:szCs w:val="20"/>
        </w:rPr>
        <w:t>;</w:t>
      </w:r>
    </w:p>
    <w:p w:rsidR="00000000" w:rsidRDefault="00602C02">
      <w:pPr>
        <w:ind w:hanging="360"/>
        <w:divId w:val="1921712371"/>
        <w:rPr>
          <w:rFonts w:eastAsia="Times New Roman"/>
        </w:rPr>
      </w:pPr>
      <w:r>
        <w:rPr>
          <w:rFonts w:eastAsia="Times New Roman"/>
          <w:color w:val="000000"/>
          <w:sz w:val="20"/>
          <w:szCs w:val="20"/>
        </w:rPr>
        <w:t>•</w:t>
      </w:r>
      <w:r>
        <w:rPr>
          <w:rFonts w:eastAsia="Times New Roman"/>
          <w:color w:val="000000"/>
          <w:sz w:val="20"/>
          <w:szCs w:val="20"/>
        </w:rPr>
        <w:t>our intellectual property and technical leadership included in the continued 5G standardization effort is less than in 3G and 4G standards</w:t>
      </w:r>
      <w:r>
        <w:rPr>
          <w:rFonts w:eastAsia="Times New Roman"/>
          <w:color w:val="000000"/>
          <w:sz w:val="20"/>
          <w:szCs w:val="20"/>
        </w:rPr>
        <w:t>;</w:t>
      </w:r>
    </w:p>
    <w:p w:rsidR="00000000" w:rsidRDefault="00602C02">
      <w:pPr>
        <w:ind w:hanging="360"/>
        <w:divId w:val="73743586"/>
        <w:rPr>
          <w:rFonts w:eastAsia="Times New Roman"/>
        </w:rPr>
      </w:pPr>
      <w:r>
        <w:rPr>
          <w:rFonts w:eastAsia="Times New Roman"/>
          <w:color w:val="000000"/>
          <w:sz w:val="20"/>
          <w:szCs w:val="20"/>
        </w:rPr>
        <w:t>•</w:t>
      </w:r>
      <w:r>
        <w:rPr>
          <w:rFonts w:eastAsia="Times New Roman"/>
          <w:color w:val="000000"/>
          <w:sz w:val="20"/>
          <w:szCs w:val="20"/>
        </w:rPr>
        <w:t>the continued standardization or commercial deployment of 5G technologies is dela</w:t>
      </w:r>
      <w:r>
        <w:rPr>
          <w:rFonts w:eastAsia="Times New Roman"/>
          <w:color w:val="000000"/>
          <w:sz w:val="20"/>
          <w:szCs w:val="20"/>
        </w:rPr>
        <w:t>y</w:t>
      </w:r>
      <w:r>
        <w:rPr>
          <w:rFonts w:eastAsia="Times New Roman"/>
          <w:color w:val="000000"/>
          <w:sz w:val="20"/>
          <w:szCs w:val="20"/>
          <w:shd w:val="clear" w:color="auto" w:fill="FFFFFF"/>
        </w:rPr>
        <w:t xml:space="preserve">ed or not widely deployed and/or adopted; </w:t>
      </w:r>
    </w:p>
    <w:p w:rsidR="00000000" w:rsidRDefault="00602C02">
      <w:pPr>
        <w:ind w:hanging="360"/>
        <w:divId w:val="1079405756"/>
        <w:rPr>
          <w:rFonts w:eastAsia="Times New Roman"/>
        </w:rPr>
      </w:pPr>
      <w:r>
        <w:rPr>
          <w:rFonts w:eastAsia="Times New Roman"/>
          <w:color w:val="000000"/>
          <w:sz w:val="20"/>
          <w:szCs w:val="20"/>
        </w:rPr>
        <w:t>•</w:t>
      </w:r>
      <w:r>
        <w:rPr>
          <w:rFonts w:eastAsia="Times New Roman"/>
          <w:color w:val="000000"/>
          <w:sz w:val="20"/>
          <w:szCs w:val="20"/>
        </w:rPr>
        <w:t>we are unable to drive the adoption of our products and services into networks and devices, including devices beyond traditional c</w:t>
      </w:r>
      <w:r>
        <w:rPr>
          <w:rFonts w:eastAsia="Times New Roman"/>
          <w:color w:val="000000"/>
          <w:sz w:val="20"/>
          <w:szCs w:val="20"/>
        </w:rPr>
        <w:t>ellular applications, based on CDMA, OFDMA and other communications technologies; o</w:t>
      </w:r>
      <w:r>
        <w:rPr>
          <w:rFonts w:eastAsia="Times New Roman"/>
          <w:color w:val="000000"/>
          <w:sz w:val="20"/>
          <w:szCs w:val="20"/>
        </w:rPr>
        <w:t>r</w:t>
      </w:r>
    </w:p>
    <w:p w:rsidR="00000000" w:rsidRDefault="00602C02">
      <w:pPr>
        <w:ind w:hanging="360"/>
        <w:divId w:val="576477859"/>
        <w:rPr>
          <w:rFonts w:eastAsia="Times New Roman"/>
        </w:rPr>
      </w:pPr>
      <w:r>
        <w:rPr>
          <w:rFonts w:eastAsia="Times New Roman"/>
          <w:color w:val="000000"/>
          <w:sz w:val="20"/>
          <w:szCs w:val="20"/>
        </w:rPr>
        <w:t>•</w:t>
      </w:r>
      <w:r>
        <w:rPr>
          <w:rFonts w:eastAsia="Times New Roman"/>
          <w:color w:val="000000"/>
          <w:sz w:val="20"/>
          <w:szCs w:val="20"/>
        </w:rPr>
        <w:t>consumers’ rates of replacement of smartphones and other computing devices decline, do not grow or do not grow meaningfully.</w:t>
      </w:r>
      <w:r>
        <w:rPr>
          <w:rFonts w:eastAsia="Times New Roman"/>
          <w:color w:val="000000"/>
          <w:sz w:val="20"/>
          <w:szCs w:val="20"/>
        </w:rPr>
        <w:t xml:space="preserve"> </w:t>
      </w:r>
    </w:p>
    <w:p w:rsidR="00000000" w:rsidRDefault="00602C02">
      <w:pPr>
        <w:jc w:val="center"/>
        <w:divId w:val="1408116550"/>
        <w:rPr>
          <w:rFonts w:eastAsia="Times New Roman"/>
        </w:rPr>
      </w:pPr>
      <w:r>
        <w:rPr>
          <w:rFonts w:eastAsia="Times New Roman"/>
          <w:color w:val="000000"/>
          <w:sz w:val="20"/>
          <w:szCs w:val="20"/>
        </w:rPr>
        <w:t>3</w:t>
      </w:r>
      <w:r>
        <w:rPr>
          <w:rFonts w:eastAsia="Times New Roman"/>
          <w:color w:val="000000"/>
          <w:sz w:val="20"/>
          <w:szCs w:val="20"/>
        </w:rPr>
        <w:t>3</w:t>
      </w:r>
    </w:p>
    <w:p w:rsidR="00000000" w:rsidRDefault="00602C02">
      <w:pPr>
        <w:rPr>
          <w:rFonts w:eastAsia="Times New Roman"/>
        </w:rPr>
      </w:pPr>
      <w:r>
        <w:rPr>
          <w:rFonts w:eastAsia="Times New Roman"/>
        </w:rPr>
        <w:pict>
          <v:rect id="_x0000_i1057" style="width:0;height:1.5pt" o:hralign="center" o:hrstd="t" o:hr="t" fillcolor="#a0a0a0" stroked="f"/>
        </w:pict>
      </w:r>
    </w:p>
    <w:p w:rsidR="00000000" w:rsidRDefault="00602C02">
      <w:pPr>
        <w:divId w:val="488326117"/>
        <w:rPr>
          <w:rFonts w:eastAsia="Times New Roman"/>
        </w:rPr>
      </w:pPr>
    </w:p>
    <w:p w:rsidR="00000000" w:rsidRDefault="00602C02">
      <w:pPr>
        <w:divId w:val="975068322"/>
        <w:rPr>
          <w:rFonts w:eastAsia="Times New Roman"/>
        </w:rPr>
      </w:pPr>
      <w:r>
        <w:rPr>
          <w:rFonts w:eastAsia="Times New Roman"/>
          <w:b/>
          <w:bCs/>
          <w:i/>
          <w:iCs/>
          <w:color w:val="000000"/>
          <w:sz w:val="20"/>
          <w:szCs w:val="20"/>
        </w:rPr>
        <w:t>Ou</w:t>
      </w:r>
      <w:r>
        <w:rPr>
          <w:rFonts w:eastAsia="Times New Roman"/>
          <w:b/>
          <w:bCs/>
          <w:i/>
          <w:iCs/>
          <w:color w:val="000000"/>
          <w:sz w:val="20"/>
          <w:szCs w:val="20"/>
        </w:rPr>
        <w:t>r industry is subject to competition in an environment of rapid technological change. Our success depends in part on our ability to adapt to such change and compete effectively; and such change and competition could result in decreased demand for our produ</w:t>
      </w:r>
      <w:r>
        <w:rPr>
          <w:rFonts w:eastAsia="Times New Roman"/>
          <w:b/>
          <w:bCs/>
          <w:i/>
          <w:iCs/>
          <w:color w:val="000000"/>
          <w:sz w:val="20"/>
          <w:szCs w:val="20"/>
        </w:rPr>
        <w:t>cts, services and technologies or declining average selling prices for our products or those of our customers or licensees.</w:t>
      </w:r>
      <w:r>
        <w:rPr>
          <w:rFonts w:eastAsia="Times New Roman"/>
          <w:b/>
          <w:bCs/>
          <w:i/>
          <w:iCs/>
          <w:color w:val="000000"/>
          <w:sz w:val="20"/>
          <w:szCs w:val="20"/>
        </w:rPr>
        <w:t xml:space="preserve"> </w:t>
      </w:r>
    </w:p>
    <w:p w:rsidR="00000000" w:rsidRDefault="00602C02">
      <w:pPr>
        <w:ind w:firstLine="360"/>
        <w:divId w:val="1573389749"/>
        <w:rPr>
          <w:rFonts w:eastAsia="Times New Roman"/>
        </w:rPr>
      </w:pPr>
      <w:r>
        <w:rPr>
          <w:rFonts w:eastAsia="Times New Roman"/>
          <w:color w:val="000000"/>
          <w:sz w:val="20"/>
          <w:szCs w:val="20"/>
        </w:rPr>
        <w:t xml:space="preserve">Our products, services and technologies face significant competition. We expect competition to increase as our current competitors </w:t>
      </w:r>
      <w:r>
        <w:rPr>
          <w:rFonts w:eastAsia="Times New Roman"/>
          <w:color w:val="000000"/>
          <w:sz w:val="20"/>
          <w:szCs w:val="20"/>
        </w:rPr>
        <w:t>expand their product offeri</w:t>
      </w:r>
      <w:r>
        <w:rPr>
          <w:rFonts w:eastAsia="Times New Roman"/>
          <w:color w:val="000000"/>
          <w:sz w:val="20"/>
          <w:szCs w:val="20"/>
        </w:rPr>
        <w:t>n</w:t>
      </w:r>
      <w:r>
        <w:rPr>
          <w:rFonts w:eastAsia="Times New Roman"/>
          <w:color w:val="000000"/>
          <w:sz w:val="20"/>
          <w:szCs w:val="20"/>
          <w:shd w:val="clear" w:color="auto" w:fill="FFFFFF"/>
        </w:rPr>
        <w:t>gs, improve their products or r</w:t>
      </w:r>
      <w:r>
        <w:rPr>
          <w:rFonts w:eastAsia="Times New Roman"/>
          <w:color w:val="000000"/>
          <w:sz w:val="20"/>
          <w:szCs w:val="20"/>
          <w:shd w:val="clear" w:color="auto" w:fill="FFFFFF"/>
        </w:rPr>
        <w:t>e</w:t>
      </w:r>
      <w:r>
        <w:rPr>
          <w:rFonts w:eastAsia="Times New Roman"/>
          <w:color w:val="000000"/>
          <w:sz w:val="20"/>
          <w:szCs w:val="20"/>
        </w:rPr>
        <w:t>duce the prices of their products as part of a strategy to maintain existing business and customers or attract new business and customers, as new opportunities develop, and as new competitors ente</w:t>
      </w:r>
      <w:r>
        <w:rPr>
          <w:rFonts w:eastAsia="Times New Roman"/>
          <w:color w:val="000000"/>
          <w:sz w:val="20"/>
          <w:szCs w:val="20"/>
        </w:rPr>
        <w:t>r the industry. Competition in wireless communications is affected by various factors that include, among others: OEM concentrations; vertical integration; growth in demand, consumption and competition in certain geographic regions; government intervention</w:t>
      </w:r>
      <w:r>
        <w:rPr>
          <w:rFonts w:eastAsia="Times New Roman"/>
          <w:color w:val="000000"/>
          <w:sz w:val="20"/>
          <w:szCs w:val="20"/>
        </w:rPr>
        <w:t xml:space="preserve"> or support of national industries or competitors; evolving industry standards and business models; evolving methods of transmission of voice and data communications; increasing data traffic and densification of wireless networks; convergence and aggregati</w:t>
      </w:r>
      <w:r>
        <w:rPr>
          <w:rFonts w:eastAsia="Times New Roman"/>
          <w:color w:val="000000"/>
          <w:sz w:val="20"/>
          <w:szCs w:val="20"/>
        </w:rPr>
        <w:t>on of connectivity technologies (including Wi-Fi and LTE) in both devices and access points; consolidation of wireless technologies and infrastructure at the network edge; networking and connectivity trends (including cloud services); use of licensed, shar</w:t>
      </w:r>
      <w:r>
        <w:rPr>
          <w:rFonts w:eastAsia="Times New Roman"/>
          <w:color w:val="000000"/>
          <w:sz w:val="20"/>
          <w:szCs w:val="20"/>
        </w:rPr>
        <w:t>ed and unlicensed spectrum; the evolving nature of computing (including demand for always on, always connected capabilities); the speed of technological change (including the transition to smaller geometry process technologies); value-added features that d</w:t>
      </w:r>
      <w:r>
        <w:rPr>
          <w:rFonts w:eastAsia="Times New Roman"/>
          <w:color w:val="000000"/>
          <w:sz w:val="20"/>
          <w:szCs w:val="20"/>
        </w:rPr>
        <w:t>rive selling prices and consumer demand for new 3G/4G and 3G/4G/5G multimode devices, as well as 3G, 4G and 5G single-mode devices; turnkey, integrated products that incorporate hardware, software, user interface, applications and reference designs; scalab</w:t>
      </w:r>
      <w:r>
        <w:rPr>
          <w:rFonts w:eastAsia="Times New Roman"/>
          <w:color w:val="000000"/>
          <w:sz w:val="20"/>
          <w:szCs w:val="20"/>
        </w:rPr>
        <w:t>ility; and the ability of the system technology to meet customers’ immediate and future network requirements.</w:t>
      </w:r>
      <w:r>
        <w:rPr>
          <w:rFonts w:eastAsia="Times New Roman"/>
          <w:color w:val="000000"/>
          <w:sz w:val="20"/>
          <w:szCs w:val="20"/>
        </w:rPr>
        <w:t xml:space="preserve"> </w:t>
      </w:r>
    </w:p>
    <w:p w:rsidR="00000000" w:rsidRDefault="00602C02">
      <w:pPr>
        <w:ind w:firstLine="360"/>
        <w:divId w:val="2005892262"/>
        <w:rPr>
          <w:rFonts w:eastAsia="Times New Roman"/>
        </w:rPr>
      </w:pPr>
      <w:r>
        <w:rPr>
          <w:rFonts w:eastAsia="Times New Roman"/>
          <w:color w:val="000000"/>
          <w:sz w:val="20"/>
          <w:szCs w:val="20"/>
        </w:rPr>
        <w:t>We anticipate that additional competitors will introduce products as a result of growth opportunities in wireless communications, the trend towar</w:t>
      </w:r>
      <w:r>
        <w:rPr>
          <w:rFonts w:eastAsia="Times New Roman"/>
          <w:color w:val="000000"/>
          <w:sz w:val="20"/>
          <w:szCs w:val="20"/>
        </w:rPr>
        <w:t>d global expansion by foreign and domestic competitors, technological and public policy changes and relatively low barriers to entry in certain segments of the industry. Additionally, the semiconductor industry has experienced and may continue to experienc</w:t>
      </w:r>
      <w:r>
        <w:rPr>
          <w:rFonts w:eastAsia="Times New Roman"/>
          <w:color w:val="000000"/>
          <w:sz w:val="20"/>
          <w:szCs w:val="20"/>
        </w:rPr>
        <w:t>e consolidation, which could result in significant changes to the competitive landscape</w:t>
      </w:r>
      <w:r>
        <w:rPr>
          <w:rFonts w:eastAsia="Times New Roman"/>
          <w:color w:val="000000"/>
          <w:sz w:val="20"/>
          <w:szCs w:val="20"/>
        </w:rPr>
        <w:t>.</w:t>
      </w:r>
    </w:p>
    <w:p w:rsidR="00000000" w:rsidRDefault="00602C02">
      <w:pPr>
        <w:ind w:firstLine="360"/>
        <w:divId w:val="459886464"/>
        <w:rPr>
          <w:rFonts w:eastAsia="Times New Roman"/>
        </w:rPr>
      </w:pPr>
      <w:r>
        <w:rPr>
          <w:rFonts w:eastAsia="Times New Roman"/>
          <w:color w:val="000000"/>
          <w:sz w:val="20"/>
          <w:szCs w:val="20"/>
        </w:rPr>
        <w:t>We expect that our future success will depend on, among other factors, our ability to</w:t>
      </w:r>
      <w:r>
        <w:rPr>
          <w:rFonts w:eastAsia="Times New Roman"/>
          <w:color w:val="000000"/>
          <w:sz w:val="20"/>
          <w:szCs w:val="20"/>
        </w:rPr>
        <w:t>:</w:t>
      </w:r>
    </w:p>
    <w:p w:rsidR="00000000" w:rsidRDefault="00602C02">
      <w:pPr>
        <w:ind w:hanging="360"/>
        <w:divId w:val="1925409072"/>
        <w:rPr>
          <w:rFonts w:eastAsia="Times New Roman"/>
        </w:rPr>
      </w:pPr>
      <w:r>
        <w:rPr>
          <w:rFonts w:eastAsia="Times New Roman"/>
          <w:color w:val="000000"/>
          <w:sz w:val="20"/>
          <w:szCs w:val="20"/>
        </w:rPr>
        <w:t>•</w:t>
      </w:r>
      <w:r>
        <w:rPr>
          <w:rFonts w:eastAsia="Times New Roman"/>
          <w:color w:val="000000"/>
          <w:sz w:val="20"/>
          <w:szCs w:val="20"/>
        </w:rPr>
        <w:t>differentiate our integrated circuit products with innovative technologies acro</w:t>
      </w:r>
      <w:r>
        <w:rPr>
          <w:rFonts w:eastAsia="Times New Roman"/>
          <w:color w:val="000000"/>
          <w:sz w:val="20"/>
          <w:szCs w:val="20"/>
        </w:rPr>
        <w:t>ss multiple products and features (e.g., modem, Radio Frequency front-end (RFFE), graphics and other processors, camera and connectivity) and with smaller geometry process technologies that drive both performance and lower power consumption</w:t>
      </w:r>
      <w:r>
        <w:rPr>
          <w:rFonts w:eastAsia="Times New Roman"/>
          <w:color w:val="000000"/>
          <w:sz w:val="20"/>
          <w:szCs w:val="20"/>
        </w:rPr>
        <w:t>;</w:t>
      </w:r>
    </w:p>
    <w:p w:rsidR="00000000" w:rsidRDefault="00602C02">
      <w:pPr>
        <w:ind w:hanging="360"/>
        <w:divId w:val="3750306"/>
        <w:rPr>
          <w:rFonts w:eastAsia="Times New Roman"/>
        </w:rPr>
      </w:pPr>
      <w:r>
        <w:rPr>
          <w:rFonts w:eastAsia="Times New Roman"/>
          <w:color w:val="000000"/>
          <w:sz w:val="20"/>
          <w:szCs w:val="20"/>
        </w:rPr>
        <w:t>•</w:t>
      </w:r>
      <w:r>
        <w:rPr>
          <w:rFonts w:eastAsia="Times New Roman"/>
          <w:color w:val="000000"/>
          <w:sz w:val="20"/>
          <w:szCs w:val="20"/>
        </w:rPr>
        <w:t>develop and o</w:t>
      </w:r>
      <w:r>
        <w:rPr>
          <w:rFonts w:eastAsia="Times New Roman"/>
          <w:color w:val="000000"/>
          <w:sz w:val="20"/>
          <w:szCs w:val="20"/>
        </w:rPr>
        <w:t>ffer integrated circuit products at competitive cost and price points to effectively cover all geographic regions and all device tiers</w:t>
      </w:r>
      <w:r>
        <w:rPr>
          <w:rFonts w:eastAsia="Times New Roman"/>
          <w:color w:val="000000"/>
          <w:sz w:val="20"/>
          <w:szCs w:val="20"/>
        </w:rPr>
        <w:t>;</w:t>
      </w:r>
    </w:p>
    <w:p w:rsidR="00000000" w:rsidRDefault="00602C02">
      <w:pPr>
        <w:ind w:hanging="360"/>
        <w:divId w:val="554318562"/>
        <w:rPr>
          <w:rFonts w:eastAsia="Times New Roman"/>
        </w:rPr>
      </w:pPr>
      <w:r>
        <w:rPr>
          <w:rFonts w:eastAsia="Times New Roman"/>
          <w:color w:val="000000"/>
          <w:sz w:val="20"/>
          <w:szCs w:val="20"/>
        </w:rPr>
        <w:t>•</w:t>
      </w:r>
      <w:r>
        <w:rPr>
          <w:rFonts w:eastAsia="Times New Roman"/>
          <w:color w:val="000000"/>
          <w:sz w:val="20"/>
          <w:szCs w:val="20"/>
        </w:rPr>
        <w:t>drive the adoption of our integrated circuit products into the most popular device models and across a broad spectrum o</w:t>
      </w:r>
      <w:r>
        <w:rPr>
          <w:rFonts w:eastAsia="Times New Roman"/>
          <w:color w:val="000000"/>
          <w:sz w:val="20"/>
          <w:szCs w:val="20"/>
        </w:rPr>
        <w:t>f devices, such as smartphones, tablets, laptops and other computing devices, automobiles, wearables, voice and music and other connected devices and infrastructure products</w:t>
      </w:r>
      <w:r>
        <w:rPr>
          <w:rFonts w:eastAsia="Times New Roman"/>
          <w:color w:val="000000"/>
          <w:sz w:val="20"/>
          <w:szCs w:val="20"/>
        </w:rPr>
        <w:t>;</w:t>
      </w:r>
    </w:p>
    <w:p w:rsidR="00000000" w:rsidRDefault="00602C02">
      <w:pPr>
        <w:ind w:hanging="360"/>
        <w:divId w:val="108354393"/>
        <w:rPr>
          <w:rFonts w:eastAsia="Times New Roman"/>
        </w:rPr>
      </w:pPr>
      <w:r>
        <w:rPr>
          <w:rFonts w:eastAsia="Times New Roman"/>
          <w:color w:val="000000"/>
          <w:sz w:val="20"/>
          <w:szCs w:val="20"/>
        </w:rPr>
        <w:t>•</w:t>
      </w:r>
      <w:r>
        <w:rPr>
          <w:rFonts w:eastAsia="Times New Roman"/>
          <w:color w:val="000000"/>
          <w:sz w:val="20"/>
          <w:szCs w:val="20"/>
        </w:rPr>
        <w:t>maintain or accelerate demand for our integrated circuit products at the premium</w:t>
      </w:r>
      <w:r>
        <w:rPr>
          <w:rFonts w:eastAsia="Times New Roman"/>
          <w:color w:val="000000"/>
          <w:sz w:val="20"/>
          <w:szCs w:val="20"/>
        </w:rPr>
        <w:t xml:space="preserve"> device tier, while also driving the adoption of our 5G products into high, mid- and low-tier devices across all regions</w:t>
      </w:r>
      <w:r>
        <w:rPr>
          <w:rFonts w:eastAsia="Times New Roman"/>
          <w:color w:val="000000"/>
          <w:sz w:val="20"/>
          <w:szCs w:val="20"/>
        </w:rPr>
        <w:t>;</w:t>
      </w:r>
    </w:p>
    <w:p w:rsidR="00000000" w:rsidRDefault="00602C02">
      <w:pPr>
        <w:ind w:hanging="360"/>
        <w:divId w:val="211498464"/>
        <w:rPr>
          <w:rFonts w:eastAsia="Times New Roman"/>
        </w:rPr>
      </w:pPr>
      <w:r>
        <w:rPr>
          <w:rFonts w:eastAsia="Times New Roman"/>
          <w:color w:val="000000"/>
          <w:sz w:val="20"/>
          <w:szCs w:val="20"/>
        </w:rPr>
        <w:t>•</w:t>
      </w:r>
      <w:r>
        <w:rPr>
          <w:rFonts w:eastAsia="Times New Roman"/>
          <w:color w:val="000000"/>
          <w:sz w:val="20"/>
          <w:szCs w:val="20"/>
        </w:rPr>
        <w:t>continue to be a leader in 4G and 5G technology evolution and continue to innovate and introduce 4G and 5G turnkey, integrated produc</w:t>
      </w:r>
      <w:r>
        <w:rPr>
          <w:rFonts w:eastAsia="Times New Roman"/>
          <w:color w:val="000000"/>
          <w:sz w:val="20"/>
          <w:szCs w:val="20"/>
        </w:rPr>
        <w:t>ts and services that differentiate us from our competition</w:t>
      </w:r>
      <w:r>
        <w:rPr>
          <w:rFonts w:eastAsia="Times New Roman"/>
          <w:color w:val="000000"/>
          <w:sz w:val="20"/>
          <w:szCs w:val="20"/>
        </w:rPr>
        <w:t>;</w:t>
      </w:r>
    </w:p>
    <w:p w:rsidR="00000000" w:rsidRDefault="00602C02">
      <w:pPr>
        <w:ind w:hanging="360"/>
        <w:divId w:val="1848904207"/>
        <w:rPr>
          <w:rFonts w:eastAsia="Times New Roman"/>
        </w:rPr>
      </w:pPr>
      <w:r>
        <w:rPr>
          <w:rFonts w:eastAsia="Times New Roman"/>
          <w:color w:val="000000"/>
          <w:sz w:val="20"/>
          <w:szCs w:val="20"/>
        </w:rPr>
        <w:t>•</w:t>
      </w:r>
      <w:r>
        <w:rPr>
          <w:rFonts w:eastAsia="Times New Roman"/>
          <w:color w:val="000000"/>
          <w:sz w:val="20"/>
          <w:szCs w:val="20"/>
        </w:rPr>
        <w:t>remain a leader in 5G technology development, standardization, intellectual property creation and licensing, and develop, commercialize and be a leading supplier of 5G integrated circuit products</w:t>
      </w:r>
      <w:r>
        <w:rPr>
          <w:rFonts w:eastAsia="Times New Roman"/>
          <w:color w:val="000000"/>
          <w:sz w:val="20"/>
          <w:szCs w:val="20"/>
        </w:rPr>
        <w:t xml:space="preserve"> and services;</w:t>
      </w:r>
      <w:r>
        <w:rPr>
          <w:rFonts w:eastAsia="Times New Roman"/>
          <w:color w:val="000000"/>
          <w:sz w:val="20"/>
          <w:szCs w:val="20"/>
        </w:rPr>
        <w:t xml:space="preserve"> </w:t>
      </w:r>
    </w:p>
    <w:p w:rsidR="00000000" w:rsidRDefault="00602C02">
      <w:pPr>
        <w:ind w:hanging="360"/>
        <w:divId w:val="2130539086"/>
        <w:rPr>
          <w:rFonts w:eastAsia="Times New Roman"/>
        </w:rPr>
      </w:pPr>
      <w:r>
        <w:rPr>
          <w:rFonts w:eastAsia="Times New Roman"/>
          <w:color w:val="000000"/>
          <w:sz w:val="20"/>
          <w:szCs w:val="20"/>
        </w:rPr>
        <w:t>•</w:t>
      </w:r>
      <w:r>
        <w:rPr>
          <w:rFonts w:eastAsia="Times New Roman"/>
          <w:color w:val="000000"/>
          <w:sz w:val="20"/>
          <w:szCs w:val="20"/>
        </w:rPr>
        <w:t>increase or accelerate demand for our semiconductor component products, including RFFE, and our wireless connectivity products, including networking products for consumers, carriers and enterprise equipment and connected devices</w:t>
      </w:r>
      <w:r>
        <w:rPr>
          <w:rFonts w:eastAsia="Times New Roman"/>
          <w:color w:val="000000"/>
          <w:sz w:val="20"/>
          <w:szCs w:val="20"/>
        </w:rPr>
        <w:t>;</w:t>
      </w:r>
    </w:p>
    <w:p w:rsidR="00000000" w:rsidRDefault="00602C02">
      <w:pPr>
        <w:ind w:hanging="360"/>
        <w:divId w:val="1464346146"/>
        <w:rPr>
          <w:rFonts w:eastAsia="Times New Roman"/>
        </w:rPr>
      </w:pPr>
      <w:r>
        <w:rPr>
          <w:rFonts w:eastAsia="Times New Roman"/>
          <w:color w:val="000000"/>
          <w:sz w:val="20"/>
          <w:szCs w:val="20"/>
        </w:rPr>
        <w:t>•</w:t>
      </w:r>
      <w:r>
        <w:rPr>
          <w:rFonts w:eastAsia="Times New Roman"/>
          <w:color w:val="000000"/>
          <w:sz w:val="20"/>
          <w:szCs w:val="20"/>
        </w:rPr>
        <w:t>become a</w:t>
      </w:r>
      <w:r>
        <w:rPr>
          <w:rFonts w:eastAsia="Times New Roman"/>
          <w:color w:val="000000"/>
          <w:sz w:val="20"/>
          <w:szCs w:val="20"/>
        </w:rPr>
        <w:t xml:space="preserve"> leading supplier of RFFE products, which are designed to address cellular RF band fragmentation while improving RF performance and assist OEMs in developing multiband, multimode mobile devices;</w:t>
      </w:r>
      <w:r>
        <w:rPr>
          <w:rFonts w:eastAsia="Times New Roman"/>
          <w:color w:val="000000"/>
          <w:sz w:val="20"/>
          <w:szCs w:val="20"/>
        </w:rPr>
        <w:t xml:space="preserve"> </w:t>
      </w:r>
    </w:p>
    <w:p w:rsidR="00000000" w:rsidRDefault="00602C02">
      <w:pPr>
        <w:ind w:hanging="360"/>
        <w:divId w:val="1814134279"/>
        <w:rPr>
          <w:rFonts w:eastAsia="Times New Roman"/>
        </w:rPr>
      </w:pPr>
      <w:r>
        <w:rPr>
          <w:rFonts w:eastAsia="Times New Roman"/>
          <w:color w:val="000000"/>
          <w:sz w:val="20"/>
          <w:szCs w:val="20"/>
        </w:rPr>
        <w:t>•</w:t>
      </w:r>
      <w:r>
        <w:rPr>
          <w:rFonts w:eastAsia="Times New Roman"/>
          <w:color w:val="000000"/>
          <w:sz w:val="20"/>
          <w:szCs w:val="20"/>
        </w:rPr>
        <w:t>create standalone value and contribute to the success of ou</w:t>
      </w:r>
      <w:r>
        <w:rPr>
          <w:rFonts w:eastAsia="Times New Roman"/>
          <w:color w:val="000000"/>
          <w:sz w:val="20"/>
          <w:szCs w:val="20"/>
        </w:rPr>
        <w:t>r existing businesses through acquisitions, joint ventures and other transactions, and by developing customer, licensee, vendor, distributor and other channel relationships in new industry segments and with disruptive technologies, products and services, s</w:t>
      </w:r>
      <w:r>
        <w:rPr>
          <w:rFonts w:eastAsia="Times New Roman"/>
          <w:color w:val="000000"/>
          <w:sz w:val="20"/>
          <w:szCs w:val="20"/>
        </w:rPr>
        <w:t>uch as products for automotive, computing, IoT (including the connected home, smart cities, wearables, voice and music and robotics) and networking, among others;</w:t>
      </w:r>
      <w:r>
        <w:rPr>
          <w:rFonts w:eastAsia="Times New Roman"/>
          <w:color w:val="000000"/>
          <w:sz w:val="20"/>
          <w:szCs w:val="20"/>
        </w:rPr>
        <w:t xml:space="preserve"> </w:t>
      </w:r>
    </w:p>
    <w:p w:rsidR="00000000" w:rsidRDefault="00602C02">
      <w:pPr>
        <w:ind w:hanging="360"/>
        <w:divId w:val="1918634205"/>
        <w:rPr>
          <w:rFonts w:eastAsia="Times New Roman"/>
        </w:rPr>
      </w:pPr>
      <w:r>
        <w:rPr>
          <w:rFonts w:eastAsia="Times New Roman"/>
          <w:color w:val="000000"/>
          <w:sz w:val="20"/>
          <w:szCs w:val="20"/>
        </w:rPr>
        <w:t>•</w:t>
      </w:r>
      <w:r>
        <w:rPr>
          <w:rFonts w:eastAsia="Times New Roman"/>
          <w:color w:val="000000"/>
          <w:sz w:val="20"/>
          <w:szCs w:val="20"/>
        </w:rPr>
        <w:t>identify potential acquisition targets that will grow or sustain our business or address st</w:t>
      </w:r>
      <w:r>
        <w:rPr>
          <w:rFonts w:eastAsia="Times New Roman"/>
          <w:color w:val="000000"/>
          <w:sz w:val="20"/>
          <w:szCs w:val="20"/>
        </w:rPr>
        <w:t>rategic needs, reach agreement on terms acceptable to us, close the transactions and effectively integrate these new businesses, products and technologies;</w:t>
      </w:r>
      <w:r>
        <w:rPr>
          <w:rFonts w:eastAsia="Times New Roman"/>
          <w:color w:val="000000"/>
          <w:sz w:val="20"/>
          <w:szCs w:val="20"/>
        </w:rPr>
        <w:t xml:space="preserve"> </w:t>
      </w:r>
    </w:p>
    <w:p w:rsidR="00000000" w:rsidRDefault="00602C02">
      <w:pPr>
        <w:ind w:hanging="360"/>
        <w:divId w:val="573318624"/>
        <w:rPr>
          <w:rFonts w:eastAsia="Times New Roman"/>
        </w:rPr>
      </w:pPr>
      <w:r>
        <w:rPr>
          <w:rFonts w:eastAsia="Times New Roman"/>
          <w:color w:val="000000"/>
          <w:sz w:val="20"/>
          <w:szCs w:val="20"/>
        </w:rPr>
        <w:t>•</w:t>
      </w:r>
      <w:r>
        <w:rPr>
          <w:rFonts w:eastAsia="Times New Roman"/>
          <w:color w:val="000000"/>
          <w:sz w:val="20"/>
          <w:szCs w:val="20"/>
        </w:rPr>
        <w:t>provide a leading service to OEMs, high level operating systems (HLOS) providers, operators, cloud</w:t>
      </w:r>
      <w:r>
        <w:rPr>
          <w:rFonts w:eastAsia="Times New Roman"/>
          <w:color w:val="000000"/>
          <w:sz w:val="20"/>
          <w:szCs w:val="20"/>
        </w:rPr>
        <w:t xml:space="preserve"> providers and other industry participants as competitors, new industry entrants and other factors continue to affect the industry landscape</w:t>
      </w:r>
      <w:r>
        <w:rPr>
          <w:rFonts w:eastAsia="Times New Roman"/>
          <w:color w:val="000000"/>
          <w:sz w:val="20"/>
          <w:szCs w:val="20"/>
        </w:rPr>
        <w:t>;</w:t>
      </w:r>
    </w:p>
    <w:p w:rsidR="00000000" w:rsidRDefault="00602C02">
      <w:pPr>
        <w:jc w:val="center"/>
        <w:divId w:val="417944628"/>
        <w:rPr>
          <w:rFonts w:eastAsia="Times New Roman"/>
        </w:rPr>
      </w:pPr>
      <w:r>
        <w:rPr>
          <w:rFonts w:eastAsia="Times New Roman"/>
          <w:color w:val="000000"/>
          <w:sz w:val="20"/>
          <w:szCs w:val="20"/>
        </w:rPr>
        <w:t>3</w:t>
      </w:r>
      <w:r>
        <w:rPr>
          <w:rFonts w:eastAsia="Times New Roman"/>
          <w:color w:val="000000"/>
          <w:sz w:val="20"/>
          <w:szCs w:val="20"/>
        </w:rPr>
        <w:t>4</w:t>
      </w:r>
    </w:p>
    <w:p w:rsidR="00000000" w:rsidRDefault="00602C02">
      <w:pPr>
        <w:rPr>
          <w:rFonts w:eastAsia="Times New Roman"/>
        </w:rPr>
      </w:pPr>
      <w:r>
        <w:rPr>
          <w:rFonts w:eastAsia="Times New Roman"/>
        </w:rPr>
        <w:pict>
          <v:rect id="_x0000_i1058" style="width:0;height:1.5pt" o:hralign="center" o:hrstd="t" o:hr="t" fillcolor="#a0a0a0" stroked="f"/>
        </w:pict>
      </w:r>
    </w:p>
    <w:p w:rsidR="00000000" w:rsidRDefault="00602C02">
      <w:pPr>
        <w:divId w:val="311369097"/>
        <w:rPr>
          <w:rFonts w:eastAsia="Times New Roman"/>
        </w:rPr>
      </w:pPr>
    </w:p>
    <w:p w:rsidR="00000000" w:rsidRDefault="00602C02">
      <w:pPr>
        <w:ind w:hanging="360"/>
        <w:divId w:val="728697566"/>
        <w:rPr>
          <w:rFonts w:eastAsia="Times New Roman"/>
        </w:rPr>
      </w:pPr>
      <w:r>
        <w:rPr>
          <w:rFonts w:eastAsia="Times New Roman"/>
          <w:color w:val="000000"/>
          <w:sz w:val="20"/>
          <w:szCs w:val="20"/>
        </w:rPr>
        <w:t>•</w:t>
      </w:r>
      <w:r>
        <w:rPr>
          <w:rFonts w:eastAsia="Times New Roman"/>
          <w:color w:val="000000"/>
          <w:sz w:val="20"/>
          <w:szCs w:val="20"/>
        </w:rPr>
        <w:t>be a preferred partner and sustain preferred relationships providing in</w:t>
      </w:r>
      <w:r>
        <w:rPr>
          <w:rFonts w:eastAsia="Times New Roman"/>
          <w:color w:val="000000"/>
          <w:sz w:val="20"/>
          <w:szCs w:val="20"/>
        </w:rPr>
        <w:t>tegrated circuit products that support multiple operating system and infrastructure platforms to industry participants that effectively commercialize new devices using these platforms; an</w:t>
      </w:r>
      <w:r>
        <w:rPr>
          <w:rFonts w:eastAsia="Times New Roman"/>
          <w:color w:val="000000"/>
          <w:sz w:val="20"/>
          <w:szCs w:val="20"/>
        </w:rPr>
        <w:t>d</w:t>
      </w:r>
    </w:p>
    <w:p w:rsidR="00000000" w:rsidRDefault="00602C02">
      <w:pPr>
        <w:ind w:hanging="360"/>
        <w:divId w:val="1636449138"/>
        <w:rPr>
          <w:rFonts w:eastAsia="Times New Roman"/>
        </w:rPr>
      </w:pPr>
      <w:r>
        <w:rPr>
          <w:rFonts w:eastAsia="Times New Roman"/>
          <w:color w:val="000000"/>
          <w:sz w:val="20"/>
          <w:szCs w:val="20"/>
        </w:rPr>
        <w:t>•</w:t>
      </w:r>
      <w:r>
        <w:rPr>
          <w:rFonts w:eastAsia="Times New Roman"/>
          <w:color w:val="000000"/>
          <w:sz w:val="20"/>
          <w:szCs w:val="20"/>
        </w:rPr>
        <w:t>continue to develop brand recognition to effectively compete against better known companies in computing and other consumer driven segments and to deepen our presence in significant emerging regions and China</w:t>
      </w:r>
      <w:r>
        <w:rPr>
          <w:rFonts w:eastAsia="Times New Roman"/>
          <w:color w:val="000000"/>
          <w:sz w:val="20"/>
          <w:szCs w:val="20"/>
        </w:rPr>
        <w:t>.</w:t>
      </w:r>
    </w:p>
    <w:p w:rsidR="00000000" w:rsidRDefault="00602C02">
      <w:pPr>
        <w:ind w:firstLine="360"/>
        <w:divId w:val="261493343"/>
        <w:rPr>
          <w:rFonts w:eastAsia="Times New Roman"/>
        </w:rPr>
      </w:pPr>
      <w:r>
        <w:rPr>
          <w:rFonts w:eastAsia="Times New Roman"/>
          <w:color w:val="000000"/>
          <w:sz w:val="20"/>
          <w:szCs w:val="20"/>
        </w:rPr>
        <w:t>We compete with many different semiconductor c</w:t>
      </w:r>
      <w:r>
        <w:rPr>
          <w:rFonts w:eastAsia="Times New Roman"/>
          <w:color w:val="000000"/>
          <w:sz w:val="20"/>
          <w:szCs w:val="20"/>
        </w:rPr>
        <w:t>ompanies, ranging from multinational companies with integrated research and development, manufacturing, sales and marketing organizations across a broad spectrum of product lines, to companies that are focused on a single application, industry segment or s</w:t>
      </w:r>
      <w:r>
        <w:rPr>
          <w:rFonts w:eastAsia="Times New Roman"/>
          <w:color w:val="000000"/>
          <w:sz w:val="20"/>
          <w:szCs w:val="20"/>
        </w:rPr>
        <w:t>tandard product, including those that produce products for RFFE, automotive, computing, IoT and networking applications. Most of these competitors compete with us with respect to some, but not all, of our businesses. Companies that design integrated circui</w:t>
      </w:r>
      <w:r>
        <w:rPr>
          <w:rFonts w:eastAsia="Times New Roman"/>
          <w:color w:val="000000"/>
          <w:sz w:val="20"/>
          <w:szCs w:val="20"/>
        </w:rPr>
        <w:t>ts based on CDMA, OFDMA, Wi-Fi or their derivatives are generally competitors or potential competitors. Examples (some of which are strategic partners of ours in other areas) include Broadcom, Cirrus Logic, Cypress Semiconductor, HiSilicon, Intel, Marvell,</w:t>
      </w:r>
      <w:r>
        <w:rPr>
          <w:rFonts w:eastAsia="Times New Roman"/>
          <w:color w:val="000000"/>
          <w:sz w:val="20"/>
          <w:szCs w:val="20"/>
        </w:rPr>
        <w:t xml:space="preserve"> Maxim, MediaTek, Microchip Technology, Murata, Nordic Semiconductor, Nvidia, NXP Semiconductors, Qorvo, Realtek Semiconductor, Renesas, Samsung, Sequans Communications, Skyworks and Spreadtrum Communications (which is controlled by Tsinghua Unigroup). Som</w:t>
      </w:r>
      <w:r>
        <w:rPr>
          <w:rFonts w:eastAsia="Times New Roman"/>
          <w:color w:val="000000"/>
          <w:sz w:val="20"/>
          <w:szCs w:val="20"/>
        </w:rPr>
        <w:t>e of these current and potential competitors may have advantages over us that include, among others: motivation by our customers in certain circumstances to use our competitors’ integrated circuit products, to utilize their own internally-developed integra</w:t>
      </w:r>
      <w:r>
        <w:rPr>
          <w:rFonts w:eastAsia="Times New Roman"/>
          <w:color w:val="000000"/>
          <w:sz w:val="20"/>
          <w:szCs w:val="20"/>
        </w:rPr>
        <w:t>ted circuit products or sell such products to others, or to choose alternative technologies; lower cost structures or a willingness and ability to accept lower prices or lower or negative margins for their products, particularly in China; foreign governmen</w:t>
      </w:r>
      <w:r>
        <w:rPr>
          <w:rFonts w:eastAsia="Times New Roman"/>
          <w:color w:val="000000"/>
          <w:sz w:val="20"/>
          <w:szCs w:val="20"/>
        </w:rPr>
        <w:t>t support of other technologies, competitors or OEMs that sell devices that do not contain our chipsets; better known brand names; ownership and control of manufacturing facilities and greater expertise in manufacturing processes; more extensive relationsh</w:t>
      </w:r>
      <w:r>
        <w:rPr>
          <w:rFonts w:eastAsia="Times New Roman"/>
          <w:color w:val="000000"/>
          <w:sz w:val="20"/>
          <w:szCs w:val="20"/>
        </w:rPr>
        <w:t xml:space="preserve">ips with local distribution companies and OEMs in certain geographic regions (such as China); more experience in adjacent industry segments outside traditional cellular industries (such as automotive, computing, IoT and networking); and a more established </w:t>
      </w:r>
      <w:r>
        <w:rPr>
          <w:rFonts w:eastAsia="Times New Roman"/>
          <w:color w:val="000000"/>
          <w:sz w:val="20"/>
          <w:szCs w:val="20"/>
        </w:rPr>
        <w:t>presence in certain regions.</w:t>
      </w:r>
      <w:r>
        <w:rPr>
          <w:rFonts w:eastAsia="Times New Roman"/>
          <w:color w:val="000000"/>
          <w:sz w:val="20"/>
          <w:szCs w:val="20"/>
        </w:rPr>
        <w:t xml:space="preserve"> </w:t>
      </w:r>
    </w:p>
    <w:p w:rsidR="00000000" w:rsidRDefault="00602C02">
      <w:pPr>
        <w:ind w:firstLine="360"/>
        <w:divId w:val="1213151048"/>
        <w:rPr>
          <w:rFonts w:eastAsia="Times New Roman"/>
        </w:rPr>
      </w:pPr>
      <w:r>
        <w:rPr>
          <w:rFonts w:eastAsia="Times New Roman"/>
          <w:color w:val="000000"/>
          <w:sz w:val="20"/>
          <w:szCs w:val="20"/>
        </w:rPr>
        <w:t>In particular, certain of our largest integrated circuit customers develop their own integrated circuit products, which they have in the past utilized, and currently utilize, in certain of their devices and may in the future c</w:t>
      </w:r>
      <w:r>
        <w:rPr>
          <w:rFonts w:eastAsia="Times New Roman"/>
          <w:color w:val="000000"/>
          <w:sz w:val="20"/>
          <w:szCs w:val="20"/>
        </w:rPr>
        <w:t xml:space="preserve">hoose to utilize in certain (or all) of their devices, rather than our products (and they may sell their integrated circuit products to third parties, discretely or together with certain of their other products, in competition with us). Also, Apple, which </w:t>
      </w:r>
      <w:r>
        <w:rPr>
          <w:rFonts w:eastAsia="Times New Roman"/>
          <w:color w:val="000000"/>
          <w:sz w:val="20"/>
          <w:szCs w:val="20"/>
        </w:rPr>
        <w:t>has historically been one of our largest customers, has utilized products of one of our competitors in many of its devices rather than our products, and is solely utilizing one of our competitors’ products in its most recent smartphone launches. In April 2</w:t>
      </w:r>
      <w:r>
        <w:rPr>
          <w:rFonts w:eastAsia="Times New Roman"/>
          <w:color w:val="000000"/>
          <w:sz w:val="20"/>
          <w:szCs w:val="20"/>
        </w:rPr>
        <w:t>019, we entered into a new multi-year chipset supply agreement with Apple. </w:t>
      </w:r>
      <w:r>
        <w:rPr>
          <w:rFonts w:eastAsia="Times New Roman"/>
          <w:color w:val="000000"/>
          <w:sz w:val="20"/>
          <w:szCs w:val="20"/>
        </w:rPr>
        <w:t>W</w:t>
      </w:r>
      <w:r>
        <w:rPr>
          <w:rFonts w:eastAsia="Times New Roman"/>
          <w:color w:val="000000"/>
          <w:sz w:val="20"/>
          <w:szCs w:val="20"/>
          <w:shd w:val="clear" w:color="auto" w:fill="FFFFFF"/>
        </w:rPr>
        <w:t>e currently ex</w:t>
      </w:r>
      <w:r>
        <w:rPr>
          <w:rFonts w:eastAsia="Times New Roman"/>
          <w:color w:val="000000"/>
          <w:sz w:val="20"/>
          <w:szCs w:val="20"/>
          <w:shd w:val="clear" w:color="auto" w:fill="FFFFFF"/>
        </w:rPr>
        <w:t>p</w:t>
      </w:r>
      <w:r>
        <w:rPr>
          <w:rFonts w:eastAsia="Times New Roman"/>
          <w:color w:val="000000"/>
          <w:sz w:val="20"/>
          <w:szCs w:val="20"/>
        </w:rPr>
        <w:t>ect to begin recording revenues under this agreement in the second half of fiscal 2020. However, Apple may choose to use our competitors’ products or its own modem p</w:t>
      </w:r>
      <w:r>
        <w:rPr>
          <w:rFonts w:eastAsia="Times New Roman"/>
          <w:color w:val="000000"/>
          <w:sz w:val="20"/>
          <w:szCs w:val="20"/>
        </w:rPr>
        <w:t>roducts in one or more of its future devices.</w:t>
      </w:r>
      <w:r>
        <w:rPr>
          <w:rFonts w:eastAsia="Times New Roman"/>
          <w:color w:val="000000"/>
          <w:sz w:val="20"/>
          <w:szCs w:val="20"/>
        </w:rPr>
        <w:t xml:space="preserve"> </w:t>
      </w:r>
    </w:p>
    <w:p w:rsidR="00000000" w:rsidRDefault="00602C02">
      <w:pPr>
        <w:ind w:firstLine="360"/>
        <w:divId w:val="1352759345"/>
        <w:rPr>
          <w:rFonts w:eastAsia="Times New Roman"/>
        </w:rPr>
      </w:pPr>
      <w:r>
        <w:rPr>
          <w:rFonts w:eastAsia="Times New Roman"/>
          <w:color w:val="000000"/>
          <w:sz w:val="20"/>
          <w:szCs w:val="20"/>
        </w:rPr>
        <w:t>Further, certain of our competitors develop and sell multiple components (including integrated circuit products) for use in devices and sell those components together to OEMs. Our competitors’ sales of multipl</w:t>
      </w:r>
      <w:r>
        <w:rPr>
          <w:rFonts w:eastAsia="Times New Roman"/>
          <w:color w:val="000000"/>
          <w:sz w:val="20"/>
          <w:szCs w:val="20"/>
        </w:rPr>
        <w:t xml:space="preserve">e components put us (and our discrete integrated circuit products) at a competitive disadvantage. Certain of our competitors also develop and sell infrastructure equipment for wireless networks and can optimize their integrated circuit products to perform </w:t>
      </w:r>
      <w:r>
        <w:rPr>
          <w:rFonts w:eastAsia="Times New Roman"/>
          <w:color w:val="000000"/>
          <w:sz w:val="20"/>
          <w:szCs w:val="20"/>
        </w:rPr>
        <w:t>on such networks to a degree that we are not able to, which again puts us at a competitive disadvantage</w:t>
      </w:r>
      <w:r>
        <w:rPr>
          <w:rFonts w:eastAsia="Times New Roman"/>
          <w:color w:val="000000"/>
          <w:sz w:val="20"/>
          <w:szCs w:val="20"/>
        </w:rPr>
        <w:t>.</w:t>
      </w:r>
    </w:p>
    <w:p w:rsidR="00000000" w:rsidRDefault="00602C02">
      <w:pPr>
        <w:ind w:firstLine="360"/>
        <w:divId w:val="422259438"/>
        <w:rPr>
          <w:rFonts w:eastAsia="Times New Roman"/>
        </w:rPr>
      </w:pPr>
      <w:r>
        <w:rPr>
          <w:rFonts w:eastAsia="Times New Roman"/>
          <w:color w:val="000000"/>
          <w:sz w:val="20"/>
          <w:szCs w:val="20"/>
        </w:rPr>
        <w:t>Competition in any or all product tiers may result in the loss of business or customers, which would negatively impact our revenues, results of operati</w:t>
      </w:r>
      <w:r>
        <w:rPr>
          <w:rFonts w:eastAsia="Times New Roman"/>
          <w:color w:val="000000"/>
          <w:sz w:val="20"/>
          <w:szCs w:val="20"/>
        </w:rPr>
        <w:t>ons and cash flows. Such competition may also reduce average selling prices for our chipset products or the products of our customers and licensees. Certain of these dynamics are particularly pronounced in emerging regions and China where competitors may h</w:t>
      </w:r>
      <w:r>
        <w:rPr>
          <w:rFonts w:eastAsia="Times New Roman"/>
          <w:color w:val="000000"/>
          <w:sz w:val="20"/>
          <w:szCs w:val="20"/>
        </w:rPr>
        <w:t>ave lower cost structures or may have a willingness and ability to accept lower prices or lower or negative margins on their products. Reductions in the average selling prices of our chipset products, without a corresponding increase in volumes, would nega</w:t>
      </w:r>
      <w:r>
        <w:rPr>
          <w:rFonts w:eastAsia="Times New Roman"/>
          <w:color w:val="000000"/>
          <w:sz w:val="20"/>
          <w:szCs w:val="20"/>
        </w:rPr>
        <w:t>tively impact our revenues, and without corresponding decreases in average unit costs, would negatively impact our margins. In addition, reductions in the average selling prices of our licensees’ products, unless offset by an increase in volumes, would gen</w:t>
      </w:r>
      <w:r>
        <w:rPr>
          <w:rFonts w:eastAsia="Times New Roman"/>
          <w:color w:val="000000"/>
          <w:sz w:val="20"/>
          <w:szCs w:val="20"/>
        </w:rPr>
        <w:t>erally decrease total royalties payable to us, negatively impacting our licensing revenues</w:t>
      </w:r>
      <w:r>
        <w:rPr>
          <w:rFonts w:eastAsia="Times New Roman"/>
          <w:color w:val="000000"/>
          <w:sz w:val="20"/>
          <w:szCs w:val="20"/>
        </w:rPr>
        <w:t>.</w:t>
      </w:r>
    </w:p>
    <w:p w:rsidR="00000000" w:rsidRDefault="00602C02">
      <w:pPr>
        <w:divId w:val="2063554101"/>
        <w:rPr>
          <w:rFonts w:eastAsia="Times New Roman"/>
        </w:rPr>
      </w:pPr>
      <w:r>
        <w:rPr>
          <w:rFonts w:eastAsia="Times New Roman"/>
          <w:b/>
          <w:bCs/>
          <w:i/>
          <w:iCs/>
          <w:color w:val="000000"/>
          <w:sz w:val="20"/>
          <w:szCs w:val="20"/>
        </w:rPr>
        <w:t>We derive a significant portion of our revenues from a small number of customers and licensees, which increasingly includes a small number of Chinese OEMs. If reven</w:t>
      </w:r>
      <w:r>
        <w:rPr>
          <w:rFonts w:eastAsia="Times New Roman"/>
          <w:b/>
          <w:bCs/>
          <w:i/>
          <w:iCs/>
          <w:color w:val="000000"/>
          <w:sz w:val="20"/>
          <w:szCs w:val="20"/>
        </w:rPr>
        <w:t>ues derived from these customers or licensees decrease or the timing of such revenues fluctuates, our business and results of operations could be negatively affected</w:t>
      </w:r>
      <w:r>
        <w:rPr>
          <w:rFonts w:eastAsia="Times New Roman"/>
          <w:b/>
          <w:bCs/>
          <w:i/>
          <w:iCs/>
          <w:color w:val="000000"/>
          <w:sz w:val="20"/>
          <w:szCs w:val="20"/>
        </w:rPr>
        <w:t>.</w:t>
      </w:r>
    </w:p>
    <w:p w:rsidR="00000000" w:rsidRDefault="00602C02">
      <w:pPr>
        <w:ind w:firstLine="360"/>
        <w:divId w:val="1120418299"/>
        <w:rPr>
          <w:rFonts w:eastAsia="Times New Roman"/>
        </w:rPr>
      </w:pPr>
      <w:r>
        <w:rPr>
          <w:rFonts w:eastAsia="Times New Roman"/>
          <w:color w:val="000000"/>
          <w:sz w:val="20"/>
          <w:szCs w:val="20"/>
        </w:rPr>
        <w:t>Our QCT segment derives a significant portion of its revenues from a small number of cust</w:t>
      </w:r>
      <w:r>
        <w:rPr>
          <w:rFonts w:eastAsia="Times New Roman"/>
          <w:color w:val="000000"/>
          <w:sz w:val="20"/>
          <w:szCs w:val="20"/>
        </w:rPr>
        <w:t>omers, and we expect this trend to continue in the foreseeable future. Our industry is experiencing and may continue to experience concentration of device share among a few companies, particularly at the premium tier, contributing to this trend. Chinese OE</w:t>
      </w:r>
      <w:r>
        <w:rPr>
          <w:rFonts w:eastAsia="Times New Roman"/>
          <w:color w:val="000000"/>
          <w:sz w:val="20"/>
          <w:szCs w:val="20"/>
        </w:rPr>
        <w:t>Ms continue to grow their device share in China and are increasing their device share in regions outside of China, and we derive a significant and increasing portion of our revenues from a small number of these OEMs. In addition, certain of our largest int</w:t>
      </w:r>
      <w:r>
        <w:rPr>
          <w:rFonts w:eastAsia="Times New Roman"/>
          <w:color w:val="000000"/>
          <w:sz w:val="20"/>
          <w:szCs w:val="20"/>
        </w:rPr>
        <w:t>egrated</w:t>
      </w:r>
      <w:r>
        <w:rPr>
          <w:rFonts w:eastAsia="Times New Roman"/>
          <w:color w:val="000000"/>
          <w:sz w:val="20"/>
          <w:szCs w:val="20"/>
        </w:rPr>
        <w:t xml:space="preserve"> </w:t>
      </w:r>
    </w:p>
    <w:p w:rsidR="00000000" w:rsidRDefault="00602C02">
      <w:pPr>
        <w:jc w:val="center"/>
        <w:divId w:val="1760516672"/>
        <w:rPr>
          <w:rFonts w:eastAsia="Times New Roman"/>
        </w:rPr>
      </w:pPr>
      <w:r>
        <w:rPr>
          <w:rFonts w:eastAsia="Times New Roman"/>
          <w:color w:val="000000"/>
          <w:sz w:val="20"/>
          <w:szCs w:val="20"/>
        </w:rPr>
        <w:t>3</w:t>
      </w:r>
      <w:r>
        <w:rPr>
          <w:rFonts w:eastAsia="Times New Roman"/>
          <w:color w:val="000000"/>
          <w:sz w:val="20"/>
          <w:szCs w:val="20"/>
        </w:rPr>
        <w:t>5</w:t>
      </w:r>
    </w:p>
    <w:p w:rsidR="00000000" w:rsidRDefault="00602C02">
      <w:pPr>
        <w:rPr>
          <w:rFonts w:eastAsia="Times New Roman"/>
        </w:rPr>
      </w:pPr>
      <w:r>
        <w:rPr>
          <w:rFonts w:eastAsia="Times New Roman"/>
        </w:rPr>
        <w:pict>
          <v:rect id="_x0000_i1059" style="width:0;height:1.5pt" o:hralign="center" o:hrstd="t" o:hr="t" fillcolor="#a0a0a0" stroked="f"/>
        </w:pict>
      </w:r>
    </w:p>
    <w:p w:rsidR="00000000" w:rsidRDefault="00602C02">
      <w:pPr>
        <w:divId w:val="2121949192"/>
        <w:rPr>
          <w:rFonts w:eastAsia="Times New Roman"/>
        </w:rPr>
      </w:pPr>
    </w:p>
    <w:p w:rsidR="00000000" w:rsidRDefault="00602C02">
      <w:pPr>
        <w:divId w:val="864177695"/>
        <w:rPr>
          <w:rFonts w:eastAsia="Times New Roman"/>
        </w:rPr>
      </w:pPr>
      <w:r>
        <w:rPr>
          <w:rFonts w:eastAsia="Times New Roman"/>
          <w:color w:val="000000"/>
          <w:sz w:val="20"/>
          <w:szCs w:val="20"/>
        </w:rPr>
        <w:t>circuit customers develop their own integrated circuit products, which they have in the past utilized, and currently utilize, in certain of their devices and may in the future choose to utilize in certain (</w:t>
      </w:r>
      <w:r>
        <w:rPr>
          <w:rFonts w:eastAsia="Times New Roman"/>
          <w:color w:val="000000"/>
          <w:sz w:val="20"/>
          <w:szCs w:val="20"/>
        </w:rPr>
        <w:t xml:space="preserve">or all) of their devices, rather than our products (and they may sell their integrated circuit products to third parties, discretely or together with certain of their other products, in competition with us). Also, Apple, which has historically been one of </w:t>
      </w:r>
      <w:r>
        <w:rPr>
          <w:rFonts w:eastAsia="Times New Roman"/>
          <w:color w:val="000000"/>
          <w:sz w:val="20"/>
          <w:szCs w:val="20"/>
        </w:rPr>
        <w:t>our largest customers, has utilized products of one of our competitors in many of its devices rather than our products, and is solely utilizing one of our competitor’s products in its most recent smartphone launches. In April 2019, we entered into a new mu</w:t>
      </w:r>
      <w:r>
        <w:rPr>
          <w:rFonts w:eastAsia="Times New Roman"/>
          <w:color w:val="000000"/>
          <w:sz w:val="20"/>
          <w:szCs w:val="20"/>
        </w:rPr>
        <w:t>lti-year chipset supply agreement with Apple. We currently expect to begin recording revenues under this agreement in the second half of fiscal 2020. However, Apple may choose to use our competitors’ products or its own modem products in one or more of its</w:t>
      </w:r>
      <w:r>
        <w:rPr>
          <w:rFonts w:eastAsia="Times New Roman"/>
          <w:color w:val="000000"/>
          <w:sz w:val="20"/>
          <w:szCs w:val="20"/>
        </w:rPr>
        <w:t xml:space="preserve"> future devices.</w:t>
      </w:r>
      <w:r>
        <w:rPr>
          <w:rFonts w:eastAsia="Times New Roman"/>
          <w:color w:val="000000"/>
          <w:sz w:val="20"/>
          <w:szCs w:val="20"/>
        </w:rPr>
        <w:t xml:space="preserve"> </w:t>
      </w:r>
    </w:p>
    <w:p w:rsidR="00000000" w:rsidRDefault="00602C02">
      <w:pPr>
        <w:ind w:firstLine="360"/>
        <w:divId w:val="316493946"/>
        <w:rPr>
          <w:rFonts w:eastAsia="Times New Roman"/>
        </w:rPr>
      </w:pPr>
      <w:r>
        <w:rPr>
          <w:rFonts w:eastAsia="Times New Roman"/>
          <w:color w:val="000000"/>
          <w:sz w:val="20"/>
          <w:szCs w:val="20"/>
        </w:rPr>
        <w:t>Similarly, certain of our Chinese OEM customers have developed and others may in the future develop their own integrated circuit products and use such integrated circuit products, or other integrated circuit products, in their devices rather than our integ</w:t>
      </w:r>
      <w:r>
        <w:rPr>
          <w:rFonts w:eastAsia="Times New Roman"/>
          <w:color w:val="000000"/>
          <w:sz w:val="20"/>
          <w:szCs w:val="20"/>
        </w:rPr>
        <w:t>rated circuit products, including due to pressure from the Chinese government as part of its broader economic policies, the OEMs’ concerns over losing access to our integrated circuit products as a result of U.S./China trade tensions, or otherwise</w:t>
      </w:r>
      <w:r>
        <w:rPr>
          <w:rFonts w:eastAsia="Times New Roman"/>
          <w:color w:val="000000"/>
          <w:sz w:val="20"/>
          <w:szCs w:val="20"/>
        </w:rPr>
        <w:t>.</w:t>
      </w:r>
    </w:p>
    <w:p w:rsidR="00000000" w:rsidRDefault="00602C02">
      <w:pPr>
        <w:ind w:firstLine="360"/>
        <w:divId w:val="1863588527"/>
        <w:rPr>
          <w:rFonts w:eastAsia="Times New Roman"/>
        </w:rPr>
      </w:pPr>
      <w:r>
        <w:rPr>
          <w:rFonts w:eastAsia="Times New Roman"/>
          <w:color w:val="000000"/>
          <w:sz w:val="20"/>
          <w:szCs w:val="20"/>
        </w:rPr>
        <w:t>Further</w:t>
      </w:r>
      <w:r>
        <w:rPr>
          <w:rFonts w:eastAsia="Times New Roman"/>
          <w:color w:val="000000"/>
          <w:sz w:val="20"/>
          <w:szCs w:val="20"/>
        </w:rPr>
        <w:t>, political actions, including trade and/or national security protection policies, or other actions by governments, have in the past, currently are and could in the future limit or prevent us from transacting business with certain of our customers, or limi</w:t>
      </w:r>
      <w:r>
        <w:rPr>
          <w:rFonts w:eastAsia="Times New Roman"/>
          <w:color w:val="000000"/>
          <w:sz w:val="20"/>
          <w:szCs w:val="20"/>
        </w:rPr>
        <w:t>t or prevent certain of our customers from transacting business with us.</w:t>
      </w:r>
      <w:r>
        <w:rPr>
          <w:rFonts w:eastAsia="Times New Roman"/>
          <w:color w:val="000000"/>
          <w:sz w:val="20"/>
          <w:szCs w:val="20"/>
        </w:rPr>
        <w:t xml:space="preserve"> </w:t>
      </w:r>
    </w:p>
    <w:p w:rsidR="00000000" w:rsidRDefault="00602C02">
      <w:pPr>
        <w:ind w:firstLine="360"/>
        <w:divId w:val="1307511116"/>
        <w:rPr>
          <w:rFonts w:eastAsia="Times New Roman"/>
        </w:rPr>
      </w:pPr>
      <w:r>
        <w:rPr>
          <w:rFonts w:eastAsia="Times New Roman"/>
          <w:color w:val="000000"/>
          <w:sz w:val="20"/>
          <w:szCs w:val="20"/>
        </w:rPr>
        <w:t xml:space="preserve">In addition, we spend a significant amount of engineering and development time, funds and resources in understanding our key customers’ feedback and/or specifications and attempt to </w:t>
      </w:r>
      <w:r>
        <w:rPr>
          <w:rFonts w:eastAsia="Times New Roman"/>
          <w:color w:val="000000"/>
          <w:sz w:val="20"/>
          <w:szCs w:val="20"/>
        </w:rPr>
        <w:t>incorporate such input into our product launches and technologies. These efforts may not require or result in purchase commitments from such customers or we may have lower purchases from such customers than expected, and consequently, we may not achieve th</w:t>
      </w:r>
      <w:r>
        <w:rPr>
          <w:rFonts w:eastAsia="Times New Roman"/>
          <w:color w:val="000000"/>
          <w:sz w:val="20"/>
          <w:szCs w:val="20"/>
        </w:rPr>
        <w:t>e anticipated revenues from these efforts, or these efforts may result in non-recoverable costs</w:t>
      </w:r>
      <w:r>
        <w:rPr>
          <w:rFonts w:eastAsia="Times New Roman"/>
          <w:color w:val="000000"/>
          <w:sz w:val="20"/>
          <w:szCs w:val="20"/>
        </w:rPr>
        <w:t>.</w:t>
      </w:r>
    </w:p>
    <w:p w:rsidR="00000000" w:rsidRDefault="00602C02">
      <w:pPr>
        <w:ind w:firstLine="360"/>
        <w:divId w:val="579757260"/>
        <w:rPr>
          <w:rFonts w:eastAsia="Times New Roman"/>
        </w:rPr>
      </w:pPr>
      <w:r>
        <w:rPr>
          <w:rFonts w:eastAsia="Times New Roman"/>
          <w:color w:val="000000"/>
          <w:sz w:val="20"/>
          <w:szCs w:val="20"/>
        </w:rPr>
        <w:t>The loss of any one of our significant customers, a reduction in the purchases of our products by such customers or the cancelation of significant purchases by</w:t>
      </w:r>
      <w:r>
        <w:rPr>
          <w:rFonts w:eastAsia="Times New Roman"/>
          <w:color w:val="000000"/>
          <w:sz w:val="20"/>
          <w:szCs w:val="20"/>
        </w:rPr>
        <w:t xml:space="preserve"> any of these customers, whether due to the use of their own integrated circuit products or our competitors’ integrated circuit products, government restrictions or otherwise, would reduce our revenues and could harm our ability to achieve or sustain expec</w:t>
      </w:r>
      <w:r>
        <w:rPr>
          <w:rFonts w:eastAsia="Times New Roman"/>
          <w:color w:val="000000"/>
          <w:sz w:val="20"/>
          <w:szCs w:val="20"/>
        </w:rPr>
        <w:t>ted results of operations, and a delay of significant purchases, even if only temporary, would reduce our revenues in the period of the delay. Any such reduction in revenues would also impact our cash resources available for other purposes, such as researc</w:t>
      </w:r>
      <w:r>
        <w:rPr>
          <w:rFonts w:eastAsia="Times New Roman"/>
          <w:color w:val="000000"/>
          <w:sz w:val="20"/>
          <w:szCs w:val="20"/>
        </w:rPr>
        <w:t xml:space="preserve">h and development. Further, the concentration of device share among a few companies, and the corresponding purchasing power of these companies, may result in lower prices for our products which, if not accompanied by a sufficient increase in the volume of </w:t>
      </w:r>
      <w:r>
        <w:rPr>
          <w:rFonts w:eastAsia="Times New Roman"/>
          <w:color w:val="000000"/>
          <w:sz w:val="20"/>
          <w:szCs w:val="20"/>
        </w:rPr>
        <w:t>purchases of our products, could have an adverse effect on our revenues and margins. In addition, the timing and size of purchases by our significant customers may be impacted by the timing of such customers’ new or next generation product introductions, o</w:t>
      </w:r>
      <w:r>
        <w:rPr>
          <w:rFonts w:eastAsia="Times New Roman"/>
          <w:color w:val="000000"/>
          <w:sz w:val="20"/>
          <w:szCs w:val="20"/>
        </w:rPr>
        <w:t>ver which we have no control, and the timing and success of such introductions may cause our revenues and results of operations to fluctuate. Accordingly, if current industry dynamics continue, our QCT segment’s revenues will continue to depend largely upo</w:t>
      </w:r>
      <w:r>
        <w:rPr>
          <w:rFonts w:eastAsia="Times New Roman"/>
          <w:color w:val="000000"/>
          <w:sz w:val="20"/>
          <w:szCs w:val="20"/>
        </w:rPr>
        <w:t>n, and be impacted by, future purchases, and the timing and size of any such future purchases, by these significant customers</w:t>
      </w:r>
      <w:r>
        <w:rPr>
          <w:rFonts w:eastAsia="Times New Roman"/>
          <w:color w:val="000000"/>
          <w:sz w:val="20"/>
          <w:szCs w:val="20"/>
        </w:rPr>
        <w:t>.</w:t>
      </w:r>
    </w:p>
    <w:p w:rsidR="00000000" w:rsidRDefault="00602C02">
      <w:pPr>
        <w:ind w:firstLine="360"/>
        <w:divId w:val="2080864035"/>
        <w:rPr>
          <w:rFonts w:eastAsia="Times New Roman"/>
        </w:rPr>
      </w:pPr>
      <w:r>
        <w:rPr>
          <w:rFonts w:eastAsia="Times New Roman"/>
          <w:color w:val="000000"/>
          <w:sz w:val="20"/>
          <w:szCs w:val="20"/>
        </w:rPr>
        <w:t>Further, to the extent Apple purchases our modem products, it purchases our M</w:t>
      </w:r>
      <w:r>
        <w:rPr>
          <w:rFonts w:eastAsia="Times New Roman"/>
          <w:color w:val="000000"/>
          <w:sz w:val="20"/>
          <w:szCs w:val="20"/>
        </w:rPr>
        <w:t>D</w:t>
      </w:r>
      <w:r>
        <w:rPr>
          <w:rFonts w:eastAsia="Times New Roman"/>
          <w:color w:val="000000"/>
          <w:sz w:val="20"/>
          <w:szCs w:val="20"/>
          <w:shd w:val="clear" w:color="auto" w:fill="FFFFFF"/>
        </w:rPr>
        <w:t xml:space="preserve">M (or thin modem) </w:t>
      </w:r>
      <w:r>
        <w:rPr>
          <w:rFonts w:eastAsia="Times New Roman"/>
          <w:color w:val="000000"/>
          <w:sz w:val="20"/>
          <w:szCs w:val="20"/>
          <w:shd w:val="clear" w:color="auto" w:fill="FFFFFF"/>
        </w:rPr>
        <w:t>p</w:t>
      </w:r>
      <w:r>
        <w:rPr>
          <w:rFonts w:eastAsia="Times New Roman"/>
          <w:color w:val="000000"/>
          <w:sz w:val="20"/>
          <w:szCs w:val="20"/>
        </w:rPr>
        <w:t>roducts, which do not include ou</w:t>
      </w:r>
      <w:r>
        <w:rPr>
          <w:rFonts w:eastAsia="Times New Roman"/>
          <w:color w:val="000000"/>
          <w:sz w:val="20"/>
          <w:szCs w:val="20"/>
        </w:rPr>
        <w:t>r integrated application processor technology, and which have lower revenue and margin contributions than our combined modem and application processor products. To the extent Apple takes device share from our customers who purchase our integrated modem and</w:t>
      </w:r>
      <w:r>
        <w:rPr>
          <w:rFonts w:eastAsia="Times New Roman"/>
          <w:color w:val="000000"/>
          <w:sz w:val="20"/>
          <w:szCs w:val="20"/>
        </w:rPr>
        <w:t xml:space="preserve"> application processor products, our revenues and margins may be negatively impacted</w:t>
      </w:r>
      <w:r>
        <w:rPr>
          <w:rFonts w:eastAsia="Times New Roman"/>
          <w:color w:val="000000"/>
          <w:sz w:val="20"/>
          <w:szCs w:val="20"/>
        </w:rPr>
        <w:t>.</w:t>
      </w:r>
    </w:p>
    <w:p w:rsidR="00000000" w:rsidRDefault="00602C02">
      <w:pPr>
        <w:ind w:firstLine="360"/>
        <w:divId w:val="690648799"/>
        <w:rPr>
          <w:rFonts w:eastAsia="Times New Roman"/>
        </w:rPr>
      </w:pPr>
      <w:r>
        <w:rPr>
          <w:rFonts w:eastAsia="Times New Roman"/>
          <w:color w:val="000000"/>
          <w:sz w:val="20"/>
          <w:szCs w:val="20"/>
        </w:rPr>
        <w:t>Further, companies that develop HLOS for devices, including leading technology companies, sell their own devices. If we fail to effectively partner or continue partnering</w:t>
      </w:r>
      <w:r>
        <w:rPr>
          <w:rFonts w:eastAsia="Times New Roman"/>
          <w:color w:val="000000"/>
          <w:sz w:val="20"/>
          <w:szCs w:val="20"/>
        </w:rPr>
        <w:t xml:space="preserve"> with these companies, or with their partners or customers, they may decide not to purchase (either directly or through their contract manufacturers), or to reduce or discontinue their purchases of, our integrated circuit products</w:t>
      </w:r>
      <w:r>
        <w:rPr>
          <w:rFonts w:eastAsia="Times New Roman"/>
          <w:color w:val="000000"/>
          <w:sz w:val="20"/>
          <w:szCs w:val="20"/>
        </w:rPr>
        <w:t>.</w:t>
      </w:r>
    </w:p>
    <w:p w:rsidR="00000000" w:rsidRDefault="00602C02">
      <w:pPr>
        <w:ind w:firstLine="360"/>
        <w:divId w:val="1682392279"/>
        <w:rPr>
          <w:rFonts w:eastAsia="Times New Roman"/>
        </w:rPr>
      </w:pPr>
      <w:r>
        <w:rPr>
          <w:rFonts w:eastAsia="Times New Roman"/>
          <w:color w:val="000000"/>
          <w:sz w:val="20"/>
          <w:szCs w:val="20"/>
        </w:rPr>
        <w:t>In addition, there has b</w:t>
      </w:r>
      <w:r>
        <w:rPr>
          <w:rFonts w:eastAsia="Times New Roman"/>
          <w:color w:val="000000"/>
          <w:sz w:val="20"/>
          <w:szCs w:val="20"/>
        </w:rPr>
        <w:t>een and continues to be litigation among certain of our customers and other industry participants, and the potential outcomes of such litigation, including but not limited to injunctions against devices that incorporate our products or intellectual propert</w:t>
      </w:r>
      <w:r>
        <w:rPr>
          <w:rFonts w:eastAsia="Times New Roman"/>
          <w:color w:val="000000"/>
          <w:sz w:val="20"/>
          <w:szCs w:val="20"/>
        </w:rPr>
        <w:t>y, and rulings on certain patent law or patent licensing issues that create new legal precedent, could impact our business, particularly if such action impacts one of our larger customers</w:t>
      </w:r>
      <w:r>
        <w:rPr>
          <w:rFonts w:eastAsia="Times New Roman"/>
          <w:color w:val="000000"/>
          <w:sz w:val="20"/>
          <w:szCs w:val="20"/>
        </w:rPr>
        <w:t>.</w:t>
      </w:r>
    </w:p>
    <w:p w:rsidR="00000000" w:rsidRDefault="00602C02">
      <w:pPr>
        <w:ind w:firstLine="360"/>
        <w:divId w:val="158204477"/>
        <w:rPr>
          <w:rFonts w:eastAsia="Times New Roman"/>
        </w:rPr>
      </w:pPr>
      <w:r>
        <w:rPr>
          <w:rFonts w:eastAsia="Times New Roman"/>
          <w:color w:val="000000"/>
          <w:sz w:val="20"/>
          <w:szCs w:val="20"/>
        </w:rPr>
        <w:t>Although we have more than 300 licensees, our QTL segment derives a</w:t>
      </w:r>
      <w:r>
        <w:rPr>
          <w:rFonts w:eastAsia="Times New Roman"/>
          <w:color w:val="000000"/>
          <w:sz w:val="20"/>
          <w:szCs w:val="20"/>
        </w:rPr>
        <w:t xml:space="preserve"> significant portion of its revenues from a limited number of licensees, which increasingly includes a small number of Chinese OEMs. In the event that one or more of our significant licensees fail to meet their reporting and payment obligations, or we are </w:t>
      </w:r>
      <w:r>
        <w:rPr>
          <w:rFonts w:eastAsia="Times New Roman"/>
          <w:color w:val="000000"/>
          <w:sz w:val="20"/>
          <w:szCs w:val="20"/>
        </w:rPr>
        <w:t>unable to renew or modify one or more of such license agreements under similar terms, our revenues, results of operations and cash flows would be adversely impacted. Moreover, the future growth and success of our core licensing business will depend in part</w:t>
      </w:r>
      <w:r>
        <w:rPr>
          <w:rFonts w:eastAsia="Times New Roman"/>
          <w:color w:val="000000"/>
          <w:sz w:val="20"/>
          <w:szCs w:val="20"/>
        </w:rPr>
        <w:t xml:space="preserve"> on the ability of our licensees to develop, introduce and deliver high-volume products that achieve and sustain customer acceptance. We do not have control over the product development, sales efforts or pricing of products by our licensees, and our licens</w:t>
      </w:r>
      <w:r>
        <w:rPr>
          <w:rFonts w:eastAsia="Times New Roman"/>
          <w:color w:val="000000"/>
          <w:sz w:val="20"/>
          <w:szCs w:val="20"/>
        </w:rPr>
        <w:t>ees might not be successful.</w:t>
      </w:r>
      <w:r>
        <w:rPr>
          <w:rFonts w:eastAsia="Times New Roman"/>
          <w:color w:val="000000"/>
          <w:sz w:val="20"/>
          <w:szCs w:val="20"/>
        </w:rPr>
        <w:t xml:space="preserve"> </w:t>
      </w:r>
    </w:p>
    <w:p w:rsidR="00000000" w:rsidRDefault="00602C02">
      <w:pPr>
        <w:jc w:val="center"/>
        <w:divId w:val="1704551920"/>
        <w:rPr>
          <w:rFonts w:eastAsia="Times New Roman"/>
        </w:rPr>
      </w:pPr>
      <w:r>
        <w:rPr>
          <w:rFonts w:eastAsia="Times New Roman"/>
          <w:color w:val="000000"/>
          <w:sz w:val="20"/>
          <w:szCs w:val="20"/>
        </w:rPr>
        <w:t>3</w:t>
      </w:r>
      <w:r>
        <w:rPr>
          <w:rFonts w:eastAsia="Times New Roman"/>
          <w:color w:val="000000"/>
          <w:sz w:val="20"/>
          <w:szCs w:val="20"/>
        </w:rPr>
        <w:t>6</w:t>
      </w:r>
    </w:p>
    <w:p w:rsidR="00000000" w:rsidRDefault="00602C02">
      <w:pPr>
        <w:rPr>
          <w:rFonts w:eastAsia="Times New Roman"/>
        </w:rPr>
      </w:pPr>
      <w:r>
        <w:rPr>
          <w:rFonts w:eastAsia="Times New Roman"/>
        </w:rPr>
        <w:pict>
          <v:rect id="_x0000_i1060" style="width:0;height:1.5pt" o:hralign="center" o:hrstd="t" o:hr="t" fillcolor="#a0a0a0" stroked="f"/>
        </w:pict>
      </w:r>
    </w:p>
    <w:p w:rsidR="00000000" w:rsidRDefault="00602C02">
      <w:pPr>
        <w:divId w:val="1138767423"/>
        <w:rPr>
          <w:rFonts w:eastAsia="Times New Roman"/>
        </w:rPr>
      </w:pPr>
    </w:p>
    <w:p w:rsidR="00000000" w:rsidRDefault="00602C02">
      <w:pPr>
        <w:divId w:val="732387043"/>
        <w:rPr>
          <w:rFonts w:eastAsia="Times New Roman"/>
        </w:rPr>
      </w:pPr>
      <w:r>
        <w:rPr>
          <w:rFonts w:eastAsia="Times New Roman"/>
          <w:color w:val="000000"/>
          <w:sz w:val="20"/>
          <w:szCs w:val="20"/>
        </w:rPr>
        <w:t>Reductions in sales of our licensees’ products, or reductions in the average selling prices of wireless devices sold by our licensees without a sufficient increase in the volumes of su</w:t>
      </w:r>
      <w:r>
        <w:rPr>
          <w:rFonts w:eastAsia="Times New Roman"/>
          <w:color w:val="000000"/>
          <w:sz w:val="20"/>
          <w:szCs w:val="20"/>
        </w:rPr>
        <w:t xml:space="preserve">ch devices sold, would generally have an adverse effect on our licensing revenues. Such adverse impact may be mitigated by our per unit royalty caps that apply to certain categories of our licensees’ complete wireless devices, namely smartphones, tablets, </w:t>
      </w:r>
      <w:r>
        <w:rPr>
          <w:rFonts w:eastAsia="Times New Roman"/>
          <w:color w:val="000000"/>
          <w:sz w:val="20"/>
          <w:szCs w:val="20"/>
        </w:rPr>
        <w:t>laptops and smartwatches</w:t>
      </w:r>
      <w:r>
        <w:rPr>
          <w:rFonts w:eastAsia="Times New Roman"/>
          <w:color w:val="000000"/>
          <w:sz w:val="20"/>
          <w:szCs w:val="20"/>
        </w:rPr>
        <w:t>.</w:t>
      </w:r>
    </w:p>
    <w:p w:rsidR="00000000" w:rsidRDefault="00602C02">
      <w:pPr>
        <w:divId w:val="1610239383"/>
        <w:rPr>
          <w:rFonts w:eastAsia="Times New Roman"/>
        </w:rPr>
      </w:pPr>
      <w:r>
        <w:rPr>
          <w:rFonts w:eastAsia="Times New Roman"/>
          <w:b/>
          <w:bCs/>
          <w:i/>
          <w:iCs/>
          <w:color w:val="000000"/>
          <w:sz w:val="20"/>
          <w:szCs w:val="20"/>
        </w:rPr>
        <w:t>We derive a significant portion of our revenues from the premium-tier device segment. If sales of premium-tier devices decrease, or sales of our premium-tier integrated circuit products decrease, our results of operations could be</w:t>
      </w:r>
      <w:r>
        <w:rPr>
          <w:rFonts w:eastAsia="Times New Roman"/>
          <w:b/>
          <w:bCs/>
          <w:i/>
          <w:iCs/>
          <w:color w:val="000000"/>
          <w:sz w:val="20"/>
          <w:szCs w:val="20"/>
        </w:rPr>
        <w:t xml:space="preserve"> negatively affected</w:t>
      </w:r>
      <w:r>
        <w:rPr>
          <w:rFonts w:eastAsia="Times New Roman"/>
          <w:b/>
          <w:bCs/>
          <w:i/>
          <w:iCs/>
          <w:color w:val="000000"/>
          <w:sz w:val="20"/>
          <w:szCs w:val="20"/>
        </w:rPr>
        <w:t>.</w:t>
      </w:r>
    </w:p>
    <w:p w:rsidR="00000000" w:rsidRDefault="00602C02">
      <w:pPr>
        <w:ind w:firstLine="360"/>
        <w:divId w:val="1086422019"/>
        <w:rPr>
          <w:rFonts w:eastAsia="Times New Roman"/>
        </w:rPr>
      </w:pPr>
      <w:r>
        <w:rPr>
          <w:rFonts w:eastAsia="Times New Roman"/>
          <w:color w:val="000000"/>
          <w:sz w:val="20"/>
          <w:szCs w:val="20"/>
        </w:rPr>
        <w:t xml:space="preserve">We derive a significant portion of our revenues from the premium-tier device segment, and we expect this trend to continue in the foreseeable future. The industry has experienced, and we expect it will continue to experience, slowing </w:t>
      </w:r>
      <w:r>
        <w:rPr>
          <w:rFonts w:eastAsia="Times New Roman"/>
          <w:color w:val="000000"/>
          <w:sz w:val="20"/>
          <w:szCs w:val="20"/>
        </w:rPr>
        <w:t>growth in the premium-tier device segment due to, among other factors, lengthening replacement cycles in developed regions, where premium-tier smartphones are common; increasing consumer demand in emerging regions and China where premium-tier smartphones a</w:t>
      </w:r>
      <w:r>
        <w:rPr>
          <w:rFonts w:eastAsia="Times New Roman"/>
          <w:color w:val="000000"/>
          <w:sz w:val="20"/>
          <w:szCs w:val="20"/>
        </w:rPr>
        <w:t>re less common and replacement cycles are on average longer than in developed regions and are continuing to lengthen; and a maturing premium-tier smartphone industry in which demand is increasingly driven by new product launches and innovation cycles</w:t>
      </w:r>
      <w:r>
        <w:rPr>
          <w:rFonts w:eastAsia="Times New Roman"/>
          <w:color w:val="000000"/>
          <w:sz w:val="20"/>
          <w:szCs w:val="20"/>
        </w:rPr>
        <w:t>.</w:t>
      </w:r>
    </w:p>
    <w:p w:rsidR="00000000" w:rsidRDefault="00602C02">
      <w:pPr>
        <w:ind w:firstLine="360"/>
        <w:divId w:val="867375712"/>
        <w:rPr>
          <w:rFonts w:eastAsia="Times New Roman"/>
        </w:rPr>
      </w:pPr>
      <w:r>
        <w:rPr>
          <w:rFonts w:eastAsia="Times New Roman"/>
          <w:color w:val="000000"/>
          <w:sz w:val="20"/>
          <w:szCs w:val="20"/>
        </w:rPr>
        <w:t>In a</w:t>
      </w:r>
      <w:r>
        <w:rPr>
          <w:rFonts w:eastAsia="Times New Roman"/>
          <w:color w:val="000000"/>
          <w:sz w:val="20"/>
          <w:szCs w:val="20"/>
        </w:rPr>
        <w:t>ddition, as discussed in the prior risk factor, our industry is experiencing concentration of device share at the premium tier among a few companies, which gives them significant leverage. Further, certain of those companies have in the past utilized, curr</w:t>
      </w:r>
      <w:r>
        <w:rPr>
          <w:rFonts w:eastAsia="Times New Roman"/>
          <w:color w:val="000000"/>
          <w:sz w:val="20"/>
          <w:szCs w:val="20"/>
        </w:rPr>
        <w:t>ently utilize and may in the future utilize their own internally-developed integrated circuit products or our competitors’ integrated circuit products rather than our products in all or a portion of their devices. These dynamics may result in reduced sales</w:t>
      </w:r>
      <w:r>
        <w:rPr>
          <w:rFonts w:eastAsia="Times New Roman"/>
          <w:color w:val="000000"/>
          <w:sz w:val="20"/>
          <w:szCs w:val="20"/>
        </w:rPr>
        <w:t xml:space="preserve"> of or lower prices for our premium-tier integrated circuit products</w:t>
      </w:r>
      <w:r>
        <w:rPr>
          <w:rFonts w:eastAsia="Times New Roman"/>
          <w:color w:val="000000"/>
          <w:sz w:val="20"/>
          <w:szCs w:val="20"/>
        </w:rPr>
        <w:t>.</w:t>
      </w:r>
    </w:p>
    <w:p w:rsidR="00000000" w:rsidRDefault="00602C02">
      <w:pPr>
        <w:ind w:firstLine="360"/>
        <w:divId w:val="1796094617"/>
        <w:rPr>
          <w:rFonts w:eastAsia="Times New Roman"/>
        </w:rPr>
      </w:pPr>
      <w:r>
        <w:rPr>
          <w:rFonts w:eastAsia="Times New Roman"/>
          <w:color w:val="000000"/>
          <w:sz w:val="20"/>
          <w:szCs w:val="20"/>
        </w:rPr>
        <w:t>A reduction in sales of premium-tier devices, a reduction in sales of our premium-tier integrated circuit products (which have a higher revenue and margin contribution than our lower-tie</w:t>
      </w:r>
      <w:r>
        <w:rPr>
          <w:rFonts w:eastAsia="Times New Roman"/>
          <w:color w:val="000000"/>
          <w:sz w:val="20"/>
          <w:szCs w:val="20"/>
        </w:rPr>
        <w:t>r integrated circuit products) or a shift in share away from OEMs that utilize o</w:t>
      </w:r>
      <w:r>
        <w:rPr>
          <w:rFonts w:eastAsia="Times New Roman"/>
          <w:color w:val="000000"/>
          <w:sz w:val="20"/>
          <w:szCs w:val="20"/>
        </w:rPr>
        <w:t>u</w:t>
      </w:r>
      <w:r>
        <w:rPr>
          <w:rFonts w:eastAsia="Times New Roman"/>
          <w:color w:val="000000"/>
          <w:sz w:val="20"/>
          <w:szCs w:val="20"/>
          <w:shd w:val="clear" w:color="auto" w:fill="FFFFFF"/>
        </w:rPr>
        <w:t>r premium-tier</w:t>
      </w:r>
      <w:r>
        <w:rPr>
          <w:rFonts w:eastAsia="Times New Roman"/>
          <w:color w:val="000000"/>
          <w:sz w:val="20"/>
          <w:szCs w:val="20"/>
          <w:shd w:val="clear" w:color="auto" w:fill="FFFFFF"/>
        </w:rPr>
        <w:t xml:space="preserve"> </w:t>
      </w:r>
      <w:r>
        <w:rPr>
          <w:rFonts w:eastAsia="Times New Roman"/>
          <w:color w:val="000000"/>
          <w:sz w:val="20"/>
          <w:szCs w:val="20"/>
        </w:rPr>
        <w:t xml:space="preserve">products, would reduce our revenues and margins and may harm our ability to achieve or sustain expected financial results. Any such reduction in revenues would </w:t>
      </w:r>
      <w:r>
        <w:rPr>
          <w:rFonts w:eastAsia="Times New Roman"/>
          <w:color w:val="000000"/>
          <w:sz w:val="20"/>
          <w:szCs w:val="20"/>
        </w:rPr>
        <w:t>also impact our cash resources available for other purposes, such as research and development</w:t>
      </w:r>
      <w:r>
        <w:rPr>
          <w:rFonts w:eastAsia="Times New Roman"/>
          <w:color w:val="000000"/>
          <w:sz w:val="20"/>
          <w:szCs w:val="20"/>
        </w:rPr>
        <w:t>.</w:t>
      </w:r>
    </w:p>
    <w:p w:rsidR="00000000" w:rsidRDefault="00602C02">
      <w:pPr>
        <w:divId w:val="304359049"/>
        <w:rPr>
          <w:rFonts w:eastAsia="Times New Roman"/>
        </w:rPr>
      </w:pPr>
      <w:r>
        <w:rPr>
          <w:rFonts w:eastAsia="Times New Roman"/>
          <w:b/>
          <w:bCs/>
          <w:i/>
          <w:iCs/>
          <w:color w:val="000000"/>
          <w:sz w:val="20"/>
          <w:szCs w:val="20"/>
        </w:rPr>
        <w:t>Efforts by some OEMs or their customers to avoid paying fair and reasonable royalties for the use of our intellectual property may require the investment of substantial management time and financial resources and may result in legal decisions or actions by</w:t>
      </w:r>
      <w:r>
        <w:rPr>
          <w:rFonts w:eastAsia="Times New Roman"/>
          <w:b/>
          <w:bCs/>
          <w:i/>
          <w:iCs/>
          <w:color w:val="000000"/>
          <w:sz w:val="20"/>
          <w:szCs w:val="20"/>
        </w:rPr>
        <w:t xml:space="preserve"> governments, courts, regulators or agencies, Standards Development Organizations (SDOs) or other industry organizations that harm our business.</w:t>
      </w:r>
      <w:r>
        <w:rPr>
          <w:rFonts w:eastAsia="Times New Roman"/>
          <w:b/>
          <w:bCs/>
          <w:i/>
          <w:iCs/>
          <w:color w:val="000000"/>
          <w:sz w:val="20"/>
          <w:szCs w:val="20"/>
        </w:rPr>
        <w:t xml:space="preserve"> </w:t>
      </w:r>
    </w:p>
    <w:p w:rsidR="00000000" w:rsidRDefault="00602C02">
      <w:pPr>
        <w:ind w:firstLine="360"/>
        <w:divId w:val="1827549312"/>
        <w:rPr>
          <w:rFonts w:eastAsia="Times New Roman"/>
        </w:rPr>
      </w:pPr>
      <w:r>
        <w:rPr>
          <w:rFonts w:eastAsia="Times New Roman"/>
          <w:color w:val="000000"/>
          <w:sz w:val="20"/>
          <w:szCs w:val="20"/>
        </w:rPr>
        <w:t>From time to time, companies initiate various strategies to attempt to negotiate, renegotiate, reduce and/or e</w:t>
      </w:r>
      <w:r>
        <w:rPr>
          <w:rFonts w:eastAsia="Times New Roman"/>
          <w:color w:val="000000"/>
          <w:sz w:val="20"/>
          <w:szCs w:val="20"/>
        </w:rPr>
        <w:t>liminate their need to pay royalties to us for the use of our intellectual property. These strategies have included: (i) litigation, often alleging infringement of patents held by such companies, patent misuse, patent exhaustion, patent invalidity or unenf</w:t>
      </w:r>
      <w:r>
        <w:rPr>
          <w:rFonts w:eastAsia="Times New Roman"/>
          <w:color w:val="000000"/>
          <w:sz w:val="20"/>
          <w:szCs w:val="20"/>
        </w:rPr>
        <w:t>orceability of our patents or licenses, taking a position that we do not license our patents on fair, reasonable and nondiscriminatory (FRAND) terms, or alleging some form of unfair competition or competition law violation; (ii) taking positions contrary t</w:t>
      </w:r>
      <w:r>
        <w:rPr>
          <w:rFonts w:eastAsia="Times New Roman"/>
          <w:color w:val="000000"/>
          <w:sz w:val="20"/>
          <w:szCs w:val="20"/>
        </w:rPr>
        <w:t>o our understanding (and/or the plain language) of their contracts with us; (iii) appeals to governmental authorities; (iv) collective action, including working with wireless operators, standards bodies, other like-minded companies and organizations, on bo</w:t>
      </w:r>
      <w:r>
        <w:rPr>
          <w:rFonts w:eastAsia="Times New Roman"/>
          <w:color w:val="000000"/>
          <w:sz w:val="20"/>
          <w:szCs w:val="20"/>
        </w:rPr>
        <w:t>th formal and informal bases, to adopt intellectual property policies and practices that could have the effect of limiting returns on intellectual property innovations; (v) lobbying governmental regulators and elected officials for the purpose of seeking t</w:t>
      </w:r>
      <w:r>
        <w:rPr>
          <w:rFonts w:eastAsia="Times New Roman"/>
          <w:color w:val="000000"/>
          <w:sz w:val="20"/>
          <w:szCs w:val="20"/>
        </w:rPr>
        <w:t>he reduction of royalty rates or the base on which royalties are calculated, seeking to impose some form of compulsory licensing or weakening a patent holder’s ability to enforce its rights or obtain a fair return for such rights; and (vi) various attempts</w:t>
      </w:r>
      <w:r>
        <w:rPr>
          <w:rFonts w:eastAsia="Times New Roman"/>
          <w:color w:val="000000"/>
          <w:sz w:val="20"/>
          <w:szCs w:val="20"/>
        </w:rPr>
        <w:t xml:space="preserve"> by licensees to shift their royalty obligation to their suppliers that results in lowering the wholesale (i.e., licensee’s) selling price on which the royalty is calculated</w:t>
      </w:r>
      <w:r>
        <w:rPr>
          <w:rFonts w:eastAsia="Times New Roman"/>
          <w:color w:val="000000"/>
          <w:sz w:val="20"/>
          <w:szCs w:val="20"/>
        </w:rPr>
        <w:t>.</w:t>
      </w:r>
    </w:p>
    <w:p w:rsidR="00000000" w:rsidRDefault="00602C02">
      <w:pPr>
        <w:ind w:firstLine="360"/>
        <w:divId w:val="701786479"/>
        <w:rPr>
          <w:rFonts w:eastAsia="Times New Roman"/>
        </w:rPr>
      </w:pPr>
      <w:r>
        <w:rPr>
          <w:rFonts w:eastAsia="Times New Roman"/>
          <w:color w:val="000000"/>
          <w:sz w:val="20"/>
          <w:szCs w:val="20"/>
        </w:rPr>
        <w:t>In addition, certain licensees have disputed, underreported, underpaid, not repor</w:t>
      </w:r>
      <w:r>
        <w:rPr>
          <w:rFonts w:eastAsia="Times New Roman"/>
          <w:color w:val="000000"/>
          <w:sz w:val="20"/>
          <w:szCs w:val="20"/>
        </w:rPr>
        <w:t>ted or not paid royalties owed to us under their license agreements or reported to us in a manner that is not in compliance with their contractual obligations, and certain companies have yet to enter into or have delayed entering into or renewing license a</w:t>
      </w:r>
      <w:r>
        <w:rPr>
          <w:rFonts w:eastAsia="Times New Roman"/>
          <w:color w:val="000000"/>
          <w:sz w:val="20"/>
          <w:szCs w:val="20"/>
        </w:rPr>
        <w:t>greements with us for their use of our intellectual property. Further, certain licensees and companies are currently engaged in such behavior and they or others may engage in such behavior in the future. The fact that one or more licensees dispute, underre</w:t>
      </w:r>
      <w:r>
        <w:rPr>
          <w:rFonts w:eastAsia="Times New Roman"/>
          <w:color w:val="000000"/>
          <w:sz w:val="20"/>
          <w:szCs w:val="20"/>
        </w:rPr>
        <w:t xml:space="preserve">port, underpay, do not report or do not pay royalties owed to us may encourage other licensees to take similar actions or not renew their existing license agreements, and may encourage other licensees or unlicensed companies to delay entering into, or not </w:t>
      </w:r>
      <w:r>
        <w:rPr>
          <w:rFonts w:eastAsia="Times New Roman"/>
          <w:color w:val="000000"/>
          <w:sz w:val="20"/>
          <w:szCs w:val="20"/>
        </w:rPr>
        <w:t>enter into, new license agreements. Further, to the extent such licensees and companies increase their device share, the negative impact of their underreporting, underpayment, non-payment or non-reporting on our business, revenues, results of operations, f</w:t>
      </w:r>
      <w:r>
        <w:rPr>
          <w:rFonts w:eastAsia="Times New Roman"/>
          <w:color w:val="000000"/>
          <w:sz w:val="20"/>
          <w:szCs w:val="20"/>
        </w:rPr>
        <w:t>inancial condition and cash flows will be exacerbated</w:t>
      </w:r>
      <w:r>
        <w:rPr>
          <w:rFonts w:eastAsia="Times New Roman"/>
          <w:color w:val="000000"/>
          <w:sz w:val="20"/>
          <w:szCs w:val="20"/>
        </w:rPr>
        <w:t>.</w:t>
      </w:r>
    </w:p>
    <w:p w:rsidR="00000000" w:rsidRDefault="00602C02">
      <w:pPr>
        <w:ind w:firstLine="360"/>
        <w:divId w:val="2041514442"/>
        <w:rPr>
          <w:rFonts w:eastAsia="Times New Roman"/>
        </w:rPr>
      </w:pPr>
      <w:r>
        <w:rPr>
          <w:rFonts w:eastAsia="Times New Roman"/>
          <w:color w:val="000000"/>
          <w:sz w:val="20"/>
          <w:szCs w:val="20"/>
        </w:rPr>
        <w:t>We have been in the past and are currently subject to various litigation and governmental investigations and proceedings, including the lawsuit filed against us by the FTC. Certain of these matters are</w:t>
      </w:r>
      <w:r>
        <w:rPr>
          <w:rFonts w:eastAsia="Times New Roman"/>
          <w:color w:val="000000"/>
          <w:sz w:val="20"/>
          <w:szCs w:val="20"/>
        </w:rPr>
        <w:t xml:space="preserve"> described more fully in this Quarterly Report in</w:t>
      </w:r>
      <w:r>
        <w:rPr>
          <w:rFonts w:eastAsia="Times New Roman"/>
          <w:color w:val="000000"/>
          <w:sz w:val="20"/>
          <w:szCs w:val="20"/>
        </w:rPr>
        <w:t xml:space="preserve"> </w:t>
      </w:r>
    </w:p>
    <w:p w:rsidR="00000000" w:rsidRDefault="00602C02">
      <w:pPr>
        <w:jc w:val="center"/>
        <w:divId w:val="603608695"/>
        <w:rPr>
          <w:rFonts w:eastAsia="Times New Roman"/>
        </w:rPr>
      </w:pPr>
      <w:r>
        <w:rPr>
          <w:rFonts w:eastAsia="Times New Roman"/>
          <w:color w:val="000000"/>
          <w:sz w:val="20"/>
          <w:szCs w:val="20"/>
        </w:rPr>
        <w:t>3</w:t>
      </w:r>
      <w:r>
        <w:rPr>
          <w:rFonts w:eastAsia="Times New Roman"/>
          <w:color w:val="000000"/>
          <w:sz w:val="20"/>
          <w:szCs w:val="20"/>
        </w:rPr>
        <w:t>7</w:t>
      </w:r>
    </w:p>
    <w:p w:rsidR="00000000" w:rsidRDefault="00602C02">
      <w:pPr>
        <w:rPr>
          <w:rFonts w:eastAsia="Times New Roman"/>
        </w:rPr>
      </w:pPr>
      <w:r>
        <w:rPr>
          <w:rFonts w:eastAsia="Times New Roman"/>
        </w:rPr>
        <w:pict>
          <v:rect id="_x0000_i1061" style="width:0;height:1.5pt" o:hralign="center" o:hrstd="t" o:hr="t" fillcolor="#a0a0a0" stroked="f"/>
        </w:pict>
      </w:r>
    </w:p>
    <w:p w:rsidR="00000000" w:rsidRDefault="00602C02">
      <w:pPr>
        <w:divId w:val="1702901903"/>
        <w:rPr>
          <w:rFonts w:eastAsia="Times New Roman"/>
        </w:rPr>
      </w:pPr>
    </w:p>
    <w:p w:rsidR="00000000" w:rsidRDefault="00602C02">
      <w:pPr>
        <w:divId w:val="1078093095"/>
        <w:rPr>
          <w:rFonts w:eastAsia="Times New Roman"/>
        </w:rPr>
      </w:pPr>
      <w:r>
        <w:rPr>
          <w:rFonts w:eastAsia="Times New Roman"/>
          <w:color w:val="000000"/>
          <w:sz w:val="20"/>
          <w:szCs w:val="20"/>
        </w:rPr>
        <w:t>“Notes to Condensed Consolidated Financial Statements, Note 5. Commitments and Contingencies.” We may become subject to other litigation or governmental investigati</w:t>
      </w:r>
      <w:r>
        <w:rPr>
          <w:rFonts w:eastAsia="Times New Roman"/>
          <w:color w:val="000000"/>
          <w:sz w:val="20"/>
          <w:szCs w:val="20"/>
        </w:rPr>
        <w:t>ons or proceedings in the future. Additionally, certain of our direct and indirect customers and licensees have pursued, and others may in the future pursue, litigation or arbitration against us related to our business. Unfavorable resolutions of one or mo</w:t>
      </w:r>
      <w:r>
        <w:rPr>
          <w:rFonts w:eastAsia="Times New Roman"/>
          <w:color w:val="000000"/>
          <w:sz w:val="20"/>
          <w:szCs w:val="20"/>
        </w:rPr>
        <w:t>re of these matters have had and could in the future have a material adverse effect on our business, revenues, results of operations, financial condition and cash flows. See also the Risk Factors below entitled</w:t>
      </w:r>
      <w:r>
        <w:rPr>
          <w:rFonts w:eastAsia="Times New Roman"/>
          <w:color w:val="000000"/>
          <w:sz w:val="20"/>
          <w:szCs w:val="20"/>
        </w:rPr>
        <w:t xml:space="preserve"> </w:t>
      </w:r>
      <w:r>
        <w:rPr>
          <w:rFonts w:eastAsia="Times New Roman"/>
          <w:i/>
          <w:iCs/>
          <w:color w:val="000000"/>
          <w:sz w:val="20"/>
          <w:szCs w:val="20"/>
        </w:rPr>
        <w:t>“Our business, particularly our licensing bus</w:t>
      </w:r>
      <w:r>
        <w:rPr>
          <w:rFonts w:eastAsia="Times New Roman"/>
          <w:i/>
          <w:iCs/>
          <w:color w:val="000000"/>
          <w:sz w:val="20"/>
          <w:szCs w:val="20"/>
        </w:rPr>
        <w:t>iness, may suffer as a result of adverse rulings in government investigations or proceedings”</w:t>
      </w:r>
      <w:r>
        <w:rPr>
          <w:rFonts w:eastAsia="Times New Roman"/>
          <w:i/>
          <w:iCs/>
          <w:color w:val="000000"/>
          <w:sz w:val="20"/>
          <w:szCs w:val="20"/>
        </w:rPr>
        <w:t xml:space="preserve"> </w:t>
      </w:r>
      <w:r>
        <w:rPr>
          <w:rFonts w:eastAsia="Times New Roman"/>
          <w:color w:val="000000"/>
          <w:sz w:val="20"/>
          <w:szCs w:val="20"/>
        </w:rPr>
        <w:t>an</w:t>
      </w:r>
      <w:r>
        <w:rPr>
          <w:rFonts w:eastAsia="Times New Roman"/>
          <w:color w:val="000000"/>
          <w:sz w:val="20"/>
          <w:szCs w:val="20"/>
        </w:rPr>
        <w:t>d</w:t>
      </w:r>
      <w:r>
        <w:rPr>
          <w:rFonts w:eastAsia="Times New Roman"/>
          <w:i/>
          <w:iCs/>
          <w:color w:val="000000"/>
          <w:sz w:val="20"/>
          <w:szCs w:val="20"/>
        </w:rPr>
        <w:t xml:space="preserve"> “Changes in our patent licensing practices, whether due to governmental investigations or private legal proceedings challenging those practices, or otherwise,</w:t>
      </w:r>
      <w:r>
        <w:rPr>
          <w:rFonts w:eastAsia="Times New Roman"/>
          <w:i/>
          <w:iCs/>
          <w:color w:val="000000"/>
          <w:sz w:val="20"/>
          <w:szCs w:val="20"/>
        </w:rPr>
        <w:t xml:space="preserve"> could adversely impact our business and results of operations.”</w:t>
      </w:r>
      <w:r>
        <w:rPr>
          <w:rFonts w:eastAsia="Times New Roman"/>
          <w:i/>
          <w:iCs/>
          <w:color w:val="000000"/>
          <w:sz w:val="20"/>
          <w:szCs w:val="20"/>
        </w:rPr>
        <w:t xml:space="preserve"> </w:t>
      </w:r>
    </w:p>
    <w:p w:rsidR="00000000" w:rsidRDefault="00602C02">
      <w:pPr>
        <w:ind w:firstLine="360"/>
        <w:divId w:val="871959800"/>
        <w:rPr>
          <w:rFonts w:eastAsia="Times New Roman"/>
        </w:rPr>
      </w:pPr>
      <w:r>
        <w:rPr>
          <w:rFonts w:eastAsia="Times New Roman"/>
          <w:color w:val="000000"/>
          <w:sz w:val="20"/>
          <w:szCs w:val="20"/>
        </w:rPr>
        <w:t>In addition, in connection with our participation in SDOs, we, like other patent owners, generally have made contractual commitments to such organizations to license those of our patents tha</w:t>
      </w:r>
      <w:r>
        <w:rPr>
          <w:rFonts w:eastAsia="Times New Roman"/>
          <w:color w:val="000000"/>
          <w:sz w:val="20"/>
          <w:szCs w:val="20"/>
        </w:rPr>
        <w:t>t would necessarily be infringed by standard-compliant products as set forth in those commitments. Some manufacturers and users of standard-compliant products advance interpretations of these commitments that are adverse to our licensing business, includin</w:t>
      </w:r>
      <w:r>
        <w:rPr>
          <w:rFonts w:eastAsia="Times New Roman"/>
          <w:color w:val="000000"/>
          <w:sz w:val="20"/>
          <w:szCs w:val="20"/>
        </w:rPr>
        <w:t>g interpretations that would limit the amount of royalties that we could collect on the licensing of our standard-essential patent portfolio</w:t>
      </w:r>
      <w:r>
        <w:rPr>
          <w:rFonts w:eastAsia="Times New Roman"/>
          <w:color w:val="000000"/>
          <w:sz w:val="20"/>
          <w:szCs w:val="20"/>
        </w:rPr>
        <w:t>.</w:t>
      </w:r>
    </w:p>
    <w:p w:rsidR="00000000" w:rsidRDefault="00602C02">
      <w:pPr>
        <w:ind w:firstLine="360"/>
        <w:divId w:val="303971521"/>
        <w:rPr>
          <w:rFonts w:eastAsia="Times New Roman"/>
        </w:rPr>
      </w:pPr>
      <w:r>
        <w:rPr>
          <w:rFonts w:eastAsia="Times New Roman"/>
          <w:color w:val="000000"/>
          <w:sz w:val="20"/>
          <w:szCs w:val="20"/>
        </w:rPr>
        <w:t>Further, some companies or entities have proposed significant changes to existing intellectual property policies f</w:t>
      </w:r>
      <w:r>
        <w:rPr>
          <w:rFonts w:eastAsia="Times New Roman"/>
          <w:color w:val="000000"/>
          <w:sz w:val="20"/>
          <w:szCs w:val="20"/>
        </w:rPr>
        <w:t>or implementation by SDOs and other industry organizations with the goal of significantly devaluing standard-essential patents. For example, some have put forth proposals which would require a maximum aggregate intellectual property royalty rate for the us</w:t>
      </w:r>
      <w:r>
        <w:rPr>
          <w:rFonts w:eastAsia="Times New Roman"/>
          <w:color w:val="000000"/>
          <w:sz w:val="20"/>
          <w:szCs w:val="20"/>
        </w:rPr>
        <w:t>e of all standard-essential patents owned by all of the member companies to be applied to the selling price of any product implementing the relevant standard. They have further proposed that such maximum aggregate royalty rate be apportioned to each member</w:t>
      </w:r>
      <w:r>
        <w:rPr>
          <w:rFonts w:eastAsia="Times New Roman"/>
          <w:color w:val="000000"/>
          <w:sz w:val="20"/>
          <w:szCs w:val="20"/>
        </w:rPr>
        <w:t xml:space="preserve"> company with standard-essential patents based upon the number of standard-essential patents held by such company. Others have proposed that injunctions should not be an available remedy for infringement of standard-essential patents and have made proposal</w:t>
      </w:r>
      <w:r>
        <w:rPr>
          <w:rFonts w:eastAsia="Times New Roman"/>
          <w:color w:val="000000"/>
          <w:sz w:val="20"/>
          <w:szCs w:val="20"/>
        </w:rPr>
        <w:t>s that could severely limit damage awards and other remedies by courts for patent infringement (e.g., by severely limiting the base upon which the royalty rate may be applied). A number of these strategies are purportedly based on interpretations of the po</w:t>
      </w:r>
      <w:r>
        <w:rPr>
          <w:rFonts w:eastAsia="Times New Roman"/>
          <w:color w:val="000000"/>
          <w:sz w:val="20"/>
          <w:szCs w:val="20"/>
        </w:rPr>
        <w:t xml:space="preserve">licies of certain SDOs concerning the licensing of patents that are or may be essential to industry standards and on our (or other companies’) alleged failure to abide by these policies. Some SDOs, courts and governmental agencies have adopted, and may in </w:t>
      </w:r>
      <w:r>
        <w:rPr>
          <w:rFonts w:eastAsia="Times New Roman"/>
          <w:color w:val="000000"/>
          <w:sz w:val="20"/>
          <w:szCs w:val="20"/>
        </w:rPr>
        <w:t>the future adopt, some or all of these interpretations or proposals in a manner adverse to our interests, including in litigation to which we may not be a party</w:t>
      </w:r>
      <w:r>
        <w:rPr>
          <w:rFonts w:eastAsia="Times New Roman"/>
          <w:color w:val="000000"/>
          <w:sz w:val="20"/>
          <w:szCs w:val="20"/>
        </w:rPr>
        <w:t>.</w:t>
      </w:r>
    </w:p>
    <w:p w:rsidR="00000000" w:rsidRDefault="00602C02">
      <w:pPr>
        <w:ind w:firstLine="360"/>
        <w:divId w:val="1572734462"/>
        <w:rPr>
          <w:rFonts w:eastAsia="Times New Roman"/>
        </w:rPr>
      </w:pPr>
      <w:r>
        <w:rPr>
          <w:rFonts w:eastAsia="Times New Roman"/>
          <w:color w:val="000000"/>
          <w:sz w:val="20"/>
          <w:szCs w:val="20"/>
        </w:rPr>
        <w:t>We expect that such proposals, interpretations and strategies will continue in the future, and</w:t>
      </w:r>
      <w:r>
        <w:rPr>
          <w:rFonts w:eastAsia="Times New Roman"/>
          <w:color w:val="000000"/>
          <w:sz w:val="20"/>
          <w:szCs w:val="20"/>
        </w:rPr>
        <w:t xml:space="preserve"> if successful, our business model would be harmed, either by limiting or eliminating our ability to collect royalties (or by reducing the royalties we can collect) on all or a portion of our standard-essential patent portfolio, limiting our return on inve</w:t>
      </w:r>
      <w:r>
        <w:rPr>
          <w:rFonts w:eastAsia="Times New Roman"/>
          <w:color w:val="000000"/>
          <w:sz w:val="20"/>
          <w:szCs w:val="20"/>
        </w:rPr>
        <w:t xml:space="preserve">stment with respect to new technologies, limiting our ability to seek injunctions against infringers of our standard-essential patents, constraining our ability to make licensing commitments when submitting our technology for inclusion in future standards </w:t>
      </w:r>
      <w:r>
        <w:rPr>
          <w:rFonts w:eastAsia="Times New Roman"/>
          <w:color w:val="000000"/>
          <w:sz w:val="20"/>
          <w:szCs w:val="20"/>
        </w:rPr>
        <w:t>(which could make our technology less likely to be included in such standards) or forcing us to work outside of SDOs or other industry groups to promote our new technologies, and our revenues, results of operations and cash flows could be negatively impact</w:t>
      </w:r>
      <w:r>
        <w:rPr>
          <w:rFonts w:eastAsia="Times New Roman"/>
          <w:color w:val="000000"/>
          <w:sz w:val="20"/>
          <w:szCs w:val="20"/>
        </w:rPr>
        <w:t>ed. In addition, the legal and other costs associated with asserting or defending our positions have been and continue to be significant. We assume that such challenges, regardless of their merits, will continue into the foreseeable future and will require</w:t>
      </w:r>
      <w:r>
        <w:rPr>
          <w:rFonts w:eastAsia="Times New Roman"/>
          <w:color w:val="000000"/>
          <w:sz w:val="20"/>
          <w:szCs w:val="20"/>
        </w:rPr>
        <w:t xml:space="preserve"> the investment of substantial management time and financial resources</w:t>
      </w:r>
      <w:r>
        <w:rPr>
          <w:rFonts w:eastAsia="Times New Roman"/>
          <w:color w:val="000000"/>
          <w:sz w:val="20"/>
          <w:szCs w:val="20"/>
        </w:rPr>
        <w:t>.</w:t>
      </w:r>
    </w:p>
    <w:p w:rsidR="00000000" w:rsidRDefault="00602C02">
      <w:pPr>
        <w:divId w:val="1700667231"/>
        <w:rPr>
          <w:rFonts w:eastAsia="Times New Roman"/>
        </w:rPr>
      </w:pPr>
      <w:r>
        <w:rPr>
          <w:rFonts w:eastAsia="Times New Roman"/>
          <w:b/>
          <w:bCs/>
          <w:i/>
          <w:iCs/>
          <w:color w:val="000000"/>
          <w:sz w:val="20"/>
          <w:szCs w:val="20"/>
        </w:rPr>
        <w:t>Our business, particularly our licensing business, may suffer as a result of adverse rulings in government investigations or proceedings</w:t>
      </w:r>
      <w:r>
        <w:rPr>
          <w:rFonts w:eastAsia="Times New Roman"/>
          <w:b/>
          <w:bCs/>
          <w:i/>
          <w:iCs/>
          <w:color w:val="000000"/>
          <w:sz w:val="20"/>
          <w:szCs w:val="20"/>
        </w:rPr>
        <w:t>.</w:t>
      </w:r>
    </w:p>
    <w:p w:rsidR="00000000" w:rsidRDefault="00602C02">
      <w:pPr>
        <w:ind w:firstLine="360"/>
        <w:divId w:val="387873766"/>
        <w:rPr>
          <w:rFonts w:eastAsia="Times New Roman"/>
        </w:rPr>
      </w:pPr>
      <w:r>
        <w:rPr>
          <w:rFonts w:eastAsia="Times New Roman"/>
          <w:color w:val="000000"/>
          <w:sz w:val="20"/>
          <w:szCs w:val="20"/>
        </w:rPr>
        <w:t>We have been in the past and are currently sub</w:t>
      </w:r>
      <w:r>
        <w:rPr>
          <w:rFonts w:eastAsia="Times New Roman"/>
          <w:color w:val="000000"/>
          <w:sz w:val="20"/>
          <w:szCs w:val="20"/>
        </w:rPr>
        <w:t>ject to various governmental investigations and proceedings, particularly with respect to our licensing business, including the lawsuit filed against us by the FTC. Certain of these matters are described more fully in this Quarterly Report in “Notes to Con</w:t>
      </w:r>
      <w:r>
        <w:rPr>
          <w:rFonts w:eastAsia="Times New Roman"/>
          <w:color w:val="000000"/>
          <w:sz w:val="20"/>
          <w:szCs w:val="20"/>
        </w:rPr>
        <w:t>densed Consolidated Financial Statements, Note 5. Commitments and Contingencies.” Key allegations or findings in those matters include, among others, that we violate FRAND licensing commitments by refusing to grant licenses to chipset manufacturers, that o</w:t>
      </w:r>
      <w:r>
        <w:rPr>
          <w:rFonts w:eastAsia="Times New Roman"/>
          <w:color w:val="000000"/>
          <w:sz w:val="20"/>
          <w:szCs w:val="20"/>
        </w:rPr>
        <w:t>ur royalty rates are too high, that the base on which our royalties are calculated should be something less than the wholesale (i.e., licensee’s) selling price of the applicable device (minus certain permitted deductions), that we unlawfully require custom</w:t>
      </w:r>
      <w:r>
        <w:rPr>
          <w:rFonts w:eastAsia="Times New Roman"/>
          <w:color w:val="000000"/>
          <w:sz w:val="20"/>
          <w:szCs w:val="20"/>
        </w:rPr>
        <w:t xml:space="preserve">ers to execute a patent license before we sell them cellular modem chipsets, that we have entered into exclusive agreements with chipset customers that foreclose competition, and that we violate antitrust laws, engage in anticompetitive conduct and unfair </w:t>
      </w:r>
      <w:r>
        <w:rPr>
          <w:rFonts w:eastAsia="Times New Roman"/>
          <w:color w:val="000000"/>
          <w:sz w:val="20"/>
          <w:szCs w:val="20"/>
        </w:rPr>
        <w:t>methods of competition. We may become subject to other litigation or governmental investigations or proceedings in the future.</w:t>
      </w:r>
      <w:r>
        <w:rPr>
          <w:rFonts w:eastAsia="Times New Roman"/>
          <w:color w:val="000000"/>
          <w:sz w:val="20"/>
          <w:szCs w:val="20"/>
        </w:rPr>
        <w:t xml:space="preserve"> </w:t>
      </w:r>
    </w:p>
    <w:p w:rsidR="00000000" w:rsidRDefault="00602C02">
      <w:pPr>
        <w:ind w:firstLine="360"/>
        <w:divId w:val="1585259392"/>
        <w:rPr>
          <w:rFonts w:eastAsia="Times New Roman"/>
        </w:rPr>
      </w:pPr>
      <w:r>
        <w:rPr>
          <w:rFonts w:eastAsia="Times New Roman"/>
          <w:color w:val="000000"/>
          <w:sz w:val="20"/>
          <w:szCs w:val="20"/>
        </w:rPr>
        <w:t>Unfavorable resolutions of one or more of these matters have had and could in the future have a material adverse effect on our b</w:t>
      </w:r>
      <w:r>
        <w:rPr>
          <w:rFonts w:eastAsia="Times New Roman"/>
          <w:color w:val="000000"/>
          <w:sz w:val="20"/>
          <w:szCs w:val="20"/>
        </w:rPr>
        <w:t>usiness, revenues, results of operations, financial condition and cash flows. Depending on the matter, various remedies that could result from an unfavorable resolution include, among others, the loss of our ability to enforce one or more of our patents; i</w:t>
      </w:r>
      <w:r>
        <w:rPr>
          <w:rFonts w:eastAsia="Times New Roman"/>
          <w:color w:val="000000"/>
          <w:sz w:val="20"/>
          <w:szCs w:val="20"/>
        </w:rPr>
        <w:t>njunctions; monetary damages or fines or other orders to pay money; the issuance of orders to cease certain conduct or modify our business practices, such as requiring us to reduce our royalty rates, reduce the base on which our</w:t>
      </w:r>
      <w:r>
        <w:rPr>
          <w:rFonts w:eastAsia="Times New Roman"/>
          <w:color w:val="000000"/>
          <w:sz w:val="20"/>
          <w:szCs w:val="20"/>
        </w:rPr>
        <w:t xml:space="preserve"> </w:t>
      </w:r>
    </w:p>
    <w:p w:rsidR="00000000" w:rsidRDefault="00602C02">
      <w:pPr>
        <w:jc w:val="center"/>
        <w:divId w:val="1977833952"/>
        <w:rPr>
          <w:rFonts w:eastAsia="Times New Roman"/>
        </w:rPr>
      </w:pPr>
      <w:r>
        <w:rPr>
          <w:rFonts w:eastAsia="Times New Roman"/>
          <w:color w:val="000000"/>
          <w:sz w:val="20"/>
          <w:szCs w:val="20"/>
        </w:rPr>
        <w:t>3</w:t>
      </w:r>
      <w:r>
        <w:rPr>
          <w:rFonts w:eastAsia="Times New Roman"/>
          <w:color w:val="000000"/>
          <w:sz w:val="20"/>
          <w:szCs w:val="20"/>
        </w:rPr>
        <w:t>8</w:t>
      </w:r>
    </w:p>
    <w:p w:rsidR="00000000" w:rsidRDefault="00602C02">
      <w:pPr>
        <w:rPr>
          <w:rFonts w:eastAsia="Times New Roman"/>
        </w:rPr>
      </w:pPr>
      <w:r>
        <w:rPr>
          <w:rFonts w:eastAsia="Times New Roman"/>
        </w:rPr>
        <w:pict>
          <v:rect id="_x0000_i1062" style="width:0;height:1.5pt" o:hralign="center" o:hrstd="t" o:hr="t" fillcolor="#a0a0a0" stroked="f"/>
        </w:pict>
      </w:r>
    </w:p>
    <w:p w:rsidR="00000000" w:rsidRDefault="00602C02">
      <w:pPr>
        <w:divId w:val="1692148299"/>
        <w:rPr>
          <w:rFonts w:eastAsia="Times New Roman"/>
        </w:rPr>
      </w:pPr>
    </w:p>
    <w:p w:rsidR="00000000" w:rsidRDefault="00602C02">
      <w:pPr>
        <w:divId w:val="1442871484"/>
        <w:rPr>
          <w:rFonts w:eastAsia="Times New Roman"/>
        </w:rPr>
      </w:pPr>
      <w:r>
        <w:rPr>
          <w:rFonts w:eastAsia="Times New Roman"/>
          <w:color w:val="000000"/>
          <w:sz w:val="20"/>
          <w:szCs w:val="20"/>
        </w:rPr>
        <w:t>royalties are calculated, grant patent licenses to chipset manufacturers, sell chipsets to unlicensed OEMs or modify or renegotiate some or all of our existing license agreements; and determinations that some or all of our license agreements are invalid or</w:t>
      </w:r>
      <w:r>
        <w:rPr>
          <w:rFonts w:eastAsia="Times New Roman"/>
          <w:color w:val="000000"/>
          <w:sz w:val="20"/>
          <w:szCs w:val="20"/>
        </w:rPr>
        <w:t xml:space="preserve"> unenforceable. If some or all of our license agreements are declared invalid or unenforceable and/or we are required to renegotiate these license agreements, we may not receive, or may not be able to recognize, some or any licensing or royalty revenues un</w:t>
      </w:r>
      <w:r>
        <w:rPr>
          <w:rFonts w:eastAsia="Times New Roman"/>
          <w:color w:val="000000"/>
          <w:sz w:val="20"/>
          <w:szCs w:val="20"/>
        </w:rPr>
        <w:t>der the impacted license agreements unless and until we enter into new license agreements; and even licensees whose license agreements are not impacted may demand to renegotiate their agreements or invoke the dispute resolution provision in their agreement</w:t>
      </w:r>
      <w:r>
        <w:rPr>
          <w:rFonts w:eastAsia="Times New Roman"/>
          <w:color w:val="000000"/>
          <w:sz w:val="20"/>
          <w:szCs w:val="20"/>
        </w:rPr>
        <w:t>s, and we may not be able to recognize some or any licensing or royalty revenues under such agreements. The renegotiation of license agreements could lead to arbitration or litigation to resolve the licensing terms, which could be less favorable to us than</w:t>
      </w:r>
      <w:r>
        <w:rPr>
          <w:rFonts w:eastAsia="Times New Roman"/>
          <w:color w:val="000000"/>
          <w:sz w:val="20"/>
          <w:szCs w:val="20"/>
        </w:rPr>
        <w:t xml:space="preserve"> existing terms, and each of which could take months or possibly years. Licensees may underreport, underpay, not report or not pay royalties owed to us pending the conclusion of such negotiations, arbitration or litigation. In addition, we may be sued for </w:t>
      </w:r>
      <w:r>
        <w:rPr>
          <w:rFonts w:eastAsia="Times New Roman"/>
          <w:color w:val="000000"/>
          <w:sz w:val="20"/>
          <w:szCs w:val="20"/>
        </w:rPr>
        <w:t>alleged overpayments of past royalties paid to us, including private antitrust actions seeking treble damages under U.S. antitrust laws. Further, if our appeal in the FTC lawsuit is unsuccessful, it could have a material adverse effect on our business. The</w:t>
      </w:r>
      <w:r>
        <w:rPr>
          <w:rFonts w:eastAsia="Times New Roman"/>
          <w:color w:val="000000"/>
          <w:sz w:val="20"/>
          <w:szCs w:val="20"/>
        </w:rPr>
        <w:t xml:space="preserve"> occurrence of any of the above could have a material adverse effect on our business, results of operations, cash flows and financial condition, and our stock price could decline, possibly significantly, in which case we may have to significantly cut costs</w:t>
      </w:r>
      <w:r>
        <w:rPr>
          <w:rFonts w:eastAsia="Times New Roman"/>
          <w:color w:val="000000"/>
          <w:sz w:val="20"/>
          <w:szCs w:val="20"/>
        </w:rPr>
        <w:t xml:space="preserve"> and other uses of cash, including in research and development, significantly impairing our ability to maintain product and technology leadership and invest in next generation technologies such as 5G. Further, depending on the breadth and severity of the c</w:t>
      </w:r>
      <w:r>
        <w:rPr>
          <w:rFonts w:eastAsia="Times New Roman"/>
          <w:color w:val="000000"/>
          <w:sz w:val="20"/>
          <w:szCs w:val="20"/>
        </w:rPr>
        <w:t>ircumstances above, we may have to reduce or eliminate our capital return programs, and our ability to timely pay our indebtedness may be impacted. In addition, a governmental body in a particular country or region may successfully assert and impose remedi</w:t>
      </w:r>
      <w:r>
        <w:rPr>
          <w:rFonts w:eastAsia="Times New Roman"/>
          <w:color w:val="000000"/>
          <w:sz w:val="20"/>
          <w:szCs w:val="20"/>
        </w:rPr>
        <w:t>es with effects that extend beyond the borders of that country or region.</w:t>
      </w:r>
      <w:r>
        <w:rPr>
          <w:rFonts w:eastAsia="Times New Roman"/>
          <w:color w:val="000000"/>
          <w:sz w:val="20"/>
          <w:szCs w:val="20"/>
        </w:rPr>
        <w:t xml:space="preserve"> </w:t>
      </w:r>
    </w:p>
    <w:p w:rsidR="00000000" w:rsidRDefault="00602C02">
      <w:pPr>
        <w:ind w:firstLine="360"/>
        <w:divId w:val="1904829550"/>
        <w:rPr>
          <w:rFonts w:eastAsia="Times New Roman"/>
        </w:rPr>
      </w:pPr>
      <w:r>
        <w:rPr>
          <w:rFonts w:eastAsia="Times New Roman"/>
          <w:color w:val="000000"/>
          <w:sz w:val="20"/>
          <w:szCs w:val="20"/>
        </w:rPr>
        <w:t>These challenges have required, and we expect that they will continue to require, the investment of significant management time and attention and have resulted, and we expect that t</w:t>
      </w:r>
      <w:r>
        <w:rPr>
          <w:rFonts w:eastAsia="Times New Roman"/>
          <w:color w:val="000000"/>
          <w:sz w:val="20"/>
          <w:szCs w:val="20"/>
        </w:rPr>
        <w:t>hey will continue to result, in increased legal costs until the respective matters are resolved.</w:t>
      </w:r>
      <w:r>
        <w:rPr>
          <w:rFonts w:eastAsia="Times New Roman"/>
          <w:color w:val="000000"/>
          <w:sz w:val="20"/>
          <w:szCs w:val="20"/>
        </w:rPr>
        <w:t xml:space="preserve"> </w:t>
      </w:r>
    </w:p>
    <w:p w:rsidR="00000000" w:rsidRDefault="00602C02">
      <w:pPr>
        <w:divId w:val="1963919813"/>
        <w:rPr>
          <w:rFonts w:eastAsia="Times New Roman"/>
        </w:rPr>
      </w:pPr>
      <w:r>
        <w:rPr>
          <w:rFonts w:eastAsia="Times New Roman"/>
          <w:b/>
          <w:bCs/>
          <w:i/>
          <w:iCs/>
          <w:color w:val="000000"/>
          <w:sz w:val="20"/>
          <w:szCs w:val="20"/>
        </w:rPr>
        <w:t>Changes in our patent licensing practices, whether due t</w:t>
      </w:r>
      <w:r>
        <w:rPr>
          <w:rFonts w:eastAsia="Times New Roman"/>
          <w:b/>
          <w:bCs/>
          <w:i/>
          <w:iCs/>
          <w:color w:val="000000"/>
          <w:sz w:val="20"/>
          <w:szCs w:val="20"/>
        </w:rPr>
        <w:t>o</w:t>
      </w:r>
      <w:r>
        <w:rPr>
          <w:rFonts w:eastAsia="Times New Roman"/>
          <w:color w:val="000000"/>
          <w:sz w:val="20"/>
          <w:szCs w:val="20"/>
        </w:rPr>
        <w:t> </w:t>
      </w:r>
      <w:r>
        <w:rPr>
          <w:rFonts w:eastAsia="Times New Roman"/>
          <w:b/>
          <w:bCs/>
          <w:i/>
          <w:iCs/>
          <w:color w:val="000000"/>
          <w:sz w:val="20"/>
          <w:szCs w:val="20"/>
        </w:rPr>
        <w:t xml:space="preserve">governmental investigations or private legal proceedings challenging those practices, or otherwise, </w:t>
      </w:r>
      <w:r>
        <w:rPr>
          <w:rFonts w:eastAsia="Times New Roman"/>
          <w:b/>
          <w:bCs/>
          <w:i/>
          <w:iCs/>
          <w:color w:val="000000"/>
          <w:sz w:val="20"/>
          <w:szCs w:val="20"/>
        </w:rPr>
        <w:t>could adversely impact our business and results of operations</w:t>
      </w:r>
      <w:r>
        <w:rPr>
          <w:rFonts w:eastAsia="Times New Roman"/>
          <w:b/>
          <w:bCs/>
          <w:i/>
          <w:iCs/>
          <w:color w:val="000000"/>
          <w:sz w:val="20"/>
          <w:szCs w:val="20"/>
        </w:rPr>
        <w:t>.</w:t>
      </w:r>
    </w:p>
    <w:p w:rsidR="00000000" w:rsidRDefault="00602C02">
      <w:pPr>
        <w:ind w:firstLine="360"/>
        <w:divId w:val="1396734927"/>
        <w:rPr>
          <w:rFonts w:eastAsia="Times New Roman"/>
        </w:rPr>
      </w:pPr>
      <w:r>
        <w:rPr>
          <w:rFonts w:eastAsia="Times New Roman"/>
          <w:color w:val="000000"/>
          <w:sz w:val="20"/>
          <w:szCs w:val="20"/>
        </w:rPr>
        <w:t xml:space="preserve">As described in the Risk Factor above entitled </w:t>
      </w:r>
      <w:r>
        <w:rPr>
          <w:rFonts w:eastAsia="Times New Roman"/>
          <w:color w:val="000000"/>
          <w:sz w:val="20"/>
          <w:szCs w:val="20"/>
        </w:rPr>
        <w:t>“</w:t>
      </w:r>
      <w:r>
        <w:rPr>
          <w:rFonts w:eastAsia="Times New Roman"/>
          <w:i/>
          <w:iCs/>
          <w:color w:val="000000"/>
          <w:sz w:val="20"/>
          <w:szCs w:val="20"/>
        </w:rPr>
        <w:t>Our business, particularly our licensing business, may suffer as a result of adverse rulings in government investigations or proceeding</w:t>
      </w:r>
      <w:r>
        <w:rPr>
          <w:rFonts w:eastAsia="Times New Roman"/>
          <w:i/>
          <w:iCs/>
          <w:color w:val="000000"/>
          <w:sz w:val="20"/>
          <w:szCs w:val="20"/>
        </w:rPr>
        <w:t>s</w:t>
      </w:r>
      <w:r>
        <w:rPr>
          <w:rFonts w:eastAsia="Times New Roman"/>
          <w:color w:val="000000"/>
          <w:sz w:val="20"/>
          <w:szCs w:val="20"/>
        </w:rPr>
        <w:t>,” we hav</w:t>
      </w:r>
      <w:r>
        <w:rPr>
          <w:rFonts w:eastAsia="Times New Roman"/>
          <w:color w:val="000000"/>
          <w:sz w:val="20"/>
          <w:szCs w:val="20"/>
        </w:rPr>
        <w:t>e been in the past and are currently subject to various governmental investigations and proceedings, as well as private legal proceedings, challenging our patent licensing and chipset sales practices, including the lawsuit filed against us by the FTC. Cert</w:t>
      </w:r>
      <w:r>
        <w:rPr>
          <w:rFonts w:eastAsia="Times New Roman"/>
          <w:color w:val="000000"/>
          <w:sz w:val="20"/>
          <w:szCs w:val="20"/>
        </w:rPr>
        <w:t xml:space="preserve">ain of these matters are described more fully in this Quarterly Report in “Notes to Condensed Consolidated Financial Statements, Note 5. Commitments and Contingencies.” We believe that one intent of certain of these investigations and legal proceedings is </w:t>
      </w:r>
      <w:r>
        <w:rPr>
          <w:rFonts w:eastAsia="Times New Roman"/>
          <w:color w:val="000000"/>
          <w:sz w:val="20"/>
          <w:szCs w:val="20"/>
        </w:rPr>
        <w:t>to reduce the amount of royalties that licensees are required to pay to us for their use of our intellectual property. We may become subject to other litigation or governmental investigations or proceedings in the future.</w:t>
      </w:r>
      <w:r>
        <w:rPr>
          <w:rFonts w:eastAsia="Times New Roman"/>
          <w:color w:val="000000"/>
          <w:sz w:val="20"/>
          <w:szCs w:val="20"/>
        </w:rPr>
        <w:t xml:space="preserve"> </w:t>
      </w:r>
    </w:p>
    <w:p w:rsidR="00000000" w:rsidRDefault="00602C02">
      <w:pPr>
        <w:ind w:firstLine="360"/>
        <w:divId w:val="1773745867"/>
        <w:rPr>
          <w:rFonts w:eastAsia="Times New Roman"/>
        </w:rPr>
      </w:pPr>
      <w:r>
        <w:rPr>
          <w:rFonts w:eastAsia="Times New Roman"/>
          <w:color w:val="000000"/>
          <w:sz w:val="20"/>
          <w:szCs w:val="20"/>
        </w:rPr>
        <w:t>We historically licensed our cell</w:t>
      </w:r>
      <w:r>
        <w:rPr>
          <w:rFonts w:eastAsia="Times New Roman"/>
          <w:color w:val="000000"/>
          <w:sz w:val="20"/>
          <w:szCs w:val="20"/>
        </w:rPr>
        <w:t>ular standard-essential patents together with our other patents that may be useful to licensed products because licensees desired to obtain the commercial benefits of receiving such broad patent rights from us. However, we also licensed only our cellular s</w:t>
      </w:r>
      <w:r>
        <w:rPr>
          <w:rFonts w:eastAsia="Times New Roman"/>
          <w:color w:val="000000"/>
          <w:sz w:val="20"/>
          <w:szCs w:val="20"/>
        </w:rPr>
        <w:t xml:space="preserve">tandard-essential patents to licensees who requested such licenses. Since 2015, our standard practice in China is to offer licenses to our 3G and 4G (and now 5G) cellular standard-essential Chinese patents for devices sold for use in China separately from </w:t>
      </w:r>
      <w:r>
        <w:rPr>
          <w:rFonts w:eastAsia="Times New Roman"/>
          <w:color w:val="000000"/>
          <w:sz w:val="20"/>
          <w:szCs w:val="20"/>
        </w:rPr>
        <w:t>our other patents. In addition, we also offer licenses to only our cellular standard-essential patents (including 3G, 4G and 5G) for both single-mode and multimode devices on a worldwide basis, and since 2018, an increasing number of new and existing licen</w:t>
      </w:r>
      <w:r>
        <w:rPr>
          <w:rFonts w:eastAsia="Times New Roman"/>
          <w:color w:val="000000"/>
          <w:sz w:val="20"/>
          <w:szCs w:val="20"/>
        </w:rPr>
        <w:t>sees have elected to enter into worldwide license agreements covering only our cellular standard-essential patents. Going forward, we anticipate that a significant portion of our licensing revenues will continue to be derived from licensees that have enter</w:t>
      </w:r>
      <w:r>
        <w:rPr>
          <w:rFonts w:eastAsia="Times New Roman"/>
          <w:color w:val="000000"/>
          <w:sz w:val="20"/>
          <w:szCs w:val="20"/>
        </w:rPr>
        <w:t xml:space="preserve">ed into license agreements covering only our cellular standard-essential patents. Our royalty rates for licenses to only our cellular standard-essential patents are lower than our royalty rates for licenses to substantially all of our patent portfolio. If </w:t>
      </w:r>
      <w:r>
        <w:rPr>
          <w:rFonts w:eastAsia="Times New Roman"/>
          <w:color w:val="000000"/>
          <w:sz w:val="20"/>
          <w:szCs w:val="20"/>
        </w:rPr>
        <w:t>more licensees choose to obtain a license to only our cellular standard-essential patents instead of a portfolio license than has historically been the case, our licensing revenues and earnings would be negatively impacted unless we were able to license ou</w:t>
      </w:r>
      <w:r>
        <w:rPr>
          <w:rFonts w:eastAsia="Times New Roman"/>
          <w:color w:val="000000"/>
          <w:sz w:val="20"/>
          <w:szCs w:val="20"/>
        </w:rPr>
        <w:t>r other patents at rates that offset all or a portion of any difference between the royalties previously received for licenses of substantially all of our patent portfolio as compared to licenses of only our cellular standard-essential patents or there was</w:t>
      </w:r>
      <w:r>
        <w:rPr>
          <w:rFonts w:eastAsia="Times New Roman"/>
          <w:color w:val="000000"/>
          <w:sz w:val="20"/>
          <w:szCs w:val="20"/>
        </w:rPr>
        <w:t xml:space="preserve"> a sufficient increase in the overall volume of sales of devices upon which royalties are paid</w:t>
      </w:r>
      <w:r>
        <w:rPr>
          <w:rFonts w:eastAsia="Times New Roman"/>
          <w:color w:val="000000"/>
          <w:sz w:val="20"/>
          <w:szCs w:val="20"/>
        </w:rPr>
        <w:t>.</w:t>
      </w:r>
    </w:p>
    <w:p w:rsidR="00000000" w:rsidRDefault="00602C02">
      <w:pPr>
        <w:ind w:firstLine="360"/>
        <w:divId w:val="311259054"/>
        <w:rPr>
          <w:rFonts w:eastAsia="Times New Roman"/>
        </w:rPr>
      </w:pPr>
      <w:r>
        <w:rPr>
          <w:rFonts w:eastAsia="Times New Roman"/>
          <w:color w:val="000000"/>
          <w:sz w:val="20"/>
          <w:szCs w:val="20"/>
        </w:rPr>
        <w:t>If we were required to grant patent licenses to chipset manufacturers (which could lead to implementing a more complex, multi-level licensing structure in which</w:t>
      </w:r>
      <w:r>
        <w:rPr>
          <w:rFonts w:eastAsia="Times New Roman"/>
          <w:color w:val="000000"/>
          <w:sz w:val="20"/>
          <w:szCs w:val="20"/>
        </w:rPr>
        <w:t xml:space="preserve"> we license certain portions of our patent portfolio to chipset manufacturers and other portions to OEMs), we would incur additional transaction costs, which may be significant, and we could incur delays in recognizing revenues until license negotiations w</w:t>
      </w:r>
      <w:r>
        <w:rPr>
          <w:rFonts w:eastAsia="Times New Roman"/>
          <w:color w:val="000000"/>
          <w:sz w:val="20"/>
          <w:szCs w:val="20"/>
        </w:rPr>
        <w:t>ere completed. In addition, our licensing revenues and earnings would be</w:t>
      </w:r>
      <w:r>
        <w:rPr>
          <w:rFonts w:eastAsia="Times New Roman"/>
          <w:color w:val="000000"/>
          <w:sz w:val="20"/>
          <w:szCs w:val="20"/>
        </w:rPr>
        <w:t xml:space="preserve"> </w:t>
      </w:r>
    </w:p>
    <w:p w:rsidR="00000000" w:rsidRDefault="00602C02">
      <w:pPr>
        <w:jc w:val="center"/>
        <w:divId w:val="503206363"/>
        <w:rPr>
          <w:rFonts w:eastAsia="Times New Roman"/>
        </w:rPr>
      </w:pPr>
      <w:r>
        <w:rPr>
          <w:rFonts w:eastAsia="Times New Roman"/>
          <w:color w:val="000000"/>
          <w:sz w:val="20"/>
          <w:szCs w:val="20"/>
        </w:rPr>
        <w:t>3</w:t>
      </w:r>
      <w:r>
        <w:rPr>
          <w:rFonts w:eastAsia="Times New Roman"/>
          <w:color w:val="000000"/>
          <w:sz w:val="20"/>
          <w:szCs w:val="20"/>
        </w:rPr>
        <w:t>9</w:t>
      </w:r>
    </w:p>
    <w:p w:rsidR="00000000" w:rsidRDefault="00602C02">
      <w:pPr>
        <w:rPr>
          <w:rFonts w:eastAsia="Times New Roman"/>
        </w:rPr>
      </w:pPr>
      <w:r>
        <w:rPr>
          <w:rFonts w:eastAsia="Times New Roman"/>
        </w:rPr>
        <w:pict>
          <v:rect id="_x0000_i1063" style="width:0;height:1.5pt" o:hralign="center" o:hrstd="t" o:hr="t" fillcolor="#a0a0a0" stroked="f"/>
        </w:pict>
      </w:r>
    </w:p>
    <w:p w:rsidR="00000000" w:rsidRDefault="00602C02">
      <w:pPr>
        <w:divId w:val="1119182663"/>
        <w:rPr>
          <w:rFonts w:eastAsia="Times New Roman"/>
        </w:rPr>
      </w:pPr>
    </w:p>
    <w:p w:rsidR="00000000" w:rsidRDefault="00602C02">
      <w:pPr>
        <w:divId w:val="424352445"/>
        <w:rPr>
          <w:rFonts w:eastAsia="Times New Roman"/>
        </w:rPr>
      </w:pPr>
      <w:r>
        <w:rPr>
          <w:rFonts w:eastAsia="Times New Roman"/>
          <w:color w:val="000000"/>
          <w:sz w:val="20"/>
          <w:szCs w:val="20"/>
        </w:rPr>
        <w:t>negatively impacted if we were not able to obtain, in the aggregate, equivalent revenues under such a multi-level licensing structure</w:t>
      </w:r>
      <w:r>
        <w:rPr>
          <w:rFonts w:eastAsia="Times New Roman"/>
          <w:color w:val="000000"/>
          <w:sz w:val="20"/>
          <w:szCs w:val="20"/>
        </w:rPr>
        <w:t>.</w:t>
      </w:r>
    </w:p>
    <w:p w:rsidR="00000000" w:rsidRDefault="00602C02">
      <w:pPr>
        <w:ind w:firstLine="360"/>
        <w:divId w:val="1147356464"/>
        <w:rPr>
          <w:rFonts w:eastAsia="Times New Roman"/>
        </w:rPr>
      </w:pPr>
      <w:r>
        <w:rPr>
          <w:rFonts w:eastAsia="Times New Roman"/>
          <w:color w:val="000000"/>
          <w:sz w:val="20"/>
          <w:szCs w:val="20"/>
        </w:rPr>
        <w:t>If we</w:t>
      </w:r>
      <w:r>
        <w:rPr>
          <w:rFonts w:eastAsia="Times New Roman"/>
          <w:color w:val="000000"/>
          <w:sz w:val="20"/>
          <w:szCs w:val="20"/>
        </w:rPr>
        <w:t xml:space="preserve"> were required to reduce the royalty rates in our patent license agreements, our revenues, earnings and cash flows would be negatively impacted absent a sufficient increase in the volume of sales of devices upon which royalties are paid. Similarly, if we w</w:t>
      </w:r>
      <w:r>
        <w:rPr>
          <w:rFonts w:eastAsia="Times New Roman"/>
          <w:color w:val="000000"/>
          <w:sz w:val="20"/>
          <w:szCs w:val="20"/>
        </w:rPr>
        <w:t>ere required to reduce the base on which our royalties are calculated, our revenues, results of operations and cash flows would be negatively impacted unless there was a sufficient increase in the volume of sales of devices upon which royalties are paid or</w:t>
      </w:r>
      <w:r>
        <w:rPr>
          <w:rFonts w:eastAsia="Times New Roman"/>
          <w:color w:val="000000"/>
          <w:sz w:val="20"/>
          <w:szCs w:val="20"/>
        </w:rPr>
        <w:t xml:space="preserve"> we were able to increase our royalty rates to offset the decrease in revenues resulting from such lower royalty base (assuming the absolute royalty dollars were below any relevant royalty caps)</w:t>
      </w:r>
      <w:r>
        <w:rPr>
          <w:rFonts w:eastAsia="Times New Roman"/>
          <w:color w:val="000000"/>
          <w:sz w:val="20"/>
          <w:szCs w:val="20"/>
        </w:rPr>
        <w:t>.</w:t>
      </w:r>
    </w:p>
    <w:p w:rsidR="00000000" w:rsidRDefault="00602C02">
      <w:pPr>
        <w:ind w:firstLine="360"/>
        <w:divId w:val="1328826184"/>
        <w:rPr>
          <w:rFonts w:eastAsia="Times New Roman"/>
        </w:rPr>
      </w:pPr>
      <w:r>
        <w:rPr>
          <w:rFonts w:eastAsia="Times New Roman"/>
          <w:color w:val="000000"/>
          <w:sz w:val="20"/>
          <w:szCs w:val="20"/>
        </w:rPr>
        <w:t>If we were required to sell chipsets to OEMs that do not have a license to our patents, our licensing program could be negatively impacted by patent exhaustion claims raised by such unlicensed OEMs (i.e., claims that our sale of chipsets to such OEMs forec</w:t>
      </w:r>
      <w:r>
        <w:rPr>
          <w:rFonts w:eastAsia="Times New Roman"/>
          <w:color w:val="000000"/>
          <w:sz w:val="20"/>
          <w:szCs w:val="20"/>
        </w:rPr>
        <w:t>loses us from asserting any patents substantially embodied by the chipsets against such OEMs). Such sales would provide OEMs with a defense in the event we asserted our patents against them to obtain licensing revenue for those patents. This could have a m</w:t>
      </w:r>
      <w:r>
        <w:rPr>
          <w:rFonts w:eastAsia="Times New Roman"/>
          <w:color w:val="000000"/>
          <w:sz w:val="20"/>
          <w:szCs w:val="20"/>
        </w:rPr>
        <w:t>aterial adverse effect on our licensing program and our results of operations, financial condition and cash flows</w:t>
      </w:r>
      <w:r>
        <w:rPr>
          <w:rFonts w:eastAsia="Times New Roman"/>
          <w:color w:val="000000"/>
          <w:sz w:val="20"/>
          <w:szCs w:val="20"/>
        </w:rPr>
        <w:t>.</w:t>
      </w:r>
    </w:p>
    <w:p w:rsidR="00000000" w:rsidRDefault="00602C02">
      <w:pPr>
        <w:ind w:firstLine="360"/>
        <w:divId w:val="1045518205"/>
        <w:rPr>
          <w:rFonts w:eastAsia="Times New Roman"/>
        </w:rPr>
      </w:pPr>
      <w:r>
        <w:rPr>
          <w:rFonts w:eastAsia="Times New Roman"/>
          <w:color w:val="000000"/>
          <w:sz w:val="20"/>
          <w:szCs w:val="20"/>
        </w:rPr>
        <w:t>To the extent that we were required to implement any of these new licensing and/or business practices, including by modifying or renegotiatin</w:t>
      </w:r>
      <w:r>
        <w:rPr>
          <w:rFonts w:eastAsia="Times New Roman"/>
          <w:color w:val="000000"/>
          <w:sz w:val="20"/>
          <w:szCs w:val="20"/>
        </w:rPr>
        <w:t>g our existing license agreements or pursuing other commercial arrangements, we would incur additional transaction costs, which may be significant, and we could incur delays in recognizing revenues until license negotiations were completed. The impact of a</w:t>
      </w:r>
      <w:r>
        <w:rPr>
          <w:rFonts w:eastAsia="Times New Roman"/>
          <w:color w:val="000000"/>
          <w:sz w:val="20"/>
          <w:szCs w:val="20"/>
        </w:rPr>
        <w:t>ny such changes to our licensing practices could vary widely and by jurisdiction, depending on the specific outcomes and the geographic scope of such outcomes. In addition, if we were required to make modifications to our licensing practices in one jurisdi</w:t>
      </w:r>
      <w:r>
        <w:rPr>
          <w:rFonts w:eastAsia="Times New Roman"/>
          <w:color w:val="000000"/>
          <w:sz w:val="20"/>
          <w:szCs w:val="20"/>
        </w:rPr>
        <w:t>ction, licensees or governmental agencies in other jurisdictions may attempt to obtain similar outcomes for themselves or for such other jurisdictions, as applicable</w:t>
      </w:r>
      <w:r>
        <w:rPr>
          <w:rFonts w:eastAsia="Times New Roman"/>
          <w:color w:val="000000"/>
          <w:sz w:val="20"/>
          <w:szCs w:val="20"/>
        </w:rPr>
        <w:t>.</w:t>
      </w:r>
    </w:p>
    <w:p w:rsidR="00000000" w:rsidRDefault="00602C02">
      <w:pPr>
        <w:ind w:firstLine="360"/>
        <w:divId w:val="1959725319"/>
        <w:rPr>
          <w:rFonts w:eastAsia="Times New Roman"/>
        </w:rPr>
      </w:pPr>
      <w:r>
        <w:rPr>
          <w:rFonts w:eastAsia="Times New Roman"/>
          <w:color w:val="000000"/>
          <w:sz w:val="20"/>
          <w:szCs w:val="20"/>
        </w:rPr>
        <w:t>Finally, if our appeal in the FTC lawsuit is unsuccessful, it could have a material adver</w:t>
      </w:r>
      <w:r>
        <w:rPr>
          <w:rFonts w:eastAsia="Times New Roman"/>
          <w:color w:val="000000"/>
          <w:sz w:val="20"/>
          <w:szCs w:val="20"/>
        </w:rPr>
        <w:t>se effect on our business.</w:t>
      </w:r>
      <w:r>
        <w:rPr>
          <w:rFonts w:eastAsia="Times New Roman"/>
          <w:color w:val="000000"/>
          <w:sz w:val="20"/>
          <w:szCs w:val="20"/>
        </w:rPr>
        <w:t xml:space="preserve"> </w:t>
      </w:r>
    </w:p>
    <w:p w:rsidR="00000000" w:rsidRDefault="00602C02">
      <w:pPr>
        <w:divId w:val="1638797773"/>
        <w:rPr>
          <w:rFonts w:eastAsia="Times New Roman"/>
        </w:rPr>
      </w:pPr>
      <w:r>
        <w:rPr>
          <w:rFonts w:eastAsia="Times New Roman"/>
          <w:b/>
          <w:bCs/>
          <w:i/>
          <w:iCs/>
          <w:color w:val="000000"/>
          <w:sz w:val="20"/>
          <w:szCs w:val="20"/>
        </w:rPr>
        <w:t>The enforcement and protection of our intellectual property rights may be expensive, could fail to prevent misappropriation or unauthorized use of our intellectual property, could result in the loss of our ability to enforce one</w:t>
      </w:r>
      <w:r>
        <w:rPr>
          <w:rFonts w:eastAsia="Times New Roman"/>
          <w:b/>
          <w:bCs/>
          <w:i/>
          <w:iCs/>
          <w:color w:val="000000"/>
          <w:sz w:val="20"/>
          <w:szCs w:val="20"/>
        </w:rPr>
        <w:t xml:space="preserve"> or more patents, and could be adversely affected by changes in patent laws, by laws in certain foreign jurisdictions that may not effectively protect our intellectual property rights and by ineffective enforcement of laws in such jurisdictions</w:t>
      </w:r>
      <w:r>
        <w:rPr>
          <w:rFonts w:eastAsia="Times New Roman"/>
          <w:b/>
          <w:bCs/>
          <w:i/>
          <w:iCs/>
          <w:color w:val="000000"/>
          <w:sz w:val="20"/>
          <w:szCs w:val="20"/>
        </w:rPr>
        <w:t>.</w:t>
      </w:r>
    </w:p>
    <w:p w:rsidR="00000000" w:rsidRDefault="00602C02">
      <w:pPr>
        <w:ind w:firstLine="360"/>
        <w:divId w:val="1712077028"/>
        <w:rPr>
          <w:rFonts w:eastAsia="Times New Roman"/>
        </w:rPr>
      </w:pPr>
      <w:r>
        <w:rPr>
          <w:rFonts w:eastAsia="Times New Roman"/>
          <w:color w:val="000000"/>
          <w:sz w:val="20"/>
          <w:szCs w:val="20"/>
        </w:rPr>
        <w:t>We rely pr</w:t>
      </w:r>
      <w:r>
        <w:rPr>
          <w:rFonts w:eastAsia="Times New Roman"/>
          <w:color w:val="000000"/>
          <w:sz w:val="20"/>
          <w:szCs w:val="20"/>
        </w:rPr>
        <w:t>imarily on patent, copyright, trademark and trade secret laws, as well as nondisclosure and confidentiality agreements, international treaties and other methods, to protect our proprietary information, technologies and processes, including our patent portf</w:t>
      </w:r>
      <w:r>
        <w:rPr>
          <w:rFonts w:eastAsia="Times New Roman"/>
          <w:color w:val="000000"/>
          <w:sz w:val="20"/>
          <w:szCs w:val="20"/>
        </w:rPr>
        <w:t>olio. Policing unauthorized use of our products, technologies and proprietary information is difficult and time consuming. The steps we have taken have not always prevented, and we cannot be certain the steps we will take in the future will prevent, the mi</w:t>
      </w:r>
      <w:r>
        <w:rPr>
          <w:rFonts w:eastAsia="Times New Roman"/>
          <w:color w:val="000000"/>
          <w:sz w:val="20"/>
          <w:szCs w:val="20"/>
        </w:rPr>
        <w:t>sappropriation or unauthorized use of our proprietary information and technologies, particularly in foreign countries where the laws may not protect our proprietary intellectual property rights as fully or as readily as U.S. laws or where the enforcement o</w:t>
      </w:r>
      <w:r>
        <w:rPr>
          <w:rFonts w:eastAsia="Times New Roman"/>
          <w:color w:val="000000"/>
          <w:sz w:val="20"/>
          <w:szCs w:val="20"/>
        </w:rPr>
        <w:t>f such laws may be lacking or ineffective. See also the Risk Factor entitled</w:t>
      </w:r>
      <w:r>
        <w:rPr>
          <w:rFonts w:eastAsia="Times New Roman"/>
          <w:color w:val="000000"/>
          <w:sz w:val="20"/>
          <w:szCs w:val="20"/>
        </w:rPr>
        <w:t xml:space="preserve"> </w:t>
      </w:r>
      <w:r>
        <w:rPr>
          <w:rFonts w:eastAsia="Times New Roman"/>
          <w:i/>
          <w:iCs/>
          <w:color w:val="000000"/>
          <w:sz w:val="20"/>
          <w:szCs w:val="20"/>
        </w:rPr>
        <w:t>“Our business and operations could suffer in the event of security breaches of our information technology systems, or other misappropriation of our technology, intellectual proper</w:t>
      </w:r>
      <w:r>
        <w:rPr>
          <w:rFonts w:eastAsia="Times New Roman"/>
          <w:i/>
          <w:iCs/>
          <w:color w:val="000000"/>
          <w:sz w:val="20"/>
          <w:szCs w:val="20"/>
        </w:rPr>
        <w:t>ty or other proprietary or confidential information.</w:t>
      </w:r>
      <w:r>
        <w:rPr>
          <w:rFonts w:eastAsia="Times New Roman"/>
          <w:i/>
          <w:iCs/>
          <w:color w:val="000000"/>
          <w:sz w:val="20"/>
          <w:szCs w:val="20"/>
        </w:rPr>
        <w:t>”</w:t>
      </w:r>
    </w:p>
    <w:p w:rsidR="00000000" w:rsidRDefault="00602C02">
      <w:pPr>
        <w:ind w:firstLine="360"/>
        <w:divId w:val="580456681"/>
        <w:rPr>
          <w:rFonts w:eastAsia="Times New Roman"/>
        </w:rPr>
      </w:pPr>
      <w:r>
        <w:rPr>
          <w:rFonts w:eastAsia="Times New Roman"/>
          <w:color w:val="000000"/>
          <w:sz w:val="20"/>
          <w:szCs w:val="20"/>
        </w:rPr>
        <w:t>Some industry participants who have a vested interest in devaluing patents in general, or standard-essential patents in particular, have mounted attacks on certain patent systems, increasing the likelih</w:t>
      </w:r>
      <w:r>
        <w:rPr>
          <w:rFonts w:eastAsia="Times New Roman"/>
          <w:color w:val="000000"/>
          <w:sz w:val="20"/>
          <w:szCs w:val="20"/>
        </w:rPr>
        <w:t>ood of changes to established patent laws. In the United States, there is continued discussion regarding potential patent law changes and current and potential future litigation regarding patents, the outcomes of which could be detrimental to our licensing</w:t>
      </w:r>
      <w:r>
        <w:rPr>
          <w:rFonts w:eastAsia="Times New Roman"/>
          <w:color w:val="000000"/>
          <w:sz w:val="20"/>
          <w:szCs w:val="20"/>
        </w:rPr>
        <w:t xml:space="preserve"> business. The laws in certain foreign countries in which our products are or may be manufactured or sold, including certain countries in Asia, may not protect our intellectual property rights to the same extent as the laws in the United States. We expect </w:t>
      </w:r>
      <w:r>
        <w:rPr>
          <w:rFonts w:eastAsia="Times New Roman"/>
          <w:color w:val="000000"/>
          <w:sz w:val="20"/>
          <w:szCs w:val="20"/>
        </w:rPr>
        <w:t>that the European Union (EU) will adopt a unitary patent system in the next few years that may broadly impact that region’s patent regime. We cannot predict with certainty the long-term effects of any potential changes. In addition, we cannot be certain th</w:t>
      </w:r>
      <w:r>
        <w:rPr>
          <w:rFonts w:eastAsia="Times New Roman"/>
          <w:color w:val="000000"/>
          <w:sz w:val="20"/>
          <w:szCs w:val="20"/>
        </w:rPr>
        <w:t>at the laws and policies of any country or the practices of any standards bodies, foreign or domestic, with respect to intellectual property enforcement or licensing or the adoption of standards, will not be changed in the future in a way detrimental to ou</w:t>
      </w:r>
      <w:r>
        <w:rPr>
          <w:rFonts w:eastAsia="Times New Roman"/>
          <w:color w:val="000000"/>
          <w:sz w:val="20"/>
          <w:szCs w:val="20"/>
        </w:rPr>
        <w:t>r licensing program or to the sale or use of our products or technologies</w:t>
      </w:r>
      <w:r>
        <w:rPr>
          <w:rFonts w:eastAsia="Times New Roman"/>
          <w:color w:val="000000"/>
          <w:sz w:val="20"/>
          <w:szCs w:val="20"/>
        </w:rPr>
        <w:t>.</w:t>
      </w:r>
    </w:p>
    <w:p w:rsidR="00000000" w:rsidRDefault="00602C02">
      <w:pPr>
        <w:ind w:firstLine="360"/>
        <w:divId w:val="1456019357"/>
        <w:rPr>
          <w:rFonts w:eastAsia="Times New Roman"/>
        </w:rPr>
      </w:pPr>
      <w:r>
        <w:rPr>
          <w:rFonts w:eastAsia="Times New Roman"/>
          <w:color w:val="000000"/>
          <w:sz w:val="20"/>
          <w:szCs w:val="20"/>
        </w:rPr>
        <w:t>We have had, currently have, and may in the future have, difficulty in certain circumstances in protecting or enforcing our intellectual property rights and contracts, including col</w:t>
      </w:r>
      <w:r>
        <w:rPr>
          <w:rFonts w:eastAsia="Times New Roman"/>
          <w:color w:val="000000"/>
          <w:sz w:val="20"/>
          <w:szCs w:val="20"/>
        </w:rPr>
        <w:t>lecting royalties for use of our patent portfolio due to, among others: refusal by certain licensees to report and pay all or a portion of the royalties they owe to us; policies of foreign governments; challenges to our licensing practices under competitio</w:t>
      </w:r>
      <w:r>
        <w:rPr>
          <w:rFonts w:eastAsia="Times New Roman"/>
          <w:color w:val="000000"/>
          <w:sz w:val="20"/>
          <w:szCs w:val="20"/>
        </w:rPr>
        <w:t>n laws; adoption of mandatory licensing provisions by foreign jurisdictions; failure of foreign courts to recognize and enforce judgments of contract breach and damages issued by courts in the United States; and challenges before competition agencies to ou</w:t>
      </w:r>
      <w:r>
        <w:rPr>
          <w:rFonts w:eastAsia="Times New Roman"/>
          <w:color w:val="000000"/>
          <w:sz w:val="20"/>
          <w:szCs w:val="20"/>
        </w:rPr>
        <w:t>r licensing business and the pricing and integration of additional features and functionality into our chipset products. Certain licensees have disputed, underreported,</w:t>
      </w:r>
      <w:r>
        <w:rPr>
          <w:rFonts w:eastAsia="Times New Roman"/>
          <w:color w:val="000000"/>
          <w:sz w:val="20"/>
          <w:szCs w:val="20"/>
        </w:rPr>
        <w:t xml:space="preserve"> </w:t>
      </w:r>
    </w:p>
    <w:p w:rsidR="00000000" w:rsidRDefault="00602C02">
      <w:pPr>
        <w:jc w:val="center"/>
        <w:divId w:val="2028405107"/>
        <w:rPr>
          <w:rFonts w:eastAsia="Times New Roman"/>
        </w:rPr>
      </w:pPr>
      <w:r>
        <w:rPr>
          <w:rFonts w:eastAsia="Times New Roman"/>
          <w:color w:val="000000"/>
          <w:sz w:val="20"/>
          <w:szCs w:val="20"/>
        </w:rPr>
        <w:t>4</w:t>
      </w:r>
      <w:r>
        <w:rPr>
          <w:rFonts w:eastAsia="Times New Roman"/>
          <w:color w:val="000000"/>
          <w:sz w:val="20"/>
          <w:szCs w:val="20"/>
        </w:rPr>
        <w:t>0</w:t>
      </w:r>
    </w:p>
    <w:p w:rsidR="00000000" w:rsidRDefault="00602C02">
      <w:pPr>
        <w:rPr>
          <w:rFonts w:eastAsia="Times New Roman"/>
        </w:rPr>
      </w:pPr>
      <w:r>
        <w:rPr>
          <w:rFonts w:eastAsia="Times New Roman"/>
        </w:rPr>
        <w:pict>
          <v:rect id="_x0000_i1064" style="width:0;height:1.5pt" o:hralign="center" o:hrstd="t" o:hr="t" fillcolor="#a0a0a0" stroked="f"/>
        </w:pict>
      </w:r>
    </w:p>
    <w:p w:rsidR="00000000" w:rsidRDefault="00602C02">
      <w:pPr>
        <w:divId w:val="697119840"/>
        <w:rPr>
          <w:rFonts w:eastAsia="Times New Roman"/>
        </w:rPr>
      </w:pPr>
    </w:p>
    <w:p w:rsidR="00000000" w:rsidRDefault="00602C02">
      <w:pPr>
        <w:divId w:val="1846818991"/>
        <w:rPr>
          <w:rFonts w:eastAsia="Times New Roman"/>
        </w:rPr>
      </w:pPr>
      <w:r>
        <w:rPr>
          <w:rFonts w:eastAsia="Times New Roman"/>
          <w:color w:val="000000"/>
          <w:sz w:val="20"/>
          <w:szCs w:val="20"/>
        </w:rPr>
        <w:t>underpaid, not reported or not paid royaltie</w:t>
      </w:r>
      <w:r>
        <w:rPr>
          <w:rFonts w:eastAsia="Times New Roman"/>
          <w:color w:val="000000"/>
          <w:sz w:val="20"/>
          <w:szCs w:val="20"/>
        </w:rPr>
        <w:t>s owed to us under their license agreements with us or reported to us in a manner that is not in compliance with their contractual obligations, and certain companies have yet to enter into or have delayed entering into or renewing license agreements for th</w:t>
      </w:r>
      <w:r>
        <w:rPr>
          <w:rFonts w:eastAsia="Times New Roman"/>
          <w:color w:val="000000"/>
          <w:sz w:val="20"/>
          <w:szCs w:val="20"/>
        </w:rPr>
        <w:t>eir use of our intellectual property. Further, certain licensees and companies are currently engaged in such behavior and they or others may engage in such behavior in the future. The fact that one or more licensees dispute, underreport, underpay, do not r</w:t>
      </w:r>
      <w:r>
        <w:rPr>
          <w:rFonts w:eastAsia="Times New Roman"/>
          <w:color w:val="000000"/>
          <w:sz w:val="20"/>
          <w:szCs w:val="20"/>
        </w:rPr>
        <w:t xml:space="preserve">eport or do not pay royalties owed to us may encourage other licensees to take similar actions or not renew their existing license agreements, and may encourage other licensees or unlicensed companies to delay entering into, or not enter into, new license </w:t>
      </w:r>
      <w:r>
        <w:rPr>
          <w:rFonts w:eastAsia="Times New Roman"/>
          <w:color w:val="000000"/>
          <w:sz w:val="20"/>
          <w:szCs w:val="20"/>
        </w:rPr>
        <w:t xml:space="preserve">agreements. Additionally, although our license agreements provide us with the right to audit the books and records of licensees, audits can be expensive, time consuming, incomplete and subject to dispute. Further, certain licensees may not comply with the </w:t>
      </w:r>
      <w:r>
        <w:rPr>
          <w:rFonts w:eastAsia="Times New Roman"/>
          <w:color w:val="000000"/>
          <w:sz w:val="20"/>
          <w:szCs w:val="20"/>
        </w:rPr>
        <w:t>obligation to provide full access to their books and records. To the extent we do not aggressively enforce our rights under our license agreements, licensees may not comply with their existing license agreements, and to the extent we do not aggressively pu</w:t>
      </w:r>
      <w:r>
        <w:rPr>
          <w:rFonts w:eastAsia="Times New Roman"/>
          <w:color w:val="000000"/>
          <w:sz w:val="20"/>
          <w:szCs w:val="20"/>
        </w:rPr>
        <w:t>rsue unlicensed companies to enter into license agreements with us for their use of our intellectual property, other unlicensed companies may not enter into license agreements. Similarly, we provide access to certain of our intellectual property and propri</w:t>
      </w:r>
      <w:r>
        <w:rPr>
          <w:rFonts w:eastAsia="Times New Roman"/>
          <w:color w:val="000000"/>
          <w:sz w:val="20"/>
          <w:szCs w:val="20"/>
        </w:rPr>
        <w:t>etary and confidential business information to our direct and indirect customers and licensees, who have in the past and may in the future wrongfully use such intellectual property and information or wrongfully disclose such intellectual property and infor</w:t>
      </w:r>
      <w:r>
        <w:rPr>
          <w:rFonts w:eastAsia="Times New Roman"/>
          <w:color w:val="000000"/>
          <w:sz w:val="20"/>
          <w:szCs w:val="20"/>
        </w:rPr>
        <w:t>mation to third parties, including our competitor</w:t>
      </w:r>
      <w:r>
        <w:rPr>
          <w:rFonts w:eastAsia="Times New Roman"/>
          <w:color w:val="000000"/>
          <w:sz w:val="20"/>
          <w:szCs w:val="20"/>
        </w:rPr>
        <w:t>s</w:t>
      </w:r>
      <w:r>
        <w:rPr>
          <w:rFonts w:eastAsia="Times New Roman"/>
          <w:color w:val="000000"/>
          <w:sz w:val="20"/>
          <w:szCs w:val="20"/>
          <w:shd w:val="clear" w:color="auto" w:fill="FFFFFF"/>
        </w:rPr>
        <w:t>. See also the Risk Factor entitled “</w:t>
      </w:r>
      <w:r>
        <w:rPr>
          <w:rFonts w:eastAsia="Times New Roman"/>
          <w:i/>
          <w:iCs/>
          <w:color w:val="000000"/>
          <w:sz w:val="20"/>
          <w:szCs w:val="20"/>
          <w:shd w:val="clear" w:color="auto" w:fill="FFFFFF"/>
        </w:rPr>
        <w:t xml:space="preserve">Efforts by some OEMs or their customers to avoid paying fair and reasonable royalties for the use of our intellectual property may require the investment of substantial </w:t>
      </w:r>
      <w:r>
        <w:rPr>
          <w:rFonts w:eastAsia="Times New Roman"/>
          <w:i/>
          <w:iCs/>
          <w:color w:val="000000"/>
          <w:sz w:val="20"/>
          <w:szCs w:val="20"/>
          <w:shd w:val="clear" w:color="auto" w:fill="FFFFFF"/>
        </w:rPr>
        <w:t>management time and financial resources and may result in legal decisions or actions by governments, courts, regulators or agencies, Standards Development Organizations (SDOs) or other industry organizations that harm our business</w:t>
      </w:r>
      <w:r>
        <w:rPr>
          <w:rFonts w:eastAsia="Times New Roman"/>
          <w:color w:val="000000"/>
          <w:sz w:val="20"/>
          <w:szCs w:val="20"/>
          <w:shd w:val="clear" w:color="auto" w:fill="FFFFFF"/>
        </w:rPr>
        <w:t>.”</w:t>
      </w:r>
    </w:p>
    <w:p w:rsidR="00000000" w:rsidRDefault="00602C02">
      <w:pPr>
        <w:ind w:firstLine="360"/>
        <w:divId w:val="811870526"/>
        <w:rPr>
          <w:rFonts w:eastAsia="Times New Roman"/>
        </w:rPr>
      </w:pPr>
      <w:r>
        <w:rPr>
          <w:rFonts w:eastAsia="Times New Roman"/>
          <w:color w:val="000000"/>
          <w:sz w:val="20"/>
          <w:szCs w:val="20"/>
          <w:shd w:val="clear" w:color="auto" w:fill="FFFFFF"/>
        </w:rPr>
        <w:t>We have engaged in liti</w:t>
      </w:r>
      <w:r>
        <w:rPr>
          <w:rFonts w:eastAsia="Times New Roman"/>
          <w:color w:val="000000"/>
          <w:sz w:val="20"/>
          <w:szCs w:val="20"/>
          <w:shd w:val="clear" w:color="auto" w:fill="FFFFFF"/>
        </w:rPr>
        <w:t>gation and arbitration in the past and may need to further litigate or arbitrate in the future</w:t>
      </w:r>
      <w:r>
        <w:rPr>
          <w:rFonts w:eastAsia="Times New Roman"/>
          <w:color w:val="000000"/>
          <w:sz w:val="20"/>
          <w:szCs w:val="20"/>
          <w:shd w:val="clear" w:color="auto" w:fill="FFFFFF"/>
        </w:rPr>
        <w:t xml:space="preserve"> </w:t>
      </w:r>
      <w:r>
        <w:rPr>
          <w:rFonts w:eastAsia="Times New Roman"/>
          <w:color w:val="000000"/>
          <w:sz w:val="20"/>
          <w:szCs w:val="20"/>
        </w:rPr>
        <w:t>to enforce our contract and intellectual property rights, protect our trade secrets or determine the validity and scope of proprietary rights of others. As a res</w:t>
      </w:r>
      <w:r>
        <w:rPr>
          <w:rFonts w:eastAsia="Times New Roman"/>
          <w:color w:val="000000"/>
          <w:sz w:val="20"/>
          <w:szCs w:val="20"/>
        </w:rPr>
        <w:t>ult of any such litigation or arbitration, we could lose our ability to enforce one or more patents, portions of our license agreements could be determined to be invalid or unenforceable (which may in turn result in other licensees either not complying wit</w:t>
      </w:r>
      <w:r>
        <w:rPr>
          <w:rFonts w:eastAsia="Times New Roman"/>
          <w:color w:val="000000"/>
          <w:sz w:val="20"/>
          <w:szCs w:val="20"/>
        </w:rPr>
        <w:t>h their existing license agreements or initiating litig</w:t>
      </w:r>
      <w:r>
        <w:rPr>
          <w:rFonts w:eastAsia="Times New Roman"/>
          <w:color w:val="000000"/>
          <w:sz w:val="20"/>
          <w:szCs w:val="20"/>
        </w:rPr>
        <w:t>a</w:t>
      </w:r>
      <w:r>
        <w:rPr>
          <w:rFonts w:eastAsia="Times New Roman"/>
          <w:color w:val="000000"/>
          <w:sz w:val="20"/>
          <w:szCs w:val="20"/>
          <w:shd w:val="clear" w:color="auto" w:fill="FFFFFF"/>
        </w:rPr>
        <w:t>tion or arbitration),</w:t>
      </w:r>
      <w:r>
        <w:rPr>
          <w:rFonts w:eastAsia="Times New Roman"/>
          <w:color w:val="000000"/>
          <w:sz w:val="20"/>
          <w:szCs w:val="20"/>
          <w:shd w:val="clear" w:color="auto" w:fill="FFFFFF"/>
        </w:rPr>
        <w:t xml:space="preserve"> </w:t>
      </w:r>
      <w:r>
        <w:rPr>
          <w:rFonts w:eastAsia="Times New Roman"/>
          <w:color w:val="000000"/>
          <w:sz w:val="20"/>
          <w:szCs w:val="20"/>
        </w:rPr>
        <w:t>license terms (including but not limited to royalty rates for the use of our intellectual property) could be imposed that are less favorable to us than existing terms, and we cou</w:t>
      </w:r>
      <w:r>
        <w:rPr>
          <w:rFonts w:eastAsia="Times New Roman"/>
          <w:color w:val="000000"/>
          <w:sz w:val="20"/>
          <w:szCs w:val="20"/>
        </w:rPr>
        <w:t>ld incur substantial costs. Any action we take to enforce our contract or intellectual property rights could be costly and could absorb significant management time and attention, which, in turn, could negatively impact our results of operations and cash fl</w:t>
      </w:r>
      <w:r>
        <w:rPr>
          <w:rFonts w:eastAsia="Times New Roman"/>
          <w:color w:val="000000"/>
          <w:sz w:val="20"/>
          <w:szCs w:val="20"/>
        </w:rPr>
        <w:t>ows. Further, even a positive resolution to our enforcement efforts may take time to conclude, which may reduce our revenues and cash resources available for other purposes, such as research and development, in the periods prior to conclusion.</w:t>
      </w:r>
      <w:r>
        <w:rPr>
          <w:rFonts w:eastAsia="Times New Roman"/>
          <w:color w:val="000000"/>
          <w:sz w:val="20"/>
          <w:szCs w:val="20"/>
        </w:rPr>
        <w:t xml:space="preserve"> </w:t>
      </w:r>
    </w:p>
    <w:p w:rsidR="00000000" w:rsidRDefault="00602C02">
      <w:pPr>
        <w:divId w:val="1399014805"/>
        <w:rPr>
          <w:rFonts w:eastAsia="Times New Roman"/>
        </w:rPr>
      </w:pPr>
      <w:r>
        <w:rPr>
          <w:rFonts w:eastAsia="Times New Roman"/>
          <w:b/>
          <w:bCs/>
          <w:i/>
          <w:iCs/>
          <w:color w:val="000000"/>
          <w:sz w:val="20"/>
          <w:szCs w:val="20"/>
        </w:rPr>
        <w:t xml:space="preserve">Our growth </w:t>
      </w:r>
      <w:r>
        <w:rPr>
          <w:rFonts w:eastAsia="Times New Roman"/>
          <w:b/>
          <w:bCs/>
          <w:i/>
          <w:iCs/>
          <w:color w:val="000000"/>
          <w:sz w:val="20"/>
          <w:szCs w:val="20"/>
        </w:rPr>
        <w:t>increasingly depends on our ability to extend our technologies, products and services into new and expanded product areas, such as RFFE, and adjacent industry segments and applications outside of traditional cellular industries, such as automotive, computi</w:t>
      </w:r>
      <w:r>
        <w:rPr>
          <w:rFonts w:eastAsia="Times New Roman"/>
          <w:b/>
          <w:bCs/>
          <w:i/>
          <w:iCs/>
          <w:color w:val="000000"/>
          <w:sz w:val="20"/>
          <w:szCs w:val="20"/>
        </w:rPr>
        <w:t>ng, IoT and networking, among others. Our research, development and other investments in these new and expanded product areas, industry segments and applications, and related technologies, products and services, as well as in our existing technologies, pro</w:t>
      </w:r>
      <w:r>
        <w:rPr>
          <w:rFonts w:eastAsia="Times New Roman"/>
          <w:b/>
          <w:bCs/>
          <w:i/>
          <w:iCs/>
          <w:color w:val="000000"/>
          <w:sz w:val="20"/>
          <w:szCs w:val="20"/>
        </w:rPr>
        <w:t>ducts and services and new technologies, such as 5G, may not generate operating income or contribute to future results of operations that meet our expectations</w:t>
      </w:r>
      <w:r>
        <w:rPr>
          <w:rFonts w:eastAsia="Times New Roman"/>
          <w:b/>
          <w:bCs/>
          <w:i/>
          <w:iCs/>
          <w:color w:val="000000"/>
          <w:sz w:val="20"/>
          <w:szCs w:val="20"/>
        </w:rPr>
        <w:t>.</w:t>
      </w:r>
    </w:p>
    <w:p w:rsidR="00000000" w:rsidRDefault="00602C02">
      <w:pPr>
        <w:ind w:firstLine="360"/>
        <w:divId w:val="303776248"/>
        <w:rPr>
          <w:rFonts w:eastAsia="Times New Roman"/>
        </w:rPr>
      </w:pPr>
      <w:r>
        <w:rPr>
          <w:rFonts w:eastAsia="Times New Roman"/>
          <w:color w:val="000000"/>
          <w:sz w:val="20"/>
          <w:szCs w:val="20"/>
        </w:rPr>
        <w:t>Our industry is subject to rapid technological change, evolving industry standards and frequent</w:t>
      </w:r>
      <w:r>
        <w:rPr>
          <w:rFonts w:eastAsia="Times New Roman"/>
          <w:color w:val="000000"/>
          <w:sz w:val="20"/>
          <w:szCs w:val="20"/>
        </w:rPr>
        <w:t xml:space="preserve"> new product introductions, and we must make substantial research, development and other investments, such as acquisitions, in new products, services and technologies to compete successfully. Technological innovations generally require significant research</w:t>
      </w:r>
      <w:r>
        <w:rPr>
          <w:rFonts w:eastAsia="Times New Roman"/>
          <w:color w:val="000000"/>
          <w:sz w:val="20"/>
          <w:szCs w:val="20"/>
        </w:rPr>
        <w:t xml:space="preserve"> and development efforts before they are commercially viable. While we continue to invest significant resources toward advancements primarily in support of 4G- and 5G-based technologies, we also invest in new and expanded product areas, and adjacent indust</w:t>
      </w:r>
      <w:r>
        <w:rPr>
          <w:rFonts w:eastAsia="Times New Roman"/>
          <w:color w:val="000000"/>
          <w:sz w:val="20"/>
          <w:szCs w:val="20"/>
        </w:rPr>
        <w:t>ry segments and applications, by utilizing our existing technical and business expertise and through acquisitions</w:t>
      </w:r>
      <w:r>
        <w:rPr>
          <w:rFonts w:eastAsia="Times New Roman"/>
          <w:color w:val="000000"/>
          <w:sz w:val="20"/>
          <w:szCs w:val="20"/>
        </w:rPr>
        <w:t>.</w:t>
      </w:r>
    </w:p>
    <w:p w:rsidR="00000000" w:rsidRDefault="00602C02">
      <w:pPr>
        <w:ind w:firstLine="360"/>
        <w:divId w:val="1486048425"/>
        <w:rPr>
          <w:rFonts w:eastAsia="Times New Roman"/>
        </w:rPr>
      </w:pPr>
      <w:r>
        <w:rPr>
          <w:rFonts w:eastAsia="Times New Roman"/>
          <w:color w:val="000000"/>
          <w:sz w:val="20"/>
          <w:szCs w:val="20"/>
        </w:rPr>
        <w:t>In particular, our future growth significantly depends on new and expanded product areas, such as RFFE, and adjacent industry segments and ap</w:t>
      </w:r>
      <w:r>
        <w:rPr>
          <w:rFonts w:eastAsia="Times New Roman"/>
          <w:color w:val="000000"/>
          <w:sz w:val="20"/>
          <w:szCs w:val="20"/>
        </w:rPr>
        <w:t xml:space="preserve">plications outside of traditional cellular industries, such as automotive, computing, IoT (including the connected home, smart cities, wearables, voice and music and robotics) and networking, among others; our ability to develop leading and cost-effective </w:t>
      </w:r>
      <w:r>
        <w:rPr>
          <w:rFonts w:eastAsia="Times New Roman"/>
          <w:color w:val="000000"/>
          <w:sz w:val="20"/>
          <w:szCs w:val="20"/>
        </w:rPr>
        <w:t>technologies, products and services for new and expanded product areas, adjacent industry segments and applications; and third parties incorporating our technologies, products and services into devices used in these product areas, industry segments and app</w:t>
      </w:r>
      <w:r>
        <w:rPr>
          <w:rFonts w:eastAsia="Times New Roman"/>
          <w:color w:val="000000"/>
          <w:sz w:val="20"/>
          <w:szCs w:val="20"/>
        </w:rPr>
        <w:t>lications. Accordingly, we intend to continue to make substantial investments in these new and expanded product areas and adjacent industry segments and applications, and in developing new products, services and technologies for these product areas, indust</w:t>
      </w:r>
      <w:r>
        <w:rPr>
          <w:rFonts w:eastAsia="Times New Roman"/>
          <w:color w:val="000000"/>
          <w:sz w:val="20"/>
          <w:szCs w:val="20"/>
        </w:rPr>
        <w:t>ry segments and applications.</w:t>
      </w:r>
      <w:r>
        <w:rPr>
          <w:rFonts w:eastAsia="Times New Roman"/>
          <w:color w:val="000000"/>
          <w:sz w:val="20"/>
          <w:szCs w:val="20"/>
        </w:rPr>
        <w:t xml:space="preserve"> </w:t>
      </w:r>
    </w:p>
    <w:p w:rsidR="00000000" w:rsidRDefault="00602C02">
      <w:pPr>
        <w:ind w:firstLine="360"/>
        <w:divId w:val="363483946"/>
        <w:rPr>
          <w:rFonts w:eastAsia="Times New Roman"/>
        </w:rPr>
      </w:pPr>
      <w:r>
        <w:rPr>
          <w:rFonts w:eastAsia="Times New Roman"/>
          <w:color w:val="000000"/>
          <w:sz w:val="20"/>
          <w:szCs w:val="20"/>
        </w:rPr>
        <w:t>Our growth also depends significantly on our ability to develop and patent 5G technologies, and to develop and commercialize products using 5G technologies</w:t>
      </w:r>
      <w:r>
        <w:rPr>
          <w:rFonts w:eastAsia="Times New Roman"/>
          <w:color w:val="000000"/>
          <w:sz w:val="20"/>
          <w:szCs w:val="20"/>
        </w:rPr>
        <w:t>.</w:t>
      </w:r>
    </w:p>
    <w:p w:rsidR="00000000" w:rsidRDefault="00602C02">
      <w:pPr>
        <w:jc w:val="center"/>
        <w:divId w:val="373583705"/>
        <w:rPr>
          <w:rFonts w:eastAsia="Times New Roman"/>
        </w:rPr>
      </w:pPr>
      <w:r>
        <w:rPr>
          <w:rFonts w:eastAsia="Times New Roman"/>
          <w:color w:val="000000"/>
          <w:sz w:val="20"/>
          <w:szCs w:val="20"/>
        </w:rPr>
        <w:t>4</w:t>
      </w:r>
      <w:r>
        <w:rPr>
          <w:rFonts w:eastAsia="Times New Roman"/>
          <w:color w:val="000000"/>
          <w:sz w:val="20"/>
          <w:szCs w:val="20"/>
        </w:rPr>
        <w:t>1</w:t>
      </w:r>
    </w:p>
    <w:p w:rsidR="00000000" w:rsidRDefault="00602C02">
      <w:pPr>
        <w:rPr>
          <w:rFonts w:eastAsia="Times New Roman"/>
        </w:rPr>
      </w:pPr>
      <w:r>
        <w:rPr>
          <w:rFonts w:eastAsia="Times New Roman"/>
        </w:rPr>
        <w:pict>
          <v:rect id="_x0000_i1065" style="width:0;height:1.5pt" o:hralign="center" o:hrstd="t" o:hr="t" fillcolor="#a0a0a0" stroked="f"/>
        </w:pict>
      </w:r>
    </w:p>
    <w:p w:rsidR="00000000" w:rsidRDefault="00602C02">
      <w:pPr>
        <w:divId w:val="707491968"/>
        <w:rPr>
          <w:rFonts w:eastAsia="Times New Roman"/>
        </w:rPr>
      </w:pPr>
    </w:p>
    <w:p w:rsidR="00000000" w:rsidRDefault="00602C02">
      <w:pPr>
        <w:ind w:firstLine="360"/>
        <w:divId w:val="1720471621"/>
        <w:rPr>
          <w:rFonts w:eastAsia="Times New Roman"/>
        </w:rPr>
      </w:pPr>
      <w:r>
        <w:rPr>
          <w:rFonts w:eastAsia="Times New Roman"/>
          <w:color w:val="000000"/>
          <w:sz w:val="20"/>
          <w:szCs w:val="20"/>
        </w:rPr>
        <w:t>However, our research, development and other investments in these new and expanded product areas and adjacent industry segments and applications, and corresponding technologies, products and services, as well as in our</w:t>
      </w:r>
      <w:r>
        <w:rPr>
          <w:rFonts w:eastAsia="Times New Roman"/>
          <w:color w:val="000000"/>
          <w:sz w:val="20"/>
          <w:szCs w:val="20"/>
        </w:rPr>
        <w:t xml:space="preserve"> existing, technologies, products and services and new technologies, such as 5G, use of licensed, shared and unlicensed spectrum and convergence of cellular and Wi-Fi, may not succeed due to, among other reasons: we may not be issued patents on the technol</w:t>
      </w:r>
      <w:r>
        <w:rPr>
          <w:rFonts w:eastAsia="Times New Roman"/>
          <w:color w:val="000000"/>
          <w:sz w:val="20"/>
          <w:szCs w:val="20"/>
        </w:rPr>
        <w:t>ogies we develop; the technologies we develop may not be incorporated into relevant standards; new and expanded product areas and adjacent industry segments, applications and consumer demand may not develop or grow as anticipated; our strategies or the str</w:t>
      </w:r>
      <w:r>
        <w:rPr>
          <w:rFonts w:eastAsia="Times New Roman"/>
          <w:color w:val="000000"/>
          <w:sz w:val="20"/>
          <w:szCs w:val="20"/>
        </w:rPr>
        <w:t xml:space="preserve">ategies of our customers, licensees or partners may not be successful; improvements in alternate technologies in ways that reduce the advantages we anticipate from our investments; competitors’ technologies, products or services being more cost effective, </w:t>
      </w:r>
      <w:r>
        <w:rPr>
          <w:rFonts w:eastAsia="Times New Roman"/>
          <w:color w:val="000000"/>
          <w:sz w:val="20"/>
          <w:szCs w:val="20"/>
        </w:rPr>
        <w:t xml:space="preserve">having more capabilities or fewer limitations or being brought to market faster than our new technologies, products and services; we may not be able to develop, or our competitors may have more established and/or stronger, customer, vendor, distributor or </w:t>
      </w:r>
      <w:r>
        <w:rPr>
          <w:rFonts w:eastAsia="Times New Roman"/>
          <w:color w:val="000000"/>
          <w:sz w:val="20"/>
          <w:szCs w:val="20"/>
        </w:rPr>
        <w:t>other channel relationships; and competitors having longer operating histories in industry segments that are new to us. We may also underestimate the costs of or overestimate the future revenues or margins that could result from these investments, and thes</w:t>
      </w:r>
      <w:r>
        <w:rPr>
          <w:rFonts w:eastAsia="Times New Roman"/>
          <w:color w:val="000000"/>
          <w:sz w:val="20"/>
          <w:szCs w:val="20"/>
        </w:rPr>
        <w:t>e investments may not, or may take many years to, generate material returns.</w:t>
      </w:r>
      <w:r>
        <w:rPr>
          <w:rFonts w:eastAsia="Times New Roman"/>
          <w:color w:val="000000"/>
          <w:sz w:val="20"/>
          <w:szCs w:val="20"/>
        </w:rPr>
        <w:t xml:space="preserve"> </w:t>
      </w:r>
    </w:p>
    <w:p w:rsidR="00000000" w:rsidRDefault="00602C02">
      <w:pPr>
        <w:ind w:firstLine="360"/>
        <w:divId w:val="435254391"/>
        <w:rPr>
          <w:rFonts w:eastAsia="Times New Roman"/>
        </w:rPr>
      </w:pPr>
      <w:r>
        <w:rPr>
          <w:rFonts w:eastAsia="Times New Roman"/>
          <w:color w:val="000000"/>
          <w:sz w:val="20"/>
          <w:szCs w:val="20"/>
        </w:rPr>
        <w:t>Further, the automotive industry is subject to long design-in time frames, long product life cycles and a high degree of regulatory and safety requirements, necessitating supplie</w:t>
      </w:r>
      <w:r>
        <w:rPr>
          <w:rFonts w:eastAsia="Times New Roman"/>
          <w:color w:val="000000"/>
          <w:sz w:val="20"/>
          <w:szCs w:val="20"/>
        </w:rPr>
        <w:t>rs to the industry to comply with stringent qualification processes, very low defect rates and high reliability standards, all of which results in a significant barrier to entry and increased costs</w:t>
      </w:r>
      <w:r>
        <w:rPr>
          <w:rFonts w:eastAsia="Times New Roman"/>
          <w:color w:val="000000"/>
          <w:sz w:val="20"/>
          <w:szCs w:val="20"/>
        </w:rPr>
        <w:t>.</w:t>
      </w:r>
    </w:p>
    <w:p w:rsidR="00000000" w:rsidRDefault="00602C02">
      <w:pPr>
        <w:ind w:firstLine="360"/>
        <w:divId w:val="352457583"/>
        <w:rPr>
          <w:rFonts w:eastAsia="Times New Roman"/>
        </w:rPr>
      </w:pPr>
      <w:r>
        <w:rPr>
          <w:rFonts w:eastAsia="Times New Roman"/>
          <w:color w:val="000000"/>
          <w:sz w:val="20"/>
          <w:szCs w:val="20"/>
        </w:rPr>
        <w:t>If our new technologies, products and services are not su</w:t>
      </w:r>
      <w:r>
        <w:rPr>
          <w:rFonts w:eastAsia="Times New Roman"/>
          <w:color w:val="000000"/>
          <w:sz w:val="20"/>
          <w:szCs w:val="20"/>
        </w:rPr>
        <w:t>ccessful, or are not successful in the time frames we anticipate, we may incur significant costs and asset impairments, our business may not grow or grow meaningfully, our revenues and margins may be negatively impacted, and our reputation may be harmed</w:t>
      </w:r>
      <w:r>
        <w:rPr>
          <w:rFonts w:eastAsia="Times New Roman"/>
          <w:color w:val="000000"/>
          <w:sz w:val="20"/>
          <w:szCs w:val="20"/>
        </w:rPr>
        <w:t>.</w:t>
      </w:r>
    </w:p>
    <w:p w:rsidR="00000000" w:rsidRDefault="00602C02">
      <w:pPr>
        <w:divId w:val="512840470"/>
        <w:rPr>
          <w:rFonts w:eastAsia="Times New Roman"/>
        </w:rPr>
      </w:pPr>
      <w:r>
        <w:rPr>
          <w:rFonts w:eastAsia="Times New Roman"/>
          <w:b/>
          <w:bCs/>
          <w:i/>
          <w:iCs/>
          <w:color w:val="000000"/>
          <w:sz w:val="20"/>
          <w:szCs w:val="20"/>
        </w:rPr>
        <w:t>T</w:t>
      </w:r>
      <w:r>
        <w:rPr>
          <w:rFonts w:eastAsia="Times New Roman"/>
          <w:b/>
          <w:bCs/>
          <w:i/>
          <w:iCs/>
          <w:color w:val="000000"/>
          <w:sz w:val="20"/>
          <w:szCs w:val="20"/>
        </w:rPr>
        <w:t>he continued and future success of our licensing programs requires us to continue to evolve our patent portfolio, and our licensing programs may be impacted by the proliferation of devices in new industry segments such as automotive, computing, IoT and net</w:t>
      </w:r>
      <w:r>
        <w:rPr>
          <w:rFonts w:eastAsia="Times New Roman"/>
          <w:b/>
          <w:bCs/>
          <w:i/>
          <w:iCs/>
          <w:color w:val="000000"/>
          <w:sz w:val="20"/>
          <w:szCs w:val="20"/>
        </w:rPr>
        <w:t>working, as well as the need to renew or renegotiate license agreements that are expiring or to cover additional future patents</w:t>
      </w:r>
      <w:r>
        <w:rPr>
          <w:rFonts w:eastAsia="Times New Roman"/>
          <w:b/>
          <w:bCs/>
          <w:i/>
          <w:iCs/>
          <w:color w:val="000000"/>
          <w:sz w:val="20"/>
          <w:szCs w:val="20"/>
        </w:rPr>
        <w:t>.</w:t>
      </w:r>
    </w:p>
    <w:p w:rsidR="00000000" w:rsidRDefault="00602C02">
      <w:pPr>
        <w:ind w:firstLine="360"/>
        <w:divId w:val="230426382"/>
        <w:rPr>
          <w:rFonts w:eastAsia="Times New Roman"/>
        </w:rPr>
      </w:pPr>
      <w:r>
        <w:rPr>
          <w:rFonts w:eastAsia="Times New Roman"/>
          <w:color w:val="000000"/>
          <w:sz w:val="20"/>
          <w:szCs w:val="20"/>
        </w:rPr>
        <w:t xml:space="preserve">We own a very strong portfolio of issued and pending patents related to 3G, 4G, 5G and other technologies. It is critical that </w:t>
      </w:r>
      <w:r>
        <w:rPr>
          <w:rFonts w:eastAsia="Times New Roman"/>
          <w:color w:val="000000"/>
          <w:sz w:val="20"/>
          <w:szCs w:val="20"/>
        </w:rPr>
        <w:t>we continue to evolve our patent portfolio, particularly in 5G. If we do not maintain a strong portfolio that is applicable to current and future standards, products and services, our future licensing revenues could be negatively impacted</w:t>
      </w:r>
      <w:r>
        <w:rPr>
          <w:rFonts w:eastAsia="Times New Roman"/>
          <w:color w:val="000000"/>
          <w:sz w:val="20"/>
          <w:szCs w:val="20"/>
        </w:rPr>
        <w:t>.</w:t>
      </w:r>
    </w:p>
    <w:p w:rsidR="00000000" w:rsidRDefault="00602C02">
      <w:pPr>
        <w:ind w:firstLine="360"/>
        <w:divId w:val="602154326"/>
        <w:rPr>
          <w:rFonts w:eastAsia="Times New Roman"/>
        </w:rPr>
      </w:pPr>
      <w:r>
        <w:rPr>
          <w:rFonts w:eastAsia="Times New Roman"/>
          <w:color w:val="000000"/>
          <w:sz w:val="20"/>
          <w:szCs w:val="20"/>
        </w:rPr>
        <w:t>In addition, new</w:t>
      </w:r>
      <w:r>
        <w:rPr>
          <w:rFonts w:eastAsia="Times New Roman"/>
          <w:color w:val="000000"/>
          <w:sz w:val="20"/>
          <w:szCs w:val="20"/>
        </w:rPr>
        <w:t xml:space="preserve"> connectivity and other services are emerging that rely on devices that may or may not be used on traditional cellular networks, such as devices used in the automotive, computing, IoT and networking industry segments. Standards, even de facto standards, th</w:t>
      </w:r>
      <w:r>
        <w:rPr>
          <w:rFonts w:eastAsia="Times New Roman"/>
          <w:color w:val="000000"/>
          <w:sz w:val="20"/>
          <w:szCs w:val="20"/>
        </w:rPr>
        <w:t>at develop as these technologies mature, in particular those that do not include a base level of interoperability, may impact our ability to obtain royalties at all or that are equivalent to those that we receive for products used in cellular communication</w:t>
      </w:r>
      <w:r>
        <w:rPr>
          <w:rFonts w:eastAsia="Times New Roman"/>
          <w:color w:val="000000"/>
          <w:sz w:val="20"/>
          <w:szCs w:val="20"/>
        </w:rPr>
        <w:t>s. Although we believe that our patented technologies are essential and useful to the commercialization of such services, any royalties we receive may be lower than those we receive from our current licensing program</w:t>
      </w:r>
      <w:r>
        <w:rPr>
          <w:rFonts w:eastAsia="Times New Roman"/>
          <w:color w:val="000000"/>
          <w:sz w:val="20"/>
          <w:szCs w:val="20"/>
        </w:rPr>
        <w:t>.</w:t>
      </w:r>
    </w:p>
    <w:p w:rsidR="00000000" w:rsidRDefault="00602C02">
      <w:pPr>
        <w:ind w:firstLine="360"/>
        <w:divId w:val="1857496089"/>
        <w:rPr>
          <w:rFonts w:eastAsia="Times New Roman"/>
        </w:rPr>
      </w:pPr>
      <w:r>
        <w:rPr>
          <w:rFonts w:eastAsia="Times New Roman"/>
          <w:color w:val="000000"/>
          <w:sz w:val="20"/>
          <w:szCs w:val="20"/>
        </w:rPr>
        <w:t>Further, the licenses granted to and f</w:t>
      </w:r>
      <w:r>
        <w:rPr>
          <w:rFonts w:eastAsia="Times New Roman"/>
          <w:color w:val="000000"/>
          <w:sz w:val="20"/>
          <w:szCs w:val="20"/>
        </w:rPr>
        <w:t>rom us under a number of our license agreements include only patents that are either filed or issued prior to a certain date. As a result, there are agreements with some licensees where later patents are not licensed by or to us. Additionally, all of our p</w:t>
      </w:r>
      <w:r>
        <w:rPr>
          <w:rFonts w:eastAsia="Times New Roman"/>
          <w:color w:val="000000"/>
          <w:sz w:val="20"/>
          <w:szCs w:val="20"/>
        </w:rPr>
        <w:t>atent license agreements in China that were entered into in 2015 or thereafter, as well as our recent worldwide cellular standard-essential patent only agreements, are effective for a specified term. In order to license or to obtain a license to such later</w:t>
      </w:r>
      <w:r>
        <w:rPr>
          <w:rFonts w:eastAsia="Times New Roman"/>
          <w:color w:val="000000"/>
          <w:sz w:val="20"/>
          <w:szCs w:val="20"/>
        </w:rPr>
        <w:t xml:space="preserve"> patents or after the expiration of the specified term, and to receive royalties after the expiration date of the specified term, we will need to extend or modify such license agreements or enter into new license agreements with such licensees more frequen</w:t>
      </w:r>
      <w:r>
        <w:rPr>
          <w:rFonts w:eastAsia="Times New Roman"/>
          <w:color w:val="000000"/>
          <w:sz w:val="20"/>
          <w:szCs w:val="20"/>
        </w:rPr>
        <w:t xml:space="preserve">tly than we have done historically. In particular, our license agreement with Huawei expired on December 31, 2019. Such agreement provides either party with the right to initiate binding arbitration for a period of several months, the result of which will </w:t>
      </w:r>
      <w:r>
        <w:rPr>
          <w:rFonts w:eastAsia="Times New Roman"/>
          <w:color w:val="000000"/>
          <w:sz w:val="20"/>
          <w:szCs w:val="20"/>
        </w:rPr>
        <w:t>be a new license agreement. We might not be able to extend or modify license agreements, or enter into new license agreements, in the future without negatively affecting the material terms and conditions of our license agreements with such licensees, and s</w:t>
      </w:r>
      <w:r>
        <w:rPr>
          <w:rFonts w:eastAsia="Times New Roman"/>
          <w:color w:val="000000"/>
          <w:sz w:val="20"/>
          <w:szCs w:val="20"/>
        </w:rPr>
        <w:t>uch modifications or new agreements may negatively impact our revenues. In some circumstances, we may extend, modify or enter into new license agreements as a result of arbitration or litigation, and terms imposed by arbitrators or courts may be less favor</w:t>
      </w:r>
      <w:r>
        <w:rPr>
          <w:rFonts w:eastAsia="Times New Roman"/>
          <w:color w:val="000000"/>
          <w:sz w:val="20"/>
          <w:szCs w:val="20"/>
        </w:rPr>
        <w:t>able to us than existing terms. If there is a delay in extending, modifying or entering into a new license agreement with a licensee, there would be a delay in our ability to recognize revenues related to that licensee’s product sales. Further, if we are u</w:t>
      </w:r>
      <w:r>
        <w:rPr>
          <w:rFonts w:eastAsia="Times New Roman"/>
          <w:color w:val="000000"/>
          <w:sz w:val="20"/>
          <w:szCs w:val="20"/>
        </w:rPr>
        <w:t>nable to reach agreement on such modifications or new agreements, it could result in patent infringement litigation with such companies</w:t>
      </w:r>
      <w:r>
        <w:rPr>
          <w:rFonts w:eastAsia="Times New Roman"/>
          <w:color w:val="000000"/>
          <w:sz w:val="20"/>
          <w:szCs w:val="20"/>
        </w:rPr>
        <w:t>.</w:t>
      </w:r>
    </w:p>
    <w:p w:rsidR="00000000" w:rsidRDefault="00602C02">
      <w:pPr>
        <w:divId w:val="1493791232"/>
        <w:rPr>
          <w:rFonts w:eastAsia="Times New Roman"/>
        </w:rPr>
      </w:pPr>
      <w:r>
        <w:rPr>
          <w:rFonts w:eastAsia="Times New Roman"/>
          <w:b/>
          <w:bCs/>
          <w:i/>
          <w:iCs/>
          <w:color w:val="000000"/>
          <w:sz w:val="20"/>
          <w:szCs w:val="20"/>
        </w:rPr>
        <w:t>We depend on a limited number of third-party suppliers for the procurement, manufacture and testing of our products man</w:t>
      </w:r>
      <w:r>
        <w:rPr>
          <w:rFonts w:eastAsia="Times New Roman"/>
          <w:b/>
          <w:bCs/>
          <w:i/>
          <w:iCs/>
          <w:color w:val="000000"/>
          <w:sz w:val="20"/>
          <w:szCs w:val="20"/>
        </w:rPr>
        <w:t>ufactured in a fabless production model. If we fail to execute supply strategies that provide technology leadership,</w:t>
      </w:r>
      <w:r>
        <w:rPr>
          <w:rFonts w:eastAsia="Times New Roman"/>
          <w:b/>
          <w:bCs/>
          <w:i/>
          <w:iCs/>
          <w:color w:val="000000"/>
          <w:sz w:val="20"/>
          <w:szCs w:val="20"/>
        </w:rPr>
        <w:t xml:space="preserve"> </w:t>
      </w:r>
    </w:p>
    <w:p w:rsidR="00000000" w:rsidRDefault="00602C02">
      <w:pPr>
        <w:jc w:val="center"/>
        <w:divId w:val="492331669"/>
        <w:rPr>
          <w:rFonts w:eastAsia="Times New Roman"/>
        </w:rPr>
      </w:pPr>
      <w:r>
        <w:rPr>
          <w:rFonts w:eastAsia="Times New Roman"/>
          <w:color w:val="000000"/>
          <w:sz w:val="20"/>
          <w:szCs w:val="20"/>
        </w:rPr>
        <w:t>4</w:t>
      </w:r>
      <w:r>
        <w:rPr>
          <w:rFonts w:eastAsia="Times New Roman"/>
          <w:color w:val="000000"/>
          <w:sz w:val="20"/>
          <w:szCs w:val="20"/>
        </w:rPr>
        <w:t>2</w:t>
      </w:r>
    </w:p>
    <w:p w:rsidR="00000000" w:rsidRDefault="00602C02">
      <w:pPr>
        <w:rPr>
          <w:rFonts w:eastAsia="Times New Roman"/>
        </w:rPr>
      </w:pPr>
      <w:r>
        <w:rPr>
          <w:rFonts w:eastAsia="Times New Roman"/>
        </w:rPr>
        <w:pict>
          <v:rect id="_x0000_i1066" style="width:0;height:1.5pt" o:hralign="center" o:hrstd="t" o:hr="t" fillcolor="#a0a0a0" stroked="f"/>
        </w:pict>
      </w:r>
    </w:p>
    <w:p w:rsidR="00000000" w:rsidRDefault="00602C02">
      <w:pPr>
        <w:divId w:val="280306951"/>
        <w:rPr>
          <w:rFonts w:eastAsia="Times New Roman"/>
        </w:rPr>
      </w:pPr>
    </w:p>
    <w:p w:rsidR="00000000" w:rsidRDefault="00602C02">
      <w:pPr>
        <w:divId w:val="538124767"/>
        <w:rPr>
          <w:rFonts w:eastAsia="Times New Roman"/>
        </w:rPr>
      </w:pPr>
      <w:r>
        <w:rPr>
          <w:rFonts w:eastAsia="Times New Roman"/>
          <w:b/>
          <w:bCs/>
          <w:i/>
          <w:iCs/>
          <w:color w:val="000000"/>
          <w:sz w:val="20"/>
          <w:szCs w:val="20"/>
        </w:rPr>
        <w:t>supply assurance and reasonable margins, our business and results of operations may be harmed. We are also subject to order and shipment uncertainties that could negatively impact our results of operations</w:t>
      </w:r>
      <w:r>
        <w:rPr>
          <w:rFonts w:eastAsia="Times New Roman"/>
          <w:b/>
          <w:bCs/>
          <w:i/>
          <w:iCs/>
          <w:color w:val="000000"/>
          <w:sz w:val="20"/>
          <w:szCs w:val="20"/>
        </w:rPr>
        <w:t>.</w:t>
      </w:r>
    </w:p>
    <w:p w:rsidR="00000000" w:rsidRDefault="00602C02">
      <w:pPr>
        <w:ind w:firstLine="360"/>
        <w:divId w:val="1835559691"/>
        <w:rPr>
          <w:rFonts w:eastAsia="Times New Roman"/>
        </w:rPr>
      </w:pPr>
      <w:r>
        <w:rPr>
          <w:rFonts w:eastAsia="Times New Roman"/>
          <w:color w:val="000000"/>
          <w:sz w:val="20"/>
          <w:szCs w:val="20"/>
        </w:rPr>
        <w:t>Our QCT seg</w:t>
      </w:r>
      <w:r>
        <w:rPr>
          <w:rFonts w:eastAsia="Times New Roman"/>
          <w:color w:val="000000"/>
          <w:sz w:val="20"/>
          <w:szCs w:val="20"/>
        </w:rPr>
        <w:t xml:space="preserve">ment primarily utilizes a fabless production model, which means that we do not own or operate foundries for the production of silicon wafers from which our integrated circuits are made. Other than the facilities we own that manufacture certain of our RFFE </w:t>
      </w:r>
      <w:r>
        <w:rPr>
          <w:rFonts w:eastAsia="Times New Roman"/>
          <w:color w:val="000000"/>
          <w:sz w:val="20"/>
          <w:szCs w:val="20"/>
        </w:rPr>
        <w:t xml:space="preserve">modules and RF filter acoustic products, we rely on independent third-party suppliers to perform the manufacturing and assembly, and most of the testing, of our integrated circuits. Our suppliers are also responsible for the procurement of most of the raw </w:t>
      </w:r>
      <w:r>
        <w:rPr>
          <w:rFonts w:eastAsia="Times New Roman"/>
          <w:color w:val="000000"/>
          <w:sz w:val="20"/>
          <w:szCs w:val="20"/>
        </w:rPr>
        <w:t>materials used in the production of our integrated circuits. We employ both turnkey and two-stage manufacturing models to purchase our integrated circuits. Under the turnkey model, our foundry suppliers are responsible for delivering fully assembled and te</w:t>
      </w:r>
      <w:r>
        <w:rPr>
          <w:rFonts w:eastAsia="Times New Roman"/>
          <w:color w:val="000000"/>
          <w:sz w:val="20"/>
          <w:szCs w:val="20"/>
        </w:rPr>
        <w:t>sted integrated circuits. Under the two-stage manufacturing model, we purchase die in singular or wafer form from semiconductor manufacturing foundries and contract with separate third-party suppliers for manufacturing services such as wafer bump, probe, a</w:t>
      </w:r>
      <w:r>
        <w:rPr>
          <w:rFonts w:eastAsia="Times New Roman"/>
          <w:color w:val="000000"/>
          <w:sz w:val="20"/>
          <w:szCs w:val="20"/>
        </w:rPr>
        <w:t>ssembly and the majority of our final test requirements. The semiconductor manufacturing foundries that supply products to our QCT segment are primarily located in Asia, as are our primary warehouses where we store finished goods for fulfillment of custome</w:t>
      </w:r>
      <w:r>
        <w:rPr>
          <w:rFonts w:eastAsia="Times New Roman"/>
          <w:color w:val="000000"/>
          <w:sz w:val="20"/>
          <w:szCs w:val="20"/>
        </w:rPr>
        <w:t>r orders.</w:t>
      </w:r>
      <w:r>
        <w:rPr>
          <w:rFonts w:eastAsia="Times New Roman"/>
          <w:color w:val="000000"/>
          <w:sz w:val="20"/>
          <w:szCs w:val="20"/>
        </w:rPr>
        <w:t xml:space="preserve"> </w:t>
      </w:r>
    </w:p>
    <w:p w:rsidR="00000000" w:rsidRDefault="00602C02">
      <w:pPr>
        <w:ind w:firstLine="360"/>
        <w:divId w:val="963462320"/>
        <w:rPr>
          <w:rFonts w:eastAsia="Times New Roman"/>
        </w:rPr>
      </w:pPr>
      <w:r>
        <w:rPr>
          <w:rFonts w:eastAsia="Times New Roman"/>
          <w:color w:val="000000"/>
          <w:sz w:val="20"/>
          <w:szCs w:val="20"/>
        </w:rPr>
        <w:t>The following could have an adverse effect on our ability to meet customer demand and negatively impact our revenues, business operations, profitability and cash flows</w:t>
      </w:r>
      <w:r>
        <w:rPr>
          <w:rFonts w:eastAsia="Times New Roman"/>
          <w:color w:val="000000"/>
          <w:sz w:val="20"/>
          <w:szCs w:val="20"/>
        </w:rPr>
        <w:t>:</w:t>
      </w:r>
    </w:p>
    <w:p w:rsidR="00000000" w:rsidRDefault="00602C02">
      <w:pPr>
        <w:ind w:hanging="360"/>
        <w:divId w:val="579221098"/>
        <w:rPr>
          <w:rFonts w:eastAsia="Times New Roman"/>
        </w:rPr>
      </w:pPr>
      <w:r>
        <w:rPr>
          <w:rFonts w:eastAsia="Times New Roman"/>
          <w:color w:val="000000"/>
          <w:sz w:val="20"/>
          <w:szCs w:val="20"/>
        </w:rPr>
        <w:t>•</w:t>
      </w:r>
      <w:r>
        <w:rPr>
          <w:rFonts w:eastAsia="Times New Roman"/>
          <w:color w:val="000000"/>
          <w:sz w:val="20"/>
          <w:szCs w:val="20"/>
        </w:rPr>
        <w:t>a reduction, interruption, delay or limitation in our product supply source</w:t>
      </w:r>
      <w:r>
        <w:rPr>
          <w:rFonts w:eastAsia="Times New Roman"/>
          <w:color w:val="000000"/>
          <w:sz w:val="20"/>
          <w:szCs w:val="20"/>
        </w:rPr>
        <w:t>s</w:t>
      </w:r>
      <w:r>
        <w:rPr>
          <w:rFonts w:eastAsia="Times New Roman"/>
          <w:color w:val="000000"/>
          <w:sz w:val="20"/>
          <w:szCs w:val="20"/>
        </w:rPr>
        <w:t>;</w:t>
      </w:r>
    </w:p>
    <w:p w:rsidR="00000000" w:rsidRDefault="00602C02">
      <w:pPr>
        <w:ind w:hanging="360"/>
        <w:divId w:val="223302834"/>
        <w:rPr>
          <w:rFonts w:eastAsia="Times New Roman"/>
        </w:rPr>
      </w:pPr>
      <w:r>
        <w:rPr>
          <w:rFonts w:eastAsia="Times New Roman"/>
          <w:color w:val="000000"/>
          <w:sz w:val="20"/>
          <w:szCs w:val="20"/>
        </w:rPr>
        <w:t>•</w:t>
      </w:r>
      <w:r>
        <w:rPr>
          <w:rFonts w:eastAsia="Times New Roman"/>
          <w:color w:val="000000"/>
          <w:sz w:val="20"/>
          <w:szCs w:val="20"/>
        </w:rPr>
        <w:t>a failure by our suppliers to procure raw materials, or to provide or allocate adequate raw materials or manufacturing or test capacity, for our products</w:t>
      </w:r>
      <w:r>
        <w:rPr>
          <w:rFonts w:eastAsia="Times New Roman"/>
          <w:color w:val="000000"/>
          <w:sz w:val="20"/>
          <w:szCs w:val="20"/>
        </w:rPr>
        <w:t>;</w:t>
      </w:r>
    </w:p>
    <w:p w:rsidR="00000000" w:rsidRDefault="00602C02">
      <w:pPr>
        <w:ind w:hanging="360"/>
        <w:divId w:val="1451440518"/>
        <w:rPr>
          <w:rFonts w:eastAsia="Times New Roman"/>
        </w:rPr>
      </w:pPr>
      <w:r>
        <w:rPr>
          <w:rFonts w:eastAsia="Times New Roman"/>
          <w:color w:val="000000"/>
          <w:sz w:val="20"/>
          <w:szCs w:val="20"/>
        </w:rPr>
        <w:t>•</w:t>
      </w:r>
      <w:r>
        <w:rPr>
          <w:rFonts w:eastAsia="Times New Roman"/>
          <w:color w:val="000000"/>
          <w:sz w:val="20"/>
          <w:szCs w:val="20"/>
        </w:rPr>
        <w:t xml:space="preserve">our suppliers’ inability to react to shifts in product demand or an increase in raw material or </w:t>
      </w:r>
      <w:r>
        <w:rPr>
          <w:rFonts w:eastAsia="Times New Roman"/>
          <w:color w:val="000000"/>
          <w:sz w:val="20"/>
          <w:szCs w:val="20"/>
        </w:rPr>
        <w:t>component prices</w:t>
      </w:r>
      <w:r>
        <w:rPr>
          <w:rFonts w:eastAsia="Times New Roman"/>
          <w:color w:val="000000"/>
          <w:sz w:val="20"/>
          <w:szCs w:val="20"/>
        </w:rPr>
        <w:t>;</w:t>
      </w:r>
    </w:p>
    <w:p w:rsidR="00000000" w:rsidRDefault="00602C02">
      <w:pPr>
        <w:ind w:hanging="360"/>
        <w:divId w:val="1694844531"/>
        <w:rPr>
          <w:rFonts w:eastAsia="Times New Roman"/>
        </w:rPr>
      </w:pPr>
      <w:r>
        <w:rPr>
          <w:rFonts w:eastAsia="Times New Roman"/>
          <w:color w:val="000000"/>
          <w:sz w:val="20"/>
          <w:szCs w:val="20"/>
        </w:rPr>
        <w:t>•</w:t>
      </w:r>
      <w:r>
        <w:rPr>
          <w:rFonts w:eastAsia="Times New Roman"/>
          <w:color w:val="000000"/>
          <w:sz w:val="20"/>
          <w:szCs w:val="20"/>
        </w:rPr>
        <w:t>our suppliers’ delay in developing leading process technologies, or inability to develop or maintain leading process technologies, including transitions to smaller geometry process technologies</w:t>
      </w:r>
      <w:r>
        <w:rPr>
          <w:rFonts w:eastAsia="Times New Roman"/>
          <w:color w:val="000000"/>
          <w:sz w:val="20"/>
          <w:szCs w:val="20"/>
        </w:rPr>
        <w:t>;</w:t>
      </w:r>
    </w:p>
    <w:p w:rsidR="00000000" w:rsidRDefault="00602C02">
      <w:pPr>
        <w:ind w:hanging="360"/>
        <w:divId w:val="1076587559"/>
        <w:rPr>
          <w:rFonts w:eastAsia="Times New Roman"/>
        </w:rPr>
      </w:pPr>
      <w:r>
        <w:rPr>
          <w:rFonts w:eastAsia="Times New Roman"/>
          <w:color w:val="000000"/>
          <w:sz w:val="20"/>
          <w:szCs w:val="20"/>
        </w:rPr>
        <w:t>•</w:t>
      </w:r>
      <w:r>
        <w:rPr>
          <w:rFonts w:eastAsia="Times New Roman"/>
          <w:color w:val="000000"/>
          <w:sz w:val="20"/>
          <w:szCs w:val="20"/>
        </w:rPr>
        <w:t>the loss of a supplier or the inability o</w:t>
      </w:r>
      <w:r>
        <w:rPr>
          <w:rFonts w:eastAsia="Times New Roman"/>
          <w:color w:val="000000"/>
          <w:sz w:val="20"/>
          <w:szCs w:val="20"/>
        </w:rPr>
        <w:t>f a supplier to meet performance, quality or yield specifications or delivery schedules;</w:t>
      </w:r>
      <w:r>
        <w:rPr>
          <w:rFonts w:eastAsia="Times New Roman"/>
          <w:color w:val="000000"/>
          <w:sz w:val="20"/>
          <w:szCs w:val="20"/>
        </w:rPr>
        <w:t xml:space="preserve"> </w:t>
      </w:r>
    </w:p>
    <w:p w:rsidR="00000000" w:rsidRDefault="00602C02">
      <w:pPr>
        <w:ind w:hanging="360"/>
        <w:divId w:val="1232275308"/>
        <w:rPr>
          <w:rFonts w:eastAsia="Times New Roman"/>
        </w:rPr>
      </w:pPr>
      <w:r>
        <w:rPr>
          <w:rFonts w:eastAsia="Times New Roman"/>
          <w:color w:val="000000"/>
          <w:sz w:val="20"/>
          <w:szCs w:val="20"/>
        </w:rPr>
        <w:t>•</w:t>
      </w:r>
      <w:r>
        <w:rPr>
          <w:rFonts w:eastAsia="Times New Roman"/>
          <w:color w:val="000000"/>
          <w:sz w:val="20"/>
          <w:szCs w:val="20"/>
        </w:rPr>
        <w:t>additional expense or production delays as a result of qualifying a new supplier and commencing volume production or testing in the event of a loss of, or a decision</w:t>
      </w:r>
      <w:r>
        <w:rPr>
          <w:rFonts w:eastAsia="Times New Roman"/>
          <w:color w:val="000000"/>
          <w:sz w:val="20"/>
          <w:szCs w:val="20"/>
        </w:rPr>
        <w:t xml:space="preserve"> to add or change, a supplier</w:t>
      </w:r>
      <w:r>
        <w:rPr>
          <w:rFonts w:eastAsia="Times New Roman"/>
          <w:color w:val="000000"/>
          <w:sz w:val="20"/>
          <w:szCs w:val="20"/>
        </w:rPr>
        <w:t>;</w:t>
      </w:r>
    </w:p>
    <w:p w:rsidR="00000000" w:rsidRDefault="00602C02">
      <w:pPr>
        <w:ind w:hanging="360"/>
        <w:divId w:val="1249730168"/>
        <w:rPr>
          <w:rFonts w:eastAsia="Times New Roman"/>
        </w:rPr>
      </w:pPr>
      <w:r>
        <w:rPr>
          <w:rFonts w:eastAsia="Times New Roman"/>
          <w:color w:val="000000"/>
          <w:sz w:val="20"/>
          <w:szCs w:val="20"/>
        </w:rPr>
        <w:t>•</w:t>
      </w:r>
      <w:r>
        <w:rPr>
          <w:rFonts w:eastAsia="Times New Roman"/>
          <w:color w:val="000000"/>
          <w:sz w:val="20"/>
          <w:szCs w:val="20"/>
        </w:rPr>
        <w:t>natural disasters or geopolitical conflicts impacting our suppliers; an</w:t>
      </w:r>
      <w:r>
        <w:rPr>
          <w:rFonts w:eastAsia="Times New Roman"/>
          <w:color w:val="000000"/>
          <w:sz w:val="20"/>
          <w:szCs w:val="20"/>
        </w:rPr>
        <w:t>d</w:t>
      </w:r>
    </w:p>
    <w:p w:rsidR="00000000" w:rsidRDefault="00602C02">
      <w:pPr>
        <w:ind w:hanging="360"/>
        <w:divId w:val="1132556766"/>
        <w:rPr>
          <w:rFonts w:eastAsia="Times New Roman"/>
        </w:rPr>
      </w:pPr>
      <w:r>
        <w:rPr>
          <w:rFonts w:eastAsia="Times New Roman"/>
          <w:color w:val="000000"/>
          <w:sz w:val="20"/>
          <w:szCs w:val="20"/>
          <w:shd w:val="clear" w:color="auto" w:fill="FFFFFF"/>
        </w:rPr>
        <w:t>•health crises, including epidemics or pandemics, such as the COVID-19 pandemic, and government and business responses thereto, which impact our suppli</w:t>
      </w:r>
      <w:r>
        <w:rPr>
          <w:rFonts w:eastAsia="Times New Roman"/>
          <w:color w:val="000000"/>
          <w:sz w:val="20"/>
          <w:szCs w:val="20"/>
          <w:shd w:val="clear" w:color="auto" w:fill="FFFFFF"/>
        </w:rPr>
        <w:t>ers, including as a result of quarantines or closure.</w:t>
      </w:r>
    </w:p>
    <w:p w:rsidR="00000000" w:rsidRDefault="00602C02">
      <w:pPr>
        <w:ind w:firstLine="360"/>
        <w:divId w:val="1957178800"/>
        <w:rPr>
          <w:rFonts w:eastAsia="Times New Roman"/>
        </w:rPr>
      </w:pPr>
      <w:r>
        <w:rPr>
          <w:rFonts w:eastAsia="Times New Roman"/>
          <w:color w:val="000000"/>
          <w:sz w:val="20"/>
          <w:szCs w:val="20"/>
        </w:rPr>
        <w:t>Additionally, supply and costs of raw materials may be negatively impacted by trade or national security protection policies, such as tariffs, or actions by governments that limit or prevent us from tra</w:t>
      </w:r>
      <w:r>
        <w:rPr>
          <w:rFonts w:eastAsia="Times New Roman"/>
          <w:color w:val="000000"/>
          <w:sz w:val="20"/>
          <w:szCs w:val="20"/>
        </w:rPr>
        <w:t>nsacting business with certain companies or that limit or prevent certain companies from transacting business with us, or escalating trade tensions, particularly with countries in Asia.</w:t>
      </w:r>
      <w:r>
        <w:rPr>
          <w:rFonts w:eastAsia="Times New Roman"/>
          <w:color w:val="000000"/>
          <w:sz w:val="20"/>
          <w:szCs w:val="20"/>
        </w:rPr>
        <w:t xml:space="preserve"> </w:t>
      </w:r>
    </w:p>
    <w:p w:rsidR="00000000" w:rsidRDefault="00602C02">
      <w:pPr>
        <w:ind w:firstLine="360"/>
        <w:divId w:val="1366760451"/>
        <w:rPr>
          <w:rFonts w:eastAsia="Times New Roman"/>
        </w:rPr>
      </w:pPr>
      <w:r>
        <w:rPr>
          <w:rFonts w:eastAsia="Times New Roman"/>
          <w:color w:val="000000"/>
          <w:sz w:val="20"/>
          <w:szCs w:val="20"/>
        </w:rPr>
        <w:t>While we have established alternate suppliers for certain technologie</w:t>
      </w:r>
      <w:r>
        <w:rPr>
          <w:rFonts w:eastAsia="Times New Roman"/>
          <w:color w:val="000000"/>
          <w:sz w:val="20"/>
          <w:szCs w:val="20"/>
        </w:rPr>
        <w:t>s, we rely on sole- or limited-source suppliers for certain products, subjecting us to significant risks, including: possible shortages of raw materials or manufacturing capacity; poor product performance; and reduced control over delivery schedules, manuf</w:t>
      </w:r>
      <w:r>
        <w:rPr>
          <w:rFonts w:eastAsia="Times New Roman"/>
          <w:color w:val="000000"/>
          <w:sz w:val="20"/>
          <w:szCs w:val="20"/>
        </w:rPr>
        <w:t xml:space="preserve">acturing capability and yields, quality assurance, quantity and costs. To the extent we have established alternate suppliers, these suppliers may require significant levels of support to bring complex technologies to production. As a result, we may invest </w:t>
      </w:r>
      <w:r>
        <w:rPr>
          <w:rFonts w:eastAsia="Times New Roman"/>
          <w:color w:val="000000"/>
          <w:sz w:val="20"/>
          <w:szCs w:val="20"/>
        </w:rPr>
        <w:t>a significant amount of effort and resources and incur higher costs to support and maintain such alternate suppliers. Further, any future consolidation of foundry suppliers could increase our vulnerability to sole- or limited-source arrangements and reduce</w:t>
      </w:r>
      <w:r>
        <w:rPr>
          <w:rFonts w:eastAsia="Times New Roman"/>
          <w:color w:val="000000"/>
          <w:sz w:val="20"/>
          <w:szCs w:val="20"/>
        </w:rPr>
        <w:t xml:space="preserve"> our suppliers’ willingness to negotiate pricing, which could negatively impact our ability to achieve cost reductions and could increase our manufacturing costs. Our arrangements with our suppliers may obligate us to incur costs to manufacture and test ou</w:t>
      </w:r>
      <w:r>
        <w:rPr>
          <w:rFonts w:eastAsia="Times New Roman"/>
          <w:color w:val="000000"/>
          <w:sz w:val="20"/>
          <w:szCs w:val="20"/>
        </w:rPr>
        <w:t>r products that do not decrease at the same rate as decreases in pricing to our customers. Our ability, and that of our suppliers, to develop or maintain leading process technologies, including transitions to smaller geometry process technologies, and to e</w:t>
      </w:r>
      <w:r>
        <w:rPr>
          <w:rFonts w:eastAsia="Times New Roman"/>
          <w:color w:val="000000"/>
          <w:sz w:val="20"/>
          <w:szCs w:val="20"/>
        </w:rPr>
        <w:t>ffectively compete with the manufacturing processes and performance of our competitors, could impact our ability to introduce new products and meet customer demand, could increase our costs (possibly decreasing our margins) and could subject us to the risk</w:t>
      </w:r>
      <w:r>
        <w:rPr>
          <w:rFonts w:eastAsia="Times New Roman"/>
          <w:color w:val="000000"/>
          <w:sz w:val="20"/>
          <w:szCs w:val="20"/>
        </w:rPr>
        <w:t xml:space="preserve"> of excess inventories. Any of the above could negatively impact our business, results of operations and cash flows</w:t>
      </w:r>
      <w:r>
        <w:rPr>
          <w:rFonts w:eastAsia="Times New Roman"/>
          <w:color w:val="000000"/>
          <w:sz w:val="20"/>
          <w:szCs w:val="20"/>
        </w:rPr>
        <w:t>.</w:t>
      </w:r>
    </w:p>
    <w:p w:rsidR="00000000" w:rsidRDefault="00602C02">
      <w:pPr>
        <w:ind w:firstLine="360"/>
        <w:divId w:val="514350262"/>
        <w:rPr>
          <w:rFonts w:eastAsia="Times New Roman"/>
        </w:rPr>
      </w:pPr>
      <w:r>
        <w:rPr>
          <w:rFonts w:eastAsia="Times New Roman"/>
          <w:color w:val="000000"/>
          <w:sz w:val="20"/>
          <w:szCs w:val="20"/>
        </w:rPr>
        <w:t xml:space="preserve">Although we have long-term contracts with our suppliers, most of these contracts do not provide for long-term capacity commitments. To the </w:t>
      </w:r>
      <w:r>
        <w:rPr>
          <w:rFonts w:eastAsia="Times New Roman"/>
          <w:color w:val="000000"/>
          <w:sz w:val="20"/>
          <w:szCs w:val="20"/>
        </w:rPr>
        <w:t>extent we do not have firm commitments from our suppliers over a specific time period or for any specific quantity, our suppliers may allocate, and in the past have allocated, capacity to the production and testing of products for their other customers whi</w:t>
      </w:r>
      <w:r>
        <w:rPr>
          <w:rFonts w:eastAsia="Times New Roman"/>
          <w:color w:val="000000"/>
          <w:sz w:val="20"/>
          <w:szCs w:val="20"/>
        </w:rPr>
        <w:t>le reducing or limiting capacity to manufacture or test our products. Accordingly, capacity for our products may not be available when we need it or at reasonable prices. To the extent we do obtain long-term capacity commitments, we may incur additional co</w:t>
      </w:r>
      <w:r>
        <w:rPr>
          <w:rFonts w:eastAsia="Times New Roman"/>
          <w:color w:val="000000"/>
          <w:sz w:val="20"/>
          <w:szCs w:val="20"/>
        </w:rPr>
        <w:t>sts related to those commitments or make non-refundable payments for capacity commitments that are not used</w:t>
      </w:r>
      <w:r>
        <w:rPr>
          <w:rFonts w:eastAsia="Times New Roman"/>
          <w:color w:val="000000"/>
          <w:sz w:val="20"/>
          <w:szCs w:val="20"/>
        </w:rPr>
        <w:t>.</w:t>
      </w:r>
    </w:p>
    <w:p w:rsidR="00000000" w:rsidRDefault="00602C02">
      <w:pPr>
        <w:jc w:val="center"/>
        <w:divId w:val="1209688679"/>
        <w:rPr>
          <w:rFonts w:eastAsia="Times New Roman"/>
        </w:rPr>
      </w:pPr>
      <w:r>
        <w:rPr>
          <w:rFonts w:eastAsia="Times New Roman"/>
          <w:color w:val="000000"/>
          <w:sz w:val="20"/>
          <w:szCs w:val="20"/>
        </w:rPr>
        <w:t>4</w:t>
      </w:r>
      <w:r>
        <w:rPr>
          <w:rFonts w:eastAsia="Times New Roman"/>
          <w:color w:val="000000"/>
          <w:sz w:val="20"/>
          <w:szCs w:val="20"/>
        </w:rPr>
        <w:t>3</w:t>
      </w:r>
    </w:p>
    <w:p w:rsidR="00000000" w:rsidRDefault="00602C02">
      <w:pPr>
        <w:rPr>
          <w:rFonts w:eastAsia="Times New Roman"/>
        </w:rPr>
      </w:pPr>
      <w:r>
        <w:rPr>
          <w:rFonts w:eastAsia="Times New Roman"/>
        </w:rPr>
        <w:pict>
          <v:rect id="_x0000_i1067" style="width:0;height:1.5pt" o:hralign="center" o:hrstd="t" o:hr="t" fillcolor="#a0a0a0" stroked="f"/>
        </w:pict>
      </w:r>
    </w:p>
    <w:p w:rsidR="00000000" w:rsidRDefault="00602C02">
      <w:pPr>
        <w:divId w:val="73937006"/>
        <w:rPr>
          <w:rFonts w:eastAsia="Times New Roman"/>
        </w:rPr>
      </w:pPr>
    </w:p>
    <w:p w:rsidR="00000000" w:rsidRDefault="00602C02">
      <w:pPr>
        <w:ind w:firstLine="360"/>
        <w:divId w:val="2067339352"/>
        <w:rPr>
          <w:rFonts w:eastAsia="Times New Roman"/>
        </w:rPr>
      </w:pPr>
      <w:r>
        <w:rPr>
          <w:rFonts w:eastAsia="Times New Roman"/>
          <w:color w:val="000000"/>
          <w:sz w:val="20"/>
          <w:szCs w:val="20"/>
        </w:rPr>
        <w:t>Our suppliers or potential alternate suppliers may manufacture CDMA- or OFDMA-based integrated circuits, f</w:t>
      </w:r>
      <w:r>
        <w:rPr>
          <w:rFonts w:eastAsia="Times New Roman"/>
          <w:color w:val="000000"/>
          <w:sz w:val="20"/>
          <w:szCs w:val="20"/>
        </w:rPr>
        <w:t>or themselves or for other companies, that compete with our products. Such suppliers have in the past and could again elect to allocate raw materials and manufacturing capacity to their own products or products of our competitors and reduce or limit the pr</w:t>
      </w:r>
      <w:r>
        <w:rPr>
          <w:rFonts w:eastAsia="Times New Roman"/>
          <w:color w:val="000000"/>
          <w:sz w:val="20"/>
          <w:szCs w:val="20"/>
        </w:rPr>
        <w:t>oduction of our products</w:t>
      </w:r>
      <w:r>
        <w:rPr>
          <w:rFonts w:eastAsia="Times New Roman"/>
          <w:color w:val="000000"/>
          <w:sz w:val="20"/>
          <w:szCs w:val="20"/>
        </w:rPr>
        <w:t>.</w:t>
      </w:r>
    </w:p>
    <w:p w:rsidR="00000000" w:rsidRDefault="00602C02">
      <w:pPr>
        <w:ind w:firstLine="360"/>
        <w:divId w:val="1925918961"/>
        <w:rPr>
          <w:rFonts w:eastAsia="Times New Roman"/>
        </w:rPr>
      </w:pPr>
      <w:r>
        <w:rPr>
          <w:rFonts w:eastAsia="Times New Roman"/>
          <w:color w:val="000000"/>
          <w:sz w:val="20"/>
          <w:szCs w:val="20"/>
        </w:rPr>
        <w:t>In addition, we may not receive reasonable pricing, manufacturing or delivery terms from our suppliers. We cannot guarantee that the actions of our suppliers will not cause disruptions in our operations that could harm our ability</w:t>
      </w:r>
      <w:r>
        <w:rPr>
          <w:rFonts w:eastAsia="Times New Roman"/>
          <w:color w:val="000000"/>
          <w:sz w:val="20"/>
          <w:szCs w:val="20"/>
        </w:rPr>
        <w:t xml:space="preserve"> to meet our delivery obligations to our customers or increase our cost of sales. To the extent we are unable to obtain adequate supply, we may be obligated to make payment to our customers for such shortfalls.</w:t>
      </w:r>
      <w:r>
        <w:rPr>
          <w:rFonts w:eastAsia="Times New Roman"/>
          <w:color w:val="000000"/>
          <w:sz w:val="20"/>
          <w:szCs w:val="20"/>
        </w:rPr>
        <w:t xml:space="preserve"> </w:t>
      </w:r>
    </w:p>
    <w:p w:rsidR="00000000" w:rsidRDefault="00602C02">
      <w:pPr>
        <w:ind w:firstLine="360"/>
        <w:divId w:val="366833149"/>
        <w:rPr>
          <w:rFonts w:eastAsia="Times New Roman"/>
        </w:rPr>
      </w:pPr>
      <w:r>
        <w:rPr>
          <w:rFonts w:eastAsia="Times New Roman"/>
          <w:color w:val="000000"/>
          <w:sz w:val="20"/>
          <w:szCs w:val="20"/>
        </w:rPr>
        <w:t>Additionally, we place orders with our suppl</w:t>
      </w:r>
      <w:r>
        <w:rPr>
          <w:rFonts w:eastAsia="Times New Roman"/>
          <w:color w:val="000000"/>
          <w:sz w:val="20"/>
          <w:szCs w:val="20"/>
        </w:rPr>
        <w:t>iers using our and our customers’ forecasts of demand for our products, which are based on a number of assumptions and estimates. As we move to smaller geometry process technologies, the manufacturing lead-time increases. As a result, the orders we place w</w:t>
      </w:r>
      <w:r>
        <w:rPr>
          <w:rFonts w:eastAsia="Times New Roman"/>
          <w:color w:val="000000"/>
          <w:sz w:val="20"/>
          <w:szCs w:val="20"/>
        </w:rPr>
        <w:t>ith our suppliers are generally only partially covered by commitments from our customers. If we, or our customers, overestimate demand that is not under a binding commitment from our customers, we may experience increased excess or obsolete inventory, whic</w:t>
      </w:r>
      <w:r>
        <w:rPr>
          <w:rFonts w:eastAsia="Times New Roman"/>
          <w:color w:val="000000"/>
          <w:sz w:val="20"/>
          <w:szCs w:val="20"/>
        </w:rPr>
        <w:t>h would negatively impact our results of operations</w:t>
      </w:r>
      <w:r>
        <w:rPr>
          <w:rFonts w:eastAsia="Times New Roman"/>
          <w:color w:val="000000"/>
          <w:sz w:val="20"/>
          <w:szCs w:val="20"/>
        </w:rPr>
        <w:t>.</w:t>
      </w:r>
    </w:p>
    <w:p w:rsidR="00000000" w:rsidRDefault="00602C02">
      <w:pPr>
        <w:divId w:val="1035617105"/>
        <w:rPr>
          <w:rFonts w:eastAsia="Times New Roman"/>
        </w:rPr>
      </w:pPr>
      <w:r>
        <w:rPr>
          <w:rFonts w:eastAsia="Times New Roman"/>
          <w:b/>
          <w:bCs/>
          <w:i/>
          <w:iCs/>
          <w:color w:val="000000"/>
          <w:sz w:val="20"/>
          <w:szCs w:val="20"/>
        </w:rPr>
        <w:t>There are numerous risks associated with the operation and control of our manufacturing facilities, including a higher portion of fixed costs relative to a fabless model, environmental compliance and lia</w:t>
      </w:r>
      <w:r>
        <w:rPr>
          <w:rFonts w:eastAsia="Times New Roman"/>
          <w:b/>
          <w:bCs/>
          <w:i/>
          <w:iCs/>
          <w:color w:val="000000"/>
          <w:sz w:val="20"/>
          <w:szCs w:val="20"/>
        </w:rPr>
        <w:t>bility, issues related to climate change, exposure to natural disasters, timely supply of equipment and materials, and various manufacturing issues</w:t>
      </w:r>
      <w:r>
        <w:rPr>
          <w:rFonts w:eastAsia="Times New Roman"/>
          <w:b/>
          <w:bCs/>
          <w:i/>
          <w:iCs/>
          <w:color w:val="000000"/>
          <w:sz w:val="20"/>
          <w:szCs w:val="20"/>
        </w:rPr>
        <w:t>.</w:t>
      </w:r>
    </w:p>
    <w:p w:rsidR="00000000" w:rsidRDefault="00602C02">
      <w:pPr>
        <w:ind w:firstLine="360"/>
        <w:divId w:val="130751356"/>
        <w:rPr>
          <w:rFonts w:eastAsia="Times New Roman"/>
        </w:rPr>
      </w:pPr>
      <w:r>
        <w:rPr>
          <w:rFonts w:eastAsia="Times New Roman"/>
          <w:color w:val="000000"/>
          <w:sz w:val="20"/>
          <w:szCs w:val="20"/>
        </w:rPr>
        <w:t>While our QCT segment has historically utilized a fabless production model, we now also own and operate var</w:t>
      </w:r>
      <w:r>
        <w:rPr>
          <w:rFonts w:eastAsia="Times New Roman"/>
          <w:color w:val="000000"/>
          <w:sz w:val="20"/>
          <w:szCs w:val="20"/>
        </w:rPr>
        <w:t>ious facilities that manufacture our RFFE modules and RF filter acoustic products. Manufacturing facilities are characterized by a higher portion of fixed costs relative to a fabless model. We may be faced with a decline in the utilization rates of our man</w:t>
      </w:r>
      <w:r>
        <w:rPr>
          <w:rFonts w:eastAsia="Times New Roman"/>
          <w:color w:val="000000"/>
          <w:sz w:val="20"/>
          <w:szCs w:val="20"/>
        </w:rPr>
        <w:t>ufacturing facilities due to decreases in demand for our products, including in less favorable industry environments. During such periods, our manufacturing facilities could operate at lower capacity levels, while the fixed costs associated with such facil</w:t>
      </w:r>
      <w:r>
        <w:rPr>
          <w:rFonts w:eastAsia="Times New Roman"/>
          <w:color w:val="000000"/>
          <w:sz w:val="20"/>
          <w:szCs w:val="20"/>
        </w:rPr>
        <w:t>ities continue to be incurred, resulting in lower gross profit</w:t>
      </w:r>
      <w:r>
        <w:rPr>
          <w:rFonts w:eastAsia="Times New Roman"/>
          <w:color w:val="000000"/>
          <w:sz w:val="20"/>
          <w:szCs w:val="20"/>
        </w:rPr>
        <w:t>.</w:t>
      </w:r>
    </w:p>
    <w:p w:rsidR="00000000" w:rsidRDefault="00602C02">
      <w:pPr>
        <w:ind w:firstLine="360"/>
        <w:divId w:val="1947999464"/>
        <w:rPr>
          <w:rFonts w:eastAsia="Times New Roman"/>
        </w:rPr>
      </w:pPr>
      <w:r>
        <w:rPr>
          <w:rFonts w:eastAsia="Times New Roman"/>
          <w:color w:val="000000"/>
          <w:sz w:val="20"/>
          <w:szCs w:val="20"/>
        </w:rPr>
        <w:t xml:space="preserve">We are subject to many environmental, health and safety laws and regulations in each jurisdiction in which we operate our manufacturing facilities, which govern, among other things, emissions </w:t>
      </w:r>
      <w:r>
        <w:rPr>
          <w:rFonts w:eastAsia="Times New Roman"/>
          <w:color w:val="000000"/>
          <w:sz w:val="20"/>
          <w:szCs w:val="20"/>
        </w:rPr>
        <w:t>of pollutants into the air; wastewater discharges; the use, storage, generation, handling and disposal of hazardous substances and other waste; the investigation and remediation of soil and ground water contamination; and the health and safety of our emplo</w:t>
      </w:r>
      <w:r>
        <w:rPr>
          <w:rFonts w:eastAsia="Times New Roman"/>
          <w:color w:val="000000"/>
          <w:sz w:val="20"/>
          <w:szCs w:val="20"/>
        </w:rPr>
        <w:t>yees. Certain environmental laws impose strict, and in certain circumstances joint and several, liability on current or previous owners or operators of real property, or parties who arranged for hazardous substances to be sent to disposal or treatment faci</w:t>
      </w:r>
      <w:r>
        <w:rPr>
          <w:rFonts w:eastAsia="Times New Roman"/>
          <w:color w:val="000000"/>
          <w:sz w:val="20"/>
          <w:szCs w:val="20"/>
        </w:rPr>
        <w:t xml:space="preserve">lities, for the cost of investigation, removal or remediation of hazardous substances. As a result, we may incur clean-up costs in connection with any such removal or remediation efforts, as well as other third-party claims in connection with contaminated </w:t>
      </w:r>
      <w:r>
        <w:rPr>
          <w:rFonts w:eastAsia="Times New Roman"/>
          <w:color w:val="000000"/>
          <w:sz w:val="20"/>
          <w:szCs w:val="20"/>
        </w:rPr>
        <w:t xml:space="preserve">sites. In addition, we could be held liable for consequences arising out of human exposure to hazardous substances or other environmental damage. If we or companies </w:t>
      </w:r>
      <w:r>
        <w:rPr>
          <w:rFonts w:eastAsia="Times New Roman"/>
          <w:color w:val="000000"/>
          <w:sz w:val="20"/>
          <w:szCs w:val="20"/>
        </w:rPr>
        <w:t>o</w:t>
      </w:r>
      <w:r>
        <w:rPr>
          <w:rFonts w:eastAsia="Times New Roman"/>
          <w:color w:val="000000"/>
          <w:sz w:val="20"/>
          <w:szCs w:val="20"/>
          <w:shd w:val="clear" w:color="auto" w:fill="FFFFFF"/>
        </w:rPr>
        <w:t>r facilities we acquire have in the past failed or in the future fail to comply with any s</w:t>
      </w:r>
      <w:r>
        <w:rPr>
          <w:rFonts w:eastAsia="Times New Roman"/>
          <w:color w:val="000000"/>
          <w:sz w:val="20"/>
          <w:szCs w:val="20"/>
          <w:shd w:val="clear" w:color="auto" w:fill="FFFFFF"/>
        </w:rPr>
        <w:t>uch laws and regulations, then we could incur lia</w:t>
      </w:r>
      <w:r>
        <w:rPr>
          <w:rFonts w:eastAsia="Times New Roman"/>
          <w:color w:val="000000"/>
          <w:sz w:val="20"/>
          <w:szCs w:val="20"/>
          <w:shd w:val="clear" w:color="auto" w:fill="FFFFFF"/>
        </w:rPr>
        <w:t>b</w:t>
      </w:r>
      <w:r>
        <w:rPr>
          <w:rFonts w:eastAsia="Times New Roman"/>
          <w:color w:val="000000"/>
          <w:sz w:val="20"/>
          <w:szCs w:val="20"/>
        </w:rPr>
        <w:t>ilities, fines or prohibitions on the sale of products we manufacture, and our operations could be suspended. Such laws and regulations could also restrict our ability to modify or expand our facilities, co</w:t>
      </w:r>
      <w:r>
        <w:rPr>
          <w:rFonts w:eastAsia="Times New Roman"/>
          <w:color w:val="000000"/>
          <w:sz w:val="20"/>
          <w:szCs w:val="20"/>
        </w:rPr>
        <w:t xml:space="preserve">uld require us to acquire costly equipment, or could require other significant expenditures. We are also required to obtain and maintain environmental permits from governmental authorities for certain of our operations. While we have designed policies and </w:t>
      </w:r>
      <w:r>
        <w:rPr>
          <w:rFonts w:eastAsia="Times New Roman"/>
          <w:color w:val="000000"/>
          <w:sz w:val="20"/>
          <w:szCs w:val="20"/>
        </w:rPr>
        <w:t>procedures to ensure compliance with applicable laws, regulations and permits, we cannot make assurances that we, or our employees, contractors or agents, will at all times be in compliance with such laws, regulations and permits, or our related policies a</w:t>
      </w:r>
      <w:r>
        <w:rPr>
          <w:rFonts w:eastAsia="Times New Roman"/>
          <w:color w:val="000000"/>
          <w:sz w:val="20"/>
          <w:szCs w:val="20"/>
        </w:rPr>
        <w:t>nd procedures</w:t>
      </w:r>
      <w:r>
        <w:rPr>
          <w:rFonts w:eastAsia="Times New Roman"/>
          <w:color w:val="000000"/>
          <w:sz w:val="20"/>
          <w:szCs w:val="20"/>
        </w:rPr>
        <w:t>.</w:t>
      </w:r>
    </w:p>
    <w:p w:rsidR="00000000" w:rsidRDefault="00602C02">
      <w:pPr>
        <w:ind w:firstLine="360"/>
        <w:divId w:val="188380126"/>
        <w:rPr>
          <w:rFonts w:eastAsia="Times New Roman"/>
        </w:rPr>
      </w:pPr>
      <w:r>
        <w:rPr>
          <w:rFonts w:eastAsia="Times New Roman"/>
          <w:color w:val="000000"/>
          <w:sz w:val="20"/>
          <w:szCs w:val="20"/>
        </w:rPr>
        <w:t xml:space="preserve">Climate change concerns and the potential resulting environmental impact may result in new environmental, health and safety laws and regulations that may affect us, our suppliers and/or our customers. Such laws or regulations could cause us </w:t>
      </w:r>
      <w:r>
        <w:rPr>
          <w:rFonts w:eastAsia="Times New Roman"/>
          <w:color w:val="000000"/>
          <w:sz w:val="20"/>
          <w:szCs w:val="20"/>
        </w:rPr>
        <w:t xml:space="preserve">to incur additional direct costs for compliance, as well as increased indirect costs resulting from our customers, suppliers or both incurring additional compliance costs that are passed on to us. These costs may adversely impact our results of operations </w:t>
      </w:r>
      <w:r>
        <w:rPr>
          <w:rFonts w:eastAsia="Times New Roman"/>
          <w:color w:val="000000"/>
          <w:sz w:val="20"/>
          <w:szCs w:val="20"/>
        </w:rPr>
        <w:t>and financial condition. In addition, climate change may pose physical risks to us or our suppliers, including increased extreme weather events that could result in supply delays or disruptions</w:t>
      </w:r>
      <w:r>
        <w:rPr>
          <w:rFonts w:eastAsia="Times New Roman"/>
          <w:color w:val="000000"/>
          <w:sz w:val="20"/>
          <w:szCs w:val="20"/>
        </w:rPr>
        <w:t>.</w:t>
      </w:r>
    </w:p>
    <w:p w:rsidR="00000000" w:rsidRDefault="00602C02">
      <w:pPr>
        <w:ind w:firstLine="360"/>
        <w:divId w:val="733894078"/>
        <w:rPr>
          <w:rFonts w:eastAsia="Times New Roman"/>
        </w:rPr>
      </w:pPr>
      <w:r>
        <w:rPr>
          <w:rFonts w:eastAsia="Times New Roman"/>
          <w:color w:val="000000"/>
          <w:sz w:val="20"/>
          <w:szCs w:val="20"/>
        </w:rPr>
        <w:t>We have manufacturing facilities in Asia and Europe. If tsunamis, flooding, earthquakes, volcanic eruptions or other natural disasters, or geopolitical conflicts, were to damage, destroy or disrupt our manufacturing facilities, it could disrupt our operati</w:t>
      </w:r>
      <w:r>
        <w:rPr>
          <w:rFonts w:eastAsia="Times New Roman"/>
          <w:color w:val="000000"/>
          <w:sz w:val="20"/>
          <w:szCs w:val="20"/>
        </w:rPr>
        <w:t>ons, delay new production and shipments of inventory and result in costly repairs, replacements or other costs. In addition, natural disasters or geopolitical conflicts may result in disruptions in transportation, distribution channels and supply chains, a</w:t>
      </w:r>
      <w:r>
        <w:rPr>
          <w:rFonts w:eastAsia="Times New Roman"/>
          <w:color w:val="000000"/>
          <w:sz w:val="20"/>
          <w:szCs w:val="20"/>
        </w:rPr>
        <w:t>nd significant increases in the prices of raw materials. Further, health crises, including epidemics or pandemics, such as the COVID-19 pandemic</w:t>
      </w:r>
      <w:r>
        <w:rPr>
          <w:rFonts w:eastAsia="Times New Roman"/>
          <w:color w:val="000000"/>
          <w:sz w:val="20"/>
          <w:szCs w:val="20"/>
        </w:rPr>
        <w:t>,</w:t>
      </w:r>
      <w:r>
        <w:rPr>
          <w:rFonts w:eastAsia="Times New Roman"/>
          <w:color w:val="000000"/>
          <w:sz w:val="20"/>
          <w:szCs w:val="20"/>
          <w:shd w:val="clear" w:color="auto" w:fill="FFFFFF"/>
        </w:rPr>
        <w:t xml:space="preserve"> and government and business responses thereto,</w:t>
      </w:r>
      <w:r>
        <w:rPr>
          <w:rFonts w:eastAsia="Times New Roman"/>
          <w:color w:val="000000"/>
          <w:sz w:val="20"/>
          <w:szCs w:val="20"/>
          <w:shd w:val="clear" w:color="auto" w:fill="FFFFFF"/>
        </w:rPr>
        <w:t xml:space="preserve"> </w:t>
      </w:r>
      <w:r>
        <w:rPr>
          <w:rFonts w:eastAsia="Times New Roman"/>
          <w:color w:val="000000"/>
          <w:sz w:val="20"/>
          <w:szCs w:val="20"/>
        </w:rPr>
        <w:t>could affect our manufacturing</w:t>
      </w:r>
      <w:r>
        <w:rPr>
          <w:rFonts w:eastAsia="Times New Roman"/>
          <w:color w:val="000000"/>
          <w:sz w:val="20"/>
          <w:szCs w:val="20"/>
        </w:rPr>
        <w:t xml:space="preserve"> </w:t>
      </w:r>
    </w:p>
    <w:p w:rsidR="00000000" w:rsidRDefault="00602C02">
      <w:pPr>
        <w:jc w:val="center"/>
        <w:divId w:val="5526532"/>
        <w:rPr>
          <w:rFonts w:eastAsia="Times New Roman"/>
        </w:rPr>
      </w:pPr>
      <w:r>
        <w:rPr>
          <w:rFonts w:eastAsia="Times New Roman"/>
          <w:color w:val="000000"/>
          <w:sz w:val="20"/>
          <w:szCs w:val="20"/>
        </w:rPr>
        <w:t>4</w:t>
      </w:r>
      <w:r>
        <w:rPr>
          <w:rFonts w:eastAsia="Times New Roman"/>
          <w:color w:val="000000"/>
          <w:sz w:val="20"/>
          <w:szCs w:val="20"/>
        </w:rPr>
        <w:t>4</w:t>
      </w:r>
    </w:p>
    <w:p w:rsidR="00000000" w:rsidRDefault="00602C02">
      <w:pPr>
        <w:rPr>
          <w:rFonts w:eastAsia="Times New Roman"/>
        </w:rPr>
      </w:pPr>
      <w:r>
        <w:rPr>
          <w:rFonts w:eastAsia="Times New Roman"/>
        </w:rPr>
        <w:pict>
          <v:rect id="_x0000_i1068" style="width:0;height:1.5pt" o:hralign="center" o:hrstd="t" o:hr="t" fillcolor="#a0a0a0" stroked="f"/>
        </w:pict>
      </w:r>
    </w:p>
    <w:p w:rsidR="00000000" w:rsidRDefault="00602C02">
      <w:pPr>
        <w:divId w:val="399364"/>
        <w:rPr>
          <w:rFonts w:eastAsia="Times New Roman"/>
        </w:rPr>
      </w:pPr>
    </w:p>
    <w:p w:rsidR="00000000" w:rsidRDefault="00602C02">
      <w:pPr>
        <w:divId w:val="942957334"/>
        <w:rPr>
          <w:rFonts w:eastAsia="Times New Roman"/>
        </w:rPr>
      </w:pPr>
      <w:r>
        <w:rPr>
          <w:rFonts w:eastAsia="Times New Roman"/>
          <w:color w:val="000000"/>
          <w:sz w:val="20"/>
          <w:szCs w:val="20"/>
        </w:rPr>
        <w:t>facilities, including by resulting in quarantines and/or closures, which would result in disruptions to and potentially closures of our manufacturing operations</w:t>
      </w:r>
      <w:r>
        <w:rPr>
          <w:rFonts w:eastAsia="Times New Roman"/>
          <w:color w:val="000000"/>
          <w:sz w:val="20"/>
          <w:szCs w:val="20"/>
        </w:rPr>
        <w:t>.</w:t>
      </w:r>
    </w:p>
    <w:p w:rsidR="00000000" w:rsidRDefault="00602C02">
      <w:pPr>
        <w:ind w:firstLine="360"/>
        <w:divId w:val="1577930871"/>
        <w:rPr>
          <w:rFonts w:eastAsia="Times New Roman"/>
        </w:rPr>
      </w:pPr>
      <w:r>
        <w:rPr>
          <w:rFonts w:eastAsia="Times New Roman"/>
          <w:color w:val="000000"/>
          <w:sz w:val="20"/>
          <w:szCs w:val="20"/>
        </w:rPr>
        <w:t>Our manufacturing operations depend on securing raw mate</w:t>
      </w:r>
      <w:r>
        <w:rPr>
          <w:rFonts w:eastAsia="Times New Roman"/>
          <w:color w:val="000000"/>
          <w:sz w:val="20"/>
          <w:szCs w:val="20"/>
        </w:rPr>
        <w:t>rials and other supplies in adequate quality and quantity in a timely manner from multiple suppliers, and in some cases, we rely on a limited number of suppliers, particularly in Asia. Accordingly, there may be cases where supplies of raw materials and oth</w:t>
      </w:r>
      <w:r>
        <w:rPr>
          <w:rFonts w:eastAsia="Times New Roman"/>
          <w:color w:val="000000"/>
          <w:sz w:val="20"/>
          <w:szCs w:val="20"/>
        </w:rPr>
        <w:t>er products are interrupted by disaster, accident or some other event at a supplier, supply is suspended due to quality or other issues, or there is a shortage of supply due to a rapid increase in demand, among others, which could impact production and pre</w:t>
      </w:r>
      <w:r>
        <w:rPr>
          <w:rFonts w:eastAsia="Times New Roman"/>
          <w:color w:val="000000"/>
          <w:sz w:val="20"/>
          <w:szCs w:val="20"/>
        </w:rPr>
        <w:t>vent us from supplying products to our customers. If the supply-demand balance is disrupted, it may considerably increase costs of manufacturing due to increased prices we pay for raw materials. From time to time, suppliers may extend lead times, limit the</w:t>
      </w:r>
      <w:r>
        <w:rPr>
          <w:rFonts w:eastAsia="Times New Roman"/>
          <w:color w:val="000000"/>
          <w:sz w:val="20"/>
          <w:szCs w:val="20"/>
        </w:rPr>
        <w:t xml:space="preserve"> amounts supplied to us or increase prices due to capacity constraints or other factors. Additionally, supply and costs of raw materials may be negatively impacted by trade and/or national security protection policies, such as tariffs, or actions by govern</w:t>
      </w:r>
      <w:r>
        <w:rPr>
          <w:rFonts w:eastAsia="Times New Roman"/>
          <w:color w:val="000000"/>
          <w:sz w:val="20"/>
          <w:szCs w:val="20"/>
        </w:rPr>
        <w:t>ments that limit or prevent us from transacting business with certain companies or that limit or prevent certain companies from transacting business with us, or escalating trade tensions, particularly with countries in Asia. Further, it may be difficult or</w:t>
      </w:r>
      <w:r>
        <w:rPr>
          <w:rFonts w:eastAsia="Times New Roman"/>
          <w:color w:val="000000"/>
          <w:sz w:val="20"/>
          <w:szCs w:val="20"/>
        </w:rPr>
        <w:t xml:space="preserve"> impossible to substitute one piece of equipment for another or replace one type of material with another. A failure by our suppliers to deliver our requirements could result in disruptions to our manufacturing operations</w:t>
      </w:r>
      <w:r>
        <w:rPr>
          <w:rFonts w:eastAsia="Times New Roman"/>
          <w:color w:val="000000"/>
          <w:sz w:val="20"/>
          <w:szCs w:val="20"/>
        </w:rPr>
        <w:t>.</w:t>
      </w:r>
    </w:p>
    <w:p w:rsidR="00000000" w:rsidRDefault="00602C02">
      <w:pPr>
        <w:ind w:firstLine="360"/>
        <w:divId w:val="403721053"/>
        <w:rPr>
          <w:rFonts w:eastAsia="Times New Roman"/>
        </w:rPr>
      </w:pPr>
      <w:r>
        <w:rPr>
          <w:rFonts w:eastAsia="Times New Roman"/>
          <w:color w:val="000000"/>
          <w:sz w:val="20"/>
          <w:szCs w:val="20"/>
        </w:rPr>
        <w:t>Our manufacturing processes are h</w:t>
      </w:r>
      <w:r>
        <w:rPr>
          <w:rFonts w:eastAsia="Times New Roman"/>
          <w:color w:val="000000"/>
          <w:sz w:val="20"/>
          <w:szCs w:val="20"/>
        </w:rPr>
        <w:t>ighly complex, require advanced and costly equipment and must be continuously modified to improve yields and performance. Difficulties in the production process can reduce yields or interrupt production, and as a result, we may not be able to deliver produ</w:t>
      </w:r>
      <w:r>
        <w:rPr>
          <w:rFonts w:eastAsia="Times New Roman"/>
          <w:color w:val="000000"/>
          <w:sz w:val="20"/>
          <w:szCs w:val="20"/>
        </w:rPr>
        <w:t>cts or do so in a timely, cost-effective or competitive manner. Further, to remain competitive and meet customer demand, we may be required to improve our facilities and process technologies and carry out extensive research and development, each of which m</w:t>
      </w:r>
      <w:r>
        <w:rPr>
          <w:rFonts w:eastAsia="Times New Roman"/>
          <w:color w:val="000000"/>
          <w:sz w:val="20"/>
          <w:szCs w:val="20"/>
        </w:rPr>
        <w:t>ay require investment of significant amounts of capital and may have a material adverse effect on our results of operations, financial condition and cash flows.</w:t>
      </w:r>
      <w:r>
        <w:rPr>
          <w:rFonts w:eastAsia="Times New Roman"/>
          <w:color w:val="000000"/>
          <w:sz w:val="20"/>
          <w:szCs w:val="20"/>
        </w:rPr>
        <w:t xml:space="preserve"> </w:t>
      </w:r>
    </w:p>
    <w:p w:rsidR="00000000" w:rsidRDefault="00602C02">
      <w:pPr>
        <w:ind w:firstLine="360"/>
        <w:divId w:val="1509641818"/>
        <w:rPr>
          <w:rFonts w:eastAsia="Times New Roman"/>
        </w:rPr>
      </w:pPr>
      <w:r>
        <w:rPr>
          <w:rFonts w:eastAsia="Times New Roman"/>
          <w:color w:val="000000"/>
          <w:sz w:val="20"/>
          <w:szCs w:val="20"/>
        </w:rPr>
        <w:t>Finally, we typically begin manufacturing our products using our or our customers’ forecasts o</w:t>
      </w:r>
      <w:r>
        <w:rPr>
          <w:rFonts w:eastAsia="Times New Roman"/>
          <w:color w:val="000000"/>
          <w:sz w:val="20"/>
          <w:szCs w:val="20"/>
        </w:rPr>
        <w:t>f demand for our products, which are based on a number of assumptions and estimates and are generally not covered by purchase commitments. As a result, we incur inventory and manufacturing costs in advance of anticipated sales, which sales ultimately may n</w:t>
      </w:r>
      <w:r>
        <w:rPr>
          <w:rFonts w:eastAsia="Times New Roman"/>
          <w:color w:val="000000"/>
          <w:sz w:val="20"/>
          <w:szCs w:val="20"/>
        </w:rPr>
        <w:t>ot materialize or may be lower than expected. If we or our customers overestimate demand that is not under a binding commitment from our customers, we may experience higher inventory carrying and operating costs and/or increased excess or obsolete inventor</w:t>
      </w:r>
      <w:r>
        <w:rPr>
          <w:rFonts w:eastAsia="Times New Roman"/>
          <w:color w:val="000000"/>
          <w:sz w:val="20"/>
          <w:szCs w:val="20"/>
        </w:rPr>
        <w:t>y, which would negatively impact our results of operations.</w:t>
      </w:r>
      <w:r>
        <w:rPr>
          <w:rFonts w:eastAsia="Times New Roman"/>
          <w:color w:val="000000"/>
          <w:sz w:val="20"/>
          <w:szCs w:val="20"/>
        </w:rPr>
        <w:t xml:space="preserve"> </w:t>
      </w:r>
    </w:p>
    <w:p w:rsidR="00000000" w:rsidRDefault="00602C02">
      <w:pPr>
        <w:divId w:val="2095083681"/>
        <w:rPr>
          <w:rFonts w:eastAsia="Times New Roman"/>
        </w:rPr>
      </w:pPr>
      <w:r>
        <w:rPr>
          <w:rFonts w:eastAsia="Times New Roman"/>
          <w:b/>
          <w:bCs/>
          <w:i/>
          <w:iCs/>
          <w:color w:val="000000"/>
          <w:sz w:val="20"/>
          <w:szCs w:val="20"/>
        </w:rPr>
        <w:t>Claims by other companies that we infringe their intellectual property could adversely affect our business</w:t>
      </w:r>
      <w:r>
        <w:rPr>
          <w:rFonts w:eastAsia="Times New Roman"/>
          <w:b/>
          <w:bCs/>
          <w:i/>
          <w:iCs/>
          <w:color w:val="000000"/>
          <w:sz w:val="20"/>
          <w:szCs w:val="20"/>
        </w:rPr>
        <w:t>.</w:t>
      </w:r>
    </w:p>
    <w:p w:rsidR="00000000" w:rsidRDefault="00602C02">
      <w:pPr>
        <w:ind w:firstLine="360"/>
        <w:divId w:val="2000033685"/>
        <w:rPr>
          <w:rFonts w:eastAsia="Times New Roman"/>
        </w:rPr>
      </w:pPr>
      <w:r>
        <w:rPr>
          <w:rFonts w:eastAsia="Times New Roman"/>
          <w:color w:val="000000"/>
          <w:sz w:val="20"/>
          <w:szCs w:val="20"/>
        </w:rPr>
        <w:t>From time to time, companies have asserted, and may again assert, patent, copyright and</w:t>
      </w:r>
      <w:r>
        <w:rPr>
          <w:rFonts w:eastAsia="Times New Roman"/>
          <w:color w:val="000000"/>
          <w:sz w:val="20"/>
          <w:szCs w:val="20"/>
        </w:rPr>
        <w:t xml:space="preserve"> other intellectual property rights against our products or products using our technologies or other technologies used in our industry. These claims have resulted and may again result in our involvement in litigation. We may not prevail in such litigation </w:t>
      </w:r>
      <w:r>
        <w:rPr>
          <w:rFonts w:eastAsia="Times New Roman"/>
          <w:color w:val="000000"/>
          <w:sz w:val="20"/>
          <w:szCs w:val="20"/>
        </w:rPr>
        <w:t>given, among other factors, the complex technical issues and inherent uncertainties in intellectual property litigation. If any of our products or services were found to infringe another company’s intellectual property rights, we could be subject to an inj</w:t>
      </w:r>
      <w:r>
        <w:rPr>
          <w:rFonts w:eastAsia="Times New Roman"/>
          <w:color w:val="000000"/>
          <w:sz w:val="20"/>
          <w:szCs w:val="20"/>
        </w:rPr>
        <w:t>unction or be required to redesign our products or services, or to license such rights or pay damages or other compensation to such other company (any of which could be costly). If we are unable to redesign our products or services, license such intellectu</w:t>
      </w:r>
      <w:r>
        <w:rPr>
          <w:rFonts w:eastAsia="Times New Roman"/>
          <w:color w:val="000000"/>
          <w:sz w:val="20"/>
          <w:szCs w:val="20"/>
        </w:rPr>
        <w:t>al property rights used in our products or services or otherwise distribute our products (e.g., through a licensed supplier), we could be prohibited from making and selling such products or providing such services. Similarly, our suppliers could be found t</w:t>
      </w:r>
      <w:r>
        <w:rPr>
          <w:rFonts w:eastAsia="Times New Roman"/>
          <w:color w:val="000000"/>
          <w:sz w:val="20"/>
          <w:szCs w:val="20"/>
        </w:rPr>
        <w:t>o infringe another company’s intellectual property rights, and such suppliers could then be enjoined from providing products or services to us</w:t>
      </w:r>
      <w:r>
        <w:rPr>
          <w:rFonts w:eastAsia="Times New Roman"/>
          <w:color w:val="000000"/>
          <w:sz w:val="20"/>
          <w:szCs w:val="20"/>
        </w:rPr>
        <w:t>.</w:t>
      </w:r>
    </w:p>
    <w:p w:rsidR="00000000" w:rsidRDefault="00602C02">
      <w:pPr>
        <w:ind w:firstLine="360"/>
        <w:divId w:val="1214536878"/>
        <w:rPr>
          <w:rFonts w:eastAsia="Times New Roman"/>
        </w:rPr>
      </w:pPr>
      <w:r>
        <w:rPr>
          <w:rFonts w:eastAsia="Times New Roman"/>
          <w:color w:val="000000"/>
          <w:sz w:val="20"/>
          <w:szCs w:val="20"/>
        </w:rPr>
        <w:t xml:space="preserve">In any potential dispute involving us and another company’s patents or other intellectual property, our chipset </w:t>
      </w:r>
      <w:r>
        <w:rPr>
          <w:rFonts w:eastAsia="Times New Roman"/>
          <w:color w:val="000000"/>
          <w:sz w:val="20"/>
          <w:szCs w:val="20"/>
        </w:rPr>
        <w:t>foundries, semiconductor assembly and test providers and customers could also become the targets of litigation. We are contingently liable under certain product sales, services, license and other agreements to indemnify certain customers, chipset foundries</w:t>
      </w:r>
      <w:r>
        <w:rPr>
          <w:rFonts w:eastAsia="Times New Roman"/>
          <w:color w:val="000000"/>
          <w:sz w:val="20"/>
          <w:szCs w:val="20"/>
        </w:rPr>
        <w:t xml:space="preserve"> and semiconductor assembly and test service providers against certain types of liability and damages arising from qualifying claims of patent infringement by products or services sold or provided by us, or by intellectual property provided by us to our ch</w:t>
      </w:r>
      <w:r>
        <w:rPr>
          <w:rFonts w:eastAsia="Times New Roman"/>
          <w:color w:val="000000"/>
          <w:sz w:val="20"/>
          <w:szCs w:val="20"/>
        </w:rPr>
        <w:t>ipset foundries and semiconductor assembly and test service providers. Reimbursements under indemnification arrangements could have an adverse effect on our results of operations and cash flows. Furthermore, any such litigation could severely disrupt the s</w:t>
      </w:r>
      <w:r>
        <w:rPr>
          <w:rFonts w:eastAsia="Times New Roman"/>
          <w:color w:val="000000"/>
          <w:sz w:val="20"/>
          <w:szCs w:val="20"/>
        </w:rPr>
        <w:t>upply of our products and the businesses of our chipset customers and their customers, which in turn could harm our relationships with them and could result in a decline in our chipset sales or a reduction in our licensees’ sales, causing a corresponding d</w:t>
      </w:r>
      <w:r>
        <w:rPr>
          <w:rFonts w:eastAsia="Times New Roman"/>
          <w:color w:val="000000"/>
          <w:sz w:val="20"/>
          <w:szCs w:val="20"/>
        </w:rPr>
        <w:t>ecline in our chipset or licensing revenues. Any claims, regardless of their merit, could be time consuming to address, result in costly litigation, divert the efforts of our technical and management personnel or cause product release or shipment delays, a</w:t>
      </w:r>
      <w:r>
        <w:rPr>
          <w:rFonts w:eastAsia="Times New Roman"/>
          <w:color w:val="000000"/>
          <w:sz w:val="20"/>
          <w:szCs w:val="20"/>
        </w:rPr>
        <w:t>ny of which could have an adverse effect on our results of operations and cash flows</w:t>
      </w:r>
      <w:r>
        <w:rPr>
          <w:rFonts w:eastAsia="Times New Roman"/>
          <w:color w:val="000000"/>
          <w:sz w:val="20"/>
          <w:szCs w:val="20"/>
        </w:rPr>
        <w:t>.</w:t>
      </w:r>
    </w:p>
    <w:p w:rsidR="00000000" w:rsidRDefault="00602C02">
      <w:pPr>
        <w:ind w:firstLine="360"/>
        <w:divId w:val="633945944"/>
        <w:rPr>
          <w:rFonts w:eastAsia="Times New Roman"/>
        </w:rPr>
      </w:pPr>
      <w:r>
        <w:rPr>
          <w:rFonts w:eastAsia="Times New Roman"/>
          <w:color w:val="000000"/>
          <w:sz w:val="20"/>
          <w:szCs w:val="20"/>
        </w:rPr>
        <w:t>We may continue to be involved in litigation and may have to appear in front of administrative bodies (such as the United States International Trade Commission) to defend</w:t>
      </w:r>
      <w:r>
        <w:rPr>
          <w:rFonts w:eastAsia="Times New Roman"/>
          <w:color w:val="000000"/>
          <w:sz w:val="20"/>
          <w:szCs w:val="20"/>
        </w:rPr>
        <w:t xml:space="preserve"> against patent assertions against our products by companies, some of whom are attempting to gain competitive advantage or leverage in licensing negotiations. We may not be successful in</w:t>
      </w:r>
      <w:r>
        <w:rPr>
          <w:rFonts w:eastAsia="Times New Roman"/>
          <w:color w:val="000000"/>
          <w:sz w:val="20"/>
          <w:szCs w:val="20"/>
        </w:rPr>
        <w:t xml:space="preserve"> </w:t>
      </w:r>
    </w:p>
    <w:p w:rsidR="00000000" w:rsidRDefault="00602C02">
      <w:pPr>
        <w:jc w:val="center"/>
        <w:divId w:val="942303515"/>
        <w:rPr>
          <w:rFonts w:eastAsia="Times New Roman"/>
        </w:rPr>
      </w:pPr>
      <w:r>
        <w:rPr>
          <w:rFonts w:eastAsia="Times New Roman"/>
          <w:color w:val="000000"/>
          <w:sz w:val="20"/>
          <w:szCs w:val="20"/>
        </w:rPr>
        <w:t>4</w:t>
      </w:r>
      <w:r>
        <w:rPr>
          <w:rFonts w:eastAsia="Times New Roman"/>
          <w:color w:val="000000"/>
          <w:sz w:val="20"/>
          <w:szCs w:val="20"/>
        </w:rPr>
        <w:t>5</w:t>
      </w:r>
    </w:p>
    <w:p w:rsidR="00000000" w:rsidRDefault="00602C02">
      <w:pPr>
        <w:rPr>
          <w:rFonts w:eastAsia="Times New Roman"/>
        </w:rPr>
      </w:pPr>
      <w:r>
        <w:rPr>
          <w:rFonts w:eastAsia="Times New Roman"/>
        </w:rPr>
        <w:pict>
          <v:rect id="_x0000_i1069" style="width:0;height:1.5pt" o:hralign="center" o:hrstd="t" o:hr="t" fillcolor="#a0a0a0" stroked="f"/>
        </w:pict>
      </w:r>
    </w:p>
    <w:p w:rsidR="00000000" w:rsidRDefault="00602C02">
      <w:pPr>
        <w:divId w:val="2001343476"/>
        <w:rPr>
          <w:rFonts w:eastAsia="Times New Roman"/>
        </w:rPr>
      </w:pPr>
    </w:p>
    <w:p w:rsidR="00000000" w:rsidRDefault="00602C02">
      <w:pPr>
        <w:divId w:val="518274786"/>
        <w:rPr>
          <w:rFonts w:eastAsia="Times New Roman"/>
        </w:rPr>
      </w:pPr>
      <w:r>
        <w:rPr>
          <w:rFonts w:eastAsia="Times New Roman"/>
          <w:color w:val="000000"/>
          <w:sz w:val="20"/>
          <w:szCs w:val="20"/>
        </w:rPr>
        <w:t>such proceedings, and if w</w:t>
      </w:r>
      <w:r>
        <w:rPr>
          <w:rFonts w:eastAsia="Times New Roman"/>
          <w:color w:val="000000"/>
          <w:sz w:val="20"/>
          <w:szCs w:val="20"/>
        </w:rPr>
        <w:t>e are not, the range of possible outcomes is very broad and may include, for example, monetary damages or fines or other orders to pay money, royalty payments, injunctions on the sale of certain of our integrated circuit products (or on the sale of our cus</w:t>
      </w:r>
      <w:r>
        <w:rPr>
          <w:rFonts w:eastAsia="Times New Roman"/>
          <w:color w:val="000000"/>
          <w:sz w:val="20"/>
          <w:szCs w:val="20"/>
        </w:rPr>
        <w:t>tomers’ devices using such products) or the issuance of orders to cease certain conduct or modify our business practices. Further, a governmental body in a particular country or region may assert, and may be successful in imposing, remedies with effects th</w:t>
      </w:r>
      <w:r>
        <w:rPr>
          <w:rFonts w:eastAsia="Times New Roman"/>
          <w:color w:val="000000"/>
          <w:sz w:val="20"/>
          <w:szCs w:val="20"/>
        </w:rPr>
        <w:t>at extend beyond the borders of that country or region. In addition, a negative outcome in any such proceeding could severely disrupt the business of our chipset customers and their wireless operator customers, which in turn could harm our relationships wi</w:t>
      </w:r>
      <w:r>
        <w:rPr>
          <w:rFonts w:eastAsia="Times New Roman"/>
          <w:color w:val="000000"/>
          <w:sz w:val="20"/>
          <w:szCs w:val="20"/>
        </w:rPr>
        <w:t>th them and could result in a decline in our worldwide chipset sales or a reduction in our licensees’ sales to wireless operators, causing corresponding declines in our chipset or licensing revenues</w:t>
      </w:r>
      <w:r>
        <w:rPr>
          <w:rFonts w:eastAsia="Times New Roman"/>
          <w:color w:val="000000"/>
          <w:sz w:val="20"/>
          <w:szCs w:val="20"/>
        </w:rPr>
        <w:t>.</w:t>
      </w:r>
    </w:p>
    <w:p w:rsidR="00000000" w:rsidRDefault="00602C02">
      <w:pPr>
        <w:ind w:firstLine="360"/>
        <w:divId w:val="1901284768"/>
        <w:rPr>
          <w:rFonts w:eastAsia="Times New Roman"/>
        </w:rPr>
      </w:pPr>
      <w:r>
        <w:rPr>
          <w:rFonts w:eastAsia="Times New Roman"/>
          <w:color w:val="000000"/>
          <w:sz w:val="20"/>
          <w:szCs w:val="20"/>
        </w:rPr>
        <w:t xml:space="preserve">Certain legal matters, which may include certain claims </w:t>
      </w:r>
      <w:r>
        <w:rPr>
          <w:rFonts w:eastAsia="Times New Roman"/>
          <w:color w:val="000000"/>
          <w:sz w:val="20"/>
          <w:szCs w:val="20"/>
        </w:rPr>
        <w:t>by other companies that we infringe their intellectual property, are described more fully in this Quarterly Report in “Notes to Condensed Consolidated Financial Statements, Note 5. Commitments and Contingencies.</w:t>
      </w:r>
      <w:r>
        <w:rPr>
          <w:rFonts w:eastAsia="Times New Roman"/>
          <w:color w:val="000000"/>
          <w:sz w:val="20"/>
          <w:szCs w:val="20"/>
        </w:rPr>
        <w:t>”</w:t>
      </w:r>
    </w:p>
    <w:p w:rsidR="00000000" w:rsidRDefault="00602C02">
      <w:pPr>
        <w:divId w:val="548496772"/>
        <w:rPr>
          <w:rFonts w:eastAsia="Times New Roman"/>
        </w:rPr>
      </w:pPr>
      <w:r>
        <w:rPr>
          <w:rFonts w:eastAsia="Times New Roman"/>
          <w:b/>
          <w:bCs/>
          <w:i/>
          <w:iCs/>
          <w:color w:val="000000"/>
          <w:sz w:val="20"/>
          <w:szCs w:val="20"/>
        </w:rPr>
        <w:t>We may engage in strategic acquisitions and</w:t>
      </w:r>
      <w:r>
        <w:rPr>
          <w:rFonts w:eastAsia="Times New Roman"/>
          <w:b/>
          <w:bCs/>
          <w:i/>
          <w:iCs/>
          <w:color w:val="000000"/>
          <w:sz w:val="20"/>
          <w:szCs w:val="20"/>
        </w:rPr>
        <w:t xml:space="preserve"> other transactions or make investments, or be unable to consummate planned strategic acquisitions, which could adversely affect our results of operations or fail to enhance stockholder value</w:t>
      </w:r>
      <w:r>
        <w:rPr>
          <w:rFonts w:eastAsia="Times New Roman"/>
          <w:b/>
          <w:bCs/>
          <w:i/>
          <w:iCs/>
          <w:color w:val="000000"/>
          <w:sz w:val="20"/>
          <w:szCs w:val="20"/>
        </w:rPr>
        <w:t>.</w:t>
      </w:r>
    </w:p>
    <w:p w:rsidR="00000000" w:rsidRDefault="00602C02">
      <w:pPr>
        <w:ind w:firstLine="360"/>
        <w:divId w:val="829829062"/>
        <w:rPr>
          <w:rFonts w:eastAsia="Times New Roman"/>
        </w:rPr>
      </w:pPr>
      <w:r>
        <w:rPr>
          <w:rFonts w:eastAsia="Times New Roman"/>
          <w:color w:val="000000"/>
          <w:sz w:val="20"/>
          <w:szCs w:val="20"/>
        </w:rPr>
        <w:t>We engage in strategic acquisitions and other transactions, inc</w:t>
      </w:r>
      <w:r>
        <w:rPr>
          <w:rFonts w:eastAsia="Times New Roman"/>
          <w:color w:val="000000"/>
          <w:sz w:val="20"/>
          <w:szCs w:val="20"/>
        </w:rPr>
        <w:t>luding joint ventures, and make investments, which we believe are important to the future of our business, with the goal of maximizing stockholder value. From time to time, we acquire businesses and other assets, including patents, technology and other int</w:t>
      </w:r>
      <w:r>
        <w:rPr>
          <w:rFonts w:eastAsia="Times New Roman"/>
          <w:color w:val="000000"/>
          <w:sz w:val="20"/>
          <w:szCs w:val="20"/>
        </w:rPr>
        <w:t>angible assets, enter into joint ventures or other strategic transactions and purchase minority equity interests in or make loans to companies, including those that may be private and early-stage. Our strategic activities are generally focused on opening o</w:t>
      </w:r>
      <w:r>
        <w:rPr>
          <w:rFonts w:eastAsia="Times New Roman"/>
          <w:color w:val="000000"/>
          <w:sz w:val="20"/>
          <w:szCs w:val="20"/>
        </w:rPr>
        <w:t>r expanding opportunities for our products and technologies and supporting the design and introduction of new products and services (or enhancing existing products or services) for voice and data communications and new industry segments. Many of our strate</w:t>
      </w:r>
      <w:r>
        <w:rPr>
          <w:rFonts w:eastAsia="Times New Roman"/>
          <w:color w:val="000000"/>
          <w:sz w:val="20"/>
          <w:szCs w:val="20"/>
        </w:rPr>
        <w:t>gic activities entail a high degree of risk and require the use of significant amounts of capital, and investments may not become liquid for several years after the date of the investment, if at all. Our strategic activities may not generate financial retu</w:t>
      </w:r>
      <w:r>
        <w:rPr>
          <w:rFonts w:eastAsia="Times New Roman"/>
          <w:color w:val="000000"/>
          <w:sz w:val="20"/>
          <w:szCs w:val="20"/>
        </w:rPr>
        <w:t>rns or result in increased adoption or continued use of our technologies, products or services. We may underestimate the costs or overestimate the benefits, including product, revenue, cost and other synergies and growth opportunities that we expect to rea</w:t>
      </w:r>
      <w:r>
        <w:rPr>
          <w:rFonts w:eastAsia="Times New Roman"/>
          <w:color w:val="000000"/>
          <w:sz w:val="20"/>
          <w:szCs w:val="20"/>
        </w:rPr>
        <w:t>lize, and we may not achieve those benefits. In some cases, we may be required to consolidate or record our share of the earnings or losses of companies in which we have acquired ownership interests. In addition, we may record impairment charges related to</w:t>
      </w:r>
      <w:r>
        <w:rPr>
          <w:rFonts w:eastAsia="Times New Roman"/>
          <w:color w:val="000000"/>
          <w:sz w:val="20"/>
          <w:szCs w:val="20"/>
        </w:rPr>
        <w:t xml:space="preserve"> our strategic activities. Any losses or impairment charges that we incur related to strategic activities will have a negative impact on our financial condition and results of operations, and we may continue to incur new or additional losses related to str</w:t>
      </w:r>
      <w:r>
        <w:rPr>
          <w:rFonts w:eastAsia="Times New Roman"/>
          <w:color w:val="000000"/>
          <w:sz w:val="20"/>
          <w:szCs w:val="20"/>
        </w:rPr>
        <w:t>ategic assets or investments that we have not fully impaired or exited</w:t>
      </w:r>
      <w:r>
        <w:rPr>
          <w:rFonts w:eastAsia="Times New Roman"/>
          <w:color w:val="000000"/>
          <w:sz w:val="20"/>
          <w:szCs w:val="20"/>
        </w:rPr>
        <w:t>.</w:t>
      </w:r>
    </w:p>
    <w:p w:rsidR="00000000" w:rsidRDefault="00602C02">
      <w:pPr>
        <w:ind w:firstLine="360"/>
        <w:divId w:val="1196774787"/>
        <w:rPr>
          <w:rFonts w:eastAsia="Times New Roman"/>
        </w:rPr>
      </w:pPr>
      <w:r>
        <w:rPr>
          <w:rFonts w:eastAsia="Times New Roman"/>
          <w:color w:val="000000"/>
          <w:sz w:val="20"/>
          <w:szCs w:val="20"/>
        </w:rPr>
        <w:t>Achieving the anticipated benefits of business acquisitions, including joint ventures and other strategic investments in which we have management and operational control, depends in pa</w:t>
      </w:r>
      <w:r>
        <w:rPr>
          <w:rFonts w:eastAsia="Times New Roman"/>
          <w:color w:val="000000"/>
          <w:sz w:val="20"/>
          <w:szCs w:val="20"/>
        </w:rPr>
        <w:t>rt upon our ability to integrate the businesses in an efficient and effective manner and achieve anticipated synergies, and we may not be successful in these efforts. Such integration is complex and time consuming and involves significant challenges, inclu</w:t>
      </w:r>
      <w:r>
        <w:rPr>
          <w:rFonts w:eastAsia="Times New Roman"/>
          <w:color w:val="000000"/>
          <w:sz w:val="20"/>
          <w:szCs w:val="20"/>
        </w:rPr>
        <w:t>ding, among others: retaining key</w:t>
      </w:r>
      <w:r>
        <w:rPr>
          <w:rFonts w:eastAsia="Times New Roman"/>
          <w:color w:val="000000"/>
          <w:sz w:val="20"/>
          <w:szCs w:val="20"/>
        </w:rPr>
        <w:t xml:space="preserve"> </w:t>
      </w:r>
      <w:r>
        <w:rPr>
          <w:rFonts w:eastAsia="Times New Roman"/>
          <w:color w:val="000000"/>
          <w:sz w:val="20"/>
          <w:szCs w:val="20"/>
          <w:shd w:val="clear" w:color="auto" w:fill="FFFFFF"/>
        </w:rPr>
        <w:t>employees; successfully integrating new employees, facilities, technology, products, processes, operations (including supply and m</w:t>
      </w:r>
      <w:r>
        <w:rPr>
          <w:rFonts w:eastAsia="Times New Roman"/>
          <w:color w:val="000000"/>
          <w:sz w:val="20"/>
          <w:szCs w:val="20"/>
          <w:shd w:val="clear" w:color="auto" w:fill="FFFFFF"/>
        </w:rPr>
        <w:t>a</w:t>
      </w:r>
      <w:r>
        <w:rPr>
          <w:rFonts w:eastAsia="Times New Roman"/>
          <w:color w:val="000000"/>
          <w:sz w:val="20"/>
          <w:szCs w:val="20"/>
        </w:rPr>
        <w:t>nufacturing operations), sales and distribution channels, business models and business syst</w:t>
      </w:r>
      <w:r>
        <w:rPr>
          <w:rFonts w:eastAsia="Times New Roman"/>
          <w:color w:val="000000"/>
          <w:sz w:val="20"/>
          <w:szCs w:val="20"/>
        </w:rPr>
        <w:t>ems; retaining customers and suppliers of the businesses; consolidating research and development operations; minimizing the diversion of management’s attention from ongoing business matters; consolidating corporate and administrative infrastructures; and m</w:t>
      </w:r>
      <w:r>
        <w:rPr>
          <w:rFonts w:eastAsia="Times New Roman"/>
          <w:color w:val="000000"/>
          <w:sz w:val="20"/>
          <w:szCs w:val="20"/>
        </w:rPr>
        <w:t>anaging the increased scale, complexity and globalization of our business, operations and employee base. We may not derive any commercial value from associated technologies or products or from future technologies or products based on these technologies, an</w:t>
      </w:r>
      <w:r>
        <w:rPr>
          <w:rFonts w:eastAsia="Times New Roman"/>
          <w:color w:val="000000"/>
          <w:sz w:val="20"/>
          <w:szCs w:val="20"/>
        </w:rPr>
        <w:t>d we may be subject to liabilities that are not covered by indemnification protection that we may obtain, and we may become subject to litigation. Additionally, we may not be successful in entering or expanding into new sales or distribution channels, busi</w:t>
      </w:r>
      <w:r>
        <w:rPr>
          <w:rFonts w:eastAsia="Times New Roman"/>
          <w:color w:val="000000"/>
          <w:sz w:val="20"/>
          <w:szCs w:val="20"/>
        </w:rPr>
        <w:t>ness or operational models (including manufacturing), geographic regions, industry segments or categories of products served by or adjacent to the associated businesses or in addressing potential new opportunities that may arise out of our strategic acquis</w:t>
      </w:r>
      <w:r>
        <w:rPr>
          <w:rFonts w:eastAsia="Times New Roman"/>
          <w:color w:val="000000"/>
          <w:sz w:val="20"/>
          <w:szCs w:val="20"/>
        </w:rPr>
        <w:t>itions</w:t>
      </w:r>
      <w:r>
        <w:rPr>
          <w:rFonts w:eastAsia="Times New Roman"/>
          <w:color w:val="000000"/>
          <w:sz w:val="20"/>
          <w:szCs w:val="20"/>
        </w:rPr>
        <w:t>.</w:t>
      </w:r>
    </w:p>
    <w:p w:rsidR="00000000" w:rsidRDefault="00602C02">
      <w:pPr>
        <w:ind w:firstLine="360"/>
        <w:divId w:val="329211999"/>
        <w:rPr>
          <w:rFonts w:eastAsia="Times New Roman"/>
        </w:rPr>
      </w:pPr>
      <w:r>
        <w:rPr>
          <w:rFonts w:eastAsia="Times New Roman"/>
          <w:color w:val="000000"/>
          <w:sz w:val="20"/>
          <w:szCs w:val="20"/>
        </w:rPr>
        <w:t>If we do not achieve the anticipated benefits of business acquisitions or other strategic activities, our business and results of operations may be adversely affected, and we may not enhance stockholder value by engaging in these transactions</w:t>
      </w:r>
      <w:r>
        <w:rPr>
          <w:rFonts w:eastAsia="Times New Roman"/>
          <w:color w:val="000000"/>
          <w:sz w:val="20"/>
          <w:szCs w:val="20"/>
        </w:rPr>
        <w:t>.</w:t>
      </w:r>
    </w:p>
    <w:p w:rsidR="00000000" w:rsidRDefault="00602C02">
      <w:pPr>
        <w:ind w:firstLine="360"/>
        <w:divId w:val="1296255580"/>
        <w:rPr>
          <w:rFonts w:eastAsia="Times New Roman"/>
        </w:rPr>
      </w:pPr>
      <w:r>
        <w:rPr>
          <w:rFonts w:eastAsia="Times New Roman"/>
          <w:color w:val="000000"/>
          <w:sz w:val="20"/>
          <w:szCs w:val="20"/>
        </w:rPr>
        <w:t>Many</w:t>
      </w:r>
      <w:r>
        <w:rPr>
          <w:rFonts w:eastAsia="Times New Roman"/>
          <w:color w:val="000000"/>
          <w:sz w:val="20"/>
          <w:szCs w:val="20"/>
        </w:rPr>
        <w:t xml:space="preserve"> of our acquisitions and other strategic investments require approval by the United States and/or foreign government agencies. Certain agencies in the past have, and may in the future, deny the transaction or fail to approve in a timely manner, resulting i</w:t>
      </w:r>
      <w:r>
        <w:rPr>
          <w:rFonts w:eastAsia="Times New Roman"/>
          <w:color w:val="000000"/>
          <w:sz w:val="20"/>
          <w:szCs w:val="20"/>
        </w:rPr>
        <w:t>n us not realizing the anticipated benefits of the transaction. Future acquisitions or other strategic investments may be more difficult, complex or expensive to the extent that our reputation for our ability to consummate acquisitions has been harmed. Fur</w:t>
      </w:r>
      <w:r>
        <w:rPr>
          <w:rFonts w:eastAsia="Times New Roman"/>
          <w:color w:val="000000"/>
          <w:sz w:val="20"/>
          <w:szCs w:val="20"/>
        </w:rPr>
        <w:t>ther, if U.S./China trade relations remain strained, our ability to consummate any transaction that would require approval from the State Administration for Market Regulation (SAMR) in China may be severely impacted</w:t>
      </w:r>
      <w:r>
        <w:rPr>
          <w:rFonts w:eastAsia="Times New Roman"/>
          <w:color w:val="000000"/>
          <w:sz w:val="20"/>
          <w:szCs w:val="20"/>
        </w:rPr>
        <w:t>.</w:t>
      </w:r>
    </w:p>
    <w:p w:rsidR="00000000" w:rsidRDefault="00602C02">
      <w:pPr>
        <w:jc w:val="center"/>
        <w:divId w:val="1009020577"/>
        <w:rPr>
          <w:rFonts w:eastAsia="Times New Roman"/>
        </w:rPr>
      </w:pPr>
      <w:r>
        <w:rPr>
          <w:rFonts w:eastAsia="Times New Roman"/>
          <w:color w:val="000000"/>
          <w:sz w:val="20"/>
          <w:szCs w:val="20"/>
        </w:rPr>
        <w:t>4</w:t>
      </w:r>
      <w:r>
        <w:rPr>
          <w:rFonts w:eastAsia="Times New Roman"/>
          <w:color w:val="000000"/>
          <w:sz w:val="20"/>
          <w:szCs w:val="20"/>
        </w:rPr>
        <w:t>6</w:t>
      </w:r>
    </w:p>
    <w:p w:rsidR="00000000" w:rsidRDefault="00602C02">
      <w:pPr>
        <w:rPr>
          <w:rFonts w:eastAsia="Times New Roman"/>
        </w:rPr>
      </w:pPr>
      <w:r>
        <w:rPr>
          <w:rFonts w:eastAsia="Times New Roman"/>
        </w:rPr>
        <w:pict>
          <v:rect id="_x0000_i1070" style="width:0;height:1.5pt" o:hralign="center" o:hrstd="t" o:hr="t" fillcolor="#a0a0a0" stroked="f"/>
        </w:pict>
      </w:r>
    </w:p>
    <w:p w:rsidR="00000000" w:rsidRDefault="00602C02">
      <w:pPr>
        <w:divId w:val="139659923"/>
        <w:rPr>
          <w:rFonts w:eastAsia="Times New Roman"/>
        </w:rPr>
      </w:pPr>
    </w:p>
    <w:p w:rsidR="00000000" w:rsidRDefault="00602C02">
      <w:pPr>
        <w:divId w:val="716004745"/>
        <w:rPr>
          <w:rFonts w:eastAsia="Times New Roman"/>
        </w:rPr>
      </w:pPr>
      <w:r>
        <w:rPr>
          <w:rFonts w:eastAsia="Times New Roman"/>
          <w:b/>
          <w:bCs/>
          <w:i/>
          <w:iCs/>
          <w:color w:val="000000"/>
          <w:sz w:val="20"/>
          <w:szCs w:val="20"/>
        </w:rPr>
        <w:t>We are subject to various laws, regulations, policies and standards. Our business may suffer as a result of existing, new or amended laws, regulations, policies or standards, or our failure or inability to comply with laws, regulations, policies or stand</w:t>
      </w:r>
      <w:r>
        <w:rPr>
          <w:rFonts w:eastAsia="Times New Roman"/>
          <w:b/>
          <w:bCs/>
          <w:i/>
          <w:iCs/>
          <w:color w:val="000000"/>
          <w:sz w:val="20"/>
          <w:szCs w:val="20"/>
        </w:rPr>
        <w:t>ards</w:t>
      </w:r>
      <w:r>
        <w:rPr>
          <w:rFonts w:eastAsia="Times New Roman"/>
          <w:b/>
          <w:bCs/>
          <w:i/>
          <w:iCs/>
          <w:color w:val="000000"/>
          <w:sz w:val="20"/>
          <w:szCs w:val="20"/>
        </w:rPr>
        <w:t>.</w:t>
      </w:r>
    </w:p>
    <w:p w:rsidR="00000000" w:rsidRDefault="00602C02">
      <w:pPr>
        <w:ind w:firstLine="360"/>
        <w:divId w:val="1751347253"/>
        <w:rPr>
          <w:rFonts w:eastAsia="Times New Roman"/>
        </w:rPr>
      </w:pPr>
      <w:r>
        <w:rPr>
          <w:rFonts w:eastAsia="Times New Roman"/>
          <w:color w:val="000000"/>
          <w:sz w:val="20"/>
          <w:szCs w:val="20"/>
        </w:rPr>
        <w:t>Our business, products and services, and those of our customers and licensees, are subject to various laws and regulations globally, as well as government policies and the specifications of international, national and regional communications standard</w:t>
      </w:r>
      <w:r>
        <w:rPr>
          <w:rFonts w:eastAsia="Times New Roman"/>
          <w:color w:val="000000"/>
          <w:sz w:val="20"/>
          <w:szCs w:val="20"/>
        </w:rPr>
        <w:t>s bodies. Compliance with existing laws, regulations, policies and standards, the adoption of new laws, regulations, policies or standards, changes in the interpretation of existing laws, regulations, policies or standards, changes in the regulation of our</w:t>
      </w:r>
      <w:r>
        <w:rPr>
          <w:rFonts w:eastAsia="Times New Roman"/>
          <w:color w:val="000000"/>
          <w:sz w:val="20"/>
          <w:szCs w:val="20"/>
        </w:rPr>
        <w:t xml:space="preserve"> activities by a government or standards body or rulings in court, regulatory, administrative or other proceedings relating to such laws, regulations, policies or standards, including, among others, those affecting licensing practices, competitive business</w:t>
      </w:r>
      <w:r>
        <w:rPr>
          <w:rFonts w:eastAsia="Times New Roman"/>
          <w:color w:val="000000"/>
          <w:sz w:val="20"/>
          <w:szCs w:val="20"/>
        </w:rPr>
        <w:t xml:space="preserve"> practices, the use of our technology or products, protection of intellectual property, trade and trade protection including tariffs, cybersecurity, foreign currency, investments or loans, spectrum availability and license issuance, adoption of standards, </w:t>
      </w:r>
      <w:r>
        <w:rPr>
          <w:rFonts w:eastAsia="Times New Roman"/>
          <w:color w:val="000000"/>
          <w:sz w:val="20"/>
          <w:szCs w:val="20"/>
        </w:rPr>
        <w:t>the provision of device subsidies by wireless operators to their customers, taxation, export control, privacy and data protection, environmental protection, health and safety, labor and employment, human rights, corporate governance, public disclosure or b</w:t>
      </w:r>
      <w:r>
        <w:rPr>
          <w:rFonts w:eastAsia="Times New Roman"/>
          <w:color w:val="000000"/>
          <w:sz w:val="20"/>
          <w:szCs w:val="20"/>
        </w:rPr>
        <w:t>usiness conduct, could have an adverse effect on our business and results of operations</w:t>
      </w:r>
      <w:r>
        <w:rPr>
          <w:rFonts w:eastAsia="Times New Roman"/>
          <w:color w:val="000000"/>
          <w:sz w:val="20"/>
          <w:szCs w:val="20"/>
        </w:rPr>
        <w:t>.</w:t>
      </w:r>
    </w:p>
    <w:p w:rsidR="00000000" w:rsidRDefault="00602C02">
      <w:pPr>
        <w:ind w:firstLine="360"/>
        <w:divId w:val="1111240687"/>
        <w:rPr>
          <w:rFonts w:eastAsia="Times New Roman"/>
        </w:rPr>
      </w:pPr>
      <w:r>
        <w:rPr>
          <w:rFonts w:eastAsia="Times New Roman"/>
          <w:color w:val="000000"/>
          <w:sz w:val="20"/>
          <w:szCs w:val="20"/>
        </w:rPr>
        <w:t>Government policies, particularly in China, that regulate the amount and timing of funds that may flow out of a country have impacted and may continue to impact the ti</w:t>
      </w:r>
      <w:r>
        <w:rPr>
          <w:rFonts w:eastAsia="Times New Roman"/>
          <w:color w:val="000000"/>
          <w:sz w:val="20"/>
          <w:szCs w:val="20"/>
        </w:rPr>
        <w:t>ming of our receipt of and/or ability to receive payments from our customers and licensees in such countries, which may negatively impact our cash flows</w:t>
      </w:r>
      <w:r>
        <w:rPr>
          <w:rFonts w:eastAsia="Times New Roman"/>
          <w:color w:val="000000"/>
          <w:sz w:val="20"/>
          <w:szCs w:val="20"/>
        </w:rPr>
        <w:t>.</w:t>
      </w:r>
    </w:p>
    <w:p w:rsidR="00000000" w:rsidRDefault="00602C02">
      <w:pPr>
        <w:ind w:firstLine="360"/>
        <w:divId w:val="2044209933"/>
        <w:rPr>
          <w:rFonts w:eastAsia="Times New Roman"/>
        </w:rPr>
      </w:pPr>
      <w:r>
        <w:rPr>
          <w:rFonts w:eastAsia="Times New Roman"/>
          <w:color w:val="000000"/>
          <w:sz w:val="20"/>
          <w:szCs w:val="20"/>
        </w:rPr>
        <w:t xml:space="preserve">Further, China has implemented, and other countries or regions may implement, cybersecurity laws that </w:t>
      </w:r>
      <w:r>
        <w:rPr>
          <w:rFonts w:eastAsia="Times New Roman"/>
          <w:color w:val="000000"/>
          <w:sz w:val="20"/>
          <w:szCs w:val="20"/>
        </w:rPr>
        <w:t xml:space="preserve">require that our overall information technology security environment meet certain standards and/or be certified. Such laws may be complex, ambiguous and subject to interpretation, which may create uncertainty regarding compliance. As a result, our efforts </w:t>
      </w:r>
      <w:r>
        <w:rPr>
          <w:rFonts w:eastAsia="Times New Roman"/>
          <w:color w:val="000000"/>
          <w:sz w:val="20"/>
          <w:szCs w:val="20"/>
        </w:rPr>
        <w:t>to comply with such laws may be expensive and may fail, which could adversely affect our business, results of operations and cash flows.</w:t>
      </w:r>
      <w:r>
        <w:rPr>
          <w:rFonts w:eastAsia="Times New Roman"/>
          <w:color w:val="000000"/>
          <w:sz w:val="20"/>
          <w:szCs w:val="20"/>
        </w:rPr>
        <w:t xml:space="preserve"> </w:t>
      </w:r>
    </w:p>
    <w:p w:rsidR="00000000" w:rsidRDefault="00602C02">
      <w:pPr>
        <w:ind w:firstLine="360"/>
        <w:divId w:val="813254358"/>
        <w:rPr>
          <w:rFonts w:eastAsia="Times New Roman"/>
        </w:rPr>
      </w:pPr>
      <w:r>
        <w:rPr>
          <w:rFonts w:eastAsia="Times New Roman"/>
          <w:color w:val="000000"/>
          <w:sz w:val="20"/>
          <w:szCs w:val="20"/>
        </w:rPr>
        <w:t>Delays in government approvals or other governmental activities that could result from, among others, a decrease in or a lack of funding for certain agencies or branches of the government, trade or national security protection policies, or political change</w:t>
      </w:r>
      <w:r>
        <w:rPr>
          <w:rFonts w:eastAsia="Times New Roman"/>
          <w:color w:val="000000"/>
          <w:sz w:val="20"/>
          <w:szCs w:val="20"/>
        </w:rPr>
        <w:t>s, could result in our incurring higher costs, could negatively impact our ability to timely consummate strategic transactions and could have other negative impacts on our business and the businesses of our customers and licensees</w:t>
      </w:r>
      <w:r>
        <w:rPr>
          <w:rFonts w:eastAsia="Times New Roman"/>
          <w:color w:val="000000"/>
          <w:sz w:val="20"/>
          <w:szCs w:val="20"/>
        </w:rPr>
        <w:t>.</w:t>
      </w:r>
    </w:p>
    <w:p w:rsidR="00000000" w:rsidRDefault="00602C02">
      <w:pPr>
        <w:ind w:firstLine="360"/>
        <w:divId w:val="245724342"/>
        <w:rPr>
          <w:rFonts w:eastAsia="Times New Roman"/>
        </w:rPr>
      </w:pPr>
      <w:r>
        <w:rPr>
          <w:rFonts w:eastAsia="Times New Roman"/>
          <w:color w:val="000000"/>
          <w:sz w:val="20"/>
          <w:szCs w:val="20"/>
        </w:rPr>
        <w:t>Import/export regulation</w:t>
      </w:r>
      <w:r>
        <w:rPr>
          <w:rFonts w:eastAsia="Times New Roman"/>
          <w:color w:val="000000"/>
          <w:sz w:val="20"/>
          <w:szCs w:val="20"/>
        </w:rPr>
        <w:t>s, such as the U.S. Export Administration Regulations administered by the U.S. Department of Commerce, are complex, change frequently, have generally become more stringent over time and have intensified under the current U.S. administration. If our custome</w:t>
      </w:r>
      <w:r>
        <w:rPr>
          <w:rFonts w:eastAsia="Times New Roman"/>
          <w:color w:val="000000"/>
          <w:sz w:val="20"/>
          <w:szCs w:val="20"/>
        </w:rPr>
        <w:t>rs or suppliers fail to comply with these regulations, we may be required to suspend activities with these customers or suppliers, which could negatively impact our results of operations. Additionally, we may be required to incur significant expense to com</w:t>
      </w:r>
      <w:r>
        <w:rPr>
          <w:rFonts w:eastAsia="Times New Roman"/>
          <w:color w:val="000000"/>
          <w:sz w:val="20"/>
          <w:szCs w:val="20"/>
        </w:rPr>
        <w:t>ply with, or to remedy violations of, these regulations.</w:t>
      </w:r>
      <w:r>
        <w:rPr>
          <w:rFonts w:eastAsia="Times New Roman"/>
          <w:color w:val="000000"/>
          <w:sz w:val="20"/>
          <w:szCs w:val="20"/>
        </w:rPr>
        <w:t xml:space="preserve"> </w:t>
      </w:r>
    </w:p>
    <w:p w:rsidR="00000000" w:rsidRDefault="00602C02">
      <w:pPr>
        <w:ind w:firstLine="360"/>
        <w:divId w:val="421993931"/>
        <w:rPr>
          <w:rFonts w:eastAsia="Times New Roman"/>
        </w:rPr>
      </w:pPr>
      <w:r>
        <w:rPr>
          <w:rFonts w:eastAsia="Times New Roman"/>
          <w:color w:val="000000"/>
          <w:sz w:val="20"/>
          <w:szCs w:val="20"/>
          <w:shd w:val="clear" w:color="auto" w:fill="FFFFFF"/>
        </w:rPr>
        <w:t>Further, political actions, including trade and/or national security protection policies, or other actions by governments, have in the past, currently are and could in the future limit or prevent us</w:t>
      </w:r>
      <w:r>
        <w:rPr>
          <w:rFonts w:eastAsia="Times New Roman"/>
          <w:color w:val="000000"/>
          <w:sz w:val="20"/>
          <w:szCs w:val="20"/>
          <w:shd w:val="clear" w:color="auto" w:fill="FFFFFF"/>
        </w:rPr>
        <w:t xml:space="preserve"> from transacting business with certain of our customers, or limit or prevent certain of our customers from transacting business with us. Similarly, due to pressure from the Chinese government as part of its broader economic policies, our Chinese OEMs’ con</w:t>
      </w:r>
      <w:r>
        <w:rPr>
          <w:rFonts w:eastAsia="Times New Roman"/>
          <w:color w:val="000000"/>
          <w:sz w:val="20"/>
          <w:szCs w:val="20"/>
          <w:shd w:val="clear" w:color="auto" w:fill="FFFFFF"/>
        </w:rPr>
        <w:t>cerns over losing access to our integrated circuit products as a result of U.S./China trade tensions, or other policies, regulations or decisions arising out of U.S./China trade tensions, our Chinese OEM customers may develop their own integrated circuit p</w:t>
      </w:r>
      <w:r>
        <w:rPr>
          <w:rFonts w:eastAsia="Times New Roman"/>
          <w:color w:val="000000"/>
          <w:sz w:val="20"/>
          <w:szCs w:val="20"/>
          <w:shd w:val="clear" w:color="auto" w:fill="FFFFFF"/>
        </w:rPr>
        <w:t>roducts and use such products, or use other integrated circuit products, in their devices rather than our integrated circuit products, and our Chinese licensees may delay or cease payments of license fees they owe to us. See also the Risk Factor entitled “</w:t>
      </w:r>
      <w:r>
        <w:rPr>
          <w:rFonts w:eastAsia="Times New Roman"/>
          <w:i/>
          <w:iCs/>
          <w:color w:val="000000"/>
          <w:sz w:val="20"/>
          <w:szCs w:val="20"/>
          <w:shd w:val="clear" w:color="auto" w:fill="FFFFFF"/>
        </w:rPr>
        <w:t>Global, regional or local economic conditions, or political actions including trade and/or national security protection policies, such as tariffs, that impact the mobile communications industry or the other industries in which we operate could negatively a</w:t>
      </w:r>
      <w:r>
        <w:rPr>
          <w:rFonts w:eastAsia="Times New Roman"/>
          <w:i/>
          <w:iCs/>
          <w:color w:val="000000"/>
          <w:sz w:val="20"/>
          <w:szCs w:val="20"/>
          <w:shd w:val="clear" w:color="auto" w:fill="FFFFFF"/>
        </w:rPr>
        <w:t>ffect the demand for our products and services and our customers’ or licensees’ products and services, which may negatively affect our revenues.</w:t>
      </w:r>
      <w:r>
        <w:rPr>
          <w:rFonts w:eastAsia="Times New Roman"/>
          <w:color w:val="000000"/>
          <w:sz w:val="20"/>
          <w:szCs w:val="20"/>
          <w:shd w:val="clear" w:color="auto" w:fill="FFFFFF"/>
        </w:rPr>
        <w:t>”</w:t>
      </w:r>
    </w:p>
    <w:p w:rsidR="00000000" w:rsidRDefault="00602C02">
      <w:pPr>
        <w:ind w:firstLine="360"/>
        <w:divId w:val="72314294"/>
        <w:rPr>
          <w:rFonts w:eastAsia="Times New Roman"/>
        </w:rPr>
      </w:pPr>
      <w:r>
        <w:rPr>
          <w:rFonts w:eastAsia="Times New Roman"/>
          <w:color w:val="000000"/>
          <w:sz w:val="20"/>
          <w:szCs w:val="20"/>
        </w:rPr>
        <w:t>National, state and local environmental laws and regulations affect our operations around the world. These laws may make it more expensive to manufacture and sell products, and our costs could increase if our vendors (e.g., suppliers, third-party manufactu</w:t>
      </w:r>
      <w:r>
        <w:rPr>
          <w:rFonts w:eastAsia="Times New Roman"/>
          <w:color w:val="000000"/>
          <w:sz w:val="20"/>
          <w:szCs w:val="20"/>
        </w:rPr>
        <w:t>rers or utility companies) pass on their costs to us. The imposition of tariffs on raw materials or our products could also have a negative impact on our revenues and results of operations. We are also subject to laws and regulations impacting our manufact</w:t>
      </w:r>
      <w:r>
        <w:rPr>
          <w:rFonts w:eastAsia="Times New Roman"/>
          <w:color w:val="000000"/>
          <w:sz w:val="20"/>
          <w:szCs w:val="20"/>
        </w:rPr>
        <w:t xml:space="preserve">uring operations. See also the Risk Factor entitled </w:t>
      </w:r>
      <w:r>
        <w:rPr>
          <w:rFonts w:eastAsia="Times New Roman"/>
          <w:color w:val="000000"/>
          <w:sz w:val="20"/>
          <w:szCs w:val="20"/>
        </w:rPr>
        <w:t>“</w:t>
      </w:r>
      <w:r>
        <w:rPr>
          <w:rFonts w:eastAsia="Times New Roman"/>
          <w:i/>
          <w:iCs/>
          <w:color w:val="000000"/>
          <w:sz w:val="20"/>
          <w:szCs w:val="20"/>
        </w:rPr>
        <w:t>There are numerous risks associated with the operation and control of our manufacturing facilities, including a higher portion of fixed costs relative to a fabless model, environmental compliance and lia</w:t>
      </w:r>
      <w:r>
        <w:rPr>
          <w:rFonts w:eastAsia="Times New Roman"/>
          <w:i/>
          <w:iCs/>
          <w:color w:val="000000"/>
          <w:sz w:val="20"/>
          <w:szCs w:val="20"/>
        </w:rPr>
        <w:t>bility, issues related to climate change, exposure to natural disasters, timely supply of equipment and materials, and various manufacturing issues.</w:t>
      </w:r>
      <w:r>
        <w:rPr>
          <w:rFonts w:eastAsia="Times New Roman"/>
          <w:i/>
          <w:iCs/>
          <w:color w:val="000000"/>
          <w:sz w:val="20"/>
          <w:szCs w:val="20"/>
        </w:rPr>
        <w:t>”</w:t>
      </w:r>
    </w:p>
    <w:p w:rsidR="00000000" w:rsidRDefault="00602C02">
      <w:pPr>
        <w:jc w:val="center"/>
        <w:divId w:val="405307147"/>
        <w:rPr>
          <w:rFonts w:eastAsia="Times New Roman"/>
        </w:rPr>
      </w:pPr>
      <w:r>
        <w:rPr>
          <w:rFonts w:eastAsia="Times New Roman"/>
          <w:color w:val="000000"/>
          <w:sz w:val="20"/>
          <w:szCs w:val="20"/>
        </w:rPr>
        <w:t>4</w:t>
      </w:r>
      <w:r>
        <w:rPr>
          <w:rFonts w:eastAsia="Times New Roman"/>
          <w:color w:val="000000"/>
          <w:sz w:val="20"/>
          <w:szCs w:val="20"/>
        </w:rPr>
        <w:t>7</w:t>
      </w:r>
    </w:p>
    <w:p w:rsidR="00000000" w:rsidRDefault="00602C02">
      <w:pPr>
        <w:rPr>
          <w:rFonts w:eastAsia="Times New Roman"/>
        </w:rPr>
      </w:pPr>
      <w:r>
        <w:rPr>
          <w:rFonts w:eastAsia="Times New Roman"/>
        </w:rPr>
        <w:pict>
          <v:rect id="_x0000_i1071" style="width:0;height:1.5pt" o:hralign="center" o:hrstd="t" o:hr="t" fillcolor="#a0a0a0" stroked="f"/>
        </w:pict>
      </w:r>
    </w:p>
    <w:p w:rsidR="00000000" w:rsidRDefault="00602C02">
      <w:pPr>
        <w:divId w:val="967591840"/>
        <w:rPr>
          <w:rFonts w:eastAsia="Times New Roman"/>
        </w:rPr>
      </w:pPr>
    </w:p>
    <w:p w:rsidR="00000000" w:rsidRDefault="00602C02">
      <w:pPr>
        <w:ind w:firstLine="360"/>
        <w:divId w:val="386800571"/>
        <w:rPr>
          <w:rFonts w:eastAsia="Times New Roman"/>
        </w:rPr>
      </w:pPr>
      <w:r>
        <w:rPr>
          <w:rFonts w:eastAsia="Times New Roman"/>
          <w:color w:val="000000"/>
          <w:sz w:val="20"/>
          <w:szCs w:val="20"/>
        </w:rPr>
        <w:t>Regulations in the United States require that we determine wheth</w:t>
      </w:r>
      <w:r>
        <w:rPr>
          <w:rFonts w:eastAsia="Times New Roman"/>
          <w:color w:val="000000"/>
          <w:sz w:val="20"/>
          <w:szCs w:val="20"/>
        </w:rPr>
        <w:t>er certain materials used in our products, referred to as conflict minerals, originated in the Democratic Republic of the Congo or an adjoining country (collectively, the Covered Countries), or were from recycled or scrap sources. Other countries and regio</w:t>
      </w:r>
      <w:r>
        <w:rPr>
          <w:rFonts w:eastAsia="Times New Roman"/>
          <w:color w:val="000000"/>
          <w:sz w:val="20"/>
          <w:szCs w:val="20"/>
        </w:rPr>
        <w:t>ns are imposing similar regulations, which may require us to undertake additional verification and reporting, including regarding countries in addition to the Covered Countries and minerals in addition to conflict minerals. The verification and reporting r</w:t>
      </w:r>
      <w:r>
        <w:rPr>
          <w:rFonts w:eastAsia="Times New Roman"/>
          <w:color w:val="000000"/>
          <w:sz w:val="20"/>
          <w:szCs w:val="20"/>
        </w:rPr>
        <w:t xml:space="preserve">equirements, in addition to customer demands for conflict free sourcing, impose additional costs on us and on our suppliers and may limit the sources or increase the prices of materials used in our products. Further, if we are unable to determine that the </w:t>
      </w:r>
      <w:r>
        <w:rPr>
          <w:rFonts w:eastAsia="Times New Roman"/>
          <w:color w:val="000000"/>
          <w:sz w:val="20"/>
          <w:szCs w:val="20"/>
        </w:rPr>
        <w:t>conflict minerals used in our products do not directly or indirectly finance or benefit armed groups in the Covered Countries, we may face challenges with our customers that place us at a competitive disadvantage, and our reputation may be harmed. Similarl</w:t>
      </w:r>
      <w:r>
        <w:rPr>
          <w:rFonts w:eastAsia="Times New Roman"/>
          <w:color w:val="000000"/>
          <w:sz w:val="20"/>
          <w:szCs w:val="20"/>
        </w:rPr>
        <w:t>y, other laws and regulations have been adopted or proposed that require additional transparency regarding the employment practices of our suppliers, and any failure to maintain responsible sourcing practices could also adversely affect our relationships w</w:t>
      </w:r>
      <w:r>
        <w:rPr>
          <w:rFonts w:eastAsia="Times New Roman"/>
          <w:color w:val="000000"/>
          <w:sz w:val="20"/>
          <w:szCs w:val="20"/>
        </w:rPr>
        <w:t>ith customers and our reputation</w:t>
      </w:r>
      <w:r>
        <w:rPr>
          <w:rFonts w:eastAsia="Times New Roman"/>
          <w:color w:val="000000"/>
          <w:sz w:val="20"/>
          <w:szCs w:val="20"/>
        </w:rPr>
        <w:t>.</w:t>
      </w:r>
    </w:p>
    <w:p w:rsidR="00000000" w:rsidRDefault="00602C02">
      <w:pPr>
        <w:ind w:firstLine="360"/>
        <w:divId w:val="1403992832"/>
        <w:rPr>
          <w:rFonts w:eastAsia="Times New Roman"/>
        </w:rPr>
      </w:pPr>
      <w:r>
        <w:rPr>
          <w:rFonts w:eastAsia="Times New Roman"/>
          <w:color w:val="000000"/>
          <w:sz w:val="20"/>
          <w:szCs w:val="20"/>
        </w:rPr>
        <w:t xml:space="preserve">Laws, regulations, policies and standards are complex and changing and may create uncertainty regarding compliance. Laws, regulations, policies and standards are subject to varying interpretations in many cases, and their </w:t>
      </w:r>
      <w:r>
        <w:rPr>
          <w:rFonts w:eastAsia="Times New Roman"/>
          <w:color w:val="000000"/>
          <w:sz w:val="20"/>
          <w:szCs w:val="20"/>
        </w:rPr>
        <w:t xml:space="preserve">application in practice may evolve over time. As a result, our efforts to comply may fail, particularly if there is ambiguity as to how they should be applied in practice. Failure to comply with any law, regulation, policy or standard may adversely affect </w:t>
      </w:r>
      <w:r>
        <w:rPr>
          <w:rFonts w:eastAsia="Times New Roman"/>
          <w:color w:val="000000"/>
          <w:sz w:val="20"/>
          <w:szCs w:val="20"/>
        </w:rPr>
        <w:t>our business, results of operations and cash flows. New laws, regulations, policies and standards or evolving interpretations of legal requirements may cause us to incur higher costs as we revise current practices, policies or procedures and may divert man</w:t>
      </w:r>
      <w:r>
        <w:rPr>
          <w:rFonts w:eastAsia="Times New Roman"/>
          <w:color w:val="000000"/>
          <w:sz w:val="20"/>
          <w:szCs w:val="20"/>
        </w:rPr>
        <w:t>agement time and attention to compliance activities</w:t>
      </w:r>
      <w:r>
        <w:rPr>
          <w:rFonts w:eastAsia="Times New Roman"/>
          <w:color w:val="000000"/>
          <w:sz w:val="20"/>
          <w:szCs w:val="20"/>
        </w:rPr>
        <w:t>.</w:t>
      </w:r>
    </w:p>
    <w:p w:rsidR="00000000" w:rsidRDefault="00602C02">
      <w:pPr>
        <w:divId w:val="231433978"/>
        <w:rPr>
          <w:rFonts w:eastAsia="Times New Roman"/>
        </w:rPr>
      </w:pPr>
      <w:r>
        <w:rPr>
          <w:rFonts w:eastAsia="Times New Roman"/>
          <w:b/>
          <w:bCs/>
          <w:i/>
          <w:iCs/>
          <w:color w:val="000000"/>
          <w:sz w:val="20"/>
          <w:szCs w:val="20"/>
        </w:rPr>
        <w:t>Our use of open source software may harm our business</w:t>
      </w:r>
      <w:r>
        <w:rPr>
          <w:rFonts w:eastAsia="Times New Roman"/>
          <w:b/>
          <w:bCs/>
          <w:i/>
          <w:iCs/>
          <w:color w:val="000000"/>
          <w:sz w:val="20"/>
          <w:szCs w:val="20"/>
        </w:rPr>
        <w:t>.</w:t>
      </w:r>
    </w:p>
    <w:p w:rsidR="00000000" w:rsidRDefault="00602C02">
      <w:pPr>
        <w:ind w:firstLine="360"/>
        <w:divId w:val="918634748"/>
        <w:rPr>
          <w:rFonts w:eastAsia="Times New Roman"/>
        </w:rPr>
      </w:pPr>
      <w:r>
        <w:rPr>
          <w:rFonts w:eastAsia="Times New Roman"/>
          <w:color w:val="000000"/>
          <w:sz w:val="20"/>
          <w:szCs w:val="20"/>
        </w:rPr>
        <w:t>Certain of our software and our suppliers’ software may contain or may be derived from “open source” software, and we have seen, and believe we will</w:t>
      </w:r>
      <w:r>
        <w:rPr>
          <w:rFonts w:eastAsia="Times New Roman"/>
          <w:color w:val="000000"/>
          <w:sz w:val="20"/>
          <w:szCs w:val="20"/>
        </w:rPr>
        <w:t xml:space="preserve"> continue to see, an increase in customers requesting that we develop products, including software associated with our integrated circuit products, that incorporate open source software elements and operate in an open source environment, which, under certa</w:t>
      </w:r>
      <w:r>
        <w:rPr>
          <w:rFonts w:eastAsia="Times New Roman"/>
          <w:color w:val="000000"/>
          <w:sz w:val="20"/>
          <w:szCs w:val="20"/>
        </w:rPr>
        <w:t xml:space="preserve">in open source licenses, may offer accessibility to a portion of a product’s source code and may expose related intellectual property to adverse licensing conditions. Licensing of such software may impose certain obligations on us if we were to distribute </w:t>
      </w:r>
      <w:r>
        <w:rPr>
          <w:rFonts w:eastAsia="Times New Roman"/>
          <w:color w:val="000000"/>
          <w:sz w:val="20"/>
          <w:szCs w:val="20"/>
        </w:rPr>
        <w:t>derivative works of the open source software. For example, these obligations may require us to make source code for the derivative works available to our customers in a manner that allows them to make such source code available to their customers or licens</w:t>
      </w:r>
      <w:r>
        <w:rPr>
          <w:rFonts w:eastAsia="Times New Roman"/>
          <w:color w:val="000000"/>
          <w:sz w:val="20"/>
          <w:szCs w:val="20"/>
        </w:rPr>
        <w:t>e such derivative works under a particular type of license that is different than what we customarily use to license our software. Furthermore, in the course of product development, we may make contributions to third party open source projects that could o</w:t>
      </w:r>
      <w:r>
        <w:rPr>
          <w:rFonts w:eastAsia="Times New Roman"/>
          <w:color w:val="000000"/>
          <w:sz w:val="20"/>
          <w:szCs w:val="20"/>
        </w:rPr>
        <w:t>bligate our intellectual property to adverse licensing conditions. For example, to encourage the growth of a software ecosystem that is interoperable with our products, we may need to contribute certain implementations under the open source licensing terms</w:t>
      </w:r>
      <w:r>
        <w:rPr>
          <w:rFonts w:eastAsia="Times New Roman"/>
          <w:color w:val="000000"/>
          <w:sz w:val="20"/>
          <w:szCs w:val="20"/>
        </w:rPr>
        <w:t xml:space="preserve"> that govern such projects, which may adversely impact certain of our associated intellectual property. Developing open source products, while adequately protecting the intellectual property rights upon which our licensing business depends, may prove burde</w:t>
      </w:r>
      <w:r>
        <w:rPr>
          <w:rFonts w:eastAsia="Times New Roman"/>
          <w:color w:val="000000"/>
          <w:sz w:val="20"/>
          <w:szCs w:val="20"/>
        </w:rPr>
        <w:t>nsome and time-consuming under certain circumstances, thereby placing us at a competitive disadvantage, and we may not adequately protect our intellectual property rights. Also, our use and our customers’ use of open source software may subject our product</w:t>
      </w:r>
      <w:r>
        <w:rPr>
          <w:rFonts w:eastAsia="Times New Roman"/>
          <w:color w:val="000000"/>
          <w:sz w:val="20"/>
          <w:szCs w:val="20"/>
        </w:rPr>
        <w:t>s and our customers’ products to governmental scrutiny and delays in product certification, which could cause customers to view our products as less desirable than our competitors’ products. While we believe we have taken appropriate steps and employ adequ</w:t>
      </w:r>
      <w:r>
        <w:rPr>
          <w:rFonts w:eastAsia="Times New Roman"/>
          <w:color w:val="000000"/>
          <w:sz w:val="20"/>
          <w:szCs w:val="20"/>
        </w:rPr>
        <w:t>ate controls to protect our intellectual property rights, our contributions to and use of open source software presents risks that could have an adverse effect on these rights and on our business</w:t>
      </w:r>
      <w:r>
        <w:rPr>
          <w:rFonts w:eastAsia="Times New Roman"/>
          <w:color w:val="000000"/>
          <w:sz w:val="20"/>
          <w:szCs w:val="20"/>
        </w:rPr>
        <w:t>.</w:t>
      </w:r>
    </w:p>
    <w:p w:rsidR="00000000" w:rsidRDefault="00602C02">
      <w:pPr>
        <w:divId w:val="822623315"/>
        <w:rPr>
          <w:rFonts w:eastAsia="Times New Roman"/>
        </w:rPr>
      </w:pPr>
      <w:r>
        <w:rPr>
          <w:rFonts w:eastAsia="Times New Roman"/>
          <w:b/>
          <w:bCs/>
          <w:i/>
          <w:iCs/>
          <w:color w:val="000000"/>
          <w:sz w:val="20"/>
          <w:szCs w:val="20"/>
        </w:rPr>
        <w:t>We operate in the highly cyclical semiconductor industry, w</w:t>
      </w:r>
      <w:r>
        <w:rPr>
          <w:rFonts w:eastAsia="Times New Roman"/>
          <w:b/>
          <w:bCs/>
          <w:i/>
          <w:iCs/>
          <w:color w:val="000000"/>
          <w:sz w:val="20"/>
          <w:szCs w:val="20"/>
        </w:rPr>
        <w:t>hich is subject to significant downturns that may adversely impact our business. Our stock price, earnings and the fair value of our investments are subject to substantial quarterly and annual fluctuations due to this dynamic and others, and to market down</w:t>
      </w:r>
      <w:r>
        <w:rPr>
          <w:rFonts w:eastAsia="Times New Roman"/>
          <w:b/>
          <w:bCs/>
          <w:i/>
          <w:iCs/>
          <w:color w:val="000000"/>
          <w:sz w:val="20"/>
          <w:szCs w:val="20"/>
        </w:rPr>
        <w:t>turns generally</w:t>
      </w:r>
      <w:r>
        <w:rPr>
          <w:rFonts w:eastAsia="Times New Roman"/>
          <w:b/>
          <w:bCs/>
          <w:i/>
          <w:iCs/>
          <w:color w:val="000000"/>
          <w:sz w:val="20"/>
          <w:szCs w:val="20"/>
        </w:rPr>
        <w:t>.</w:t>
      </w:r>
    </w:p>
    <w:p w:rsidR="00000000" w:rsidRDefault="00602C02">
      <w:pPr>
        <w:ind w:firstLine="360"/>
        <w:divId w:val="1392071005"/>
        <w:rPr>
          <w:rFonts w:eastAsia="Times New Roman"/>
        </w:rPr>
      </w:pPr>
      <w:r>
        <w:rPr>
          <w:rFonts w:eastAsia="Times New Roman"/>
          <w:color w:val="000000"/>
          <w:sz w:val="20"/>
          <w:szCs w:val="20"/>
        </w:rPr>
        <w:t>The semiconductor industry is highly cyclical and characterized by constant and rapid technological change, price erosion, evolving technical standards, frequent new product introductions, short product life cycles (for both semiconductors</w:t>
      </w:r>
      <w:r>
        <w:rPr>
          <w:rFonts w:eastAsia="Times New Roman"/>
          <w:color w:val="000000"/>
          <w:sz w:val="20"/>
          <w:szCs w:val="20"/>
        </w:rPr>
        <w:t xml:space="preserve"> and for many of the products in which they are used) and fluctuations in product supply and demand. From time to time, these factors, together with changes in general economic conditions, cause significant upturns and downturns in the semiconductor indust</w:t>
      </w:r>
      <w:r>
        <w:rPr>
          <w:rFonts w:eastAsia="Times New Roman"/>
          <w:color w:val="000000"/>
          <w:sz w:val="20"/>
          <w:szCs w:val="20"/>
        </w:rPr>
        <w:t>ry. Periods of downturns have been characterized by diminished demand for end-user products, high inventory levels, periods of inventory adjustment, underutilization of manufacturing capacity, changes in revenue mix and erosion of average selling prices. W</w:t>
      </w:r>
      <w:r>
        <w:rPr>
          <w:rFonts w:eastAsia="Times New Roman"/>
          <w:color w:val="000000"/>
          <w:sz w:val="20"/>
          <w:szCs w:val="20"/>
        </w:rPr>
        <w:t>e expect our business to continue to be subject to cyclical downturns, even when overall economic conditions are relatively stable. If we cannot offset semiconductor industry or market downturns, our revenues may decline, and our financial condition and re</w:t>
      </w:r>
      <w:r>
        <w:rPr>
          <w:rFonts w:eastAsia="Times New Roman"/>
          <w:color w:val="000000"/>
          <w:sz w:val="20"/>
          <w:szCs w:val="20"/>
        </w:rPr>
        <w:t>sults of operations may be adversely impacted</w:t>
      </w:r>
      <w:r>
        <w:rPr>
          <w:rFonts w:eastAsia="Times New Roman"/>
          <w:color w:val="000000"/>
          <w:sz w:val="20"/>
          <w:szCs w:val="20"/>
        </w:rPr>
        <w:t>.</w:t>
      </w:r>
    </w:p>
    <w:p w:rsidR="00000000" w:rsidRDefault="00602C02">
      <w:pPr>
        <w:ind w:firstLine="360"/>
        <w:divId w:val="2082869578"/>
        <w:rPr>
          <w:rFonts w:eastAsia="Times New Roman"/>
        </w:rPr>
      </w:pPr>
      <w:r>
        <w:rPr>
          <w:rFonts w:eastAsia="Times New Roman"/>
          <w:color w:val="000000"/>
          <w:sz w:val="20"/>
          <w:szCs w:val="20"/>
        </w:rPr>
        <w:t>Our stock price and earnings have fluctuated in the past and are likely to fluctuate in the future. Factors that may have a significant impact on the market price of our stock and earnings include those identi</w:t>
      </w:r>
      <w:r>
        <w:rPr>
          <w:rFonts w:eastAsia="Times New Roman"/>
          <w:color w:val="000000"/>
          <w:sz w:val="20"/>
          <w:szCs w:val="20"/>
        </w:rPr>
        <w:t>fied above and throughout this Risk</w:t>
      </w:r>
      <w:r>
        <w:rPr>
          <w:rFonts w:eastAsia="Times New Roman"/>
          <w:color w:val="000000"/>
          <w:sz w:val="20"/>
          <w:szCs w:val="20"/>
        </w:rPr>
        <w:t xml:space="preserve"> </w:t>
      </w:r>
    </w:p>
    <w:p w:rsidR="00000000" w:rsidRDefault="00602C02">
      <w:pPr>
        <w:jc w:val="center"/>
        <w:divId w:val="1480075936"/>
        <w:rPr>
          <w:rFonts w:eastAsia="Times New Roman"/>
        </w:rPr>
      </w:pPr>
      <w:r>
        <w:rPr>
          <w:rFonts w:eastAsia="Times New Roman"/>
          <w:color w:val="000000"/>
          <w:sz w:val="20"/>
          <w:szCs w:val="20"/>
        </w:rPr>
        <w:t>4</w:t>
      </w:r>
      <w:r>
        <w:rPr>
          <w:rFonts w:eastAsia="Times New Roman"/>
          <w:color w:val="000000"/>
          <w:sz w:val="20"/>
          <w:szCs w:val="20"/>
        </w:rPr>
        <w:t>8</w:t>
      </w:r>
    </w:p>
    <w:p w:rsidR="00000000" w:rsidRDefault="00602C02">
      <w:pPr>
        <w:rPr>
          <w:rFonts w:eastAsia="Times New Roman"/>
        </w:rPr>
      </w:pPr>
      <w:r>
        <w:rPr>
          <w:rFonts w:eastAsia="Times New Roman"/>
        </w:rPr>
        <w:pict>
          <v:rect id="_x0000_i1072" style="width:0;height:1.5pt" o:hralign="center" o:hrstd="t" o:hr="t" fillcolor="#a0a0a0" stroked="f"/>
        </w:pict>
      </w:r>
    </w:p>
    <w:p w:rsidR="00000000" w:rsidRDefault="00602C02">
      <w:pPr>
        <w:divId w:val="558784529"/>
        <w:rPr>
          <w:rFonts w:eastAsia="Times New Roman"/>
        </w:rPr>
      </w:pPr>
    </w:p>
    <w:p w:rsidR="00000000" w:rsidRDefault="00602C02">
      <w:pPr>
        <w:divId w:val="1855680305"/>
        <w:rPr>
          <w:rFonts w:eastAsia="Times New Roman"/>
        </w:rPr>
      </w:pPr>
      <w:r>
        <w:rPr>
          <w:rFonts w:eastAsia="Times New Roman"/>
          <w:color w:val="000000"/>
          <w:sz w:val="20"/>
          <w:szCs w:val="20"/>
        </w:rPr>
        <w:t>Factors section; volatility of the stock market in general and technology-based and semiconductor companies in particular; announcements concerning us, our suppliers, our competi</w:t>
      </w:r>
      <w:r>
        <w:rPr>
          <w:rFonts w:eastAsia="Times New Roman"/>
          <w:color w:val="000000"/>
          <w:sz w:val="20"/>
          <w:szCs w:val="20"/>
        </w:rPr>
        <w:t>tors or our customers or licensees; and variations between our actual financial results or guidance and expectations of securities analysts or investors, among others. Further, increased volatility in the financial markets and overall economic conditions m</w:t>
      </w:r>
      <w:r>
        <w:rPr>
          <w:rFonts w:eastAsia="Times New Roman"/>
          <w:color w:val="000000"/>
          <w:sz w:val="20"/>
          <w:szCs w:val="20"/>
        </w:rPr>
        <w:t>ay reduce the amounts that we realize in the future on our cash equivalents and marketable securities and may reduce our earnings as a result of any reductions in the fair values of marketable securities</w:t>
      </w:r>
      <w:r>
        <w:rPr>
          <w:rFonts w:eastAsia="Times New Roman"/>
          <w:color w:val="000000"/>
          <w:sz w:val="20"/>
          <w:szCs w:val="20"/>
        </w:rPr>
        <w:t>.</w:t>
      </w:r>
    </w:p>
    <w:p w:rsidR="00000000" w:rsidRDefault="00602C02">
      <w:pPr>
        <w:ind w:firstLine="360"/>
        <w:divId w:val="1350373343"/>
        <w:rPr>
          <w:rFonts w:eastAsia="Times New Roman"/>
        </w:rPr>
      </w:pPr>
      <w:r>
        <w:rPr>
          <w:rFonts w:eastAsia="Times New Roman"/>
          <w:color w:val="000000"/>
          <w:sz w:val="20"/>
          <w:szCs w:val="20"/>
        </w:rPr>
        <w:t>In the past, securities class action litigation has</w:t>
      </w:r>
      <w:r>
        <w:rPr>
          <w:rFonts w:eastAsia="Times New Roman"/>
          <w:color w:val="000000"/>
          <w:sz w:val="20"/>
          <w:szCs w:val="20"/>
        </w:rPr>
        <w:t xml:space="preserve"> been brought against companies following periods of volatility in the market price of their securities, among other reasons. We are and may in the future be the target of securities litigation. Securities litigation could result in substantial uninsured c</w:t>
      </w:r>
      <w:r>
        <w:rPr>
          <w:rFonts w:eastAsia="Times New Roman"/>
          <w:color w:val="000000"/>
          <w:sz w:val="20"/>
          <w:szCs w:val="20"/>
        </w:rPr>
        <w:t>osts and divert management’s attention and our resources. Certain legal matters, including certain securities litigation brought against us, are described more fully in this Quarterly Report in “Notes to Condensed Consolidated Financial Statements, Note 5.</w:t>
      </w:r>
      <w:r>
        <w:rPr>
          <w:rFonts w:eastAsia="Times New Roman"/>
          <w:color w:val="000000"/>
          <w:sz w:val="20"/>
          <w:szCs w:val="20"/>
        </w:rPr>
        <w:t xml:space="preserve"> Commitments and Contingencies.</w:t>
      </w:r>
      <w:r>
        <w:rPr>
          <w:rFonts w:eastAsia="Times New Roman"/>
          <w:color w:val="000000"/>
          <w:sz w:val="20"/>
          <w:szCs w:val="20"/>
        </w:rPr>
        <w:t>”</w:t>
      </w:r>
    </w:p>
    <w:p w:rsidR="00000000" w:rsidRDefault="00602C02">
      <w:pPr>
        <w:divId w:val="1944067191"/>
        <w:rPr>
          <w:rFonts w:eastAsia="Times New Roman"/>
        </w:rPr>
      </w:pPr>
      <w:r>
        <w:rPr>
          <w:rFonts w:eastAsia="Times New Roman"/>
          <w:b/>
          <w:bCs/>
          <w:i/>
          <w:iCs/>
          <w:color w:val="000000"/>
          <w:sz w:val="20"/>
          <w:szCs w:val="20"/>
        </w:rPr>
        <w:t>There are risks associated with our indebtedness and our significant stock repurchase program</w:t>
      </w:r>
      <w:r>
        <w:rPr>
          <w:rFonts w:eastAsia="Times New Roman"/>
          <w:b/>
          <w:bCs/>
          <w:i/>
          <w:iCs/>
          <w:color w:val="000000"/>
          <w:sz w:val="20"/>
          <w:szCs w:val="20"/>
        </w:rPr>
        <w:t>.</w:t>
      </w:r>
    </w:p>
    <w:p w:rsidR="00000000" w:rsidRDefault="00602C02">
      <w:pPr>
        <w:ind w:firstLine="360"/>
        <w:divId w:val="483008742"/>
        <w:rPr>
          <w:rFonts w:eastAsia="Times New Roman"/>
        </w:rPr>
      </w:pPr>
      <w:r>
        <w:rPr>
          <w:rFonts w:eastAsia="Times New Roman"/>
          <w:color w:val="000000"/>
          <w:sz w:val="20"/>
          <w:szCs w:val="20"/>
        </w:rPr>
        <w:t>Our outstanding indebtedness and any additional indebtedness we incur may have negative consequences on our business, including,</w:t>
      </w:r>
      <w:r>
        <w:rPr>
          <w:rFonts w:eastAsia="Times New Roman"/>
          <w:color w:val="000000"/>
          <w:sz w:val="20"/>
          <w:szCs w:val="20"/>
        </w:rPr>
        <w:t xml:space="preserve"> among others</w:t>
      </w:r>
      <w:r>
        <w:rPr>
          <w:rFonts w:eastAsia="Times New Roman"/>
          <w:color w:val="000000"/>
          <w:sz w:val="20"/>
          <w:szCs w:val="20"/>
        </w:rPr>
        <w:t>:</w:t>
      </w:r>
    </w:p>
    <w:p w:rsidR="00000000" w:rsidRDefault="00602C02">
      <w:pPr>
        <w:ind w:hanging="360"/>
        <w:divId w:val="889347611"/>
        <w:rPr>
          <w:rFonts w:eastAsia="Times New Roman"/>
        </w:rPr>
      </w:pPr>
      <w:r>
        <w:rPr>
          <w:rFonts w:eastAsia="Times New Roman"/>
          <w:color w:val="000000"/>
          <w:sz w:val="20"/>
          <w:szCs w:val="20"/>
        </w:rPr>
        <w:t>•</w:t>
      </w:r>
      <w:r>
        <w:rPr>
          <w:rFonts w:eastAsia="Times New Roman"/>
          <w:color w:val="000000"/>
          <w:sz w:val="20"/>
          <w:szCs w:val="20"/>
        </w:rPr>
        <w:t>requiring us to use cash to pay the principal of and interest on our indebtedness, thereby reducing the amount of cash available for other purposes</w:t>
      </w:r>
      <w:r>
        <w:rPr>
          <w:rFonts w:eastAsia="Times New Roman"/>
          <w:color w:val="000000"/>
          <w:sz w:val="20"/>
          <w:szCs w:val="20"/>
        </w:rPr>
        <w:t>;</w:t>
      </w:r>
    </w:p>
    <w:p w:rsidR="00000000" w:rsidRDefault="00602C02">
      <w:pPr>
        <w:ind w:hanging="360"/>
        <w:divId w:val="1435203884"/>
        <w:rPr>
          <w:rFonts w:eastAsia="Times New Roman"/>
        </w:rPr>
      </w:pPr>
      <w:r>
        <w:rPr>
          <w:rFonts w:eastAsia="Times New Roman"/>
          <w:color w:val="000000"/>
          <w:sz w:val="20"/>
          <w:szCs w:val="20"/>
        </w:rPr>
        <w:t>•</w:t>
      </w:r>
      <w:r>
        <w:rPr>
          <w:rFonts w:eastAsia="Times New Roman"/>
          <w:color w:val="000000"/>
          <w:sz w:val="20"/>
          <w:szCs w:val="20"/>
        </w:rPr>
        <w:t>limiting our ability to obtain additional financing for working capital, capital expenditu</w:t>
      </w:r>
      <w:r>
        <w:rPr>
          <w:rFonts w:eastAsia="Times New Roman"/>
          <w:color w:val="000000"/>
          <w:sz w:val="20"/>
          <w:szCs w:val="20"/>
        </w:rPr>
        <w:t>res, acquisitions, stock repurchases, dividends or general corporate or other purposes</w:t>
      </w:r>
      <w:r>
        <w:rPr>
          <w:rFonts w:eastAsia="Times New Roman"/>
          <w:color w:val="000000"/>
          <w:sz w:val="20"/>
          <w:szCs w:val="20"/>
        </w:rPr>
        <w:t>;</w:t>
      </w:r>
    </w:p>
    <w:p w:rsidR="00000000" w:rsidRDefault="00602C02">
      <w:pPr>
        <w:ind w:hanging="360"/>
        <w:divId w:val="766581808"/>
        <w:rPr>
          <w:rFonts w:eastAsia="Times New Roman"/>
        </w:rPr>
      </w:pPr>
      <w:r>
        <w:rPr>
          <w:rFonts w:eastAsia="Times New Roman"/>
          <w:color w:val="000000"/>
          <w:sz w:val="20"/>
          <w:szCs w:val="20"/>
        </w:rPr>
        <w:t>•</w:t>
      </w:r>
      <w:r>
        <w:rPr>
          <w:rFonts w:eastAsia="Times New Roman"/>
          <w:color w:val="000000"/>
          <w:sz w:val="20"/>
          <w:szCs w:val="20"/>
        </w:rPr>
        <w:t>limiting our flexibility in planning for, or reacting to, changes in our business, our industry and the market; an</w:t>
      </w:r>
      <w:r>
        <w:rPr>
          <w:rFonts w:eastAsia="Times New Roman"/>
          <w:color w:val="000000"/>
          <w:sz w:val="20"/>
          <w:szCs w:val="20"/>
        </w:rPr>
        <w:t>d</w:t>
      </w:r>
    </w:p>
    <w:p w:rsidR="00000000" w:rsidRDefault="00602C02">
      <w:pPr>
        <w:ind w:hanging="360"/>
        <w:divId w:val="1924609695"/>
        <w:rPr>
          <w:rFonts w:eastAsia="Times New Roman"/>
        </w:rPr>
      </w:pPr>
      <w:r>
        <w:rPr>
          <w:rFonts w:eastAsia="Times New Roman"/>
          <w:color w:val="000000"/>
          <w:sz w:val="20"/>
          <w:szCs w:val="20"/>
        </w:rPr>
        <w:t>•</w:t>
      </w:r>
      <w:r>
        <w:rPr>
          <w:rFonts w:eastAsia="Times New Roman"/>
          <w:color w:val="000000"/>
          <w:sz w:val="20"/>
          <w:szCs w:val="20"/>
        </w:rPr>
        <w:t>increasing our vulnerability to interest rate fluc</w:t>
      </w:r>
      <w:r>
        <w:rPr>
          <w:rFonts w:eastAsia="Times New Roman"/>
          <w:color w:val="000000"/>
          <w:sz w:val="20"/>
          <w:szCs w:val="20"/>
        </w:rPr>
        <w:t>tuations to the extent a portion of our debt has variable interest rates</w:t>
      </w:r>
      <w:r>
        <w:rPr>
          <w:rFonts w:eastAsia="Times New Roman"/>
          <w:color w:val="000000"/>
          <w:sz w:val="20"/>
          <w:szCs w:val="20"/>
        </w:rPr>
        <w:t>.</w:t>
      </w:r>
    </w:p>
    <w:p w:rsidR="00000000" w:rsidRDefault="00602C02">
      <w:pPr>
        <w:ind w:firstLine="360"/>
        <w:divId w:val="2137485830"/>
        <w:rPr>
          <w:rFonts w:eastAsia="Times New Roman"/>
        </w:rPr>
      </w:pPr>
      <w:r>
        <w:rPr>
          <w:rFonts w:eastAsia="Times New Roman"/>
          <w:color w:val="000000"/>
          <w:sz w:val="20"/>
          <w:szCs w:val="20"/>
        </w:rPr>
        <w:t>Our ability to make payments of principal and interest on our indebtedness depends upon our future performance, which is subject to economic and political conditions, industry cycles</w:t>
      </w:r>
      <w:r>
        <w:rPr>
          <w:rFonts w:eastAsia="Times New Roman"/>
          <w:color w:val="000000"/>
          <w:sz w:val="20"/>
          <w:szCs w:val="20"/>
        </w:rPr>
        <w:t xml:space="preserve"> and financial, business and other factors, including factors which negatively impact our cash flows, such as licensees withholding some or all of the royalty payments they owe to us or our paying fines or modifying our business practices in connection wit</w:t>
      </w:r>
      <w:r>
        <w:rPr>
          <w:rFonts w:eastAsia="Times New Roman"/>
          <w:color w:val="000000"/>
          <w:sz w:val="20"/>
          <w:szCs w:val="20"/>
        </w:rPr>
        <w:t>h regulatory investigations or litigation, many of which are beyond our control. If we are unable to generate sufficient cash flow from operations in the future to service our debt, we may be required to, among other things: refinance or restructure all or</w:t>
      </w:r>
      <w:r>
        <w:rPr>
          <w:rFonts w:eastAsia="Times New Roman"/>
          <w:color w:val="000000"/>
          <w:sz w:val="20"/>
          <w:szCs w:val="20"/>
        </w:rPr>
        <w:t xml:space="preserve"> a portion of our indebtedness; reduce or delay planned capital or operating expenditures; reduce or eliminate our dividend payments; or sell selected assets. Such measures might not be sufficient to enable us to service our debt. In addition, any such ref</w:t>
      </w:r>
      <w:r>
        <w:rPr>
          <w:rFonts w:eastAsia="Times New Roman"/>
          <w:color w:val="000000"/>
          <w:sz w:val="20"/>
          <w:szCs w:val="20"/>
        </w:rPr>
        <w:t>inancing, restructuring or sale of assets might not be available on economically favorable terms or at all, and if prevailing interest rates at the time of any such refinancing or restructuring are higher than our current rates, interest expense related to</w:t>
      </w:r>
      <w:r>
        <w:rPr>
          <w:rFonts w:eastAsia="Times New Roman"/>
          <w:color w:val="000000"/>
          <w:sz w:val="20"/>
          <w:szCs w:val="20"/>
        </w:rPr>
        <w:t xml:space="preserve"> such refinancing or restructuring would increase. If there are adverse changes in the ratings assigned to our debt securities by credit rating agencies, our borrowing costs, our ability to access debt in the future and the terms of such debt could be adve</w:t>
      </w:r>
      <w:r>
        <w:rPr>
          <w:rFonts w:eastAsia="Times New Roman"/>
          <w:color w:val="000000"/>
          <w:sz w:val="20"/>
          <w:szCs w:val="20"/>
        </w:rPr>
        <w:t>rsely affected</w:t>
      </w:r>
      <w:r>
        <w:rPr>
          <w:rFonts w:eastAsia="Times New Roman"/>
          <w:color w:val="000000"/>
          <w:sz w:val="20"/>
          <w:szCs w:val="20"/>
        </w:rPr>
        <w:t>.</w:t>
      </w:r>
    </w:p>
    <w:p w:rsidR="00000000" w:rsidRDefault="00602C02">
      <w:pPr>
        <w:ind w:firstLine="360"/>
        <w:divId w:val="50813292"/>
        <w:rPr>
          <w:rFonts w:eastAsia="Times New Roman"/>
        </w:rPr>
      </w:pPr>
      <w:r>
        <w:rPr>
          <w:rFonts w:eastAsia="Times New Roman"/>
          <w:color w:val="000000"/>
          <w:sz w:val="20"/>
          <w:szCs w:val="20"/>
        </w:rPr>
        <w:t>Our current outstanding variable rate indebtedness uses LIBOR as a benchmark for establishing the interest rate. LIBOR is the subject of recent national, international and other regulatory guidance and proposals for reform. These reforms ma</w:t>
      </w:r>
      <w:r>
        <w:rPr>
          <w:rFonts w:eastAsia="Times New Roman"/>
          <w:color w:val="000000"/>
          <w:sz w:val="20"/>
          <w:szCs w:val="20"/>
        </w:rPr>
        <w:t>y cause LIBOR to disappear entirely after 2021 or to perform differently than in the past. We expect that reasonable alternatives to LIBOR will be created and implemented prior to the 2021 target date. Fallback provisions are being written into LIBOR-based</w:t>
      </w:r>
      <w:r>
        <w:rPr>
          <w:rFonts w:eastAsia="Times New Roman"/>
          <w:color w:val="000000"/>
          <w:sz w:val="20"/>
          <w:szCs w:val="20"/>
        </w:rPr>
        <w:t xml:space="preserve"> contracts to attempt to reduce the risk of sudden and unpredictable increases in the cost of variable rate indebtedness. However, we cannot predict the consequences and timing of these developments.</w:t>
      </w:r>
      <w:r>
        <w:rPr>
          <w:rFonts w:eastAsia="Times New Roman"/>
          <w:color w:val="000000"/>
          <w:sz w:val="20"/>
          <w:szCs w:val="20"/>
        </w:rPr>
        <w:t xml:space="preserve"> </w:t>
      </w:r>
    </w:p>
    <w:p w:rsidR="00000000" w:rsidRDefault="00602C02">
      <w:pPr>
        <w:ind w:firstLine="360"/>
        <w:divId w:val="616647266"/>
        <w:rPr>
          <w:rFonts w:eastAsia="Times New Roman"/>
        </w:rPr>
      </w:pPr>
      <w:r>
        <w:rPr>
          <w:rFonts w:eastAsia="Times New Roman"/>
          <w:color w:val="000000"/>
          <w:sz w:val="20"/>
          <w:szCs w:val="20"/>
        </w:rPr>
        <w:t>We have implemented a stock repurchase program to repurchase up to $30 billion of our outstanding common stock. At March 29, 2020, $4.7 billion remained authorized for repurchase under the stock repurchase program. This stock repurchase program has signifi</w:t>
      </w:r>
      <w:r>
        <w:rPr>
          <w:rFonts w:eastAsia="Times New Roman"/>
          <w:color w:val="000000"/>
          <w:sz w:val="20"/>
          <w:szCs w:val="20"/>
        </w:rPr>
        <w:t>cantly reduced and is expected to continue to reduce the amount of cash that we have available to fund our operations, including research and development, working capital, capital expenditures, acquisitions, investments, dividends and other corporate purpo</w:t>
      </w:r>
      <w:r>
        <w:rPr>
          <w:rFonts w:eastAsia="Times New Roman"/>
          <w:color w:val="000000"/>
          <w:sz w:val="20"/>
          <w:szCs w:val="20"/>
        </w:rPr>
        <w:t>ses; and increases our exposure to adverse economic, market, industry and competitive conditions and developments, and other changes in our business and our industry. In addition, this significant decrease in our cash reserves exacerbates the risks describ</w:t>
      </w:r>
      <w:r>
        <w:rPr>
          <w:rFonts w:eastAsia="Times New Roman"/>
          <w:color w:val="000000"/>
          <w:sz w:val="20"/>
          <w:szCs w:val="20"/>
        </w:rPr>
        <w:t>ed above associated with our indebtedness.</w:t>
      </w:r>
      <w:r>
        <w:rPr>
          <w:rFonts w:eastAsia="Times New Roman"/>
          <w:color w:val="000000"/>
          <w:sz w:val="20"/>
          <w:szCs w:val="20"/>
        </w:rPr>
        <w:t xml:space="preserve"> </w:t>
      </w:r>
    </w:p>
    <w:p w:rsidR="00000000" w:rsidRDefault="00602C02">
      <w:pPr>
        <w:divId w:val="626812943"/>
        <w:rPr>
          <w:rFonts w:eastAsia="Times New Roman"/>
        </w:rPr>
      </w:pPr>
      <w:r>
        <w:rPr>
          <w:rFonts w:eastAsia="Times New Roman"/>
          <w:b/>
          <w:bCs/>
          <w:i/>
          <w:iCs/>
          <w:color w:val="000000"/>
          <w:sz w:val="20"/>
          <w:szCs w:val="20"/>
        </w:rPr>
        <w:t>Our business and operations could suffer in the event of security breaches of our information technology systems, or other misappropriation of our technology, intellectual property or other proprietary or confide</w:t>
      </w:r>
      <w:r>
        <w:rPr>
          <w:rFonts w:eastAsia="Times New Roman"/>
          <w:b/>
          <w:bCs/>
          <w:i/>
          <w:iCs/>
          <w:color w:val="000000"/>
          <w:sz w:val="20"/>
          <w:szCs w:val="20"/>
        </w:rPr>
        <w:t>ntial information</w:t>
      </w:r>
      <w:r>
        <w:rPr>
          <w:rFonts w:eastAsia="Times New Roman"/>
          <w:b/>
          <w:bCs/>
          <w:i/>
          <w:iCs/>
          <w:color w:val="000000"/>
          <w:sz w:val="20"/>
          <w:szCs w:val="20"/>
        </w:rPr>
        <w:t>.</w:t>
      </w:r>
    </w:p>
    <w:p w:rsidR="00000000" w:rsidRDefault="00602C02">
      <w:pPr>
        <w:ind w:firstLine="360"/>
        <w:divId w:val="1035621041"/>
        <w:rPr>
          <w:rFonts w:eastAsia="Times New Roman"/>
        </w:rPr>
      </w:pPr>
      <w:r>
        <w:rPr>
          <w:rFonts w:eastAsia="Times New Roman"/>
          <w:color w:val="000000"/>
          <w:sz w:val="20"/>
          <w:szCs w:val="20"/>
        </w:rPr>
        <w:t>Third parties regularly attempt to gain unauthorized access to our information technology systems, and most of such attempts are increasingly more sophisticated. These attempts, which might be related to industrial, corporate or other es</w:t>
      </w:r>
      <w:r>
        <w:rPr>
          <w:rFonts w:eastAsia="Times New Roman"/>
          <w:color w:val="000000"/>
          <w:sz w:val="20"/>
          <w:szCs w:val="20"/>
        </w:rPr>
        <w:t>pionage, criminal hackers or state-sponsored intrusions, include trying to covertly introduce malware to our computers and networks, including those in our manufacturing operations, and impersonating authorized users, among others. In addition, third party</w:t>
      </w:r>
      <w:r>
        <w:rPr>
          <w:rFonts w:eastAsia="Times New Roman"/>
          <w:color w:val="000000"/>
          <w:sz w:val="20"/>
          <w:szCs w:val="20"/>
        </w:rPr>
        <w:t xml:space="preserve"> suppliers that we may rely on to store and/or process our confidential information may also be subject to similar</w:t>
      </w:r>
      <w:r>
        <w:rPr>
          <w:rFonts w:eastAsia="Times New Roman"/>
          <w:color w:val="000000"/>
          <w:sz w:val="20"/>
          <w:szCs w:val="20"/>
        </w:rPr>
        <w:t xml:space="preserve"> </w:t>
      </w:r>
    </w:p>
    <w:p w:rsidR="00000000" w:rsidRDefault="00602C02">
      <w:pPr>
        <w:jc w:val="center"/>
        <w:divId w:val="12535103"/>
        <w:rPr>
          <w:rFonts w:eastAsia="Times New Roman"/>
        </w:rPr>
      </w:pPr>
      <w:r>
        <w:rPr>
          <w:rFonts w:eastAsia="Times New Roman"/>
          <w:color w:val="000000"/>
          <w:sz w:val="20"/>
          <w:szCs w:val="20"/>
        </w:rPr>
        <w:t>4</w:t>
      </w:r>
      <w:r>
        <w:rPr>
          <w:rFonts w:eastAsia="Times New Roman"/>
          <w:color w:val="000000"/>
          <w:sz w:val="20"/>
          <w:szCs w:val="20"/>
        </w:rPr>
        <w:t>9</w:t>
      </w:r>
    </w:p>
    <w:p w:rsidR="00000000" w:rsidRDefault="00602C02">
      <w:pPr>
        <w:rPr>
          <w:rFonts w:eastAsia="Times New Roman"/>
        </w:rPr>
      </w:pPr>
      <w:r>
        <w:rPr>
          <w:rFonts w:eastAsia="Times New Roman"/>
        </w:rPr>
        <w:pict>
          <v:rect id="_x0000_i1073" style="width:0;height:1.5pt" o:hralign="center" o:hrstd="t" o:hr="t" fillcolor="#a0a0a0" stroked="f"/>
        </w:pict>
      </w:r>
    </w:p>
    <w:p w:rsidR="00000000" w:rsidRDefault="00602C02">
      <w:pPr>
        <w:divId w:val="1229922340"/>
        <w:rPr>
          <w:rFonts w:eastAsia="Times New Roman"/>
        </w:rPr>
      </w:pPr>
    </w:p>
    <w:p w:rsidR="00000000" w:rsidRDefault="00602C02">
      <w:pPr>
        <w:divId w:val="1142383058"/>
        <w:rPr>
          <w:rFonts w:eastAsia="Times New Roman"/>
        </w:rPr>
      </w:pPr>
      <w:r>
        <w:rPr>
          <w:rFonts w:eastAsia="Times New Roman"/>
          <w:color w:val="000000"/>
          <w:sz w:val="20"/>
          <w:szCs w:val="20"/>
        </w:rPr>
        <w:t xml:space="preserve">attacks. Such attempts could result in the misappropriation, theft, misuse, disclosure or loss or </w:t>
      </w:r>
      <w:r>
        <w:rPr>
          <w:rFonts w:eastAsia="Times New Roman"/>
          <w:color w:val="000000"/>
          <w:sz w:val="20"/>
          <w:szCs w:val="20"/>
        </w:rPr>
        <w:t>destruction of the technology, intellectual property, or the proprietary, confidential or personal information, of us or our employees, customers, licensees, suppliers or other third parties, as well as damage to or disruptions in our information technolog</w:t>
      </w:r>
      <w:r>
        <w:rPr>
          <w:rFonts w:eastAsia="Times New Roman"/>
          <w:color w:val="000000"/>
          <w:sz w:val="20"/>
          <w:szCs w:val="20"/>
        </w:rPr>
        <w:t>y systems. These threats are constantly evolving, thereby increasing the difficulty of successfully defending against them or implementing adequate preventative measures. We seek to detect and investigate all security incidents and to prevent their recurre</w:t>
      </w:r>
      <w:r>
        <w:rPr>
          <w:rFonts w:eastAsia="Times New Roman"/>
          <w:color w:val="000000"/>
          <w:sz w:val="20"/>
          <w:szCs w:val="20"/>
        </w:rPr>
        <w:t>nce, but attempts to gain unauthorized access to our information technology systems may be successful, and in some cases, we might be unaware of an incident or its magnitude and effects.</w:t>
      </w:r>
      <w:r>
        <w:rPr>
          <w:rFonts w:eastAsia="Times New Roman"/>
          <w:color w:val="000000"/>
          <w:sz w:val="20"/>
          <w:szCs w:val="20"/>
        </w:rPr>
        <w:t xml:space="preserve"> </w:t>
      </w:r>
    </w:p>
    <w:p w:rsidR="00000000" w:rsidRDefault="00602C02">
      <w:pPr>
        <w:ind w:firstLine="360"/>
        <w:divId w:val="1702196556"/>
        <w:rPr>
          <w:rFonts w:eastAsia="Times New Roman"/>
        </w:rPr>
      </w:pPr>
      <w:r>
        <w:rPr>
          <w:rFonts w:eastAsia="Times New Roman"/>
          <w:color w:val="000000"/>
          <w:sz w:val="20"/>
          <w:szCs w:val="20"/>
        </w:rPr>
        <w:t>In addition, employees and former employees, in particular former employees who become employees of our competitors, customers, licensees or other third parties, including state actors, have in the past and may in the future misappropriate, use, publish or</w:t>
      </w:r>
      <w:r>
        <w:rPr>
          <w:rFonts w:eastAsia="Times New Roman"/>
          <w:color w:val="000000"/>
          <w:sz w:val="20"/>
          <w:szCs w:val="20"/>
        </w:rPr>
        <w:t xml:space="preserve"> provide to our competitors, customers, licensees or other third parties, including state actors, our technology, intellectual property or other proprietary or confidential information. This risk is exacerbated as competitors for talent, particularly engin</w:t>
      </w:r>
      <w:r>
        <w:rPr>
          <w:rFonts w:eastAsia="Times New Roman"/>
          <w:color w:val="000000"/>
          <w:sz w:val="20"/>
          <w:szCs w:val="20"/>
        </w:rPr>
        <w:t>eering talent, increasingly attempt to hire our employees. See also the Risk Factor entitled</w:t>
      </w:r>
      <w:r>
        <w:rPr>
          <w:rFonts w:eastAsia="Times New Roman"/>
          <w:color w:val="000000"/>
          <w:sz w:val="20"/>
          <w:szCs w:val="20"/>
        </w:rPr>
        <w:t xml:space="preserve"> </w:t>
      </w:r>
      <w:r>
        <w:rPr>
          <w:rFonts w:eastAsia="Times New Roman"/>
          <w:i/>
          <w:iCs/>
          <w:color w:val="000000"/>
          <w:sz w:val="20"/>
          <w:szCs w:val="20"/>
        </w:rPr>
        <w:t>“We may not be able to attract and retain qualified employees.</w:t>
      </w:r>
      <w:r>
        <w:rPr>
          <w:rFonts w:eastAsia="Times New Roman"/>
          <w:i/>
          <w:iCs/>
          <w:color w:val="000000"/>
          <w:sz w:val="20"/>
          <w:szCs w:val="20"/>
        </w:rPr>
        <w:t>”</w:t>
      </w:r>
      <w:r>
        <w:rPr>
          <w:rFonts w:eastAsia="Times New Roman"/>
          <w:color w:val="000000"/>
          <w:sz w:val="20"/>
          <w:szCs w:val="20"/>
        </w:rPr>
        <w:t xml:space="preserve"> Similarly, we provide access to certain of our technology, intellectual property and other propriet</w:t>
      </w:r>
      <w:r>
        <w:rPr>
          <w:rFonts w:eastAsia="Times New Roman"/>
          <w:color w:val="000000"/>
          <w:sz w:val="20"/>
          <w:szCs w:val="20"/>
        </w:rPr>
        <w:t xml:space="preserve">ary or confidential information to our direct and indirect customers and licensees and certain of our consultants, who have in the past and may in the future wrongfully use such technology, intellectual property or information, or wrongfully disclose such </w:t>
      </w:r>
      <w:r>
        <w:rPr>
          <w:rFonts w:eastAsia="Times New Roman"/>
          <w:color w:val="000000"/>
          <w:sz w:val="20"/>
          <w:szCs w:val="20"/>
        </w:rPr>
        <w:t>technology, intellectual property or information to third parties, including our competitors or state actors. We also provide access to certain of our technology, intellectual property and other proprietary or confidential information to certain of our joi</w:t>
      </w:r>
      <w:r>
        <w:rPr>
          <w:rFonts w:eastAsia="Times New Roman"/>
          <w:color w:val="000000"/>
          <w:sz w:val="20"/>
          <w:szCs w:val="20"/>
        </w:rPr>
        <w:t xml:space="preserve">nt venture partners, including those affiliated with state actors and including in foreign jurisdictions where ownership restrictions may require us to take a minority ownership interest in the joint venture. Such joint venture partners may wrongfully use </w:t>
      </w:r>
      <w:r>
        <w:rPr>
          <w:rFonts w:eastAsia="Times New Roman"/>
          <w:color w:val="000000"/>
          <w:sz w:val="20"/>
          <w:szCs w:val="20"/>
        </w:rPr>
        <w:t>such technology, intellectual property or information, or wrongfully disclose such technology, intellectual property or information to third parties, including our competitors or state actors</w:t>
      </w:r>
      <w:r>
        <w:rPr>
          <w:rFonts w:eastAsia="Times New Roman"/>
          <w:color w:val="000000"/>
          <w:sz w:val="20"/>
          <w:szCs w:val="20"/>
        </w:rPr>
        <w:t>.</w:t>
      </w:r>
    </w:p>
    <w:p w:rsidR="00000000" w:rsidRDefault="00602C02">
      <w:pPr>
        <w:ind w:firstLine="360"/>
        <w:divId w:val="337970015"/>
        <w:rPr>
          <w:rFonts w:eastAsia="Times New Roman"/>
        </w:rPr>
      </w:pPr>
      <w:r>
        <w:rPr>
          <w:rFonts w:eastAsia="Times New Roman"/>
          <w:color w:val="000000"/>
          <w:sz w:val="20"/>
          <w:szCs w:val="20"/>
        </w:rPr>
        <w:t>The misappropriation, theft, misuse, disclosure or loss or dest</w:t>
      </w:r>
      <w:r>
        <w:rPr>
          <w:rFonts w:eastAsia="Times New Roman"/>
          <w:color w:val="000000"/>
          <w:sz w:val="20"/>
          <w:szCs w:val="20"/>
        </w:rPr>
        <w:t>ruction of the technology, intellectual property, or the proprietary, confidential or personal information, of us or our employees, customers, licensees, suppliers or other third parties, could harm our competitive position, reduce the value of our investm</w:t>
      </w:r>
      <w:r>
        <w:rPr>
          <w:rFonts w:eastAsia="Times New Roman"/>
          <w:color w:val="000000"/>
          <w:sz w:val="20"/>
          <w:szCs w:val="20"/>
        </w:rPr>
        <w:t>ent in research and development and other strategic initiatives, cause us to lose business, damage our reputation, subject us to legal or regulatory proceedings, cause us to incur other loss or liabilit</w:t>
      </w:r>
      <w:r>
        <w:rPr>
          <w:rFonts w:eastAsia="Times New Roman"/>
          <w:color w:val="000000"/>
          <w:sz w:val="20"/>
          <w:szCs w:val="20"/>
        </w:rPr>
        <w:t>y</w:t>
      </w:r>
      <w:r>
        <w:rPr>
          <w:rFonts w:ascii="Calibri" w:eastAsia="Times New Roman" w:hAnsi="Calibri" w:cs="Calibri"/>
          <w:color w:val="000000"/>
          <w:sz w:val="22"/>
          <w:szCs w:val="22"/>
        </w:rPr>
        <w:t xml:space="preserve"> </w:t>
      </w:r>
      <w:r>
        <w:rPr>
          <w:rFonts w:eastAsia="Times New Roman"/>
          <w:color w:val="000000"/>
          <w:sz w:val="20"/>
          <w:szCs w:val="20"/>
        </w:rPr>
        <w:t>and otherwise adversely affect our business. We expe</w:t>
      </w:r>
      <w:r>
        <w:rPr>
          <w:rFonts w:eastAsia="Times New Roman"/>
          <w:color w:val="000000"/>
          <w:sz w:val="20"/>
          <w:szCs w:val="20"/>
        </w:rPr>
        <w:t>ct to continue to devote significant resources to the security of our information technology systems, and our technology, intellectual property and proprietary and confidential information</w:t>
      </w:r>
      <w:r>
        <w:rPr>
          <w:rFonts w:eastAsia="Times New Roman"/>
          <w:color w:val="000000"/>
          <w:sz w:val="20"/>
          <w:szCs w:val="20"/>
        </w:rPr>
        <w:t>.</w:t>
      </w:r>
    </w:p>
    <w:p w:rsidR="00000000" w:rsidRDefault="00602C02">
      <w:pPr>
        <w:divId w:val="1371685529"/>
        <w:rPr>
          <w:rFonts w:eastAsia="Times New Roman"/>
        </w:rPr>
      </w:pPr>
      <w:r>
        <w:rPr>
          <w:rFonts w:eastAsia="Times New Roman"/>
          <w:b/>
          <w:bCs/>
          <w:i/>
          <w:iCs/>
          <w:color w:val="000000"/>
          <w:sz w:val="20"/>
          <w:szCs w:val="20"/>
        </w:rPr>
        <w:t>Potential tax liabilities could adversely affect our results of op</w:t>
      </w:r>
      <w:r>
        <w:rPr>
          <w:rFonts w:eastAsia="Times New Roman"/>
          <w:b/>
          <w:bCs/>
          <w:i/>
          <w:iCs/>
          <w:color w:val="000000"/>
          <w:sz w:val="20"/>
          <w:szCs w:val="20"/>
        </w:rPr>
        <w:t>erations</w:t>
      </w:r>
      <w:r>
        <w:rPr>
          <w:rFonts w:eastAsia="Times New Roman"/>
          <w:b/>
          <w:bCs/>
          <w:i/>
          <w:iCs/>
          <w:color w:val="000000"/>
          <w:sz w:val="20"/>
          <w:szCs w:val="20"/>
        </w:rPr>
        <w:t>.</w:t>
      </w:r>
    </w:p>
    <w:p w:rsidR="00000000" w:rsidRDefault="00602C02">
      <w:pPr>
        <w:ind w:firstLine="360"/>
        <w:divId w:val="2143033768"/>
        <w:rPr>
          <w:rFonts w:eastAsia="Times New Roman"/>
        </w:rPr>
      </w:pPr>
      <w:r>
        <w:rPr>
          <w:rFonts w:eastAsia="Times New Roman"/>
          <w:color w:val="000000"/>
          <w:sz w:val="20"/>
          <w:szCs w:val="20"/>
        </w:rPr>
        <w:t>We are subject to income taxes in the United States and numerous foreign jurisdictions. Significant judgment is required in determining our provision for income taxes. We regularly are subject to examination of our tax returns and reports by taxi</w:t>
      </w:r>
      <w:r>
        <w:rPr>
          <w:rFonts w:eastAsia="Times New Roman"/>
          <w:color w:val="000000"/>
          <w:sz w:val="20"/>
          <w:szCs w:val="20"/>
        </w:rPr>
        <w:t>ng authorities in the United States federal jurisdiction and various state and foreign jurisdictions, most notably in countries where we earn a routine return and the tax authorities believe substantial value-add activities are performed. Our current exami</w:t>
      </w:r>
      <w:r>
        <w:rPr>
          <w:rFonts w:eastAsia="Times New Roman"/>
          <w:color w:val="000000"/>
          <w:sz w:val="20"/>
          <w:szCs w:val="20"/>
        </w:rPr>
        <w:t>nations are at various stages with respect to assessments, claims, deficiencies and refunds. We continually assess the likelihood and amount of potential adjustments and adjust the income tax provision, income taxes payable and deferred taxes in the period</w:t>
      </w:r>
      <w:r>
        <w:rPr>
          <w:rFonts w:eastAsia="Times New Roman"/>
          <w:color w:val="000000"/>
          <w:sz w:val="20"/>
          <w:szCs w:val="20"/>
        </w:rPr>
        <w:t xml:space="preserve"> in which the facts giving rise to a revision become known. Although we believe that our tax estimates are reasonable, the final determination of tax audits and any related legal proceedings could materially differ from amounts reflected in our historical </w:t>
      </w:r>
      <w:r>
        <w:rPr>
          <w:rFonts w:eastAsia="Times New Roman"/>
          <w:color w:val="000000"/>
          <w:sz w:val="20"/>
          <w:szCs w:val="20"/>
        </w:rPr>
        <w:t>income tax provisions and accruals. In such case, our income tax provision, results of operations and cash flows in the period or periods in which that determination is made could be negatively affected</w:t>
      </w:r>
      <w:r>
        <w:rPr>
          <w:rFonts w:eastAsia="Times New Roman"/>
          <w:color w:val="000000"/>
          <w:sz w:val="20"/>
          <w:szCs w:val="20"/>
        </w:rPr>
        <w:t>.</w:t>
      </w:r>
    </w:p>
    <w:p w:rsidR="00000000" w:rsidRDefault="00602C02">
      <w:pPr>
        <w:ind w:firstLine="360"/>
        <w:divId w:val="1270702345"/>
        <w:rPr>
          <w:rFonts w:eastAsia="Times New Roman"/>
        </w:rPr>
      </w:pPr>
      <w:r>
        <w:rPr>
          <w:rFonts w:eastAsia="Times New Roman"/>
          <w:color w:val="000000"/>
          <w:sz w:val="20"/>
          <w:szCs w:val="20"/>
        </w:rPr>
        <w:t>The United States Treasury Department has issued pro</w:t>
      </w:r>
      <w:r>
        <w:rPr>
          <w:rFonts w:eastAsia="Times New Roman"/>
          <w:color w:val="000000"/>
          <w:sz w:val="20"/>
          <w:szCs w:val="20"/>
        </w:rPr>
        <w:t>posed regulations on several provisions of the Tax Legislation, including FDII and interest expense deduction limitations, which are expected to be finalized in the next several months. When finalized, these proposed regulations may adversely affect our pr</w:t>
      </w:r>
      <w:r>
        <w:rPr>
          <w:rFonts w:eastAsia="Times New Roman"/>
          <w:color w:val="000000"/>
          <w:sz w:val="20"/>
          <w:szCs w:val="20"/>
        </w:rPr>
        <w:t>ovision for income taxes, results of operations and/or cash flows</w:t>
      </w:r>
      <w:r>
        <w:rPr>
          <w:rFonts w:eastAsia="Times New Roman"/>
          <w:color w:val="000000"/>
          <w:sz w:val="20"/>
          <w:szCs w:val="20"/>
        </w:rPr>
        <w:t>.</w:t>
      </w:r>
    </w:p>
    <w:p w:rsidR="00000000" w:rsidRDefault="00602C02">
      <w:pPr>
        <w:ind w:firstLine="360"/>
        <w:divId w:val="1263687690"/>
        <w:rPr>
          <w:rFonts w:eastAsia="Times New Roman"/>
        </w:rPr>
      </w:pPr>
      <w:r>
        <w:rPr>
          <w:rFonts w:eastAsia="Times New Roman"/>
          <w:color w:val="000000"/>
          <w:sz w:val="20"/>
          <w:szCs w:val="20"/>
        </w:rPr>
        <w:t xml:space="preserve">We have tax incentives in Singapore provided that we meet specified employment and other criteria, and as a result of the expiration of these incentives, our Singapore tax rate is expected </w:t>
      </w:r>
      <w:r>
        <w:rPr>
          <w:rFonts w:eastAsia="Times New Roman"/>
          <w:color w:val="000000"/>
          <w:sz w:val="20"/>
          <w:szCs w:val="20"/>
        </w:rPr>
        <w:t>to increase in fiscal 2022 and again in fiscal 2027. If we do not meet the criteria required to retain such incentives, our historical and future Singapore tax rate could increase prior to fiscal 2022 and/or fiscal 2027, and our results of operations and c</w:t>
      </w:r>
      <w:r>
        <w:rPr>
          <w:rFonts w:eastAsia="Times New Roman"/>
          <w:color w:val="000000"/>
          <w:sz w:val="20"/>
          <w:szCs w:val="20"/>
        </w:rPr>
        <w:t>ash flows could be adversely affected</w:t>
      </w:r>
      <w:r>
        <w:rPr>
          <w:rFonts w:eastAsia="Times New Roman"/>
          <w:color w:val="000000"/>
          <w:sz w:val="20"/>
          <w:szCs w:val="20"/>
        </w:rPr>
        <w:t>.</w:t>
      </w:r>
    </w:p>
    <w:p w:rsidR="00000000" w:rsidRDefault="00602C02">
      <w:pPr>
        <w:ind w:firstLine="360"/>
        <w:divId w:val="178011984"/>
        <w:rPr>
          <w:rFonts w:eastAsia="Times New Roman"/>
        </w:rPr>
      </w:pPr>
      <w:r>
        <w:rPr>
          <w:rFonts w:eastAsia="Times New Roman"/>
          <w:color w:val="000000"/>
          <w:sz w:val="20"/>
          <w:szCs w:val="20"/>
        </w:rPr>
        <w:t>Tax rules may change in a manner that adversely affects our future reported results of operations or the way we conduct our business. Further changes in the tax laws of foreign jurisdictions could arise as a result of</w:t>
      </w:r>
      <w:r>
        <w:rPr>
          <w:rFonts w:eastAsia="Times New Roman"/>
          <w:color w:val="000000"/>
          <w:sz w:val="20"/>
          <w:szCs w:val="20"/>
        </w:rPr>
        <w:t xml:space="preserve"> the base erosion and profit shifting (BEPS) project that was undertaken by the Organization for Economic Co-operation and Development (OECD). The OECD, which represents a coalition of member countries, recommended changes to numerous long-standing tax pri</w:t>
      </w:r>
      <w:r>
        <w:rPr>
          <w:rFonts w:eastAsia="Times New Roman"/>
          <w:color w:val="000000"/>
          <w:sz w:val="20"/>
          <w:szCs w:val="20"/>
        </w:rPr>
        <w:t>nciples related to transfer pricing. These changes, as adopted by countries, may increase tax uncertainty and may adversely affect our provision for income taxes, results of operations and cash flows. Partially to address BEPS, we moved certain intellectua</w:t>
      </w:r>
      <w:r>
        <w:rPr>
          <w:rFonts w:eastAsia="Times New Roman"/>
          <w:color w:val="000000"/>
          <w:sz w:val="20"/>
          <w:szCs w:val="20"/>
        </w:rPr>
        <w:t>l</w:t>
      </w:r>
      <w:r>
        <w:rPr>
          <w:rFonts w:eastAsia="Times New Roman"/>
          <w:color w:val="000000"/>
          <w:sz w:val="20"/>
          <w:szCs w:val="20"/>
        </w:rPr>
        <w:t xml:space="preserve"> </w:t>
      </w:r>
    </w:p>
    <w:p w:rsidR="00000000" w:rsidRDefault="00602C02">
      <w:pPr>
        <w:jc w:val="center"/>
        <w:divId w:val="68578877"/>
        <w:rPr>
          <w:rFonts w:eastAsia="Times New Roman"/>
        </w:rPr>
      </w:pPr>
      <w:r>
        <w:rPr>
          <w:rFonts w:eastAsia="Times New Roman"/>
          <w:color w:val="000000"/>
          <w:sz w:val="20"/>
          <w:szCs w:val="20"/>
        </w:rPr>
        <w:t>5</w:t>
      </w:r>
      <w:r>
        <w:rPr>
          <w:rFonts w:eastAsia="Times New Roman"/>
          <w:color w:val="000000"/>
          <w:sz w:val="20"/>
          <w:szCs w:val="20"/>
        </w:rPr>
        <w:t>0</w:t>
      </w:r>
    </w:p>
    <w:p w:rsidR="00000000" w:rsidRDefault="00602C02">
      <w:pPr>
        <w:rPr>
          <w:rFonts w:eastAsia="Times New Roman"/>
        </w:rPr>
      </w:pPr>
      <w:r>
        <w:rPr>
          <w:rFonts w:eastAsia="Times New Roman"/>
        </w:rPr>
        <w:pict>
          <v:rect id="_x0000_i1074" style="width:0;height:1.5pt" o:hralign="center" o:hrstd="t" o:hr="t" fillcolor="#a0a0a0" stroked="f"/>
        </w:pict>
      </w:r>
    </w:p>
    <w:p w:rsidR="00000000" w:rsidRDefault="00602C02">
      <w:pPr>
        <w:divId w:val="509611239"/>
        <w:rPr>
          <w:rFonts w:eastAsia="Times New Roman"/>
        </w:rPr>
      </w:pPr>
    </w:p>
    <w:p w:rsidR="00000000" w:rsidRDefault="00602C02">
      <w:pPr>
        <w:divId w:val="2020546108"/>
        <w:rPr>
          <w:rFonts w:eastAsia="Times New Roman"/>
        </w:rPr>
      </w:pPr>
      <w:r>
        <w:rPr>
          <w:rFonts w:eastAsia="Times New Roman"/>
          <w:color w:val="000000"/>
          <w:sz w:val="20"/>
          <w:szCs w:val="20"/>
        </w:rPr>
        <w:t>property from Singapore to the United States. As a result, if tax rates were to increase in the United States, our results of operations, cash flows and financial condition could be adversely affected</w:t>
      </w:r>
      <w:r>
        <w:rPr>
          <w:rFonts w:eastAsia="Times New Roman"/>
          <w:color w:val="000000"/>
          <w:sz w:val="20"/>
          <w:szCs w:val="20"/>
        </w:rPr>
        <w:t>.</w:t>
      </w:r>
    </w:p>
    <w:p w:rsidR="00000000" w:rsidRDefault="00602C02">
      <w:pPr>
        <w:divId w:val="2040083066"/>
        <w:rPr>
          <w:rFonts w:eastAsia="Times New Roman"/>
        </w:rPr>
      </w:pPr>
      <w:r>
        <w:rPr>
          <w:rFonts w:eastAsia="Times New Roman"/>
          <w:b/>
          <w:bCs/>
          <w:i/>
          <w:iCs/>
          <w:color w:val="000000"/>
          <w:sz w:val="20"/>
          <w:szCs w:val="20"/>
        </w:rPr>
        <w:t>Global, re</w:t>
      </w:r>
      <w:r>
        <w:rPr>
          <w:rFonts w:eastAsia="Times New Roman"/>
          <w:b/>
          <w:bCs/>
          <w:i/>
          <w:iCs/>
          <w:color w:val="000000"/>
          <w:sz w:val="20"/>
          <w:szCs w:val="20"/>
        </w:rPr>
        <w:t xml:space="preserve">gional or local economic conditions, or political actions including trade and/or national security protection policies, such as tariffs, that impact the mobile communications industry or the other industries in which we operate could negatively affect the </w:t>
      </w:r>
      <w:r>
        <w:rPr>
          <w:rFonts w:eastAsia="Times New Roman"/>
          <w:b/>
          <w:bCs/>
          <w:i/>
          <w:iCs/>
          <w:color w:val="000000"/>
          <w:sz w:val="20"/>
          <w:szCs w:val="20"/>
        </w:rPr>
        <w:t>demand for our products and services and our customers’ or licensees’ products and services, which may negatively affect our revenues</w:t>
      </w:r>
      <w:r>
        <w:rPr>
          <w:rFonts w:eastAsia="Times New Roman"/>
          <w:b/>
          <w:bCs/>
          <w:i/>
          <w:iCs/>
          <w:color w:val="000000"/>
          <w:sz w:val="20"/>
          <w:szCs w:val="20"/>
        </w:rPr>
        <w:t>.</w:t>
      </w:r>
    </w:p>
    <w:p w:rsidR="00000000" w:rsidRDefault="00602C02">
      <w:pPr>
        <w:ind w:firstLine="360"/>
        <w:divId w:val="2042440178"/>
        <w:rPr>
          <w:rFonts w:eastAsia="Times New Roman"/>
        </w:rPr>
      </w:pPr>
      <w:r>
        <w:rPr>
          <w:rFonts w:eastAsia="Times New Roman"/>
          <w:color w:val="000000"/>
          <w:sz w:val="20"/>
          <w:szCs w:val="20"/>
        </w:rPr>
        <w:t>A decline in global, regional or local economic conditions, a slow-down in economic growth, political actions including t</w:t>
      </w:r>
      <w:r>
        <w:rPr>
          <w:rFonts w:eastAsia="Times New Roman"/>
          <w:color w:val="000000"/>
          <w:sz w:val="20"/>
          <w:szCs w:val="20"/>
        </w:rPr>
        <w:t>rade and/or national security protection policies, such as tariffs, or actions by governments that limit or prevent us from transacting business with certain companies or that limit or prevent certain companies from transacting business with us, particular</w:t>
      </w:r>
      <w:r>
        <w:rPr>
          <w:rFonts w:eastAsia="Times New Roman"/>
          <w:color w:val="000000"/>
          <w:sz w:val="20"/>
          <w:szCs w:val="20"/>
        </w:rPr>
        <w:t>ly in geographic regions with high concentrations of wireless voice and data users or high concentrations of our customers or licensees, could have adverse, wide-ranging effects on demand for our products and services and for the products and services of o</w:t>
      </w:r>
      <w:r>
        <w:rPr>
          <w:rFonts w:eastAsia="Times New Roman"/>
          <w:color w:val="000000"/>
          <w:sz w:val="20"/>
          <w:szCs w:val="20"/>
        </w:rPr>
        <w:t>ur customers or licensees, particularly equipment manufacturers or others in the wireless communications industry who buy their products, such as wireless operators.</w:t>
      </w:r>
      <w:r>
        <w:rPr>
          <w:rFonts w:eastAsia="Times New Roman"/>
          <w:color w:val="000000"/>
          <w:sz w:val="20"/>
          <w:szCs w:val="20"/>
        </w:rPr>
        <w:t xml:space="preserve"> </w:t>
      </w:r>
    </w:p>
    <w:p w:rsidR="00000000" w:rsidRDefault="00602C02">
      <w:pPr>
        <w:ind w:firstLine="360"/>
        <w:divId w:val="986086286"/>
        <w:rPr>
          <w:rFonts w:eastAsia="Times New Roman"/>
        </w:rPr>
      </w:pPr>
      <w:r>
        <w:rPr>
          <w:rFonts w:eastAsia="Times New Roman"/>
          <w:color w:val="000000"/>
          <w:sz w:val="20"/>
          <w:szCs w:val="20"/>
          <w:shd w:val="clear" w:color="auto" w:fill="FFFFFF"/>
        </w:rPr>
        <w:t>Similarly, due to pressure from the Chinese government as part of its broader economic po</w:t>
      </w:r>
      <w:r>
        <w:rPr>
          <w:rFonts w:eastAsia="Times New Roman"/>
          <w:color w:val="000000"/>
          <w:sz w:val="20"/>
          <w:szCs w:val="20"/>
          <w:shd w:val="clear" w:color="auto" w:fill="FFFFFF"/>
        </w:rPr>
        <w:t>licies, our Chinese OEMs’ concerns over losing access to our integrated circuit products as a result of U.S./China trade tensions, or other policies, regulations or decisions arising out of U.S./China trade tensions, our Chinese OEM customers may develop t</w:t>
      </w:r>
      <w:r>
        <w:rPr>
          <w:rFonts w:eastAsia="Times New Roman"/>
          <w:color w:val="000000"/>
          <w:sz w:val="20"/>
          <w:szCs w:val="20"/>
          <w:shd w:val="clear" w:color="auto" w:fill="FFFFFF"/>
        </w:rPr>
        <w:t xml:space="preserve">heir own integrated circuit products and use such products, or use other integrated circuit products, in their devices rather than our integrated circuit products, and our Chinese licensees may delay or cease payments of license fees they owe to us. </w:t>
      </w:r>
    </w:p>
    <w:p w:rsidR="00000000" w:rsidRDefault="00602C02">
      <w:pPr>
        <w:ind w:firstLine="360"/>
        <w:divId w:val="504593468"/>
        <w:rPr>
          <w:rFonts w:eastAsia="Times New Roman"/>
        </w:rPr>
      </w:pPr>
      <w:r>
        <w:rPr>
          <w:rFonts w:eastAsia="Times New Roman"/>
          <w:color w:val="000000"/>
          <w:sz w:val="20"/>
          <w:szCs w:val="20"/>
          <w:shd w:val="clear" w:color="auto" w:fill="FFFFFF"/>
        </w:rPr>
        <w:t>Furth</w:t>
      </w:r>
      <w:r>
        <w:rPr>
          <w:rFonts w:eastAsia="Times New Roman"/>
          <w:color w:val="000000"/>
          <w:sz w:val="20"/>
          <w:szCs w:val="20"/>
          <w:shd w:val="clear" w:color="auto" w:fill="FFFFFF"/>
        </w:rPr>
        <w:t xml:space="preserve">er, the COVID-19 pandemic, and government and business responses thereto, are currently negatively affecting, and we expect will continue to, at least in the near term, negatively affect global economic conditions, resulting in reduced consumer confidence </w:t>
      </w:r>
      <w:r>
        <w:rPr>
          <w:rFonts w:eastAsia="Times New Roman"/>
          <w:color w:val="000000"/>
          <w:sz w:val="20"/>
          <w:szCs w:val="20"/>
          <w:shd w:val="clear" w:color="auto" w:fill="FFFFFF"/>
        </w:rPr>
        <w:t>and demand for consumer devices and other goods containing our integrated circuit products or that use our intellectual property and may negatively affect our manufacturing facilities and/or the manufacturing facilities of our customers, licensees and/or s</w:t>
      </w:r>
      <w:r>
        <w:rPr>
          <w:rFonts w:eastAsia="Times New Roman"/>
          <w:color w:val="000000"/>
          <w:sz w:val="20"/>
          <w:szCs w:val="20"/>
          <w:shd w:val="clear" w:color="auto" w:fill="FFFFFF"/>
        </w:rPr>
        <w:t xml:space="preserve">uppliers, including due to quarantines and/or closures. A prolonged COVID-19 health crisis may result in an even more significant negative impact on global economic conditions and may lead to a global recession. </w:t>
      </w:r>
    </w:p>
    <w:p w:rsidR="00000000" w:rsidRDefault="00602C02">
      <w:pPr>
        <w:ind w:firstLine="360"/>
        <w:divId w:val="780151169"/>
        <w:rPr>
          <w:rFonts w:eastAsia="Times New Roman"/>
        </w:rPr>
      </w:pPr>
      <w:r>
        <w:rPr>
          <w:rFonts w:eastAsia="Times New Roman"/>
          <w:color w:val="000000"/>
          <w:sz w:val="20"/>
          <w:szCs w:val="20"/>
        </w:rPr>
        <w:t>Any such prolonged economic downturn, “trad</w:t>
      </w:r>
      <w:r>
        <w:rPr>
          <w:rFonts w:eastAsia="Times New Roman"/>
          <w:color w:val="000000"/>
          <w:sz w:val="20"/>
          <w:szCs w:val="20"/>
        </w:rPr>
        <w:t>e war” or outbreak may result in a decrease in demand for our products and technologies; a decrease in demand for the products and services of our customers or licensees; the inability of our suppliers to deliver on their supply commitments to us, our inab</w:t>
      </w:r>
      <w:r>
        <w:rPr>
          <w:rFonts w:eastAsia="Times New Roman"/>
          <w:color w:val="000000"/>
          <w:sz w:val="20"/>
          <w:szCs w:val="20"/>
        </w:rPr>
        <w:t>ility to supply our products to our customers and/or the inability of our customers or licensees to supply their products to end users; the insolvency of key suppliers, customers or licensees; delays in reporting or payments from our licensees or customers</w:t>
      </w:r>
      <w:r>
        <w:rPr>
          <w:rFonts w:eastAsia="Times New Roman"/>
          <w:color w:val="000000"/>
          <w:sz w:val="20"/>
          <w:szCs w:val="20"/>
        </w:rPr>
        <w:t xml:space="preserve">; failures by counterparties; and/or negative effects on wireless device inventories. In addition, our customers’ ability to purchase or pay for our products and services and network operators’ ability to upgrade their wireless networks could be adversely </w:t>
      </w:r>
      <w:r>
        <w:rPr>
          <w:rFonts w:eastAsia="Times New Roman"/>
          <w:color w:val="000000"/>
          <w:sz w:val="20"/>
          <w:szCs w:val="20"/>
        </w:rPr>
        <w:t>affected by economic conditions, leading to a reduction, cancellation or delay of orders for our products and services</w:t>
      </w:r>
      <w:r>
        <w:rPr>
          <w:rFonts w:eastAsia="Times New Roman"/>
          <w:color w:val="000000"/>
          <w:sz w:val="20"/>
          <w:szCs w:val="20"/>
        </w:rPr>
        <w:t>.</w:t>
      </w:r>
    </w:p>
    <w:p w:rsidR="00000000" w:rsidRDefault="00602C02">
      <w:pPr>
        <w:divId w:val="1209608316"/>
        <w:rPr>
          <w:rFonts w:eastAsia="Times New Roman"/>
        </w:rPr>
      </w:pPr>
      <w:r>
        <w:rPr>
          <w:rFonts w:eastAsia="Times New Roman"/>
          <w:b/>
          <w:bCs/>
          <w:i/>
          <w:iCs/>
          <w:color w:val="000000"/>
          <w:sz w:val="20"/>
          <w:szCs w:val="20"/>
        </w:rPr>
        <w:t>We may not be able to attract and retain qualified employees</w:t>
      </w:r>
      <w:r>
        <w:rPr>
          <w:rFonts w:eastAsia="Times New Roman"/>
          <w:b/>
          <w:bCs/>
          <w:i/>
          <w:iCs/>
          <w:color w:val="000000"/>
          <w:sz w:val="20"/>
          <w:szCs w:val="20"/>
        </w:rPr>
        <w:t>.</w:t>
      </w:r>
    </w:p>
    <w:p w:rsidR="00000000" w:rsidRDefault="00602C02">
      <w:pPr>
        <w:ind w:firstLine="360"/>
        <w:divId w:val="621376667"/>
        <w:rPr>
          <w:rFonts w:eastAsia="Times New Roman"/>
        </w:rPr>
      </w:pPr>
      <w:r>
        <w:rPr>
          <w:rFonts w:eastAsia="Times New Roman"/>
          <w:color w:val="000000"/>
          <w:sz w:val="20"/>
          <w:szCs w:val="20"/>
        </w:rPr>
        <w:t>Our future success depends largely upon the continued service of our execu</w:t>
      </w:r>
      <w:r>
        <w:rPr>
          <w:rFonts w:eastAsia="Times New Roman"/>
          <w:color w:val="000000"/>
          <w:sz w:val="20"/>
          <w:szCs w:val="20"/>
        </w:rPr>
        <w:t xml:space="preserve">tive officers and other key management and technical personnel, and on our ability to continue to identify, attract, retain and motivate them. Implementing our business strategy requires specialized engineering and other talent, as our revenues are highly </w:t>
      </w:r>
      <w:r>
        <w:rPr>
          <w:rFonts w:eastAsia="Times New Roman"/>
          <w:color w:val="000000"/>
          <w:sz w:val="20"/>
          <w:szCs w:val="20"/>
        </w:rPr>
        <w:t>dependent on technological and product innovations. The market for employees in our industry is extremely competitive, and competitors for talent, particularly engineering talent, increasingly attempt to hire, and to varying degrees have been successful in</w:t>
      </w:r>
      <w:r>
        <w:rPr>
          <w:rFonts w:eastAsia="Times New Roman"/>
          <w:color w:val="000000"/>
          <w:sz w:val="20"/>
          <w:szCs w:val="20"/>
        </w:rPr>
        <w:t xml:space="preserve"> hiring, our employees, including by establishing local offices near our headquarters in San Diego, California. A number of such competitors for talent are significantly larger than us and are able to offer compensation in excess of what we are able to off</w:t>
      </w:r>
      <w:r>
        <w:rPr>
          <w:rFonts w:eastAsia="Times New Roman"/>
          <w:color w:val="000000"/>
          <w:sz w:val="20"/>
          <w:szCs w:val="20"/>
        </w:rPr>
        <w:t>er. Further, existing immigration laws make it more difficult for us to recruit and retain highly skilled foreign national graduates of universities in the United States, making the pool of available talent even smaller. If we are unable to attract and ret</w:t>
      </w:r>
      <w:r>
        <w:rPr>
          <w:rFonts w:eastAsia="Times New Roman"/>
          <w:color w:val="000000"/>
          <w:sz w:val="20"/>
          <w:szCs w:val="20"/>
        </w:rPr>
        <w:t>ain qualified employees, our business may be harmed</w:t>
      </w:r>
      <w:r>
        <w:rPr>
          <w:rFonts w:eastAsia="Times New Roman"/>
          <w:color w:val="000000"/>
          <w:sz w:val="20"/>
          <w:szCs w:val="20"/>
        </w:rPr>
        <w:t>.</w:t>
      </w:r>
    </w:p>
    <w:p w:rsidR="00000000" w:rsidRDefault="00602C02">
      <w:pPr>
        <w:divId w:val="2137285011"/>
        <w:rPr>
          <w:rFonts w:eastAsia="Times New Roman"/>
        </w:rPr>
      </w:pPr>
      <w:r>
        <w:rPr>
          <w:rFonts w:eastAsia="Times New Roman"/>
          <w:b/>
          <w:bCs/>
          <w:i/>
          <w:iCs/>
          <w:color w:val="000000"/>
          <w:sz w:val="20"/>
          <w:szCs w:val="20"/>
        </w:rPr>
        <w:t>Currency fluctuations could negatively affect future product sales or royalty revenues, harm our ability to collect receivables or increase the U.S. dollar cost of our products</w:t>
      </w:r>
      <w:r>
        <w:rPr>
          <w:rFonts w:eastAsia="Times New Roman"/>
          <w:b/>
          <w:bCs/>
          <w:i/>
          <w:iCs/>
          <w:color w:val="000000"/>
          <w:sz w:val="20"/>
          <w:szCs w:val="20"/>
        </w:rPr>
        <w:t>.</w:t>
      </w:r>
    </w:p>
    <w:p w:rsidR="00000000" w:rsidRDefault="00602C02">
      <w:pPr>
        <w:ind w:firstLine="360"/>
        <w:divId w:val="1626035542"/>
        <w:rPr>
          <w:rFonts w:eastAsia="Times New Roman"/>
        </w:rPr>
      </w:pPr>
      <w:r>
        <w:rPr>
          <w:rFonts w:eastAsia="Times New Roman"/>
          <w:color w:val="000000"/>
          <w:sz w:val="20"/>
          <w:szCs w:val="20"/>
        </w:rPr>
        <w:t xml:space="preserve">Our customers sell their </w:t>
      </w:r>
      <w:r>
        <w:rPr>
          <w:rFonts w:eastAsia="Times New Roman"/>
          <w:color w:val="000000"/>
          <w:sz w:val="20"/>
          <w:szCs w:val="20"/>
        </w:rPr>
        <w:t>products throughout the world in various currencies. Our consolidated revenues from international customers and licensees accounted for a significant portion of our total revenues in each of the last three fiscal years. Adverse movements in currency exchan</w:t>
      </w:r>
      <w:r>
        <w:rPr>
          <w:rFonts w:eastAsia="Times New Roman"/>
          <w:color w:val="000000"/>
          <w:sz w:val="20"/>
          <w:szCs w:val="20"/>
        </w:rPr>
        <w:t>ge rates may negatively affect our business, revenues, results of operations and cash flows due to a number of factors, including, among others</w:t>
      </w:r>
      <w:r>
        <w:rPr>
          <w:rFonts w:eastAsia="Times New Roman"/>
          <w:color w:val="000000"/>
          <w:sz w:val="20"/>
          <w:szCs w:val="20"/>
        </w:rPr>
        <w:t>:</w:t>
      </w:r>
    </w:p>
    <w:p w:rsidR="00000000" w:rsidRDefault="00602C02">
      <w:pPr>
        <w:ind w:hanging="360"/>
        <w:divId w:val="1787771977"/>
        <w:rPr>
          <w:rFonts w:eastAsia="Times New Roman"/>
        </w:rPr>
      </w:pPr>
      <w:r>
        <w:rPr>
          <w:rFonts w:eastAsia="Times New Roman"/>
          <w:color w:val="000000"/>
          <w:sz w:val="20"/>
          <w:szCs w:val="20"/>
        </w:rPr>
        <w:t>•</w:t>
      </w:r>
      <w:r>
        <w:rPr>
          <w:rFonts w:eastAsia="Times New Roman"/>
          <w:color w:val="000000"/>
          <w:sz w:val="20"/>
          <w:szCs w:val="20"/>
        </w:rPr>
        <w:t xml:space="preserve">Our products and those of our customers and licensees that are sold outside the United States may become less </w:t>
      </w:r>
      <w:r>
        <w:rPr>
          <w:rFonts w:eastAsia="Times New Roman"/>
          <w:color w:val="000000"/>
          <w:sz w:val="20"/>
          <w:szCs w:val="20"/>
        </w:rPr>
        <w:t>price-competitive, which may result in reduced demand for those products or downward pressure on average selling prices;</w:t>
      </w:r>
      <w:r>
        <w:rPr>
          <w:rFonts w:eastAsia="Times New Roman"/>
          <w:color w:val="000000"/>
          <w:sz w:val="20"/>
          <w:szCs w:val="20"/>
        </w:rPr>
        <w:t xml:space="preserve"> </w:t>
      </w:r>
    </w:p>
    <w:p w:rsidR="00000000" w:rsidRDefault="00602C02">
      <w:pPr>
        <w:jc w:val="center"/>
        <w:divId w:val="1388720247"/>
        <w:rPr>
          <w:rFonts w:eastAsia="Times New Roman"/>
        </w:rPr>
      </w:pPr>
      <w:r>
        <w:rPr>
          <w:rFonts w:eastAsia="Times New Roman"/>
          <w:color w:val="000000"/>
          <w:sz w:val="20"/>
          <w:szCs w:val="20"/>
        </w:rPr>
        <w:t>5</w:t>
      </w:r>
      <w:r>
        <w:rPr>
          <w:rFonts w:eastAsia="Times New Roman"/>
          <w:color w:val="000000"/>
          <w:sz w:val="20"/>
          <w:szCs w:val="20"/>
        </w:rPr>
        <w:t>1</w:t>
      </w:r>
    </w:p>
    <w:p w:rsidR="00000000" w:rsidRDefault="00602C02">
      <w:pPr>
        <w:rPr>
          <w:rFonts w:eastAsia="Times New Roman"/>
        </w:rPr>
      </w:pPr>
      <w:r>
        <w:rPr>
          <w:rFonts w:eastAsia="Times New Roman"/>
        </w:rPr>
        <w:pict>
          <v:rect id="_x0000_i1075" style="width:0;height:1.5pt" o:hralign="center" o:hrstd="t" o:hr="t" fillcolor="#a0a0a0" stroked="f"/>
        </w:pict>
      </w:r>
    </w:p>
    <w:p w:rsidR="00000000" w:rsidRDefault="00602C02">
      <w:pPr>
        <w:divId w:val="1618682927"/>
        <w:rPr>
          <w:rFonts w:eastAsia="Times New Roman"/>
        </w:rPr>
      </w:pPr>
    </w:p>
    <w:p w:rsidR="00000000" w:rsidRDefault="00602C02">
      <w:pPr>
        <w:ind w:hanging="360"/>
        <w:divId w:val="1134635108"/>
        <w:rPr>
          <w:rFonts w:eastAsia="Times New Roman"/>
        </w:rPr>
      </w:pPr>
      <w:r>
        <w:rPr>
          <w:rFonts w:eastAsia="Times New Roman"/>
          <w:color w:val="000000"/>
          <w:sz w:val="20"/>
          <w:szCs w:val="20"/>
        </w:rPr>
        <w:t>•</w:t>
      </w:r>
      <w:r>
        <w:rPr>
          <w:rFonts w:eastAsia="Times New Roman"/>
          <w:color w:val="000000"/>
          <w:sz w:val="20"/>
          <w:szCs w:val="20"/>
        </w:rPr>
        <w:t>Certain of our revenues that are derived from products that are sold in foreign currencies could decrease, resulting in lower revenues, cash flows and margins;</w:t>
      </w:r>
      <w:r>
        <w:rPr>
          <w:rFonts w:eastAsia="Times New Roman"/>
          <w:color w:val="000000"/>
          <w:sz w:val="20"/>
          <w:szCs w:val="20"/>
        </w:rPr>
        <w:t xml:space="preserve"> </w:t>
      </w:r>
    </w:p>
    <w:p w:rsidR="00000000" w:rsidRDefault="00602C02">
      <w:pPr>
        <w:ind w:hanging="360"/>
        <w:divId w:val="689256261"/>
        <w:rPr>
          <w:rFonts w:eastAsia="Times New Roman"/>
        </w:rPr>
      </w:pPr>
      <w:r>
        <w:rPr>
          <w:rFonts w:eastAsia="Times New Roman"/>
          <w:color w:val="000000"/>
          <w:sz w:val="20"/>
          <w:szCs w:val="20"/>
        </w:rPr>
        <w:t>•</w:t>
      </w:r>
      <w:r>
        <w:rPr>
          <w:rFonts w:eastAsia="Times New Roman"/>
          <w:color w:val="000000"/>
          <w:sz w:val="20"/>
          <w:szCs w:val="20"/>
        </w:rPr>
        <w:t>Certain of our revenues, such as royalties, that are de</w:t>
      </w:r>
      <w:r>
        <w:rPr>
          <w:rFonts w:eastAsia="Times New Roman"/>
          <w:color w:val="000000"/>
          <w:sz w:val="20"/>
          <w:szCs w:val="20"/>
        </w:rPr>
        <w:t>rived from licensee or customer sales denominated in foreign currencies could decrease, resulting in lower revenues and cash flows</w:t>
      </w:r>
      <w:r>
        <w:rPr>
          <w:rFonts w:eastAsia="Times New Roman"/>
          <w:color w:val="000000"/>
          <w:sz w:val="20"/>
          <w:szCs w:val="20"/>
        </w:rPr>
        <w:t>;</w:t>
      </w:r>
    </w:p>
    <w:p w:rsidR="00000000" w:rsidRDefault="00602C02">
      <w:pPr>
        <w:ind w:hanging="360"/>
        <w:divId w:val="1556549791"/>
        <w:rPr>
          <w:rFonts w:eastAsia="Times New Roman"/>
        </w:rPr>
      </w:pPr>
      <w:r>
        <w:rPr>
          <w:rFonts w:eastAsia="Times New Roman"/>
          <w:color w:val="000000"/>
          <w:sz w:val="20"/>
          <w:szCs w:val="20"/>
        </w:rPr>
        <w:t>•</w:t>
      </w:r>
      <w:r>
        <w:rPr>
          <w:rFonts w:eastAsia="Times New Roman"/>
          <w:color w:val="000000"/>
          <w:sz w:val="20"/>
          <w:szCs w:val="20"/>
        </w:rPr>
        <w:t>Our foreign suppliers may raise their prices if they are impacted by currency fluctuations, resulting in higher than expect</w:t>
      </w:r>
      <w:r>
        <w:rPr>
          <w:rFonts w:eastAsia="Times New Roman"/>
          <w:color w:val="000000"/>
          <w:sz w:val="20"/>
          <w:szCs w:val="20"/>
        </w:rPr>
        <w:t>ed costs, and lower margins and cash flows;</w:t>
      </w:r>
      <w:r>
        <w:rPr>
          <w:rFonts w:eastAsia="Times New Roman"/>
          <w:color w:val="000000"/>
          <w:sz w:val="20"/>
          <w:szCs w:val="20"/>
        </w:rPr>
        <w:t xml:space="preserve"> </w:t>
      </w:r>
    </w:p>
    <w:p w:rsidR="00000000" w:rsidRDefault="00602C02">
      <w:pPr>
        <w:ind w:hanging="360"/>
        <w:divId w:val="950362120"/>
        <w:rPr>
          <w:rFonts w:eastAsia="Times New Roman"/>
        </w:rPr>
      </w:pPr>
      <w:r>
        <w:rPr>
          <w:rFonts w:eastAsia="Times New Roman"/>
          <w:color w:val="000000"/>
          <w:sz w:val="20"/>
          <w:szCs w:val="20"/>
        </w:rPr>
        <w:t>•</w:t>
      </w:r>
      <w:r>
        <w:rPr>
          <w:rFonts w:eastAsia="Times New Roman"/>
          <w:color w:val="000000"/>
          <w:sz w:val="20"/>
          <w:szCs w:val="20"/>
        </w:rPr>
        <w:t>Certain of our costs that are denominated in foreign currencies could increase, resulting in higher than expected costs and cash outflows; an</w:t>
      </w:r>
      <w:r>
        <w:rPr>
          <w:rFonts w:eastAsia="Times New Roman"/>
          <w:color w:val="000000"/>
          <w:sz w:val="20"/>
          <w:szCs w:val="20"/>
        </w:rPr>
        <w:t>d</w:t>
      </w:r>
    </w:p>
    <w:p w:rsidR="00000000" w:rsidRDefault="00602C02">
      <w:pPr>
        <w:ind w:hanging="360"/>
        <w:divId w:val="956449677"/>
        <w:rPr>
          <w:rFonts w:eastAsia="Times New Roman"/>
        </w:rPr>
      </w:pPr>
      <w:r>
        <w:rPr>
          <w:rFonts w:eastAsia="Times New Roman"/>
          <w:color w:val="000000"/>
          <w:sz w:val="20"/>
          <w:szCs w:val="20"/>
        </w:rPr>
        <w:t>•</w:t>
      </w:r>
      <w:r>
        <w:rPr>
          <w:rFonts w:eastAsia="Times New Roman"/>
          <w:color w:val="000000"/>
          <w:sz w:val="20"/>
          <w:szCs w:val="20"/>
        </w:rPr>
        <w:t>Foreign exchange hedging exposes us to counterparty risk and may r</w:t>
      </w:r>
      <w:r>
        <w:rPr>
          <w:rFonts w:eastAsia="Times New Roman"/>
          <w:color w:val="000000"/>
          <w:sz w:val="20"/>
          <w:szCs w:val="20"/>
        </w:rPr>
        <w:t>equire the payment of structuring fees. If the foreign exchange hedges do not qualify for hedge accounting, the hedge results may cause earnings volatility. The foreign exchange hedging activities are designed to lessen earnings volatility; therefore, hedg</w:t>
      </w:r>
      <w:r>
        <w:rPr>
          <w:rFonts w:eastAsia="Times New Roman"/>
          <w:color w:val="000000"/>
          <w:sz w:val="20"/>
          <w:szCs w:val="20"/>
        </w:rPr>
        <w:t>es may reduce the impact of currency fluctuations to certain revenues and costs</w:t>
      </w:r>
      <w:r>
        <w:rPr>
          <w:rFonts w:eastAsia="Times New Roman"/>
          <w:color w:val="000000"/>
          <w:sz w:val="20"/>
          <w:szCs w:val="20"/>
        </w:rPr>
        <w:t>.</w:t>
      </w:r>
    </w:p>
    <w:p w:rsidR="00000000" w:rsidRDefault="00602C02">
      <w:pPr>
        <w:divId w:val="582422304"/>
        <w:rPr>
          <w:rFonts w:eastAsia="Times New Roman"/>
        </w:rPr>
      </w:pPr>
      <w:r>
        <w:rPr>
          <w:rFonts w:eastAsia="Times New Roman"/>
          <w:b/>
          <w:bCs/>
          <w:i/>
          <w:iCs/>
          <w:color w:val="000000"/>
          <w:sz w:val="20"/>
          <w:szCs w:val="20"/>
        </w:rPr>
        <w:t>Failures in our products, or in the products of our customers or licensees, including those resulting from security vulnerabilities, defects or errors, could harm our business</w:t>
      </w:r>
      <w:r>
        <w:rPr>
          <w:rFonts w:eastAsia="Times New Roman"/>
          <w:b/>
          <w:bCs/>
          <w:i/>
          <w:iCs/>
          <w:color w:val="000000"/>
          <w:sz w:val="20"/>
          <w:szCs w:val="20"/>
        </w:rPr>
        <w:t>.</w:t>
      </w:r>
    </w:p>
    <w:p w:rsidR="00000000" w:rsidRDefault="00602C02">
      <w:pPr>
        <w:ind w:firstLine="360"/>
        <w:divId w:val="1393194301"/>
        <w:rPr>
          <w:rFonts w:eastAsia="Times New Roman"/>
        </w:rPr>
      </w:pPr>
      <w:r>
        <w:rPr>
          <w:rFonts w:eastAsia="Times New Roman"/>
          <w:color w:val="000000"/>
          <w:sz w:val="20"/>
          <w:szCs w:val="20"/>
        </w:rPr>
        <w:t>Our products (including related software) are complex and may contain defects, errors or security vulnerabilities, or experience failures or unsatisfactory performance, due to any number of issues, including in materials, design, fabrication, packaging a</w:t>
      </w:r>
      <w:r>
        <w:rPr>
          <w:rFonts w:eastAsia="Times New Roman"/>
          <w:color w:val="000000"/>
          <w:sz w:val="20"/>
          <w:szCs w:val="20"/>
        </w:rPr>
        <w:t>nd/or use within a system. Further, because of the complexity of our products, defects or errors might only be detected when the products are in use. Development of products in new domains of technology, and the migration to integrated circuit technologies</w:t>
      </w:r>
      <w:r>
        <w:rPr>
          <w:rFonts w:eastAsia="Times New Roman"/>
          <w:color w:val="000000"/>
          <w:sz w:val="20"/>
          <w:szCs w:val="20"/>
        </w:rPr>
        <w:t xml:space="preserve"> with smaller geometric feature sizes, is complex, adds risk to manufacturing yields and reliability, and increases the likelihood of product defects or errors. Risks associated with product defects, errors or security vulnerabilities are exacerbated by th</w:t>
      </w:r>
      <w:r>
        <w:rPr>
          <w:rFonts w:eastAsia="Times New Roman"/>
          <w:color w:val="000000"/>
          <w:sz w:val="20"/>
          <w:szCs w:val="20"/>
        </w:rPr>
        <w:t>e fact that our customers typically integrate our products into consumer devices</w:t>
      </w:r>
      <w:r>
        <w:rPr>
          <w:rFonts w:eastAsia="Times New Roman"/>
          <w:color w:val="000000"/>
          <w:sz w:val="20"/>
          <w:szCs w:val="20"/>
        </w:rPr>
        <w:t>.</w:t>
      </w:r>
    </w:p>
    <w:p w:rsidR="00000000" w:rsidRDefault="00602C02">
      <w:pPr>
        <w:ind w:firstLine="360"/>
        <w:divId w:val="1485506422"/>
        <w:rPr>
          <w:rFonts w:eastAsia="Times New Roman"/>
        </w:rPr>
      </w:pPr>
      <w:r>
        <w:rPr>
          <w:rFonts w:eastAsia="Times New Roman"/>
          <w:color w:val="000000"/>
          <w:sz w:val="20"/>
          <w:szCs w:val="20"/>
        </w:rPr>
        <w:t xml:space="preserve">The use of devices containing our products to interact with untrusted systems or otherwise access untrusted content creates a risk of exposing the system hardware and software in those devices to malicious attacks. Security vulnerabilities in our products </w:t>
      </w:r>
      <w:r>
        <w:rPr>
          <w:rFonts w:eastAsia="Times New Roman"/>
          <w:color w:val="000000"/>
          <w:sz w:val="20"/>
          <w:szCs w:val="20"/>
        </w:rPr>
        <w:t xml:space="preserve">could expose our customers or end users to hackers or other unscrupulous third parties who develop and deploy viruses, worms and other malicious software programs that could attack our products or those of our customers. While we continue to focus on this </w:t>
      </w:r>
      <w:r>
        <w:rPr>
          <w:rFonts w:eastAsia="Times New Roman"/>
          <w:color w:val="000000"/>
          <w:sz w:val="20"/>
          <w:szCs w:val="20"/>
        </w:rPr>
        <w:t>issue and are taking measures to safeguard our products from cybersecurity threats, device capabilities continue to evolve, enabling more elaborate functionality and applications, and increasing the risk of security failures</w:t>
      </w:r>
      <w:r>
        <w:rPr>
          <w:rFonts w:eastAsia="Times New Roman"/>
          <w:color w:val="000000"/>
          <w:sz w:val="20"/>
          <w:szCs w:val="20"/>
        </w:rPr>
        <w:t>.</w:t>
      </w:r>
    </w:p>
    <w:p w:rsidR="00000000" w:rsidRDefault="00602C02">
      <w:pPr>
        <w:ind w:firstLine="360"/>
        <w:divId w:val="1152915941"/>
        <w:rPr>
          <w:rFonts w:eastAsia="Times New Roman"/>
        </w:rPr>
      </w:pPr>
      <w:r>
        <w:rPr>
          <w:rFonts w:eastAsia="Times New Roman"/>
          <w:color w:val="000000"/>
          <w:sz w:val="20"/>
          <w:szCs w:val="20"/>
        </w:rPr>
        <w:t>Our products may be responsibl</w:t>
      </w:r>
      <w:r>
        <w:rPr>
          <w:rFonts w:eastAsia="Times New Roman"/>
          <w:color w:val="000000"/>
          <w:sz w:val="20"/>
          <w:szCs w:val="20"/>
        </w:rPr>
        <w:t>e for critical functions in our customers’ products and networks. Failure of our products to perform to specifications, or other product defects, errors or security vulnerabilities, could lead to substantial damage to the products we sell to our customers,</w:t>
      </w:r>
      <w:r>
        <w:rPr>
          <w:rFonts w:eastAsia="Times New Roman"/>
          <w:color w:val="000000"/>
          <w:sz w:val="20"/>
          <w:szCs w:val="20"/>
        </w:rPr>
        <w:t xml:space="preserve"> the devices into which our products are integrated and to the end users of such devices. Such defects, errors or security vulnerabilities could give rise to significant costs, including costs related to developing solutions, recalling products, repairing </w:t>
      </w:r>
      <w:r>
        <w:rPr>
          <w:rFonts w:eastAsia="Times New Roman"/>
          <w:color w:val="000000"/>
          <w:sz w:val="20"/>
          <w:szCs w:val="20"/>
        </w:rPr>
        <w:t xml:space="preserve">or replacing defective products, writing down defective inventory, or indemnification clauses in our agreements, and could result in the loss of sales and divert the attention of our engineering personnel from our product development efforts. In addition, </w:t>
      </w:r>
      <w:r>
        <w:rPr>
          <w:rFonts w:eastAsia="Times New Roman"/>
          <w:color w:val="000000"/>
          <w:sz w:val="20"/>
          <w:szCs w:val="20"/>
        </w:rPr>
        <w:t>defects, errors or security vulnerabilities in our products could result in failure to achieve market acceptance, a loss of design wins, a shifting of business to our competitors, and litigation or regulatory action against us, and could harm our reputatio</w:t>
      </w:r>
      <w:r>
        <w:rPr>
          <w:rFonts w:eastAsia="Times New Roman"/>
          <w:color w:val="000000"/>
          <w:sz w:val="20"/>
          <w:szCs w:val="20"/>
        </w:rPr>
        <w:t>n, our relationships with customers and partners and our ability to attract new customers, as well as the perceptions of our brand. Other potential adverse impacts of product defects, errors or security vulnerabilities include shipment delays, write-offs o</w:t>
      </w:r>
      <w:r>
        <w:rPr>
          <w:rFonts w:eastAsia="Times New Roman"/>
          <w:color w:val="000000"/>
          <w:sz w:val="20"/>
          <w:szCs w:val="20"/>
        </w:rPr>
        <w:t>f property, plant and equipment and intangible assets, losses on unfavorable purchase commitments, and a decrease in demand for connected devices and wireless services generally. In addition, defects, errors or security vulnerabilities in the products of o</w:t>
      </w:r>
      <w:r>
        <w:rPr>
          <w:rFonts w:eastAsia="Times New Roman"/>
          <w:color w:val="000000"/>
          <w:sz w:val="20"/>
          <w:szCs w:val="20"/>
        </w:rPr>
        <w:t>ur customers or licensees could cause a delay or decrease in demand for the products into which our products are integrated, and thus for our products generally and our premium-tier products in particular</w:t>
      </w:r>
      <w:r>
        <w:rPr>
          <w:rFonts w:eastAsia="Times New Roman"/>
          <w:color w:val="000000"/>
          <w:sz w:val="20"/>
          <w:szCs w:val="20"/>
        </w:rPr>
        <w:t>.</w:t>
      </w:r>
    </w:p>
    <w:p w:rsidR="00000000" w:rsidRDefault="00602C02">
      <w:pPr>
        <w:ind w:firstLine="360"/>
        <w:divId w:val="2117434795"/>
        <w:rPr>
          <w:rFonts w:eastAsia="Times New Roman"/>
        </w:rPr>
      </w:pPr>
      <w:r>
        <w:rPr>
          <w:rFonts w:eastAsia="Times New Roman"/>
          <w:color w:val="000000"/>
          <w:sz w:val="20"/>
          <w:szCs w:val="20"/>
        </w:rPr>
        <w:t>In addition, the occurrence of defects may give ri</w:t>
      </w:r>
      <w:r>
        <w:rPr>
          <w:rFonts w:eastAsia="Times New Roman"/>
          <w:color w:val="000000"/>
          <w:sz w:val="20"/>
          <w:szCs w:val="20"/>
        </w:rPr>
        <w:t>se to product liability claims, particularly if defects in our products or the products into which they are integrated result in personal injury or death. If a product liability claim is brought against us, the cost of defending the claim could be signific</w:t>
      </w:r>
      <w:r>
        <w:rPr>
          <w:rFonts w:eastAsia="Times New Roman"/>
          <w:color w:val="000000"/>
          <w:sz w:val="20"/>
          <w:szCs w:val="20"/>
        </w:rPr>
        <w:t>ant, and could divert the efforts of our technical and management personnel and harm our business. We may be named in product liability claims even if there is no evidence that our products caused the damage in question, and even though we may have indemni</w:t>
      </w:r>
      <w:r>
        <w:rPr>
          <w:rFonts w:eastAsia="Times New Roman"/>
          <w:color w:val="000000"/>
          <w:sz w:val="20"/>
          <w:szCs w:val="20"/>
        </w:rPr>
        <w:t>ty from our customers, and such claims could result in significant costs and expenses. Further, our business liability insurance may be inadequate, or future coverage may be unavailable on acceptable terms, which could adversely impact our financial result</w:t>
      </w:r>
      <w:r>
        <w:rPr>
          <w:rFonts w:eastAsia="Times New Roman"/>
          <w:color w:val="000000"/>
          <w:sz w:val="20"/>
          <w:szCs w:val="20"/>
        </w:rPr>
        <w:t>s. The above is exacerbated by the fact that our products may be used, and perform critical functions, in various high-risk applications such as automobiles, including autonomous driver assistance programs; cameras and artificial intelligence, including ho</w:t>
      </w:r>
      <w:r>
        <w:rPr>
          <w:rFonts w:eastAsia="Times New Roman"/>
          <w:color w:val="000000"/>
          <w:sz w:val="20"/>
          <w:szCs w:val="20"/>
        </w:rPr>
        <w:t>me and enterprise security; home automation, including smoke and noxious gas detectors; medical condition monitoring; location and asset tracking and management, including wearables for child safety and elderly health; robotics, including public safety dro</w:t>
      </w:r>
      <w:r>
        <w:rPr>
          <w:rFonts w:eastAsia="Times New Roman"/>
          <w:color w:val="000000"/>
          <w:sz w:val="20"/>
          <w:szCs w:val="20"/>
        </w:rPr>
        <w:t>nes and autonomous municipality</w:t>
      </w:r>
      <w:r>
        <w:rPr>
          <w:rFonts w:eastAsia="Times New Roman"/>
          <w:color w:val="000000"/>
          <w:sz w:val="20"/>
          <w:szCs w:val="20"/>
        </w:rPr>
        <w:t xml:space="preserve"> </w:t>
      </w:r>
    </w:p>
    <w:p w:rsidR="00000000" w:rsidRDefault="00602C02">
      <w:pPr>
        <w:jc w:val="center"/>
        <w:divId w:val="1015619200"/>
        <w:rPr>
          <w:rFonts w:eastAsia="Times New Roman"/>
        </w:rPr>
      </w:pPr>
      <w:r>
        <w:rPr>
          <w:rFonts w:eastAsia="Times New Roman"/>
          <w:color w:val="000000"/>
          <w:sz w:val="20"/>
          <w:szCs w:val="20"/>
        </w:rPr>
        <w:t>5</w:t>
      </w:r>
      <w:r>
        <w:rPr>
          <w:rFonts w:eastAsia="Times New Roman"/>
          <w:color w:val="000000"/>
          <w:sz w:val="20"/>
          <w:szCs w:val="20"/>
        </w:rPr>
        <w:t>2</w:t>
      </w:r>
    </w:p>
    <w:p w:rsidR="00000000" w:rsidRDefault="00602C02">
      <w:pPr>
        <w:rPr>
          <w:rFonts w:eastAsia="Times New Roman"/>
        </w:rPr>
      </w:pPr>
      <w:r>
        <w:rPr>
          <w:rFonts w:eastAsia="Times New Roman"/>
        </w:rPr>
        <w:pict>
          <v:rect id="_x0000_i1076" style="width:0;height:1.5pt" o:hralign="center" o:hrstd="t" o:hr="t" fillcolor="#a0a0a0" stroked="f"/>
        </w:pict>
      </w:r>
    </w:p>
    <w:p w:rsidR="00000000" w:rsidRDefault="00602C02">
      <w:pPr>
        <w:divId w:val="500123909"/>
        <w:rPr>
          <w:rFonts w:eastAsia="Times New Roman"/>
        </w:rPr>
      </w:pPr>
    </w:p>
    <w:p w:rsidR="00000000" w:rsidRDefault="00602C02">
      <w:pPr>
        <w:divId w:val="898441817"/>
        <w:rPr>
          <w:rFonts w:eastAsia="Times New Roman"/>
        </w:rPr>
      </w:pPr>
      <w:r>
        <w:rPr>
          <w:rFonts w:eastAsia="Times New Roman"/>
          <w:color w:val="000000"/>
          <w:sz w:val="20"/>
          <w:szCs w:val="20"/>
        </w:rPr>
        <w:t>vehicles; and extended reality (XR) for treatment of phobias or PTSD, early detection of disorders or special needs, among others</w:t>
      </w:r>
      <w:r>
        <w:rPr>
          <w:rFonts w:eastAsia="Times New Roman"/>
          <w:color w:val="000000"/>
          <w:sz w:val="20"/>
          <w:szCs w:val="20"/>
        </w:rPr>
        <w:t>.</w:t>
      </w:r>
    </w:p>
    <w:p w:rsidR="00000000" w:rsidRDefault="00602C02">
      <w:pPr>
        <w:ind w:firstLine="360"/>
        <w:divId w:val="1261186683"/>
        <w:rPr>
          <w:rFonts w:eastAsia="Times New Roman"/>
        </w:rPr>
      </w:pPr>
      <w:r>
        <w:rPr>
          <w:rFonts w:eastAsia="Times New Roman"/>
          <w:color w:val="000000"/>
          <w:sz w:val="20"/>
          <w:szCs w:val="20"/>
        </w:rPr>
        <w:t>Accordingly, defects, errors or security vulnerabil</w:t>
      </w:r>
      <w:r>
        <w:rPr>
          <w:rFonts w:eastAsia="Times New Roman"/>
          <w:color w:val="000000"/>
          <w:sz w:val="20"/>
          <w:szCs w:val="20"/>
        </w:rPr>
        <w:t>ities in our products or services could have an adverse impact on us, on our customers and the end users of our customers’ products. If any of these risks materialize, there could be a material adverse effect on our business, financial condition and result</w:t>
      </w:r>
      <w:r>
        <w:rPr>
          <w:rFonts w:eastAsia="Times New Roman"/>
          <w:color w:val="000000"/>
          <w:sz w:val="20"/>
          <w:szCs w:val="20"/>
        </w:rPr>
        <w:t>s of operations</w:t>
      </w:r>
      <w:r>
        <w:rPr>
          <w:rFonts w:eastAsia="Times New Roman"/>
          <w:color w:val="000000"/>
          <w:sz w:val="20"/>
          <w:szCs w:val="20"/>
        </w:rPr>
        <w:t>.</w:t>
      </w:r>
    </w:p>
    <w:p w:rsidR="00000000" w:rsidRDefault="00602C02">
      <w:pPr>
        <w:divId w:val="810050520"/>
        <w:rPr>
          <w:rFonts w:eastAsia="Times New Roman"/>
        </w:rPr>
      </w:pPr>
      <w:r>
        <w:rPr>
          <w:rFonts w:eastAsia="Times New Roman"/>
          <w:b/>
          <w:bCs/>
          <w:color w:val="000000"/>
          <w:sz w:val="20"/>
          <w:szCs w:val="20"/>
        </w:rPr>
        <w:t>ITEM 3. QUANTITATIVE AND QUALITATIVE DISCLOSURES ABOUT MARKET RIS</w:t>
      </w:r>
      <w:r>
        <w:rPr>
          <w:rFonts w:eastAsia="Times New Roman"/>
          <w:b/>
          <w:bCs/>
          <w:color w:val="000000"/>
          <w:sz w:val="20"/>
          <w:szCs w:val="20"/>
        </w:rPr>
        <w:t>K</w:t>
      </w:r>
    </w:p>
    <w:p w:rsidR="00000000" w:rsidRDefault="00602C02">
      <w:pPr>
        <w:ind w:firstLine="360"/>
        <w:divId w:val="2043287856"/>
        <w:rPr>
          <w:rFonts w:eastAsia="Times New Roman"/>
        </w:rPr>
      </w:pPr>
      <w:r>
        <w:rPr>
          <w:rFonts w:eastAsia="Times New Roman"/>
          <w:color w:val="000000"/>
          <w:sz w:val="20"/>
          <w:szCs w:val="20"/>
        </w:rPr>
        <w:t>Financial market risks related to interest rates, foreign currency exchange rates and equity prices are described in our 2019 Annual Report on Form 10-</w:t>
      </w:r>
      <w:r>
        <w:rPr>
          <w:rFonts w:eastAsia="Times New Roman"/>
          <w:color w:val="000000"/>
          <w:sz w:val="20"/>
          <w:szCs w:val="20"/>
        </w:rPr>
        <w:t>K</w:t>
      </w:r>
      <w:r>
        <w:rPr>
          <w:rFonts w:eastAsia="Times New Roman"/>
          <w:color w:val="000000"/>
          <w:sz w:val="20"/>
          <w:szCs w:val="20"/>
          <w:shd w:val="clear" w:color="auto" w:fill="FFFFFF"/>
        </w:rPr>
        <w:t xml:space="preserve">. During the second </w:t>
      </w:r>
      <w:r>
        <w:rPr>
          <w:rFonts w:eastAsia="Times New Roman"/>
          <w:color w:val="000000"/>
          <w:sz w:val="20"/>
          <w:szCs w:val="20"/>
          <w:shd w:val="clear" w:color="auto" w:fill="FFFFFF"/>
        </w:rPr>
        <w:t>quarter of fiscal 2020, the rapid, global spread of COVID-19 and the fear it has created has resulted in significant declines in the condition of economies and financial markets globally, that could cause a global recession. This has adversely affected cer</w:t>
      </w:r>
      <w:r>
        <w:rPr>
          <w:rFonts w:eastAsia="Times New Roman"/>
          <w:color w:val="000000"/>
          <w:sz w:val="20"/>
          <w:szCs w:val="20"/>
          <w:shd w:val="clear" w:color="auto" w:fill="FFFFFF"/>
        </w:rPr>
        <w:t>tain of our investments. See “Notes to Condensed Consolidated Financial Statements, Note 2. Composition of Certain Financial Statement Items” and “Risk Factors” in this Quarterly Report. In addition, while the fair value of our investment portfolio is subj</w:t>
      </w:r>
      <w:r>
        <w:rPr>
          <w:rFonts w:eastAsia="Times New Roman"/>
          <w:color w:val="000000"/>
          <w:sz w:val="20"/>
          <w:szCs w:val="20"/>
          <w:shd w:val="clear" w:color="auto" w:fill="FFFFFF"/>
        </w:rPr>
        <w:t>ect to higher interest rate risk based on an increased holdings in marketable debt securities at March 29, 2020, a hypothetical increase in interest rates of 100 basis points across the entire yield curve on such holdings would have resulted in a negligibl</w:t>
      </w:r>
      <w:r>
        <w:rPr>
          <w:rFonts w:eastAsia="Times New Roman"/>
          <w:color w:val="000000"/>
          <w:sz w:val="20"/>
          <w:szCs w:val="20"/>
          <w:shd w:val="clear" w:color="auto" w:fill="FFFFFF"/>
        </w:rPr>
        <w:t xml:space="preserve">e decrease in the fair value of our holdings. </w:t>
      </w:r>
      <w:r>
        <w:rPr>
          <w:rFonts w:eastAsia="Times New Roman"/>
          <w:color w:val="000000"/>
          <w:sz w:val="20"/>
          <w:szCs w:val="20"/>
          <w:shd w:val="clear" w:color="auto" w:fill="FFFFFF"/>
        </w:rPr>
        <w:t>W</w:t>
      </w:r>
      <w:r>
        <w:rPr>
          <w:rFonts w:eastAsia="Times New Roman"/>
          <w:color w:val="000000"/>
          <w:sz w:val="20"/>
          <w:szCs w:val="20"/>
        </w:rPr>
        <w:t>e do not currently anticipate any other near-term changes in the nature of our financial market risk exposures or in management’s objectives and strategies with respect to managing such exposures</w:t>
      </w:r>
      <w:r>
        <w:rPr>
          <w:rFonts w:eastAsia="Times New Roman"/>
          <w:color w:val="000000"/>
          <w:sz w:val="20"/>
          <w:szCs w:val="20"/>
        </w:rPr>
        <w:t>.</w:t>
      </w:r>
    </w:p>
    <w:p w:rsidR="00000000" w:rsidRDefault="00602C02">
      <w:pPr>
        <w:divId w:val="1492482398"/>
        <w:rPr>
          <w:rFonts w:eastAsia="Times New Roman"/>
        </w:rPr>
      </w:pPr>
      <w:r>
        <w:rPr>
          <w:rFonts w:eastAsia="Times New Roman"/>
          <w:b/>
          <w:bCs/>
          <w:color w:val="000000"/>
          <w:sz w:val="20"/>
          <w:szCs w:val="20"/>
        </w:rPr>
        <w:t>ITEM 4. CONT</w:t>
      </w:r>
      <w:r>
        <w:rPr>
          <w:rFonts w:eastAsia="Times New Roman"/>
          <w:b/>
          <w:bCs/>
          <w:color w:val="000000"/>
          <w:sz w:val="20"/>
          <w:szCs w:val="20"/>
        </w:rPr>
        <w:t>ROLS AND PROCEDURE</w:t>
      </w:r>
      <w:r>
        <w:rPr>
          <w:rFonts w:eastAsia="Times New Roman"/>
          <w:b/>
          <w:bCs/>
          <w:color w:val="000000"/>
          <w:sz w:val="20"/>
          <w:szCs w:val="20"/>
        </w:rPr>
        <w:t>S</w:t>
      </w:r>
    </w:p>
    <w:p w:rsidR="00000000" w:rsidRDefault="00602C02">
      <w:pPr>
        <w:ind w:firstLine="360"/>
        <w:divId w:val="999961070"/>
        <w:rPr>
          <w:rFonts w:eastAsia="Times New Roman"/>
        </w:rPr>
      </w:pPr>
      <w:r>
        <w:rPr>
          <w:rFonts w:eastAsia="Times New Roman"/>
          <w:b/>
          <w:bCs/>
          <w:i/>
          <w:iCs/>
          <w:color w:val="000000"/>
          <w:sz w:val="20"/>
          <w:szCs w:val="20"/>
        </w:rPr>
        <w:t>Evaluation of Disclosure Controls and Procedures</w:t>
      </w:r>
      <w:r>
        <w:rPr>
          <w:rFonts w:eastAsia="Times New Roman"/>
          <w:b/>
          <w:bCs/>
          <w:i/>
          <w:iCs/>
          <w:color w:val="000000"/>
          <w:sz w:val="20"/>
          <w:szCs w:val="20"/>
        </w:rPr>
        <w:t>.</w:t>
      </w:r>
      <w:r>
        <w:rPr>
          <w:rFonts w:eastAsia="Times New Roman"/>
          <w:color w:val="000000"/>
          <w:sz w:val="20"/>
          <w:szCs w:val="20"/>
        </w:rPr>
        <w:t xml:space="preserve"> Under the supervision and with the participation of our management, including our principal executive officer and principal financial officer, we conducted an evaluation of our disclosur</w:t>
      </w:r>
      <w:r>
        <w:rPr>
          <w:rFonts w:eastAsia="Times New Roman"/>
          <w:color w:val="000000"/>
          <w:sz w:val="20"/>
          <w:szCs w:val="20"/>
        </w:rPr>
        <w:t>e controls and procedures, as such terms are defined under Rule 13a-15(e) promulgated under the Securities Exchange Act of 1934, as amended. Based on this evaluation, our principal executive officer and our principal financial officer concluded that our di</w:t>
      </w:r>
      <w:r>
        <w:rPr>
          <w:rFonts w:eastAsia="Times New Roman"/>
          <w:color w:val="000000"/>
          <w:sz w:val="20"/>
          <w:szCs w:val="20"/>
        </w:rPr>
        <w:t>sclosure controls and procedures were effective as of the end of the period covered by this Quarterly Report</w:t>
      </w:r>
      <w:r>
        <w:rPr>
          <w:rFonts w:eastAsia="Times New Roman"/>
          <w:color w:val="000000"/>
          <w:sz w:val="20"/>
          <w:szCs w:val="20"/>
        </w:rPr>
        <w:t>.</w:t>
      </w:r>
    </w:p>
    <w:p w:rsidR="00000000" w:rsidRDefault="00602C02">
      <w:pPr>
        <w:ind w:firstLine="360"/>
        <w:divId w:val="463668538"/>
        <w:rPr>
          <w:rFonts w:eastAsia="Times New Roman"/>
        </w:rPr>
      </w:pPr>
      <w:r>
        <w:rPr>
          <w:rFonts w:eastAsia="Times New Roman"/>
          <w:b/>
          <w:bCs/>
          <w:i/>
          <w:iCs/>
          <w:color w:val="000000"/>
          <w:sz w:val="20"/>
          <w:szCs w:val="20"/>
        </w:rPr>
        <w:t>Changes in Internal Control over Financial Reporting</w:t>
      </w:r>
      <w:r>
        <w:rPr>
          <w:rFonts w:eastAsia="Times New Roman"/>
          <w:b/>
          <w:bCs/>
          <w:i/>
          <w:iCs/>
          <w:color w:val="000000"/>
          <w:sz w:val="20"/>
          <w:szCs w:val="20"/>
        </w:rPr>
        <w:t>.</w:t>
      </w:r>
      <w:r>
        <w:rPr>
          <w:rFonts w:eastAsia="Times New Roman"/>
          <w:color w:val="000000"/>
          <w:sz w:val="20"/>
          <w:szCs w:val="20"/>
        </w:rPr>
        <w:t xml:space="preserve"> There were no changes in our internal control over financial reporting in the second quarter</w:t>
      </w:r>
      <w:r>
        <w:rPr>
          <w:rFonts w:eastAsia="Times New Roman"/>
          <w:color w:val="000000"/>
          <w:sz w:val="20"/>
          <w:szCs w:val="20"/>
        </w:rPr>
        <w:t xml:space="preserve"> of fiscal 2020 that have materially affected, or are reasonably likely to materially affect, our internal control over financial reporting</w:t>
      </w:r>
      <w:r>
        <w:rPr>
          <w:rFonts w:eastAsia="Times New Roman"/>
          <w:color w:val="000000"/>
          <w:sz w:val="20"/>
          <w:szCs w:val="20"/>
        </w:rPr>
        <w:t>.</w:t>
      </w:r>
    </w:p>
    <w:p w:rsidR="00000000" w:rsidRDefault="00602C02">
      <w:pPr>
        <w:divId w:val="485323734"/>
        <w:rPr>
          <w:rFonts w:eastAsia="Times New Roman"/>
        </w:rPr>
      </w:pPr>
      <w:r>
        <w:rPr>
          <w:rFonts w:eastAsia="Times New Roman"/>
          <w:b/>
          <w:bCs/>
          <w:color w:val="000000"/>
          <w:sz w:val="20"/>
          <w:szCs w:val="20"/>
        </w:rPr>
        <w:t>PART II. OTHER INFORMATIO</w:t>
      </w:r>
      <w:r>
        <w:rPr>
          <w:rFonts w:eastAsia="Times New Roman"/>
          <w:b/>
          <w:bCs/>
          <w:color w:val="000000"/>
          <w:sz w:val="20"/>
          <w:szCs w:val="20"/>
        </w:rPr>
        <w:t>N</w:t>
      </w:r>
    </w:p>
    <w:p w:rsidR="00000000" w:rsidRDefault="00602C02">
      <w:pPr>
        <w:divId w:val="2075855616"/>
        <w:rPr>
          <w:rFonts w:eastAsia="Times New Roman"/>
        </w:rPr>
      </w:pPr>
      <w:r>
        <w:rPr>
          <w:rFonts w:eastAsia="Times New Roman"/>
          <w:b/>
          <w:bCs/>
          <w:color w:val="000000"/>
          <w:sz w:val="20"/>
          <w:szCs w:val="20"/>
        </w:rPr>
        <w:t>ITEM 1. LEGAL PROCEEDING</w:t>
      </w:r>
      <w:r>
        <w:rPr>
          <w:rFonts w:eastAsia="Times New Roman"/>
          <w:b/>
          <w:bCs/>
          <w:color w:val="000000"/>
          <w:sz w:val="20"/>
          <w:szCs w:val="20"/>
        </w:rPr>
        <w:t>S</w:t>
      </w:r>
    </w:p>
    <w:p w:rsidR="00000000" w:rsidRDefault="00602C02">
      <w:pPr>
        <w:ind w:firstLine="360"/>
        <w:divId w:val="186219909"/>
        <w:rPr>
          <w:rFonts w:eastAsia="Times New Roman"/>
        </w:rPr>
      </w:pPr>
      <w:r>
        <w:rPr>
          <w:rFonts w:eastAsia="Times New Roman"/>
          <w:color w:val="000000"/>
          <w:sz w:val="20"/>
          <w:szCs w:val="20"/>
        </w:rPr>
        <w:t>Information regarding certain legal proceedings is provided in</w:t>
      </w:r>
      <w:r>
        <w:rPr>
          <w:rFonts w:eastAsia="Times New Roman"/>
          <w:color w:val="000000"/>
          <w:sz w:val="20"/>
          <w:szCs w:val="20"/>
        </w:rPr>
        <w:t xml:space="preserve"> this Quarterly Report in “Notes to Condensed Consolidated Financial Statements, Note 5. Commitments and Contingencies.” We are also engaged in numerous other legal actions arising in the ordinary course of our business and, while there can be no assurance</w:t>
      </w:r>
      <w:r>
        <w:rPr>
          <w:rFonts w:eastAsia="Times New Roman"/>
          <w:color w:val="000000"/>
          <w:sz w:val="20"/>
          <w:szCs w:val="20"/>
        </w:rPr>
        <w:t>, we believe that the ultimate outcome of these other legal actions will not have a material adverse effect on our business, results of operations, financial condition or cash flows</w:t>
      </w:r>
      <w:r>
        <w:rPr>
          <w:rFonts w:eastAsia="Times New Roman"/>
          <w:color w:val="000000"/>
          <w:sz w:val="20"/>
          <w:szCs w:val="20"/>
        </w:rPr>
        <w:t>.</w:t>
      </w:r>
    </w:p>
    <w:p w:rsidR="00000000" w:rsidRDefault="00602C02">
      <w:pPr>
        <w:divId w:val="148323902"/>
        <w:rPr>
          <w:rFonts w:eastAsia="Times New Roman"/>
        </w:rPr>
      </w:pPr>
      <w:r>
        <w:rPr>
          <w:rFonts w:eastAsia="Times New Roman"/>
          <w:b/>
          <w:bCs/>
          <w:color w:val="000000"/>
          <w:sz w:val="20"/>
          <w:szCs w:val="20"/>
        </w:rPr>
        <w:t>ITEM 1A. RISK FACTOR</w:t>
      </w:r>
      <w:r>
        <w:rPr>
          <w:rFonts w:eastAsia="Times New Roman"/>
          <w:b/>
          <w:bCs/>
          <w:color w:val="000000"/>
          <w:sz w:val="20"/>
          <w:szCs w:val="20"/>
        </w:rPr>
        <w:t>S</w:t>
      </w:r>
    </w:p>
    <w:p w:rsidR="00000000" w:rsidRDefault="00602C02">
      <w:pPr>
        <w:ind w:firstLine="360"/>
        <w:divId w:val="1851874179"/>
        <w:rPr>
          <w:rFonts w:eastAsia="Times New Roman"/>
        </w:rPr>
      </w:pPr>
      <w:r>
        <w:rPr>
          <w:rFonts w:eastAsia="Times New Roman"/>
          <w:color w:val="000000"/>
          <w:sz w:val="20"/>
          <w:szCs w:val="20"/>
        </w:rPr>
        <w:t xml:space="preserve">We have provided updated Risk Factors in the section labeled “Risk Factors” in “Part I, Item 2, Management’s Discussion and Analysis of Financial Condition and Results of Operations.” Other than the Risk Factors entitled </w:t>
      </w:r>
      <w:r>
        <w:rPr>
          <w:rFonts w:eastAsia="Times New Roman"/>
          <w:color w:val="000000"/>
          <w:sz w:val="20"/>
          <w:szCs w:val="20"/>
        </w:rPr>
        <w:t>“</w:t>
      </w:r>
      <w:r>
        <w:rPr>
          <w:rFonts w:eastAsia="Times New Roman"/>
          <w:i/>
          <w:iCs/>
          <w:color w:val="000000"/>
          <w:sz w:val="20"/>
          <w:szCs w:val="20"/>
        </w:rPr>
        <w:t>Failures in our products, or in th</w:t>
      </w:r>
      <w:r>
        <w:rPr>
          <w:rFonts w:eastAsia="Times New Roman"/>
          <w:i/>
          <w:iCs/>
          <w:color w:val="000000"/>
          <w:sz w:val="20"/>
          <w:szCs w:val="20"/>
        </w:rPr>
        <w:t>e products of our customers or licensees, including those resulting from security vulnerabilities, defects or errors, could harm our busines</w:t>
      </w:r>
      <w:r>
        <w:rPr>
          <w:rFonts w:eastAsia="Times New Roman"/>
          <w:i/>
          <w:iCs/>
          <w:color w:val="000000"/>
          <w:sz w:val="20"/>
          <w:szCs w:val="20"/>
        </w:rPr>
        <w:t>s</w:t>
      </w:r>
      <w:r>
        <w:rPr>
          <w:rFonts w:eastAsia="Times New Roman"/>
          <w:color w:val="000000"/>
          <w:sz w:val="20"/>
          <w:szCs w:val="20"/>
        </w:rPr>
        <w:t>” (which had previously been included in our Quarterly Report on Form 10-Q for the fiscal quarter ended December 29</w:t>
      </w:r>
      <w:r>
        <w:rPr>
          <w:rFonts w:eastAsia="Times New Roman"/>
          <w:color w:val="000000"/>
          <w:sz w:val="20"/>
          <w:szCs w:val="20"/>
        </w:rPr>
        <w:t>, 2019) a</w:t>
      </w:r>
      <w:r>
        <w:rPr>
          <w:rFonts w:eastAsia="Times New Roman"/>
          <w:color w:val="000000"/>
          <w:sz w:val="20"/>
          <w:szCs w:val="20"/>
        </w:rPr>
        <w:t>n</w:t>
      </w:r>
      <w:r>
        <w:rPr>
          <w:rFonts w:eastAsia="Times New Roman"/>
          <w:color w:val="000000"/>
          <w:sz w:val="20"/>
          <w:szCs w:val="20"/>
          <w:shd w:val="clear" w:color="auto" w:fill="FFFFFF"/>
        </w:rPr>
        <w:t xml:space="preserve">d </w:t>
      </w:r>
      <w:r>
        <w:rPr>
          <w:rFonts w:eastAsia="Times New Roman"/>
          <w:i/>
          <w:iCs/>
          <w:color w:val="000000"/>
          <w:sz w:val="20"/>
          <w:szCs w:val="20"/>
          <w:shd w:val="clear" w:color="auto" w:fill="FFFFFF"/>
        </w:rPr>
        <w:t xml:space="preserve">“The recent coronavirus (COVID-19) pandemic has had an adverse effect on our business and results of operations, and we expect its impact will increase, at least in the near term,” </w:t>
      </w:r>
      <w:r>
        <w:rPr>
          <w:rFonts w:eastAsia="Times New Roman"/>
          <w:color w:val="000000"/>
          <w:sz w:val="20"/>
          <w:szCs w:val="20"/>
          <w:shd w:val="clear" w:color="auto" w:fill="FFFFFF"/>
        </w:rPr>
        <w:t>we do not believe those updates have materially changed the typ</w:t>
      </w:r>
      <w:r>
        <w:rPr>
          <w:rFonts w:eastAsia="Times New Roman"/>
          <w:color w:val="000000"/>
          <w:sz w:val="20"/>
          <w:szCs w:val="20"/>
          <w:shd w:val="clear" w:color="auto" w:fill="FFFFFF"/>
        </w:rPr>
        <w:t>e or magnitude of the risks we face in comparison to the disclosures provided in our most recent Annual Report on Form 10-K. However, many of the risks we face, including a number of those set forth in the “Risk Factors” section, will be exacerbated by the</w:t>
      </w:r>
      <w:r>
        <w:rPr>
          <w:rFonts w:eastAsia="Times New Roman"/>
          <w:color w:val="000000"/>
          <w:sz w:val="20"/>
          <w:szCs w:val="20"/>
          <w:shd w:val="clear" w:color="auto" w:fill="FFFFFF"/>
        </w:rPr>
        <w:t xml:space="preserve"> COVID-19 pandemic, government and business responses thereto and any further resulting decline in the global business and economic environment.</w:t>
      </w:r>
    </w:p>
    <w:p w:rsidR="00000000" w:rsidRDefault="00602C02">
      <w:pPr>
        <w:jc w:val="center"/>
        <w:divId w:val="1133130921"/>
        <w:rPr>
          <w:rFonts w:eastAsia="Times New Roman"/>
        </w:rPr>
      </w:pPr>
      <w:r>
        <w:rPr>
          <w:rFonts w:eastAsia="Times New Roman"/>
          <w:color w:val="000000"/>
          <w:sz w:val="20"/>
          <w:szCs w:val="20"/>
        </w:rPr>
        <w:t>5</w:t>
      </w:r>
      <w:r>
        <w:rPr>
          <w:rFonts w:eastAsia="Times New Roman"/>
          <w:color w:val="000000"/>
          <w:sz w:val="20"/>
          <w:szCs w:val="20"/>
        </w:rPr>
        <w:t>3</w:t>
      </w:r>
    </w:p>
    <w:p w:rsidR="00000000" w:rsidRDefault="00602C02">
      <w:pPr>
        <w:rPr>
          <w:rFonts w:eastAsia="Times New Roman"/>
        </w:rPr>
      </w:pPr>
      <w:r>
        <w:rPr>
          <w:rFonts w:eastAsia="Times New Roman"/>
        </w:rPr>
        <w:pict>
          <v:rect id="_x0000_i1077" style="width:0;height:1.5pt" o:hralign="center" o:hrstd="t" o:hr="t" fillcolor="#a0a0a0" stroked="f"/>
        </w:pict>
      </w:r>
    </w:p>
    <w:p w:rsidR="00000000" w:rsidRDefault="00602C02">
      <w:pPr>
        <w:divId w:val="1596790070"/>
        <w:rPr>
          <w:rFonts w:eastAsia="Times New Roman"/>
        </w:rPr>
      </w:pPr>
    </w:p>
    <w:p w:rsidR="00000000" w:rsidRDefault="00602C02">
      <w:pPr>
        <w:divId w:val="1457140973"/>
        <w:rPr>
          <w:rFonts w:eastAsia="Times New Roman"/>
        </w:rPr>
      </w:pPr>
      <w:r>
        <w:rPr>
          <w:rFonts w:eastAsia="Times New Roman"/>
          <w:b/>
          <w:bCs/>
          <w:color w:val="000000"/>
          <w:sz w:val="20"/>
          <w:szCs w:val="20"/>
        </w:rPr>
        <w:t>ITEM 2. UNREGISTERED SALES OF EQUITY SECURITIES AND USE OF PROCEED</w:t>
      </w:r>
      <w:r>
        <w:rPr>
          <w:rFonts w:eastAsia="Times New Roman"/>
          <w:b/>
          <w:bCs/>
          <w:color w:val="000000"/>
          <w:sz w:val="20"/>
          <w:szCs w:val="20"/>
        </w:rPr>
        <w:t>S</w:t>
      </w:r>
    </w:p>
    <w:p w:rsidR="00000000" w:rsidRDefault="00602C02">
      <w:pPr>
        <w:divId w:val="162089504"/>
        <w:rPr>
          <w:rFonts w:eastAsia="Times New Roman"/>
        </w:rPr>
      </w:pPr>
      <w:r>
        <w:rPr>
          <w:rFonts w:eastAsia="Times New Roman"/>
          <w:color w:val="000000"/>
          <w:sz w:val="20"/>
          <w:szCs w:val="20"/>
        </w:rPr>
        <w:t>Is</w:t>
      </w:r>
      <w:r>
        <w:rPr>
          <w:rFonts w:eastAsia="Times New Roman"/>
          <w:color w:val="000000"/>
          <w:sz w:val="20"/>
          <w:szCs w:val="20"/>
        </w:rPr>
        <w:t>suer purchases of equity securities in the second quarter of fiscal 2020 were</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5"/>
        <w:gridCol w:w="3031"/>
        <w:gridCol w:w="65"/>
        <w:gridCol w:w="65"/>
        <w:gridCol w:w="1089"/>
        <w:gridCol w:w="81"/>
        <w:gridCol w:w="36"/>
        <w:gridCol w:w="36"/>
        <w:gridCol w:w="36"/>
        <w:gridCol w:w="126"/>
        <w:gridCol w:w="674"/>
        <w:gridCol w:w="80"/>
        <w:gridCol w:w="36"/>
        <w:gridCol w:w="36"/>
        <w:gridCol w:w="36"/>
        <w:gridCol w:w="62"/>
        <w:gridCol w:w="1050"/>
        <w:gridCol w:w="80"/>
        <w:gridCol w:w="36"/>
        <w:gridCol w:w="36"/>
        <w:gridCol w:w="36"/>
        <w:gridCol w:w="126"/>
        <w:gridCol w:w="1295"/>
        <w:gridCol w:w="80"/>
      </w:tblGrid>
      <w:tr w:rsidR="00000000">
        <w:trPr>
          <w:divId w:val="623851226"/>
        </w:trPr>
        <w:tc>
          <w:tcPr>
            <w:tcW w:w="50" w:type="pct"/>
            <w:vAlign w:val="center"/>
            <w:hideMark/>
          </w:tcPr>
          <w:p w:rsidR="00000000" w:rsidRDefault="00602C02">
            <w:pPr>
              <w:rPr>
                <w:rFonts w:eastAsia="Times New Roman"/>
              </w:rPr>
            </w:pPr>
          </w:p>
        </w:tc>
        <w:tc>
          <w:tcPr>
            <w:tcW w:w="183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66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2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652"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801"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623851226"/>
        </w:trPr>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Total Number o</w:t>
            </w:r>
            <w:r>
              <w:rPr>
                <w:rFonts w:eastAsia="Times New Roman"/>
                <w:b/>
                <w:bCs/>
                <w:color w:val="000000"/>
                <w:sz w:val="18"/>
                <w:szCs w:val="18"/>
              </w:rPr>
              <w:t>f</w:t>
            </w:r>
          </w:p>
          <w:p w:rsidR="00000000" w:rsidRDefault="00602C02">
            <w:pPr>
              <w:jc w:val="center"/>
              <w:rPr>
                <w:rFonts w:eastAsia="Times New Roman"/>
              </w:rPr>
            </w:pPr>
            <w:r>
              <w:rPr>
                <w:rFonts w:eastAsia="Times New Roman"/>
                <w:b/>
                <w:bCs/>
                <w:color w:val="000000"/>
                <w:sz w:val="18"/>
                <w:szCs w:val="18"/>
              </w:rPr>
              <w:t>Shares Purchase</w:t>
            </w:r>
            <w:r>
              <w:rPr>
                <w:rFonts w:eastAsia="Times New Roman"/>
                <w:b/>
                <w:bCs/>
                <w:color w:val="000000"/>
                <w:sz w:val="18"/>
                <w:szCs w:val="18"/>
              </w:rPr>
              <w:t>d</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Average Price Paid Per Share (1</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Total Number of Shares Purchased as Part of Publicly Announced Plans or Program</w:t>
            </w:r>
            <w:r>
              <w:rPr>
                <w:rFonts w:eastAsia="Times New Roman"/>
                <w:b/>
                <w:bCs/>
                <w:color w:val="000000"/>
                <w:sz w:val="18"/>
                <w:szCs w:val="18"/>
              </w:rPr>
              <w:t>s</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Approximate Dollar Value of Shares that May Yet Be</w:t>
            </w:r>
            <w:r>
              <w:rPr>
                <w:rFonts w:eastAsia="Times New Roman"/>
                <w:b/>
                <w:bCs/>
                <w:color w:val="000000"/>
                <w:sz w:val="18"/>
                <w:szCs w:val="18"/>
              </w:rPr>
              <w:br/>
              <w:t xml:space="preserve">Purchased Under the Plans or Programs </w:t>
            </w:r>
            <w:r>
              <w:rPr>
                <w:rFonts w:eastAsia="Times New Roman"/>
                <w:b/>
                <w:bCs/>
                <w:color w:val="000000"/>
                <w:sz w:val="18"/>
                <w:szCs w:val="18"/>
              </w:rPr>
              <w:br/>
              <w:t>(2</w:t>
            </w:r>
            <w:r>
              <w:rPr>
                <w:rFonts w:eastAsia="Times New Roman"/>
                <w:b/>
                <w:bCs/>
                <w:color w:val="000000"/>
                <w:sz w:val="18"/>
                <w:szCs w:val="18"/>
              </w:rPr>
              <w:t>)</w:t>
            </w:r>
          </w:p>
        </w:tc>
      </w:tr>
      <w:tr w:rsidR="00000000">
        <w:trPr>
          <w:divId w:val="623851226"/>
        </w:trPr>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(In thousands</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(In thousands</w:t>
            </w:r>
            <w:r>
              <w:rPr>
                <w:rFonts w:eastAsia="Times New Roman"/>
                <w:b/>
                <w:bCs/>
                <w:color w:val="000000"/>
                <w:sz w:val="18"/>
                <w:szCs w:val="18"/>
              </w:rPr>
              <w:t>)</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jc w:val="center"/>
              <w:rPr>
                <w:rFonts w:eastAsia="Times New Roman"/>
              </w:rPr>
            </w:pPr>
            <w:r>
              <w:rPr>
                <w:rFonts w:eastAsia="Times New Roman"/>
                <w:b/>
                <w:bCs/>
                <w:color w:val="000000"/>
                <w:sz w:val="18"/>
                <w:szCs w:val="18"/>
              </w:rPr>
              <w:t>(In millions</w:t>
            </w:r>
            <w:r>
              <w:rPr>
                <w:rFonts w:eastAsia="Times New Roman"/>
                <w:b/>
                <w:bCs/>
                <w:color w:val="000000"/>
                <w:sz w:val="18"/>
                <w:szCs w:val="18"/>
              </w:rPr>
              <w:t>)</w:t>
            </w:r>
          </w:p>
        </w:tc>
      </w:tr>
      <w:tr w:rsidR="00000000">
        <w:trPr>
          <w:divId w:val="623851226"/>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December 30, 2019 to January 26, 202</w:t>
            </w:r>
            <w:r>
              <w:rPr>
                <w:rFonts w:eastAsia="Times New Roman"/>
                <w:color w:val="000000"/>
                <w:sz w:val="18"/>
                <w:szCs w:val="18"/>
              </w:rPr>
              <w:t>0</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89.98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2,000</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602C02">
            <w:pPr>
              <w:rPr>
                <w:rFonts w:eastAsia="Times New Roman"/>
              </w:rPr>
            </w:pPr>
            <w:r>
              <w:rPr>
                <w:rFonts w:eastAsia="Times New Roman"/>
                <w:color w:val="000000"/>
                <w:sz w:val="18"/>
                <w:szCs w:val="18"/>
              </w:rPr>
              <w:t>$</w:t>
            </w:r>
          </w:p>
        </w:tc>
        <w:tc>
          <w:tcPr>
            <w:tcW w:w="0" w:type="auto"/>
            <w:shd w:val="clear" w:color="auto" w:fill="CCEEFF"/>
            <w:tcMar>
              <w:top w:w="30" w:type="dxa"/>
              <w:left w:w="15"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6,122</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623851226"/>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January 27, 2020 to February 23, 202</w:t>
            </w:r>
            <w:r>
              <w:rPr>
                <w:rFonts w:eastAsia="Times New Roman"/>
                <w:color w:val="000000"/>
                <w:sz w:val="18"/>
                <w:szCs w:val="18"/>
              </w:rPr>
              <w:t>0</w:t>
            </w: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2,771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88.92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2,771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5,875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623851226"/>
        </w:trPr>
        <w:tc>
          <w:tcPr>
            <w:tcW w:w="0" w:type="auto"/>
            <w:gridSpan w:val="3"/>
            <w:shd w:val="clear" w:color="auto" w:fill="CCEE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February 24, 2020 to March 29, 202</w:t>
            </w:r>
            <w:r>
              <w:rPr>
                <w:rFonts w:eastAsia="Times New Roman"/>
                <w:color w:val="000000"/>
                <w:sz w:val="18"/>
                <w:szCs w:val="18"/>
              </w:rPr>
              <w:t>0</w:t>
            </w: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15,279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75.38</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15,279</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4,724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r>
      <w:tr w:rsidR="00000000">
        <w:trPr>
          <w:divId w:val="623851226"/>
        </w:trPr>
        <w:tc>
          <w:tcPr>
            <w:tcW w:w="0" w:type="auto"/>
            <w:gridSpan w:val="3"/>
            <w:vAlign w:val="center"/>
            <w:hideMark/>
          </w:tcPr>
          <w:p w:rsidR="00000000" w:rsidRDefault="00602C02">
            <w:pPr>
              <w:jc w:val="right"/>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623851226"/>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623851226"/>
        </w:trPr>
        <w:tc>
          <w:tcPr>
            <w:tcW w:w="0" w:type="auto"/>
            <w:gridSpan w:val="3"/>
            <w:shd w:val="clear" w:color="auto" w:fill="FFFFFF"/>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18"/>
                <w:szCs w:val="18"/>
              </w:rPr>
              <w:t>Tota</w:t>
            </w:r>
            <w:r>
              <w:rPr>
                <w:rFonts w:eastAsia="Times New Roman"/>
                <w:color w:val="000000"/>
                <w:sz w:val="18"/>
                <w:szCs w:val="18"/>
              </w:rPr>
              <w:t>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20,050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02C02">
            <w:pPr>
              <w:jc w:val="right"/>
              <w:rPr>
                <w:rFonts w:eastAsia="Times New Roman"/>
              </w:rPr>
            </w:pPr>
            <w:r>
              <w:rPr>
                <w:rFonts w:eastAsia="Times New Roman"/>
                <w:color w:val="000000"/>
                <w:sz w:val="18"/>
                <w:szCs w:val="18"/>
              </w:rPr>
              <w:t>20,050</w:t>
            </w:r>
            <w:r>
              <w:rPr>
                <w:rFonts w:eastAsia="Times New Roman"/>
                <w:color w:val="000000"/>
                <w:sz w:val="18"/>
                <w:szCs w:val="18"/>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602C02">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r>
    </w:tbl>
    <w:p w:rsidR="00000000" w:rsidRDefault="00602C02">
      <w:pPr>
        <w:ind w:hanging="360"/>
        <w:divId w:val="1631016915"/>
        <w:rPr>
          <w:rFonts w:eastAsia="Times New Roman"/>
        </w:rPr>
      </w:pPr>
      <w:r>
        <w:rPr>
          <w:rFonts w:eastAsia="Times New Roman"/>
          <w:color w:val="000000"/>
          <w:sz w:val="18"/>
          <w:szCs w:val="18"/>
        </w:rPr>
        <w:t>(1</w:t>
      </w:r>
      <w:r>
        <w:rPr>
          <w:rFonts w:eastAsia="Times New Roman"/>
          <w:color w:val="000000"/>
          <w:sz w:val="18"/>
          <w:szCs w:val="18"/>
        </w:rPr>
        <w:t>)</w:t>
      </w:r>
      <w:r>
        <w:rPr>
          <w:rFonts w:eastAsia="Times New Roman"/>
          <w:color w:val="000000"/>
          <w:sz w:val="18"/>
          <w:szCs w:val="18"/>
        </w:rPr>
        <w:t>Average Price Paid Per Share excludes cash paid for commissions</w:t>
      </w:r>
      <w:r>
        <w:rPr>
          <w:rFonts w:eastAsia="Times New Roman"/>
          <w:color w:val="000000"/>
          <w:sz w:val="18"/>
          <w:szCs w:val="18"/>
        </w:rPr>
        <w:t>.</w:t>
      </w:r>
    </w:p>
    <w:p w:rsidR="00000000" w:rsidRDefault="00602C02">
      <w:pPr>
        <w:ind w:hanging="360"/>
        <w:divId w:val="1517622635"/>
        <w:rPr>
          <w:rFonts w:eastAsia="Times New Roman"/>
        </w:rPr>
      </w:pPr>
      <w:r>
        <w:rPr>
          <w:rFonts w:eastAsia="Times New Roman"/>
          <w:color w:val="000000"/>
          <w:sz w:val="18"/>
          <w:szCs w:val="18"/>
        </w:rPr>
        <w:t>(2</w:t>
      </w:r>
      <w:r>
        <w:rPr>
          <w:rFonts w:eastAsia="Times New Roman"/>
          <w:color w:val="000000"/>
          <w:sz w:val="18"/>
          <w:szCs w:val="18"/>
        </w:rPr>
        <w:t>)</w:t>
      </w:r>
      <w:r>
        <w:rPr>
          <w:rFonts w:eastAsia="Times New Roman"/>
          <w:color w:val="000000"/>
          <w:sz w:val="18"/>
          <w:szCs w:val="18"/>
        </w:rPr>
        <w:t>On July </w:t>
      </w:r>
      <w:r>
        <w:rPr>
          <w:rFonts w:eastAsia="Times New Roman"/>
          <w:color w:val="000000"/>
          <w:sz w:val="18"/>
          <w:szCs w:val="18"/>
        </w:rPr>
        <w:t>26, 2018, we announced a repurchase program authorizing us to repurchase up to $30 billion of our common stock. At March 29, 2020, $4.7 billion remained authorized for repurchase. The stock repurchase program has no expiration date. Shares withheld to sati</w:t>
      </w:r>
      <w:r>
        <w:rPr>
          <w:rFonts w:eastAsia="Times New Roman"/>
          <w:color w:val="000000"/>
          <w:sz w:val="18"/>
          <w:szCs w:val="18"/>
        </w:rPr>
        <w:t>sfy statutory tax withholding requirements related to the vesting of share-based awards are not issued or considered stock repurchases under our stock repurchase program and, therefore, are excluded from the table abov</w:t>
      </w:r>
      <w:r>
        <w:rPr>
          <w:rFonts w:eastAsia="Times New Roman"/>
          <w:color w:val="000000"/>
          <w:sz w:val="18"/>
          <w:szCs w:val="18"/>
        </w:rPr>
        <w:t>e</w:t>
      </w:r>
      <w:r>
        <w:rPr>
          <w:rFonts w:eastAsia="Times New Roman"/>
          <w:color w:val="000000"/>
          <w:sz w:val="18"/>
          <w:szCs w:val="18"/>
          <w:shd w:val="clear" w:color="auto" w:fill="FFFFFF"/>
        </w:rPr>
        <w:t>. Subsequent to March 29, 2020, to ma</w:t>
      </w:r>
      <w:r>
        <w:rPr>
          <w:rFonts w:eastAsia="Times New Roman"/>
          <w:color w:val="000000"/>
          <w:sz w:val="18"/>
          <w:szCs w:val="18"/>
          <w:shd w:val="clear" w:color="auto" w:fill="FFFFFF"/>
        </w:rPr>
        <w:t>intain our financial liquidity position and flexibility, we suspended our stock repurchases, at least for the near-term, in light of COVID-19. We have the ability to reinstate repurchases if we determine it to be in the best interest of stockholders.</w:t>
      </w:r>
    </w:p>
    <w:p w:rsidR="00000000" w:rsidRDefault="00602C02">
      <w:pPr>
        <w:divId w:val="656612841"/>
        <w:rPr>
          <w:rFonts w:eastAsia="Times New Roman"/>
        </w:rPr>
      </w:pPr>
      <w:r>
        <w:rPr>
          <w:rFonts w:eastAsia="Times New Roman"/>
          <w:b/>
          <w:bCs/>
          <w:color w:val="000000"/>
          <w:sz w:val="20"/>
          <w:szCs w:val="20"/>
        </w:rPr>
        <w:t xml:space="preserve">ITEM </w:t>
      </w:r>
      <w:r>
        <w:rPr>
          <w:rFonts w:eastAsia="Times New Roman"/>
          <w:b/>
          <w:bCs/>
          <w:color w:val="000000"/>
          <w:sz w:val="20"/>
          <w:szCs w:val="20"/>
        </w:rPr>
        <w:t>3. DEFAULTS UPON SENIOR SECURITIE</w:t>
      </w:r>
      <w:r>
        <w:rPr>
          <w:rFonts w:eastAsia="Times New Roman"/>
          <w:b/>
          <w:bCs/>
          <w:color w:val="000000"/>
          <w:sz w:val="20"/>
          <w:szCs w:val="20"/>
        </w:rPr>
        <w:t>S</w:t>
      </w:r>
    </w:p>
    <w:p w:rsidR="00000000" w:rsidRDefault="00602C02">
      <w:pPr>
        <w:ind w:firstLine="360"/>
        <w:divId w:val="131290518"/>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602C02">
      <w:pPr>
        <w:divId w:val="4796152"/>
        <w:rPr>
          <w:rFonts w:eastAsia="Times New Roman"/>
        </w:rPr>
      </w:pPr>
      <w:r>
        <w:rPr>
          <w:rFonts w:eastAsia="Times New Roman"/>
          <w:b/>
          <w:bCs/>
          <w:color w:val="000000"/>
          <w:sz w:val="20"/>
          <w:szCs w:val="20"/>
        </w:rPr>
        <w:t>ITEM 4. MINE SAFETY DISCLOSURE</w:t>
      </w:r>
      <w:r>
        <w:rPr>
          <w:rFonts w:eastAsia="Times New Roman"/>
          <w:b/>
          <w:bCs/>
          <w:color w:val="000000"/>
          <w:sz w:val="20"/>
          <w:szCs w:val="20"/>
        </w:rPr>
        <w:t>S</w:t>
      </w:r>
    </w:p>
    <w:p w:rsidR="00000000" w:rsidRDefault="00602C02">
      <w:pPr>
        <w:ind w:firstLine="360"/>
        <w:divId w:val="1752509970"/>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602C02">
      <w:pPr>
        <w:divId w:val="2022975530"/>
        <w:rPr>
          <w:rFonts w:eastAsia="Times New Roman"/>
        </w:rPr>
      </w:pPr>
      <w:r>
        <w:rPr>
          <w:rFonts w:eastAsia="Times New Roman"/>
          <w:b/>
          <w:bCs/>
          <w:color w:val="000000"/>
          <w:sz w:val="20"/>
          <w:szCs w:val="20"/>
        </w:rPr>
        <w:t>ITEM 5. OTHER INFORMATIO</w:t>
      </w:r>
      <w:r>
        <w:rPr>
          <w:rFonts w:eastAsia="Times New Roman"/>
          <w:b/>
          <w:bCs/>
          <w:color w:val="000000"/>
          <w:sz w:val="20"/>
          <w:szCs w:val="20"/>
        </w:rPr>
        <w:t>N</w:t>
      </w:r>
    </w:p>
    <w:p w:rsidR="00000000" w:rsidRDefault="00602C02">
      <w:pPr>
        <w:ind w:firstLine="360"/>
        <w:divId w:val="1598758354"/>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602C02">
      <w:pPr>
        <w:jc w:val="center"/>
        <w:divId w:val="215433667"/>
        <w:rPr>
          <w:rFonts w:eastAsia="Times New Roman"/>
        </w:rPr>
      </w:pPr>
      <w:r>
        <w:rPr>
          <w:rFonts w:eastAsia="Times New Roman"/>
          <w:color w:val="000000"/>
          <w:sz w:val="20"/>
          <w:szCs w:val="20"/>
        </w:rPr>
        <w:t>5</w:t>
      </w:r>
      <w:r>
        <w:rPr>
          <w:rFonts w:eastAsia="Times New Roman"/>
          <w:color w:val="000000"/>
          <w:sz w:val="20"/>
          <w:szCs w:val="20"/>
        </w:rPr>
        <w:t>4</w:t>
      </w:r>
    </w:p>
    <w:p w:rsidR="00000000" w:rsidRDefault="00602C02">
      <w:pPr>
        <w:rPr>
          <w:rFonts w:eastAsia="Times New Roman"/>
        </w:rPr>
      </w:pPr>
      <w:r>
        <w:rPr>
          <w:rFonts w:eastAsia="Times New Roman"/>
        </w:rPr>
        <w:pict>
          <v:rect id="_x0000_i1078" style="width:0;height:1.5pt" o:hralign="center" o:hrstd="t" o:hr="t" fillcolor="#a0a0a0" stroked="f"/>
        </w:pict>
      </w:r>
    </w:p>
    <w:p w:rsidR="00000000" w:rsidRDefault="00602C02">
      <w:pPr>
        <w:divId w:val="1798138996"/>
        <w:rPr>
          <w:rFonts w:eastAsia="Times New Roman"/>
        </w:rPr>
      </w:pPr>
    </w:p>
    <w:p w:rsidR="00000000" w:rsidRDefault="00602C02">
      <w:pPr>
        <w:divId w:val="1119639170"/>
        <w:rPr>
          <w:rFonts w:eastAsia="Times New Roman"/>
        </w:rPr>
      </w:pPr>
      <w:r>
        <w:rPr>
          <w:rFonts w:eastAsia="Times New Roman"/>
          <w:b/>
          <w:bCs/>
          <w:color w:val="000000"/>
          <w:sz w:val="20"/>
          <w:szCs w:val="20"/>
        </w:rPr>
        <w:t>ITEM 6. EXHIBIT</w:t>
      </w:r>
      <w:r>
        <w:rPr>
          <w:rFonts w:eastAsia="Times New Roman"/>
          <w:b/>
          <w:bCs/>
          <w:color w:val="000000"/>
          <w:sz w:val="20"/>
          <w:szCs w:val="20"/>
        </w:rPr>
        <w:t>S</w:t>
      </w:r>
    </w:p>
    <w:tbl>
      <w:tblPr>
        <w:tblW w:w="4985" w:type="pct"/>
        <w:tblCellMar>
          <w:top w:w="15" w:type="dxa"/>
          <w:left w:w="15" w:type="dxa"/>
          <w:bottom w:w="15" w:type="dxa"/>
          <w:right w:w="15" w:type="dxa"/>
        </w:tblCellMar>
        <w:tblLook w:val="04A0" w:firstRow="1" w:lastRow="0" w:firstColumn="1" w:lastColumn="0" w:noHBand="0" w:noVBand="1"/>
      </w:tblPr>
      <w:tblGrid>
        <w:gridCol w:w="70"/>
        <w:gridCol w:w="673"/>
        <w:gridCol w:w="70"/>
        <w:gridCol w:w="36"/>
        <w:gridCol w:w="36"/>
        <w:gridCol w:w="36"/>
        <w:gridCol w:w="68"/>
        <w:gridCol w:w="3396"/>
        <w:gridCol w:w="71"/>
        <w:gridCol w:w="36"/>
        <w:gridCol w:w="36"/>
        <w:gridCol w:w="36"/>
        <w:gridCol w:w="68"/>
        <w:gridCol w:w="662"/>
        <w:gridCol w:w="71"/>
        <w:gridCol w:w="36"/>
        <w:gridCol w:w="36"/>
        <w:gridCol w:w="36"/>
        <w:gridCol w:w="71"/>
        <w:gridCol w:w="722"/>
        <w:gridCol w:w="71"/>
        <w:gridCol w:w="36"/>
        <w:gridCol w:w="36"/>
        <w:gridCol w:w="36"/>
        <w:gridCol w:w="68"/>
        <w:gridCol w:w="700"/>
        <w:gridCol w:w="71"/>
        <w:gridCol w:w="36"/>
        <w:gridCol w:w="36"/>
        <w:gridCol w:w="36"/>
        <w:gridCol w:w="68"/>
        <w:gridCol w:w="750"/>
        <w:gridCol w:w="71"/>
      </w:tblGrid>
      <w:tr w:rsidR="00000000">
        <w:trPr>
          <w:divId w:val="1808861264"/>
        </w:trPr>
        <w:tc>
          <w:tcPr>
            <w:tcW w:w="50" w:type="pct"/>
            <w:vAlign w:val="center"/>
            <w:hideMark/>
          </w:tcPr>
          <w:p w:rsidR="00000000" w:rsidRDefault="00602C02">
            <w:pPr>
              <w:rPr>
                <w:rFonts w:eastAsia="Times New Roman"/>
              </w:rPr>
            </w:pPr>
          </w:p>
        </w:tc>
        <w:tc>
          <w:tcPr>
            <w:tcW w:w="41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2056"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0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4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2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5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808861264"/>
        </w:trPr>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b/>
                <w:bCs/>
                <w:color w:val="000000"/>
                <w:sz w:val="18"/>
                <w:szCs w:val="18"/>
              </w:rPr>
              <w:t>Exhibit</w:t>
            </w:r>
            <w:r>
              <w:rPr>
                <w:rFonts w:eastAsia="Times New Roman"/>
                <w:b/>
                <w:bCs/>
                <w:color w:val="000000"/>
                <w:sz w:val="18"/>
                <w:szCs w:val="18"/>
              </w:rPr>
              <w:t xml:space="preserve"> </w:t>
            </w:r>
          </w:p>
          <w:p w:rsidR="00000000" w:rsidRDefault="00602C02">
            <w:pPr>
              <w:jc w:val="center"/>
              <w:rPr>
                <w:rFonts w:eastAsia="Times New Roman"/>
              </w:rPr>
            </w:pPr>
            <w:r>
              <w:rPr>
                <w:rFonts w:eastAsia="Times New Roman"/>
                <w:b/>
                <w:bCs/>
                <w:color w:val="000000"/>
                <w:sz w:val="18"/>
                <w:szCs w:val="18"/>
              </w:rPr>
              <w:t>Numbe</w:t>
            </w:r>
            <w:r>
              <w:rPr>
                <w:rFonts w:eastAsia="Times New Roman"/>
                <w:b/>
                <w:bCs/>
                <w:color w:val="000000"/>
                <w:sz w:val="18"/>
                <w:szCs w:val="18"/>
              </w:rPr>
              <w:t>r</w:t>
            </w:r>
          </w:p>
        </w:tc>
        <w:tc>
          <w:tcPr>
            <w:tcW w:w="0" w:type="auto"/>
            <w:gridSpan w:val="3"/>
            <w:tcMar>
              <w:top w:w="15" w:type="dxa"/>
              <w:left w:w="20" w:type="dxa"/>
              <w:bottom w:w="15" w:type="dxa"/>
              <w:right w:w="20" w:type="dxa"/>
            </w:tcMar>
            <w:vAlign w:val="center"/>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602C02">
            <w:pPr>
              <w:rPr>
                <w:rFonts w:eastAsia="Times New Roman"/>
              </w:rPr>
            </w:pPr>
            <w:r>
              <w:rPr>
                <w:rFonts w:eastAsia="Times New Roman"/>
                <w:b/>
                <w:bCs/>
                <w:color w:val="000000"/>
                <w:sz w:val="18"/>
                <w:szCs w:val="18"/>
              </w:rPr>
              <w:t>Exhibit Descriptio</w:t>
            </w:r>
            <w:r>
              <w:rPr>
                <w:rFonts w:eastAsia="Times New Roman"/>
                <w:b/>
                <w:bCs/>
                <w:color w:val="000000"/>
                <w:sz w:val="18"/>
                <w:szCs w:val="18"/>
              </w:rPr>
              <w:t>n</w:t>
            </w:r>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b/>
                <w:bCs/>
                <w:color w:val="000000"/>
                <w:sz w:val="18"/>
                <w:szCs w:val="18"/>
              </w:rPr>
              <w:t>For</w:t>
            </w:r>
            <w:r>
              <w:rPr>
                <w:rFonts w:eastAsia="Times New Roman"/>
                <w:b/>
                <w:bCs/>
                <w:color w:val="000000"/>
                <w:sz w:val="18"/>
                <w:szCs w:val="18"/>
              </w:rPr>
              <w:t>m</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b/>
                <w:bCs/>
                <w:color w:val="000000"/>
                <w:sz w:val="18"/>
                <w:szCs w:val="18"/>
              </w:rPr>
              <w:t>Date of First Filin</w:t>
            </w:r>
            <w:r>
              <w:rPr>
                <w:rFonts w:eastAsia="Times New Roman"/>
                <w:b/>
                <w:bCs/>
                <w:color w:val="000000"/>
                <w:sz w:val="18"/>
                <w:szCs w:val="18"/>
              </w:rPr>
              <w:t>g</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b/>
                <w:bCs/>
                <w:color w:val="000000"/>
                <w:sz w:val="18"/>
                <w:szCs w:val="18"/>
              </w:rPr>
              <w:t>Exhibit Numbe</w:t>
            </w:r>
            <w:r>
              <w:rPr>
                <w:rFonts w:eastAsia="Times New Roman"/>
                <w:b/>
                <w:bCs/>
                <w:color w:val="000000"/>
                <w:sz w:val="18"/>
                <w:szCs w:val="18"/>
              </w:rPr>
              <w:t>r</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b/>
                <w:bCs/>
                <w:color w:val="000000"/>
                <w:sz w:val="18"/>
                <w:szCs w:val="18"/>
              </w:rPr>
              <w:t>Filed Herewit</w:t>
            </w:r>
            <w:r>
              <w:rPr>
                <w:rFonts w:eastAsia="Times New Roman"/>
                <w:b/>
                <w:bCs/>
                <w:color w:val="000000"/>
                <w:sz w:val="18"/>
                <w:szCs w:val="18"/>
              </w:rPr>
              <w:t>h</w:t>
            </w:r>
          </w:p>
        </w:tc>
      </w:tr>
      <w:tr w:rsidR="00000000">
        <w:trPr>
          <w:divId w:val="1808861264"/>
        </w:trPr>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3.</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602C02">
            <w:pPr>
              <w:divId w:val="1307709148"/>
              <w:rPr>
                <w:rFonts w:eastAsia="Times New Roman"/>
              </w:rPr>
            </w:pPr>
            <w:hyperlink r:id="rId4" w:history="1">
              <w:r>
                <w:rPr>
                  <w:rStyle w:val="a3"/>
                  <w:rFonts w:eastAsia="Times New Roman"/>
                  <w:sz w:val="18"/>
                  <w:szCs w:val="18"/>
                </w:rPr>
                <w:t>Amended and Restated Certificate of Incorporation</w:t>
              </w:r>
            </w:hyperlink>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4/20/201</w:t>
            </w:r>
            <w:r>
              <w:rPr>
                <w:rFonts w:eastAsia="Times New Roman"/>
                <w:color w:val="000000"/>
                <w:sz w:val="18"/>
                <w:szCs w:val="18"/>
              </w:rPr>
              <w:t>8</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3.</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3.</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divId w:val="595091159"/>
              <w:rPr>
                <w:rFonts w:eastAsia="Times New Roman"/>
              </w:rPr>
            </w:pPr>
            <w:hyperlink r:id="rId5" w:history="1">
              <w:r>
                <w:rPr>
                  <w:rStyle w:val="a3"/>
                  <w:rFonts w:eastAsia="Times New Roman"/>
                  <w:sz w:val="18"/>
                  <w:szCs w:val="18"/>
                </w:rPr>
                <w:t>Amended and Restated Bylaws</w:t>
              </w:r>
            </w:hyperlink>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7/17/201</w:t>
            </w:r>
            <w:r>
              <w:rPr>
                <w:rFonts w:eastAsia="Times New Roman"/>
                <w:color w:val="000000"/>
                <w:sz w:val="18"/>
                <w:szCs w:val="18"/>
              </w:rPr>
              <w:t>8</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3.</w:t>
            </w:r>
            <w:r>
              <w:rPr>
                <w:rFonts w:eastAsia="Times New Roman"/>
                <w:color w:val="000000"/>
                <w:sz w:val="18"/>
                <w:szCs w:val="18"/>
              </w:rPr>
              <w:t>1</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divId w:val="137191993"/>
              <w:rPr>
                <w:rFonts w:eastAsia="Times New Roman"/>
              </w:rPr>
            </w:pPr>
            <w:hyperlink r:id="rId6" w:history="1">
              <w:r>
                <w:rPr>
                  <w:rStyle w:val="a3"/>
                  <w:rFonts w:eastAsia="Times New Roman"/>
                  <w:sz w:val="18"/>
                  <w:szCs w:val="18"/>
                </w:rPr>
                <w:t xml:space="preserve">Indenture, dated May 20, 2015, between the Company and U.S. Bank National Association, as trustee. </w:t>
              </w:r>
            </w:hyperlink>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divId w:val="1107627353"/>
              <w:rPr>
                <w:rFonts w:eastAsia="Times New Roman"/>
              </w:rPr>
            </w:pPr>
            <w:hyperlink r:id="rId7" w:history="1">
              <w:r>
                <w:rPr>
                  <w:rStyle w:val="a3"/>
                  <w:rFonts w:eastAsia="Times New Roman"/>
                  <w:sz w:val="18"/>
                  <w:szCs w:val="18"/>
                </w:rPr>
                <w:t>Officers’ Certificate, dated May 20, 2015, for the Floating Rate Notes due 2018, the Floating Rate Notes due 2020, the 1.400% Notes due 2018, the 2.250% Notes</w:t>
              </w:r>
              <w:r>
                <w:rPr>
                  <w:rStyle w:val="a3"/>
                  <w:rFonts w:eastAsia="Times New Roman"/>
                  <w:sz w:val="18"/>
                  <w:szCs w:val="18"/>
                </w:rPr>
                <w:t xml:space="preserve"> due 2020, the 3.000% Notes due 2022, the 3.450% Notes due 2025, the 4.650% Notes due 2035 and the 4.800% Notes due 2045. </w:t>
              </w:r>
            </w:hyperlink>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3</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divId w:val="611595813"/>
              <w:rPr>
                <w:rFonts w:eastAsia="Times New Roman"/>
              </w:rPr>
            </w:pPr>
            <w:hyperlink r:id="rId8" w:history="1">
              <w:r>
                <w:rPr>
                  <w:rStyle w:val="a3"/>
                  <w:rFonts w:eastAsia="Times New Roman"/>
                  <w:sz w:val="18"/>
                  <w:szCs w:val="18"/>
                </w:rPr>
                <w:t xml:space="preserve">Form of Floating Rate Notes due 2020. </w:t>
              </w:r>
            </w:hyperlink>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4</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4</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divId w:val="1075857652"/>
              <w:rPr>
                <w:rFonts w:eastAsia="Times New Roman"/>
              </w:rPr>
            </w:pPr>
            <w:hyperlink r:id="rId9" w:history="1">
              <w:r>
                <w:rPr>
                  <w:rStyle w:val="a3"/>
                  <w:rFonts w:eastAsia="Times New Roman"/>
                  <w:sz w:val="18"/>
                  <w:szCs w:val="18"/>
                </w:rPr>
                <w:t xml:space="preserve">Form of 2.250% Notes due 2020. </w:t>
              </w:r>
            </w:hyperlink>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6</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divId w:val="1634749515"/>
              <w:rPr>
                <w:rFonts w:eastAsia="Times New Roman"/>
              </w:rPr>
            </w:pPr>
            <w:hyperlink r:id="rId10" w:history="1">
              <w:r>
                <w:rPr>
                  <w:rStyle w:val="a3"/>
                  <w:rFonts w:eastAsia="Times New Roman"/>
                  <w:sz w:val="18"/>
                  <w:szCs w:val="18"/>
                </w:rPr>
                <w:t xml:space="preserve">Form of 3.000% Notes due 2022. </w:t>
              </w:r>
            </w:hyperlink>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6</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divId w:val="2112435453"/>
              <w:rPr>
                <w:rFonts w:eastAsia="Times New Roman"/>
              </w:rPr>
            </w:pPr>
            <w:hyperlink r:id="rId11" w:history="1">
              <w:r>
                <w:rPr>
                  <w:rStyle w:val="a3"/>
                  <w:rFonts w:eastAsia="Times New Roman"/>
                  <w:sz w:val="18"/>
                  <w:szCs w:val="18"/>
                </w:rPr>
                <w:t xml:space="preserve">Form of 3.450% Notes due 2025. </w:t>
              </w:r>
            </w:hyperlink>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8</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divId w:val="1697081164"/>
              <w:rPr>
                <w:rFonts w:eastAsia="Times New Roman"/>
              </w:rPr>
            </w:pPr>
            <w:hyperlink r:id="rId12" w:history="1">
              <w:r>
                <w:rPr>
                  <w:rStyle w:val="a3"/>
                  <w:rFonts w:eastAsia="Times New Roman"/>
                  <w:sz w:val="18"/>
                  <w:szCs w:val="18"/>
                </w:rPr>
                <w:t xml:space="preserve">Form of 4.650% Notes due 2035. </w:t>
              </w:r>
            </w:hyperlink>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8</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divId w:val="1895123381"/>
              <w:rPr>
                <w:rFonts w:eastAsia="Times New Roman"/>
              </w:rPr>
            </w:pPr>
            <w:hyperlink r:id="rId13" w:history="1">
              <w:r>
                <w:rPr>
                  <w:rStyle w:val="a3"/>
                  <w:rFonts w:eastAsia="Times New Roman"/>
                  <w:sz w:val="18"/>
                  <w:szCs w:val="18"/>
                </w:rPr>
                <w:t xml:space="preserve">Form of 4.800% Notes due 2045. </w:t>
              </w:r>
            </w:hyperlink>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5/21/201</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4.1</w:t>
            </w:r>
            <w:r>
              <w:rPr>
                <w:rFonts w:eastAsia="Times New Roman"/>
                <w:color w:val="000000"/>
                <w:sz w:val="18"/>
                <w:szCs w:val="18"/>
              </w:rPr>
              <w:t>0</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9</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divId w:val="896629738"/>
              <w:rPr>
                <w:rFonts w:eastAsia="Times New Roman"/>
              </w:rPr>
            </w:pPr>
            <w:hyperlink r:id="rId14" w:history="1">
              <w:r>
                <w:rPr>
                  <w:rStyle w:val="a3"/>
                  <w:rFonts w:eastAsia="Times New Roman"/>
                  <w:sz w:val="18"/>
                  <w:szCs w:val="18"/>
                </w:rPr>
                <w:t>Officers’ Certificate, dated May 26, 2017, for the Floating Rate Notes due 2019, the Floating Rate Notes due 2020, the Floating Rate Notes due 2023, the 1.850</w:t>
              </w:r>
              <w:r>
                <w:rPr>
                  <w:rStyle w:val="a3"/>
                  <w:rFonts w:eastAsia="Times New Roman"/>
                  <w:sz w:val="18"/>
                  <w:szCs w:val="18"/>
                </w:rPr>
                <w:t xml:space="preserve">% Notes due 2019, the 2.100% Notes due 2020, the 2.600% Notes due 2023, the 2.900% Notes due 2024, the 3.250% Notes due 2027 and the 4.300% Notes due 2047. </w:t>
              </w:r>
            </w:hyperlink>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2</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4.1</w:t>
            </w:r>
            <w:r>
              <w:rPr>
                <w:rFonts w:eastAsia="Times New Roman"/>
                <w:color w:val="000000"/>
                <w:sz w:val="18"/>
                <w:szCs w:val="18"/>
              </w:rPr>
              <w:t>0</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divId w:val="1838034975"/>
              <w:rPr>
                <w:rFonts w:eastAsia="Times New Roman"/>
              </w:rPr>
            </w:pPr>
            <w:hyperlink r:id="rId15" w:history="1">
              <w:r>
                <w:rPr>
                  <w:rStyle w:val="a3"/>
                  <w:rFonts w:eastAsia="Times New Roman"/>
                  <w:sz w:val="18"/>
                  <w:szCs w:val="18"/>
                </w:rPr>
                <w:t>Form of Floating Rate Notes due 2023.</w:t>
              </w:r>
            </w:hyperlink>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5</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4.1</w:t>
            </w:r>
            <w:r>
              <w:rPr>
                <w:rFonts w:eastAsia="Times New Roman"/>
                <w:color w:val="000000"/>
                <w:sz w:val="18"/>
                <w:szCs w:val="18"/>
              </w:rPr>
              <w:t>1</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divId w:val="433475888"/>
              <w:rPr>
                <w:rFonts w:eastAsia="Times New Roman"/>
              </w:rPr>
            </w:pPr>
            <w:hyperlink r:id="rId16" w:history="1">
              <w:r>
                <w:rPr>
                  <w:rStyle w:val="a3"/>
                  <w:rFonts w:eastAsia="Times New Roman"/>
                  <w:sz w:val="18"/>
                  <w:szCs w:val="18"/>
                </w:rPr>
                <w:t>Form of 2.600% Notes due 2023.</w:t>
              </w:r>
            </w:hyperlink>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8</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4.1</w:t>
            </w:r>
            <w:r>
              <w:rPr>
                <w:rFonts w:eastAsia="Times New Roman"/>
                <w:color w:val="000000"/>
                <w:sz w:val="18"/>
                <w:szCs w:val="18"/>
              </w:rPr>
              <w:t>2</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divId w:val="994914593"/>
              <w:rPr>
                <w:rFonts w:eastAsia="Times New Roman"/>
              </w:rPr>
            </w:pPr>
            <w:hyperlink r:id="rId17" w:history="1">
              <w:r>
                <w:rPr>
                  <w:rStyle w:val="a3"/>
                  <w:rFonts w:eastAsia="Times New Roman"/>
                  <w:sz w:val="18"/>
                  <w:szCs w:val="18"/>
                </w:rPr>
                <w:t>Form of 2.900% Notes due 2024.</w:t>
              </w:r>
            </w:hyperlink>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w:t>
            </w:r>
            <w:r>
              <w:rPr>
                <w:rFonts w:eastAsia="Times New Roman"/>
                <w:color w:val="000000"/>
                <w:sz w:val="18"/>
                <w:szCs w:val="18"/>
              </w:rPr>
              <w:t>9</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4.1</w:t>
            </w:r>
            <w:r>
              <w:rPr>
                <w:rFonts w:eastAsia="Times New Roman"/>
                <w:color w:val="000000"/>
                <w:sz w:val="18"/>
                <w:szCs w:val="18"/>
              </w:rPr>
              <w:t>3</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divId w:val="1472944469"/>
              <w:rPr>
                <w:rFonts w:eastAsia="Times New Roman"/>
              </w:rPr>
            </w:pPr>
            <w:hyperlink r:id="rId18" w:history="1">
              <w:r>
                <w:rPr>
                  <w:rStyle w:val="a3"/>
                  <w:rFonts w:eastAsia="Times New Roman"/>
                  <w:sz w:val="18"/>
                  <w:szCs w:val="18"/>
                </w:rPr>
                <w:t>Form of 3.250% Notes due 2027.</w:t>
              </w:r>
            </w:hyperlink>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4.1</w:t>
            </w:r>
            <w:r>
              <w:rPr>
                <w:rFonts w:eastAsia="Times New Roman"/>
                <w:color w:val="000000"/>
                <w:sz w:val="18"/>
                <w:szCs w:val="18"/>
              </w:rPr>
              <w:t>0</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4.1</w:t>
            </w:r>
            <w:r>
              <w:rPr>
                <w:rFonts w:eastAsia="Times New Roman"/>
                <w:color w:val="000000"/>
                <w:sz w:val="18"/>
                <w:szCs w:val="18"/>
              </w:rPr>
              <w:t>4</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divId w:val="632558180"/>
              <w:rPr>
                <w:rFonts w:eastAsia="Times New Roman"/>
              </w:rPr>
            </w:pPr>
            <w:hyperlink r:id="rId19" w:history="1">
              <w:r>
                <w:rPr>
                  <w:rStyle w:val="a3"/>
                  <w:rFonts w:eastAsia="Times New Roman"/>
                  <w:sz w:val="18"/>
                  <w:szCs w:val="18"/>
                </w:rPr>
                <w:t>Form of 4.300% Notes due 2047.</w:t>
              </w:r>
            </w:hyperlink>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8-</w:t>
            </w:r>
            <w:r>
              <w:rPr>
                <w:rFonts w:eastAsia="Times New Roman"/>
                <w:color w:val="000000"/>
                <w:sz w:val="18"/>
                <w:szCs w:val="18"/>
              </w:rPr>
              <w:t>K</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5/31/201</w:t>
            </w:r>
            <w:r>
              <w:rPr>
                <w:rFonts w:eastAsia="Times New Roman"/>
                <w:color w:val="000000"/>
                <w:sz w:val="18"/>
                <w:szCs w:val="18"/>
              </w:rPr>
              <w:t>7</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4.1</w:t>
            </w:r>
            <w:r>
              <w:rPr>
                <w:rFonts w:eastAsia="Times New Roman"/>
                <w:color w:val="000000"/>
                <w:sz w:val="18"/>
                <w:szCs w:val="18"/>
              </w:rPr>
              <w:t>1</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10.</w:t>
            </w:r>
            <w:r>
              <w:rPr>
                <w:rFonts w:eastAsia="Times New Roman"/>
                <w:color w:val="000000"/>
                <w:sz w:val="18"/>
                <w:szCs w:val="18"/>
              </w:rPr>
              <w:t>7</w:t>
            </w: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divId w:val="638262428"/>
              <w:rPr>
                <w:rFonts w:eastAsia="Times New Roman"/>
              </w:rPr>
            </w:pPr>
            <w:hyperlink r:id="rId20" w:history="1">
              <w:r>
                <w:rPr>
                  <w:rStyle w:val="a3"/>
                  <w:rFonts w:eastAsia="Times New Roman"/>
                  <w:sz w:val="18"/>
                  <w:szCs w:val="18"/>
                </w:rPr>
                <w:t>Amended and Restated 2016 Long-Term Incentive Plan</w:t>
              </w:r>
            </w:hyperlink>
            <w:hyperlink r:id="rId21" w:history="1">
              <w:r>
                <w:rPr>
                  <w:rStyle w:val="a3"/>
                  <w:rFonts w:eastAsia="Times New Roman"/>
                  <w:sz w:val="18"/>
                  <w:szCs w:val="18"/>
                </w:rPr>
                <w:t>.</w:t>
              </w:r>
            </w:hyperlink>
            <w:hyperlink r:id="rId22" w:history="1">
              <w:r>
                <w:rPr>
                  <w:rStyle w:val="a3"/>
                  <w:rFonts w:eastAsia="Times New Roman"/>
                  <w:sz w:val="18"/>
                  <w:szCs w:val="18"/>
                </w:rPr>
                <w:t xml:space="preserve"> (1)</w:t>
              </w:r>
            </w:hyperlink>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sz w:val="20"/>
                <w:szCs w:val="20"/>
              </w:rPr>
            </w:pPr>
          </w:p>
        </w:tc>
        <w:tc>
          <w:tcPr>
            <w:tcW w:w="0" w:type="auto"/>
            <w:gridSpan w:val="3"/>
            <w:shd w:val="clear" w:color="auto" w:fill="CCEEFF"/>
            <w:tcMar>
              <w:top w:w="15" w:type="dxa"/>
              <w:left w:w="20" w:type="dxa"/>
              <w:bottom w:w="15" w:type="dxa"/>
              <w:right w:w="20" w:type="dxa"/>
            </w:tcMar>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sz w:val="20"/>
                <w:szCs w:val="20"/>
              </w:rPr>
            </w:pPr>
          </w:p>
        </w:tc>
        <w:tc>
          <w:tcPr>
            <w:tcW w:w="0" w:type="auto"/>
            <w:gridSpan w:val="3"/>
            <w:shd w:val="clear" w:color="auto" w:fill="CCEEFF"/>
            <w:tcMar>
              <w:top w:w="15" w:type="dxa"/>
              <w:left w:w="20" w:type="dxa"/>
              <w:bottom w:w="15" w:type="dxa"/>
              <w:right w:w="20" w:type="dxa"/>
            </w:tcMar>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jc w:val="cente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r w:rsidR="00000000">
        <w:trPr>
          <w:divId w:val="1808861264"/>
        </w:trPr>
        <w:tc>
          <w:tcPr>
            <w:tcW w:w="0" w:type="auto"/>
            <w:gridSpan w:val="3"/>
            <w:vAlign w:val="center"/>
            <w:hideMark/>
          </w:tcPr>
          <w:p w:rsidR="00000000" w:rsidRDefault="00602C02">
            <w:pPr>
              <w:jc w:val="center"/>
              <w:rPr>
                <w:rFonts w:eastAsia="Times New Roman"/>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c>
          <w:tcPr>
            <w:tcW w:w="0" w:type="auto"/>
            <w:gridSpan w:val="3"/>
            <w:vAlign w:val="center"/>
            <w:hideMark/>
          </w:tcPr>
          <w:p w:rsidR="00000000" w:rsidRDefault="00602C02">
            <w:pPr>
              <w:rPr>
                <w:rFonts w:eastAsia="Times New Roman"/>
                <w:sz w:val="20"/>
                <w:szCs w:val="20"/>
              </w:rPr>
            </w:pP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31.</w:t>
            </w:r>
            <w:r>
              <w:rPr>
                <w:rFonts w:eastAsia="Times New Roman"/>
                <w:color w:val="000000"/>
                <w:sz w:val="18"/>
                <w:szCs w:val="18"/>
              </w:rPr>
              <w:t>1</w:t>
            </w:r>
          </w:p>
        </w:tc>
        <w:tc>
          <w:tcPr>
            <w:tcW w:w="0" w:type="auto"/>
            <w:gridSpan w:val="3"/>
            <w:shd w:val="clear" w:color="auto" w:fill="FFFF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divId w:val="611279818"/>
              <w:rPr>
                <w:rFonts w:eastAsia="Times New Roman"/>
              </w:rPr>
            </w:pPr>
            <w:hyperlink r:id="rId23" w:history="1">
              <w:r>
                <w:rPr>
                  <w:rStyle w:val="a3"/>
                  <w:rFonts w:eastAsia="Times New Roman"/>
                  <w:sz w:val="18"/>
                  <w:szCs w:val="18"/>
                </w:rPr>
                <w:t>Certification pursuant to Section 302 of the Sarbanes-Oxley Act of 2002 for Steve Mollenkopf.</w:t>
              </w:r>
            </w:hyperlink>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31.</w:t>
            </w:r>
            <w:r>
              <w:rPr>
                <w:rFonts w:eastAsia="Times New Roman"/>
                <w:color w:val="000000"/>
                <w:sz w:val="18"/>
                <w:szCs w:val="18"/>
              </w:rPr>
              <w:t>2</w:t>
            </w:r>
          </w:p>
        </w:tc>
        <w:tc>
          <w:tcPr>
            <w:tcW w:w="0" w:type="auto"/>
            <w:gridSpan w:val="3"/>
            <w:shd w:val="clear" w:color="auto" w:fill="CCEE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divId w:val="1835221000"/>
              <w:rPr>
                <w:rFonts w:eastAsia="Times New Roman"/>
              </w:rPr>
            </w:pPr>
            <w:hyperlink r:id="rId24" w:history="1">
              <w:r>
                <w:rPr>
                  <w:rStyle w:val="a3"/>
                  <w:rFonts w:eastAsia="Times New Roman"/>
                  <w:sz w:val="18"/>
                  <w:szCs w:val="18"/>
                </w:rPr>
                <w:t>Certification pursuant to Section 302 of the Sarbanes-Oxley Act of 2002 for Akash Palkhiwala.</w:t>
              </w:r>
            </w:hyperlink>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32.</w:t>
            </w:r>
            <w:r>
              <w:rPr>
                <w:rFonts w:eastAsia="Times New Roman"/>
                <w:color w:val="000000"/>
                <w:sz w:val="18"/>
                <w:szCs w:val="18"/>
              </w:rPr>
              <w:t>1</w:t>
            </w:r>
          </w:p>
        </w:tc>
        <w:tc>
          <w:tcPr>
            <w:tcW w:w="0" w:type="auto"/>
            <w:gridSpan w:val="3"/>
            <w:shd w:val="clear" w:color="auto" w:fill="FFFF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divId w:val="452289604"/>
              <w:rPr>
                <w:rFonts w:eastAsia="Times New Roman"/>
              </w:rPr>
            </w:pPr>
            <w:hyperlink r:id="rId25" w:history="1">
              <w:r>
                <w:rPr>
                  <w:rStyle w:val="a3"/>
                  <w:rFonts w:eastAsia="Times New Roman"/>
                  <w:sz w:val="18"/>
                  <w:szCs w:val="18"/>
                </w:rPr>
                <w:t>Certification pursuant to 18 U.S.C. Section </w:t>
              </w:r>
              <w:r>
                <w:rPr>
                  <w:rStyle w:val="a3"/>
                  <w:rFonts w:eastAsia="Times New Roman"/>
                  <w:sz w:val="18"/>
                  <w:szCs w:val="18"/>
                </w:rPr>
                <w:t>1350, as adopted pursuant to Section 906 of the Sarbanes-Oxley Act of 2002, for Steve Mollenkopf.</w:t>
              </w:r>
            </w:hyperlink>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32.</w:t>
            </w:r>
            <w:r>
              <w:rPr>
                <w:rFonts w:eastAsia="Times New Roman"/>
                <w:color w:val="000000"/>
                <w:sz w:val="18"/>
                <w:szCs w:val="18"/>
              </w:rPr>
              <w:t>2</w:t>
            </w:r>
          </w:p>
        </w:tc>
        <w:tc>
          <w:tcPr>
            <w:tcW w:w="0" w:type="auto"/>
            <w:gridSpan w:val="3"/>
            <w:shd w:val="clear" w:color="auto" w:fill="CCEE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divId w:val="565723547"/>
              <w:rPr>
                <w:rFonts w:eastAsia="Times New Roman"/>
              </w:rPr>
            </w:pPr>
            <w:hyperlink r:id="rId26" w:history="1">
              <w:r>
                <w:rPr>
                  <w:rStyle w:val="a3"/>
                  <w:rFonts w:eastAsia="Times New Roman"/>
                  <w:sz w:val="18"/>
                  <w:szCs w:val="18"/>
                </w:rPr>
                <w:t>Certification pursuant to 18 U.S.C. Section 1350, as adopted pursuant to Section 906 of the Sarbanes-Oxley Act of 2002, for Akash Palkhiwala.</w:t>
              </w:r>
            </w:hyperlink>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101.IN</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rPr>
                <w:rFonts w:eastAsia="Times New Roman"/>
              </w:rPr>
            </w:pPr>
            <w:r>
              <w:rPr>
                <w:rFonts w:eastAsia="Times New Roman"/>
                <w:color w:val="000000"/>
                <w:sz w:val="18"/>
                <w:szCs w:val="18"/>
              </w:rPr>
              <w:t>XBRL Instance Document - the instance document does not appear in the Interactive Data File because its XBRL tags are embedded within the Inline XBRL document</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101.SC</w:t>
            </w:r>
            <w:r>
              <w:rPr>
                <w:rFonts w:eastAsia="Times New Roman"/>
                <w:color w:val="000000"/>
                <w:sz w:val="18"/>
                <w:szCs w:val="18"/>
              </w:rPr>
              <w:t>H</w:t>
            </w:r>
          </w:p>
        </w:tc>
        <w:tc>
          <w:tcPr>
            <w:tcW w:w="0" w:type="auto"/>
            <w:gridSpan w:val="3"/>
            <w:shd w:val="clear" w:color="auto" w:fill="CCEE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rPr>
                <w:rFonts w:eastAsia="Times New Roman"/>
              </w:rPr>
            </w:pPr>
            <w:r>
              <w:rPr>
                <w:rFonts w:eastAsia="Times New Roman"/>
                <w:color w:val="000000"/>
                <w:sz w:val="18"/>
                <w:szCs w:val="18"/>
              </w:rPr>
              <w:t>XBRL Taxonomy Extension Schema</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101.CA</w:t>
            </w:r>
            <w:r>
              <w:rPr>
                <w:rFonts w:eastAsia="Times New Roman"/>
                <w:color w:val="000000"/>
                <w:sz w:val="18"/>
                <w:szCs w:val="18"/>
              </w:rPr>
              <w:t>L</w:t>
            </w:r>
          </w:p>
        </w:tc>
        <w:tc>
          <w:tcPr>
            <w:tcW w:w="0" w:type="auto"/>
            <w:gridSpan w:val="3"/>
            <w:shd w:val="clear" w:color="auto" w:fill="FFFF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rPr>
                <w:rFonts w:eastAsia="Times New Roman"/>
              </w:rPr>
            </w:pPr>
            <w:r>
              <w:rPr>
                <w:rFonts w:eastAsia="Times New Roman"/>
                <w:color w:val="000000"/>
                <w:sz w:val="18"/>
                <w:szCs w:val="18"/>
              </w:rPr>
              <w:t>XBRL Taxonomy Extension Calculation Linkbase</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101.LA</w:t>
            </w:r>
            <w:r>
              <w:rPr>
                <w:rFonts w:eastAsia="Times New Roman"/>
                <w:color w:val="000000"/>
                <w:sz w:val="18"/>
                <w:szCs w:val="18"/>
              </w:rPr>
              <w:t>B</w:t>
            </w:r>
          </w:p>
        </w:tc>
        <w:tc>
          <w:tcPr>
            <w:tcW w:w="0" w:type="auto"/>
            <w:gridSpan w:val="3"/>
            <w:shd w:val="clear" w:color="auto" w:fill="CCEE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rPr>
                <w:rFonts w:eastAsia="Times New Roman"/>
              </w:rPr>
            </w:pPr>
            <w:r>
              <w:rPr>
                <w:rFonts w:eastAsia="Times New Roman"/>
                <w:color w:val="000000"/>
                <w:sz w:val="18"/>
                <w:szCs w:val="18"/>
              </w:rPr>
              <w:t>XBRL Taxonomy Extension Labels Linkbase</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r w:rsidR="00000000">
        <w:trPr>
          <w:divId w:val="1808861264"/>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101.PR</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rPr>
                <w:rFonts w:eastAsia="Times New Roman"/>
              </w:rPr>
            </w:pPr>
            <w:r>
              <w:rPr>
                <w:rFonts w:eastAsia="Times New Roman"/>
                <w:color w:val="000000"/>
                <w:sz w:val="18"/>
                <w:szCs w:val="18"/>
              </w:rPr>
              <w:t>XBRL Taxonomy Extension Presentation Linkbase</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r w:rsidR="00000000">
        <w:trPr>
          <w:divId w:val="1808861264"/>
        </w:trPr>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101.DE</w:t>
            </w:r>
            <w:r>
              <w:rPr>
                <w:rFonts w:eastAsia="Times New Roman"/>
                <w:color w:val="000000"/>
                <w:sz w:val="18"/>
                <w:szCs w:val="18"/>
              </w:rPr>
              <w:t>F</w:t>
            </w:r>
          </w:p>
        </w:tc>
        <w:tc>
          <w:tcPr>
            <w:tcW w:w="0" w:type="auto"/>
            <w:gridSpan w:val="3"/>
            <w:shd w:val="clear" w:color="auto" w:fill="CCEEFF"/>
            <w:tcMar>
              <w:top w:w="15" w:type="dxa"/>
              <w:left w:w="20" w:type="dxa"/>
              <w:bottom w:w="15" w:type="dxa"/>
              <w:right w:w="20" w:type="dxa"/>
            </w:tcMar>
            <w:hideMark/>
          </w:tcPr>
          <w:p w:rsidR="00000000" w:rsidRDefault="00602C02">
            <w:pPr>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602C02">
            <w:pPr>
              <w:rPr>
                <w:rFonts w:eastAsia="Times New Roman"/>
              </w:rPr>
            </w:pPr>
            <w:r>
              <w:rPr>
                <w:rFonts w:eastAsia="Times New Roman"/>
                <w:color w:val="000000"/>
                <w:sz w:val="18"/>
                <w:szCs w:val="18"/>
              </w:rPr>
              <w:t>XBRL Taxonomy Extension Definition Linkbase</w:t>
            </w:r>
            <w:r>
              <w:rPr>
                <w:rFonts w:eastAsia="Times New Roman"/>
                <w:color w:val="000000"/>
                <w:sz w:val="18"/>
                <w:szCs w:val="18"/>
              </w:rPr>
              <w:t>.</w:t>
            </w: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X</w:t>
            </w:r>
          </w:p>
        </w:tc>
      </w:tr>
    </w:tbl>
    <w:p w:rsidR="00000000" w:rsidRDefault="00602C02">
      <w:pPr>
        <w:jc w:val="center"/>
        <w:divId w:val="1603144503"/>
        <w:rPr>
          <w:rFonts w:eastAsia="Times New Roman"/>
        </w:rPr>
      </w:pPr>
      <w:r>
        <w:rPr>
          <w:rFonts w:eastAsia="Times New Roman"/>
          <w:color w:val="000000"/>
          <w:sz w:val="20"/>
          <w:szCs w:val="20"/>
        </w:rPr>
        <w:t>5</w:t>
      </w:r>
      <w:r>
        <w:rPr>
          <w:rFonts w:eastAsia="Times New Roman"/>
          <w:color w:val="000000"/>
          <w:sz w:val="20"/>
          <w:szCs w:val="20"/>
        </w:rPr>
        <w:t>5</w:t>
      </w:r>
    </w:p>
    <w:p w:rsidR="00000000" w:rsidRDefault="00602C02">
      <w:pPr>
        <w:rPr>
          <w:rFonts w:eastAsia="Times New Roman"/>
        </w:rPr>
      </w:pPr>
      <w:r>
        <w:rPr>
          <w:rFonts w:eastAsia="Times New Roman"/>
        </w:rPr>
        <w:pict>
          <v:rect id="_x0000_i1079" style="width:0;height:1.5pt" o:hralign="center" o:hrstd="t" o:hr="t" fillcolor="#a0a0a0" stroked="f"/>
        </w:pict>
      </w:r>
    </w:p>
    <w:p w:rsidR="00000000" w:rsidRDefault="00602C02">
      <w:pPr>
        <w:divId w:val="1606619369"/>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70"/>
        <w:gridCol w:w="673"/>
        <w:gridCol w:w="70"/>
        <w:gridCol w:w="36"/>
        <w:gridCol w:w="36"/>
        <w:gridCol w:w="36"/>
        <w:gridCol w:w="68"/>
        <w:gridCol w:w="3396"/>
        <w:gridCol w:w="71"/>
        <w:gridCol w:w="36"/>
        <w:gridCol w:w="36"/>
        <w:gridCol w:w="36"/>
        <w:gridCol w:w="68"/>
        <w:gridCol w:w="662"/>
        <w:gridCol w:w="71"/>
        <w:gridCol w:w="36"/>
        <w:gridCol w:w="36"/>
        <w:gridCol w:w="36"/>
        <w:gridCol w:w="68"/>
        <w:gridCol w:w="725"/>
        <w:gridCol w:w="71"/>
        <w:gridCol w:w="36"/>
        <w:gridCol w:w="36"/>
        <w:gridCol w:w="36"/>
        <w:gridCol w:w="68"/>
        <w:gridCol w:w="700"/>
        <w:gridCol w:w="71"/>
        <w:gridCol w:w="36"/>
        <w:gridCol w:w="36"/>
        <w:gridCol w:w="36"/>
        <w:gridCol w:w="68"/>
        <w:gridCol w:w="750"/>
        <w:gridCol w:w="71"/>
      </w:tblGrid>
      <w:tr w:rsidR="00000000">
        <w:trPr>
          <w:divId w:val="1872959541"/>
        </w:trPr>
        <w:tc>
          <w:tcPr>
            <w:tcW w:w="50" w:type="pct"/>
            <w:vAlign w:val="center"/>
            <w:hideMark/>
          </w:tcPr>
          <w:p w:rsidR="00000000" w:rsidRDefault="00602C02">
            <w:pPr>
              <w:rPr>
                <w:rFonts w:eastAsia="Times New Roman"/>
              </w:rPr>
            </w:pPr>
          </w:p>
        </w:tc>
        <w:tc>
          <w:tcPr>
            <w:tcW w:w="41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2056"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07"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44"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2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27" w:type="pct"/>
            <w:vAlign w:val="center"/>
            <w:hideMark/>
          </w:tcPr>
          <w:p w:rsidR="00000000" w:rsidRDefault="00602C02">
            <w:pPr>
              <w:rPr>
                <w:rFonts w:eastAsia="Times New Roman"/>
                <w:sz w:val="20"/>
                <w:szCs w:val="20"/>
              </w:rPr>
            </w:pPr>
          </w:p>
        </w:tc>
        <w:tc>
          <w:tcPr>
            <w:tcW w:w="5"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459"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872959541"/>
        </w:trPr>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b/>
                <w:bCs/>
                <w:color w:val="000000"/>
                <w:sz w:val="18"/>
                <w:szCs w:val="18"/>
              </w:rPr>
              <w:t>Exhibit</w:t>
            </w:r>
            <w:r>
              <w:rPr>
                <w:rFonts w:eastAsia="Times New Roman"/>
                <w:b/>
                <w:bCs/>
                <w:color w:val="000000"/>
                <w:sz w:val="18"/>
                <w:szCs w:val="18"/>
              </w:rPr>
              <w:t xml:space="preserve"> </w:t>
            </w:r>
          </w:p>
          <w:p w:rsidR="00000000" w:rsidRDefault="00602C02">
            <w:pPr>
              <w:jc w:val="center"/>
              <w:rPr>
                <w:rFonts w:eastAsia="Times New Roman"/>
              </w:rPr>
            </w:pPr>
            <w:r>
              <w:rPr>
                <w:rFonts w:eastAsia="Times New Roman"/>
                <w:b/>
                <w:bCs/>
                <w:color w:val="000000"/>
                <w:sz w:val="18"/>
                <w:szCs w:val="18"/>
              </w:rPr>
              <w:t>Numbe</w:t>
            </w:r>
            <w:r>
              <w:rPr>
                <w:rFonts w:eastAsia="Times New Roman"/>
                <w:b/>
                <w:bCs/>
                <w:color w:val="000000"/>
                <w:sz w:val="18"/>
                <w:szCs w:val="18"/>
              </w:rPr>
              <w:t>r</w:t>
            </w:r>
          </w:p>
        </w:tc>
        <w:tc>
          <w:tcPr>
            <w:tcW w:w="0" w:type="auto"/>
            <w:gridSpan w:val="3"/>
            <w:tcMar>
              <w:top w:w="15" w:type="dxa"/>
              <w:left w:w="20" w:type="dxa"/>
              <w:bottom w:w="15" w:type="dxa"/>
              <w:right w:w="20" w:type="dxa"/>
            </w:tcMar>
            <w:vAlign w:val="center"/>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602C02">
            <w:pPr>
              <w:rPr>
                <w:rFonts w:eastAsia="Times New Roman"/>
              </w:rPr>
            </w:pPr>
            <w:r>
              <w:rPr>
                <w:rFonts w:eastAsia="Times New Roman"/>
                <w:b/>
                <w:bCs/>
                <w:color w:val="000000"/>
                <w:sz w:val="18"/>
                <w:szCs w:val="18"/>
              </w:rPr>
              <w:t>Exhibit Descriptio</w:t>
            </w:r>
            <w:r>
              <w:rPr>
                <w:rFonts w:eastAsia="Times New Roman"/>
                <w:b/>
                <w:bCs/>
                <w:color w:val="000000"/>
                <w:sz w:val="18"/>
                <w:szCs w:val="18"/>
              </w:rPr>
              <w:t>n</w:t>
            </w:r>
          </w:p>
        </w:tc>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b/>
                <w:bCs/>
                <w:color w:val="000000"/>
                <w:sz w:val="18"/>
                <w:szCs w:val="18"/>
              </w:rPr>
              <w:t>For</w:t>
            </w:r>
            <w:r>
              <w:rPr>
                <w:rFonts w:eastAsia="Times New Roman"/>
                <w:b/>
                <w:bCs/>
                <w:color w:val="000000"/>
                <w:sz w:val="18"/>
                <w:szCs w:val="18"/>
              </w:rPr>
              <w:t>m</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b/>
                <w:bCs/>
                <w:color w:val="000000"/>
                <w:sz w:val="18"/>
                <w:szCs w:val="18"/>
              </w:rPr>
              <w:t>Date of First Filin</w:t>
            </w:r>
            <w:r>
              <w:rPr>
                <w:rFonts w:eastAsia="Times New Roman"/>
                <w:b/>
                <w:bCs/>
                <w:color w:val="000000"/>
                <w:sz w:val="18"/>
                <w:szCs w:val="18"/>
              </w:rPr>
              <w:t>g</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b/>
                <w:bCs/>
                <w:color w:val="000000"/>
                <w:sz w:val="18"/>
                <w:szCs w:val="18"/>
              </w:rPr>
              <w:t>Exhibit Numbe</w:t>
            </w:r>
            <w:r>
              <w:rPr>
                <w:rFonts w:eastAsia="Times New Roman"/>
                <w:b/>
                <w:bCs/>
                <w:color w:val="000000"/>
                <w:sz w:val="18"/>
                <w:szCs w:val="18"/>
              </w:rPr>
              <w:t>r</w:t>
            </w:r>
          </w:p>
        </w:tc>
        <w:tc>
          <w:tcPr>
            <w:tcW w:w="0" w:type="auto"/>
            <w:gridSpan w:val="3"/>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602C02">
            <w:pPr>
              <w:jc w:val="center"/>
              <w:rPr>
                <w:rFonts w:eastAsia="Times New Roman"/>
              </w:rPr>
            </w:pPr>
            <w:r>
              <w:rPr>
                <w:rFonts w:eastAsia="Times New Roman"/>
                <w:b/>
                <w:bCs/>
                <w:color w:val="000000"/>
                <w:sz w:val="18"/>
                <w:szCs w:val="18"/>
              </w:rPr>
              <w:t>Filed Herewit</w:t>
            </w:r>
            <w:r>
              <w:rPr>
                <w:rFonts w:eastAsia="Times New Roman"/>
                <w:b/>
                <w:bCs/>
                <w:color w:val="000000"/>
                <w:sz w:val="18"/>
                <w:szCs w:val="18"/>
              </w:rPr>
              <w:t>h</w:t>
            </w:r>
          </w:p>
        </w:tc>
      </w:tr>
      <w:tr w:rsidR="00000000">
        <w:trPr>
          <w:divId w:val="1872959541"/>
        </w:trPr>
        <w:tc>
          <w:tcPr>
            <w:tcW w:w="0" w:type="auto"/>
            <w:gridSpan w:val="3"/>
            <w:shd w:val="clear" w:color="auto" w:fill="FFFFFF"/>
            <w:tcMar>
              <w:top w:w="30" w:type="dxa"/>
              <w:left w:w="20" w:type="dxa"/>
              <w:bottom w:w="30" w:type="dxa"/>
              <w:right w:w="20" w:type="dxa"/>
            </w:tcMar>
            <w:hideMark/>
          </w:tcPr>
          <w:p w:rsidR="00000000" w:rsidRDefault="00602C02">
            <w:pPr>
              <w:jc w:val="center"/>
              <w:rPr>
                <w:rFonts w:eastAsia="Times New Roman"/>
              </w:rPr>
            </w:pPr>
            <w:r>
              <w:rPr>
                <w:rFonts w:eastAsia="Times New Roman"/>
                <w:color w:val="000000"/>
                <w:sz w:val="18"/>
                <w:szCs w:val="18"/>
              </w:rPr>
              <w:t>10</w:t>
            </w:r>
            <w:r>
              <w:rPr>
                <w:rFonts w:eastAsia="Times New Roman"/>
                <w:color w:val="000000"/>
                <w:sz w:val="18"/>
                <w:szCs w:val="18"/>
              </w:rPr>
              <w:t>4</w:t>
            </w:r>
          </w:p>
        </w:tc>
        <w:tc>
          <w:tcPr>
            <w:tcW w:w="0" w:type="auto"/>
            <w:gridSpan w:val="3"/>
            <w:shd w:val="clear" w:color="auto" w:fill="FFFFFF"/>
            <w:tcMar>
              <w:top w:w="15" w:type="dxa"/>
              <w:left w:w="20" w:type="dxa"/>
              <w:bottom w:w="15" w:type="dxa"/>
              <w:right w:w="20" w:type="dxa"/>
            </w:tcMar>
            <w:vAlign w:val="bottom"/>
            <w:hideMark/>
          </w:tcPr>
          <w:p w:rsidR="00000000" w:rsidRDefault="00602C02">
            <w:pPr>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02C02">
            <w:pPr>
              <w:rPr>
                <w:rFonts w:eastAsia="Times New Roman"/>
              </w:rPr>
            </w:pPr>
            <w:r>
              <w:rPr>
                <w:rFonts w:eastAsia="Times New Roman"/>
                <w:color w:val="000000"/>
                <w:sz w:val="18"/>
                <w:szCs w:val="18"/>
              </w:rPr>
              <w:t>Cover Page Interactive Data File (formatted as Inline XBRL and contained in Exhibit 101)</w:t>
            </w:r>
            <w:r>
              <w:rPr>
                <w:rFonts w:eastAsia="Times New Roman"/>
                <w:color w:val="000000"/>
                <w:sz w:val="18"/>
                <w:szCs w:val="18"/>
              </w:rPr>
              <w:t>.</w:t>
            </w: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602C02">
            <w:pPr>
              <w:rPr>
                <w:rFonts w:eastAsia="Times New Roman"/>
                <w:sz w:val="20"/>
                <w:szCs w:val="20"/>
              </w:rPr>
            </w:pPr>
          </w:p>
        </w:tc>
      </w:tr>
    </w:tbl>
    <w:p w:rsidR="00000000" w:rsidRDefault="00602C02">
      <w:pPr>
        <w:ind w:hanging="360"/>
        <w:divId w:val="758334638"/>
        <w:rPr>
          <w:rFonts w:eastAsia="Times New Roman"/>
        </w:rPr>
      </w:pPr>
      <w:r>
        <w:rPr>
          <w:rFonts w:eastAsia="Times New Roman"/>
          <w:color w:val="000000"/>
          <w:sz w:val="20"/>
          <w:szCs w:val="20"/>
        </w:rPr>
        <w:t>(1</w:t>
      </w:r>
      <w:r>
        <w:rPr>
          <w:rFonts w:eastAsia="Times New Roman"/>
          <w:color w:val="000000"/>
          <w:sz w:val="20"/>
          <w:szCs w:val="20"/>
        </w:rPr>
        <w:t>)</w:t>
      </w:r>
      <w:r>
        <w:rPr>
          <w:rFonts w:eastAsia="Times New Roman"/>
          <w:color w:val="000000"/>
          <w:sz w:val="18"/>
          <w:szCs w:val="18"/>
        </w:rPr>
        <w:t>Indicates management contract or compensatory plan or arrangement required to be identified pursuant to Item 15(a)</w:t>
      </w:r>
      <w:r>
        <w:rPr>
          <w:rFonts w:eastAsia="Times New Roman"/>
          <w:color w:val="000000"/>
          <w:sz w:val="18"/>
          <w:szCs w:val="18"/>
        </w:rPr>
        <w:t>.</w:t>
      </w:r>
    </w:p>
    <w:p w:rsidR="00000000" w:rsidRDefault="00602C02">
      <w:pPr>
        <w:divId w:val="1739211579"/>
        <w:rPr>
          <w:rFonts w:eastAsia="Times New Roman"/>
        </w:rPr>
      </w:pPr>
    </w:p>
    <w:p w:rsidR="00000000" w:rsidRDefault="00602C02">
      <w:pPr>
        <w:divId w:val="929050012"/>
        <w:rPr>
          <w:rFonts w:eastAsia="Times New Roman"/>
        </w:rPr>
      </w:pPr>
    </w:p>
    <w:p w:rsidR="00000000" w:rsidRDefault="00602C02">
      <w:pPr>
        <w:jc w:val="center"/>
        <w:divId w:val="1232735882"/>
        <w:rPr>
          <w:rFonts w:eastAsia="Times New Roman"/>
        </w:rPr>
      </w:pPr>
      <w:r>
        <w:rPr>
          <w:rFonts w:eastAsia="Times New Roman"/>
          <w:color w:val="000000"/>
          <w:sz w:val="20"/>
          <w:szCs w:val="20"/>
        </w:rPr>
        <w:t>5</w:t>
      </w:r>
      <w:r>
        <w:rPr>
          <w:rFonts w:eastAsia="Times New Roman"/>
          <w:color w:val="000000"/>
          <w:sz w:val="20"/>
          <w:szCs w:val="20"/>
        </w:rPr>
        <w:t>6</w:t>
      </w:r>
    </w:p>
    <w:p w:rsidR="00000000" w:rsidRDefault="00602C02">
      <w:pPr>
        <w:rPr>
          <w:rFonts w:eastAsia="Times New Roman"/>
        </w:rPr>
      </w:pPr>
      <w:r>
        <w:rPr>
          <w:rFonts w:eastAsia="Times New Roman"/>
        </w:rPr>
        <w:pict>
          <v:rect id="_x0000_i1080" style="width:0;height:1.5pt" o:hralign="center" o:hrstd="t" o:hr="t" fillcolor="#a0a0a0" stroked="f"/>
        </w:pict>
      </w:r>
    </w:p>
    <w:p w:rsidR="00000000" w:rsidRDefault="00602C02">
      <w:pPr>
        <w:divId w:val="1385176874"/>
        <w:rPr>
          <w:rFonts w:eastAsia="Times New Roman"/>
        </w:rPr>
      </w:pPr>
    </w:p>
    <w:p w:rsidR="00000000" w:rsidRDefault="00602C02">
      <w:pPr>
        <w:jc w:val="center"/>
        <w:rPr>
          <w:rFonts w:eastAsia="Times New Roman"/>
        </w:rPr>
      </w:pPr>
      <w:r>
        <w:rPr>
          <w:rFonts w:eastAsia="Times New Roman"/>
          <w:b/>
          <w:bCs/>
          <w:color w:val="000000"/>
          <w:sz w:val="20"/>
          <w:szCs w:val="20"/>
        </w:rPr>
        <w:t>SIGNATURE</w:t>
      </w:r>
      <w:r>
        <w:rPr>
          <w:rFonts w:eastAsia="Times New Roman"/>
          <w:b/>
          <w:bCs/>
          <w:color w:val="000000"/>
          <w:sz w:val="20"/>
          <w:szCs w:val="20"/>
        </w:rPr>
        <w:t>S</w:t>
      </w:r>
    </w:p>
    <w:p w:rsidR="00000000" w:rsidRDefault="00602C02">
      <w:pPr>
        <w:ind w:firstLine="360"/>
        <w:divId w:val="2028679577"/>
        <w:rPr>
          <w:rFonts w:eastAsia="Times New Roman"/>
        </w:rPr>
      </w:pPr>
      <w:r>
        <w:rPr>
          <w:rFonts w:eastAsia="Times New Roman"/>
          <w:color w:val="000000"/>
          <w:sz w:val="20"/>
          <w:szCs w:val="20"/>
        </w:rPr>
        <w:t>Pursuant to the requirements of the Securities Exchange Act of 1934, the registrant</w:t>
      </w:r>
      <w:r>
        <w:rPr>
          <w:rFonts w:eastAsia="Times New Roman"/>
          <w:color w:val="000000"/>
          <w:sz w:val="20"/>
          <w:szCs w:val="20"/>
        </w:rPr>
        <w:t xml:space="preserve"> has duly caused this report to be signed on its behalf by the undersigned thereunto duly authorized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3987"/>
        <w:gridCol w:w="83"/>
        <w:gridCol w:w="83"/>
        <w:gridCol w:w="3987"/>
        <w:gridCol w:w="83"/>
      </w:tblGrid>
      <w:tr w:rsidR="00000000">
        <w:trPr>
          <w:divId w:val="1145047136"/>
        </w:trPr>
        <w:tc>
          <w:tcPr>
            <w:tcW w:w="50" w:type="pct"/>
            <w:vAlign w:val="center"/>
            <w:hideMark/>
          </w:tcPr>
          <w:p w:rsidR="00000000" w:rsidRDefault="00602C02">
            <w:pPr>
              <w:ind w:firstLine="360"/>
              <w:rPr>
                <w:rFonts w:eastAsia="Times New Roman"/>
              </w:rPr>
            </w:pPr>
          </w:p>
        </w:tc>
        <w:tc>
          <w:tcPr>
            <w:tcW w:w="24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c>
          <w:tcPr>
            <w:tcW w:w="2400" w:type="pct"/>
            <w:vAlign w:val="center"/>
            <w:hideMark/>
          </w:tcPr>
          <w:p w:rsidR="00000000" w:rsidRDefault="00602C02">
            <w:pPr>
              <w:rPr>
                <w:rFonts w:eastAsia="Times New Roman"/>
                <w:sz w:val="20"/>
                <w:szCs w:val="20"/>
              </w:rPr>
            </w:pPr>
          </w:p>
        </w:tc>
        <w:tc>
          <w:tcPr>
            <w:tcW w:w="50" w:type="pct"/>
            <w:vAlign w:val="center"/>
            <w:hideMark/>
          </w:tcPr>
          <w:p w:rsidR="00000000" w:rsidRDefault="00602C02">
            <w:pPr>
              <w:rPr>
                <w:rFonts w:eastAsia="Times New Roman"/>
                <w:sz w:val="20"/>
                <w:szCs w:val="20"/>
              </w:rPr>
            </w:pPr>
          </w:p>
        </w:tc>
      </w:tr>
      <w:tr w:rsidR="00000000">
        <w:trPr>
          <w:divId w:val="1145047136"/>
        </w:trPr>
        <w:tc>
          <w:tcPr>
            <w:tcW w:w="0" w:type="auto"/>
            <w:gridSpan w:val="3"/>
            <w:tcMar>
              <w:top w:w="30" w:type="dxa"/>
              <w:left w:w="20" w:type="dxa"/>
              <w:bottom w:w="30" w:type="dxa"/>
              <w:right w:w="20" w:type="dxa"/>
            </w:tcMar>
            <w:hideMark/>
          </w:tcPr>
          <w:p w:rsidR="00000000" w:rsidRDefault="00602C02">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02C02">
            <w:pPr>
              <w:divId w:val="1458989305"/>
              <w:rPr>
                <w:rFonts w:eastAsia="Times New Roman"/>
              </w:rPr>
            </w:pPr>
            <w:r>
              <w:rPr>
                <w:rFonts w:eastAsia="Times New Roman"/>
                <w:color w:val="000000"/>
                <w:sz w:val="20"/>
                <w:szCs w:val="20"/>
              </w:rPr>
              <w:t>QUALCOMM Incorporate</w:t>
            </w:r>
            <w:r>
              <w:rPr>
                <w:rFonts w:eastAsia="Times New Roman"/>
                <w:color w:val="000000"/>
                <w:sz w:val="20"/>
                <w:szCs w:val="20"/>
              </w:rPr>
              <w:t>d</w:t>
            </w:r>
          </w:p>
          <w:p w:rsidR="00000000" w:rsidRDefault="00602C02">
            <w:pPr>
              <w:divId w:val="1185830779"/>
              <w:rPr>
                <w:rFonts w:eastAsia="Times New Roman"/>
              </w:rPr>
            </w:pPr>
            <w:r>
              <w:rPr>
                <w:rFonts w:eastAsia="Times New Roman"/>
                <w:color w:val="000000"/>
                <w:sz w:val="20"/>
                <w:szCs w:val="20"/>
              </w:rPr>
              <w:t> </w:t>
            </w:r>
          </w:p>
        </w:tc>
      </w:tr>
      <w:tr w:rsidR="00000000">
        <w:trPr>
          <w:divId w:val="1145047136"/>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20"/>
                <w:szCs w:val="20"/>
              </w:rPr>
              <w:t>/s/ Akash Palkhiwal</w:t>
            </w:r>
            <w:r>
              <w:rPr>
                <w:rFonts w:eastAsia="Times New Roman"/>
                <w:color w:val="000000"/>
                <w:sz w:val="20"/>
                <w:szCs w:val="20"/>
              </w:rPr>
              <w:t>a</w:t>
            </w:r>
          </w:p>
        </w:tc>
      </w:tr>
      <w:tr w:rsidR="00000000">
        <w:trPr>
          <w:divId w:val="1145047136"/>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20"/>
                <w:szCs w:val="20"/>
              </w:rPr>
              <w:t>Akash Palkhiwal</w:t>
            </w:r>
            <w:r>
              <w:rPr>
                <w:rFonts w:eastAsia="Times New Roman"/>
                <w:color w:val="000000"/>
                <w:sz w:val="20"/>
                <w:szCs w:val="20"/>
              </w:rPr>
              <w:t>a</w:t>
            </w:r>
          </w:p>
        </w:tc>
      </w:tr>
      <w:tr w:rsidR="00000000">
        <w:trPr>
          <w:divId w:val="1145047136"/>
        </w:trPr>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602C02">
            <w:pPr>
              <w:rPr>
                <w:rFonts w:eastAsia="Times New Roman"/>
              </w:rPr>
            </w:pPr>
            <w:r>
              <w:rPr>
                <w:rFonts w:eastAsia="Times New Roman"/>
                <w:color w:val="000000"/>
                <w:sz w:val="20"/>
                <w:szCs w:val="20"/>
              </w:rPr>
              <w:t xml:space="preserve">Executive Vice President and </w:t>
            </w:r>
            <w:r>
              <w:rPr>
                <w:rFonts w:eastAsia="Times New Roman"/>
                <w:color w:val="000000"/>
                <w:sz w:val="20"/>
                <w:szCs w:val="20"/>
              </w:rPr>
              <w:br/>
            </w:r>
            <w:r>
              <w:rPr>
                <w:rFonts w:eastAsia="Times New Roman"/>
                <w:color w:val="000000"/>
                <w:sz w:val="20"/>
                <w:szCs w:val="20"/>
              </w:rPr>
              <w:t>Chief Financial Office</w:t>
            </w:r>
            <w:r>
              <w:rPr>
                <w:rFonts w:eastAsia="Times New Roman"/>
                <w:color w:val="000000"/>
                <w:sz w:val="20"/>
                <w:szCs w:val="20"/>
              </w:rPr>
              <w:t>r</w:t>
            </w:r>
          </w:p>
        </w:tc>
      </w:tr>
      <w:tr w:rsidR="00000000">
        <w:trPr>
          <w:divId w:val="1145047136"/>
          <w:trHeight w:val="300"/>
        </w:trPr>
        <w:tc>
          <w:tcPr>
            <w:tcW w:w="0" w:type="auto"/>
            <w:gridSpan w:val="3"/>
            <w:tcMar>
              <w:top w:w="15" w:type="dxa"/>
              <w:left w:w="20" w:type="dxa"/>
              <w:bottom w:w="15" w:type="dxa"/>
              <w:right w:w="20" w:type="dxa"/>
            </w:tcMar>
            <w:vAlign w:val="bottom"/>
            <w:hideMark/>
          </w:tcPr>
          <w:p w:rsidR="00000000" w:rsidRDefault="00602C02">
            <w:pPr>
              <w:rPr>
                <w:rFonts w:eastAsia="Times New Roman"/>
              </w:rPr>
            </w:pPr>
          </w:p>
        </w:tc>
        <w:tc>
          <w:tcPr>
            <w:tcW w:w="0" w:type="auto"/>
            <w:gridSpan w:val="3"/>
            <w:tcMar>
              <w:top w:w="15" w:type="dxa"/>
              <w:left w:w="20" w:type="dxa"/>
              <w:bottom w:w="15" w:type="dxa"/>
              <w:right w:w="20" w:type="dxa"/>
            </w:tcMar>
            <w:vAlign w:val="bottom"/>
            <w:hideMark/>
          </w:tcPr>
          <w:p w:rsidR="00000000" w:rsidRDefault="00602C02">
            <w:pPr>
              <w:rPr>
                <w:rFonts w:eastAsia="Times New Roman"/>
                <w:sz w:val="20"/>
                <w:szCs w:val="20"/>
              </w:rPr>
            </w:pPr>
          </w:p>
        </w:tc>
      </w:tr>
    </w:tbl>
    <w:p w:rsidR="00000000" w:rsidRDefault="00602C02">
      <w:pPr>
        <w:divId w:val="1666399143"/>
        <w:rPr>
          <w:rFonts w:eastAsia="Times New Roman"/>
        </w:rPr>
      </w:pPr>
      <w:r>
        <w:rPr>
          <w:rFonts w:eastAsia="Times New Roman"/>
          <w:color w:val="000000"/>
          <w:sz w:val="20"/>
          <w:szCs w:val="20"/>
        </w:rPr>
        <w:t>Dated: April 29, 202</w:t>
      </w:r>
      <w:r>
        <w:rPr>
          <w:rFonts w:eastAsia="Times New Roman"/>
          <w:color w:val="000000"/>
          <w:sz w:val="20"/>
          <w:szCs w:val="20"/>
        </w:rPr>
        <w:t>0</w:t>
      </w:r>
    </w:p>
    <w:p w:rsidR="00602C02" w:rsidRDefault="00602C02">
      <w:pPr>
        <w:jc w:val="center"/>
        <w:divId w:val="467817115"/>
        <w:rPr>
          <w:rFonts w:eastAsia="Times New Roman"/>
        </w:rPr>
      </w:pPr>
      <w:r>
        <w:rPr>
          <w:rFonts w:eastAsia="Times New Roman"/>
          <w:color w:val="000000"/>
          <w:sz w:val="20"/>
          <w:szCs w:val="20"/>
        </w:rPr>
        <w:t>5</w:t>
      </w:r>
      <w:r>
        <w:rPr>
          <w:rFonts w:eastAsia="Times New Roman"/>
          <w:color w:val="000000"/>
          <w:sz w:val="20"/>
          <w:szCs w:val="20"/>
        </w:rPr>
        <w:t>7</w:t>
      </w:r>
    </w:p>
    <w:sectPr w:rsidR="00602C0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2C02"/>
    <w:rsid w:val="00602C02"/>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xbrl.org/inlineXBRL/transformation/2015-02-26"/>
  <w:attachedSchema w:val="http://www.qualcomm.com/20200329"/>
  <w:attachedSchema w:val="http://xbrl.sec.gov/currency/2019-01-31"/>
  <w:attachedSchema w:val="http://fasb.org/us-gaap/2019-01-31"/>
  <w:attachedSchema w:val="http://www.xbrl.org/2003/instance"/>
  <w:attachedSchema w:val="http://xbrl.sec.gov/dei/2019-01-31"/>
  <w:attachedSchema w:val="http://fasb.org/srt/2019-01-31"/>
  <w:attachedSchema w:val="http://www.xbrl.org/2003/iso4217"/>
  <w:attachedSchema w:val="http://www.xbrl.org/2013/inlineXBRL"/>
  <w:attachedSchema w:val="http://www.w3.org/1999/xlink"/>
  <w:attachedSchema w:val="http://www.sec.gov/inlineXBRL/transformation/2015-08-31"/>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791">
      <w:marLeft w:val="0"/>
      <w:marRight w:val="0"/>
      <w:marTop w:val="0"/>
      <w:marBottom w:val="0"/>
      <w:divBdr>
        <w:top w:val="none" w:sz="0" w:space="0" w:color="auto"/>
        <w:left w:val="none" w:sz="0" w:space="0" w:color="auto"/>
        <w:bottom w:val="none" w:sz="0" w:space="0" w:color="auto"/>
        <w:right w:val="none" w:sz="0" w:space="0" w:color="auto"/>
      </w:divBdr>
    </w:div>
    <w:div w:id="3750306">
      <w:marLeft w:val="0"/>
      <w:marRight w:val="0"/>
      <w:marTop w:val="0"/>
      <w:marBottom w:val="0"/>
      <w:divBdr>
        <w:top w:val="none" w:sz="0" w:space="0" w:color="auto"/>
        <w:left w:val="none" w:sz="0" w:space="0" w:color="auto"/>
        <w:bottom w:val="none" w:sz="0" w:space="0" w:color="auto"/>
        <w:right w:val="none" w:sz="0" w:space="0" w:color="auto"/>
      </w:divBdr>
    </w:div>
    <w:div w:id="4015609">
      <w:marLeft w:val="0"/>
      <w:marRight w:val="0"/>
      <w:marTop w:val="120"/>
      <w:marBottom w:val="120"/>
      <w:divBdr>
        <w:top w:val="none" w:sz="0" w:space="0" w:color="auto"/>
        <w:left w:val="none" w:sz="0" w:space="0" w:color="auto"/>
        <w:bottom w:val="none" w:sz="0" w:space="0" w:color="auto"/>
        <w:right w:val="none" w:sz="0" w:space="0" w:color="auto"/>
      </w:divBdr>
    </w:div>
    <w:div w:id="4796152">
      <w:marLeft w:val="0"/>
      <w:marRight w:val="0"/>
      <w:marTop w:val="120"/>
      <w:marBottom w:val="120"/>
      <w:divBdr>
        <w:top w:val="none" w:sz="0" w:space="0" w:color="auto"/>
        <w:left w:val="none" w:sz="0" w:space="0" w:color="auto"/>
        <w:bottom w:val="none" w:sz="0" w:space="0" w:color="auto"/>
        <w:right w:val="none" w:sz="0" w:space="0" w:color="auto"/>
      </w:divBdr>
    </w:div>
    <w:div w:id="5132625">
      <w:marLeft w:val="0"/>
      <w:marRight w:val="0"/>
      <w:marTop w:val="0"/>
      <w:marBottom w:val="0"/>
      <w:divBdr>
        <w:top w:val="none" w:sz="0" w:space="0" w:color="auto"/>
        <w:left w:val="none" w:sz="0" w:space="0" w:color="auto"/>
        <w:bottom w:val="none" w:sz="0" w:space="0" w:color="auto"/>
        <w:right w:val="none" w:sz="0" w:space="0" w:color="auto"/>
      </w:divBdr>
      <w:divsChild>
        <w:div w:id="737752775">
          <w:marLeft w:val="0"/>
          <w:marRight w:val="0"/>
          <w:marTop w:val="0"/>
          <w:marBottom w:val="0"/>
          <w:divBdr>
            <w:top w:val="none" w:sz="0" w:space="0" w:color="auto"/>
            <w:left w:val="none" w:sz="0" w:space="0" w:color="auto"/>
            <w:bottom w:val="none" w:sz="0" w:space="0" w:color="auto"/>
            <w:right w:val="none" w:sz="0" w:space="0" w:color="auto"/>
          </w:divBdr>
        </w:div>
      </w:divsChild>
    </w:div>
    <w:div w:id="14888371">
      <w:marLeft w:val="0"/>
      <w:marRight w:val="0"/>
      <w:marTop w:val="120"/>
      <w:marBottom w:val="120"/>
      <w:divBdr>
        <w:top w:val="none" w:sz="0" w:space="0" w:color="auto"/>
        <w:left w:val="none" w:sz="0" w:space="0" w:color="auto"/>
        <w:bottom w:val="none" w:sz="0" w:space="0" w:color="auto"/>
        <w:right w:val="none" w:sz="0" w:space="0" w:color="auto"/>
      </w:divBdr>
    </w:div>
    <w:div w:id="16931355">
      <w:marLeft w:val="0"/>
      <w:marRight w:val="0"/>
      <w:marTop w:val="0"/>
      <w:marBottom w:val="0"/>
      <w:divBdr>
        <w:top w:val="none" w:sz="0" w:space="0" w:color="auto"/>
        <w:left w:val="none" w:sz="0" w:space="0" w:color="auto"/>
        <w:bottom w:val="none" w:sz="0" w:space="0" w:color="auto"/>
        <w:right w:val="none" w:sz="0" w:space="0" w:color="auto"/>
      </w:divBdr>
    </w:div>
    <w:div w:id="23866292">
      <w:marLeft w:val="0"/>
      <w:marRight w:val="0"/>
      <w:marTop w:val="120"/>
      <w:marBottom w:val="120"/>
      <w:divBdr>
        <w:top w:val="none" w:sz="0" w:space="0" w:color="auto"/>
        <w:left w:val="none" w:sz="0" w:space="0" w:color="auto"/>
        <w:bottom w:val="none" w:sz="0" w:space="0" w:color="auto"/>
        <w:right w:val="none" w:sz="0" w:space="0" w:color="auto"/>
      </w:divBdr>
    </w:div>
    <w:div w:id="27993191">
      <w:marLeft w:val="0"/>
      <w:marRight w:val="0"/>
      <w:marTop w:val="0"/>
      <w:marBottom w:val="0"/>
      <w:divBdr>
        <w:top w:val="none" w:sz="0" w:space="0" w:color="auto"/>
        <w:left w:val="none" w:sz="0" w:space="0" w:color="auto"/>
        <w:bottom w:val="none" w:sz="0" w:space="0" w:color="auto"/>
        <w:right w:val="none" w:sz="0" w:space="0" w:color="auto"/>
      </w:divBdr>
    </w:div>
    <w:div w:id="32730462">
      <w:marLeft w:val="0"/>
      <w:marRight w:val="0"/>
      <w:marTop w:val="120"/>
      <w:marBottom w:val="120"/>
      <w:divBdr>
        <w:top w:val="none" w:sz="0" w:space="0" w:color="auto"/>
        <w:left w:val="none" w:sz="0" w:space="0" w:color="auto"/>
        <w:bottom w:val="none" w:sz="0" w:space="0" w:color="auto"/>
        <w:right w:val="none" w:sz="0" w:space="0" w:color="auto"/>
      </w:divBdr>
    </w:div>
    <w:div w:id="39062757">
      <w:marLeft w:val="0"/>
      <w:marRight w:val="0"/>
      <w:marTop w:val="120"/>
      <w:marBottom w:val="0"/>
      <w:divBdr>
        <w:top w:val="none" w:sz="0" w:space="0" w:color="auto"/>
        <w:left w:val="none" w:sz="0" w:space="0" w:color="auto"/>
        <w:bottom w:val="none" w:sz="0" w:space="0" w:color="auto"/>
        <w:right w:val="none" w:sz="0" w:space="0" w:color="auto"/>
      </w:divBdr>
    </w:div>
    <w:div w:id="39550091">
      <w:marLeft w:val="0"/>
      <w:marRight w:val="0"/>
      <w:marTop w:val="0"/>
      <w:marBottom w:val="0"/>
      <w:divBdr>
        <w:top w:val="none" w:sz="0" w:space="0" w:color="auto"/>
        <w:left w:val="none" w:sz="0" w:space="0" w:color="auto"/>
        <w:bottom w:val="none" w:sz="0" w:space="0" w:color="auto"/>
        <w:right w:val="none" w:sz="0" w:space="0" w:color="auto"/>
      </w:divBdr>
    </w:div>
    <w:div w:id="40597752">
      <w:marLeft w:val="0"/>
      <w:marRight w:val="0"/>
      <w:marTop w:val="120"/>
      <w:marBottom w:val="0"/>
      <w:divBdr>
        <w:top w:val="none" w:sz="0" w:space="0" w:color="auto"/>
        <w:left w:val="none" w:sz="0" w:space="0" w:color="auto"/>
        <w:bottom w:val="none" w:sz="0" w:space="0" w:color="auto"/>
        <w:right w:val="none" w:sz="0" w:space="0" w:color="auto"/>
      </w:divBdr>
    </w:div>
    <w:div w:id="40598646">
      <w:marLeft w:val="0"/>
      <w:marRight w:val="0"/>
      <w:marTop w:val="240"/>
      <w:marBottom w:val="0"/>
      <w:divBdr>
        <w:top w:val="none" w:sz="0" w:space="0" w:color="auto"/>
        <w:left w:val="none" w:sz="0" w:space="0" w:color="auto"/>
        <w:bottom w:val="none" w:sz="0" w:space="0" w:color="auto"/>
        <w:right w:val="none" w:sz="0" w:space="0" w:color="auto"/>
      </w:divBdr>
    </w:div>
    <w:div w:id="42221662">
      <w:marLeft w:val="0"/>
      <w:marRight w:val="0"/>
      <w:marTop w:val="0"/>
      <w:marBottom w:val="0"/>
      <w:divBdr>
        <w:top w:val="none" w:sz="0" w:space="0" w:color="auto"/>
        <w:left w:val="none" w:sz="0" w:space="0" w:color="auto"/>
        <w:bottom w:val="none" w:sz="0" w:space="0" w:color="auto"/>
        <w:right w:val="none" w:sz="0" w:space="0" w:color="auto"/>
      </w:divBdr>
      <w:divsChild>
        <w:div w:id="707491968">
          <w:marLeft w:val="0"/>
          <w:marRight w:val="0"/>
          <w:marTop w:val="0"/>
          <w:marBottom w:val="0"/>
          <w:divBdr>
            <w:top w:val="none" w:sz="0" w:space="0" w:color="auto"/>
            <w:left w:val="none" w:sz="0" w:space="0" w:color="auto"/>
            <w:bottom w:val="none" w:sz="0" w:space="0" w:color="auto"/>
            <w:right w:val="none" w:sz="0" w:space="0" w:color="auto"/>
          </w:divBdr>
        </w:div>
      </w:divsChild>
    </w:div>
    <w:div w:id="50813292">
      <w:marLeft w:val="0"/>
      <w:marRight w:val="0"/>
      <w:marTop w:val="120"/>
      <w:marBottom w:val="0"/>
      <w:divBdr>
        <w:top w:val="none" w:sz="0" w:space="0" w:color="auto"/>
        <w:left w:val="none" w:sz="0" w:space="0" w:color="auto"/>
        <w:bottom w:val="none" w:sz="0" w:space="0" w:color="auto"/>
        <w:right w:val="none" w:sz="0" w:space="0" w:color="auto"/>
      </w:divBdr>
    </w:div>
    <w:div w:id="66727677">
      <w:marLeft w:val="0"/>
      <w:marRight w:val="0"/>
      <w:marTop w:val="120"/>
      <w:marBottom w:val="120"/>
      <w:divBdr>
        <w:top w:val="none" w:sz="0" w:space="0" w:color="auto"/>
        <w:left w:val="none" w:sz="0" w:space="0" w:color="auto"/>
        <w:bottom w:val="none" w:sz="0" w:space="0" w:color="auto"/>
        <w:right w:val="none" w:sz="0" w:space="0" w:color="auto"/>
      </w:divBdr>
    </w:div>
    <w:div w:id="67190649">
      <w:marLeft w:val="0"/>
      <w:marRight w:val="0"/>
      <w:marTop w:val="0"/>
      <w:marBottom w:val="0"/>
      <w:divBdr>
        <w:top w:val="none" w:sz="0" w:space="0" w:color="auto"/>
        <w:left w:val="none" w:sz="0" w:space="0" w:color="auto"/>
        <w:bottom w:val="none" w:sz="0" w:space="0" w:color="auto"/>
        <w:right w:val="none" w:sz="0" w:space="0" w:color="auto"/>
      </w:divBdr>
      <w:divsChild>
        <w:div w:id="758334155">
          <w:marLeft w:val="0"/>
          <w:marRight w:val="0"/>
          <w:marTop w:val="0"/>
          <w:marBottom w:val="0"/>
          <w:divBdr>
            <w:top w:val="none" w:sz="0" w:space="0" w:color="auto"/>
            <w:left w:val="none" w:sz="0" w:space="0" w:color="auto"/>
            <w:bottom w:val="none" w:sz="0" w:space="0" w:color="auto"/>
            <w:right w:val="none" w:sz="0" w:space="0" w:color="auto"/>
          </w:divBdr>
        </w:div>
      </w:divsChild>
    </w:div>
    <w:div w:id="67390019">
      <w:marLeft w:val="0"/>
      <w:marRight w:val="0"/>
      <w:marTop w:val="0"/>
      <w:marBottom w:val="0"/>
      <w:divBdr>
        <w:top w:val="none" w:sz="0" w:space="0" w:color="auto"/>
        <w:left w:val="none" w:sz="0" w:space="0" w:color="auto"/>
        <w:bottom w:val="none" w:sz="0" w:space="0" w:color="auto"/>
        <w:right w:val="none" w:sz="0" w:space="0" w:color="auto"/>
      </w:divBdr>
      <w:divsChild>
        <w:div w:id="871722602">
          <w:marLeft w:val="0"/>
          <w:marRight w:val="0"/>
          <w:marTop w:val="0"/>
          <w:marBottom w:val="0"/>
          <w:divBdr>
            <w:top w:val="none" w:sz="0" w:space="0" w:color="auto"/>
            <w:left w:val="none" w:sz="0" w:space="0" w:color="auto"/>
            <w:bottom w:val="none" w:sz="0" w:space="0" w:color="auto"/>
            <w:right w:val="none" w:sz="0" w:space="0" w:color="auto"/>
          </w:divBdr>
        </w:div>
      </w:divsChild>
    </w:div>
    <w:div w:id="72314294">
      <w:marLeft w:val="0"/>
      <w:marRight w:val="0"/>
      <w:marTop w:val="120"/>
      <w:marBottom w:val="0"/>
      <w:divBdr>
        <w:top w:val="none" w:sz="0" w:space="0" w:color="auto"/>
        <w:left w:val="none" w:sz="0" w:space="0" w:color="auto"/>
        <w:bottom w:val="none" w:sz="0" w:space="0" w:color="auto"/>
        <w:right w:val="none" w:sz="0" w:space="0" w:color="auto"/>
      </w:divBdr>
    </w:div>
    <w:div w:id="73743586">
      <w:marLeft w:val="0"/>
      <w:marRight w:val="0"/>
      <w:marTop w:val="0"/>
      <w:marBottom w:val="0"/>
      <w:divBdr>
        <w:top w:val="none" w:sz="0" w:space="0" w:color="auto"/>
        <w:left w:val="none" w:sz="0" w:space="0" w:color="auto"/>
        <w:bottom w:val="none" w:sz="0" w:space="0" w:color="auto"/>
        <w:right w:val="none" w:sz="0" w:space="0" w:color="auto"/>
      </w:divBdr>
    </w:div>
    <w:div w:id="78260992">
      <w:marLeft w:val="0"/>
      <w:marRight w:val="0"/>
      <w:marTop w:val="120"/>
      <w:marBottom w:val="0"/>
      <w:divBdr>
        <w:top w:val="none" w:sz="0" w:space="0" w:color="auto"/>
        <w:left w:val="none" w:sz="0" w:space="0" w:color="auto"/>
        <w:bottom w:val="none" w:sz="0" w:space="0" w:color="auto"/>
        <w:right w:val="none" w:sz="0" w:space="0" w:color="auto"/>
      </w:divBdr>
    </w:div>
    <w:div w:id="85200841">
      <w:marLeft w:val="0"/>
      <w:marRight w:val="0"/>
      <w:marTop w:val="120"/>
      <w:marBottom w:val="0"/>
      <w:divBdr>
        <w:top w:val="none" w:sz="0" w:space="0" w:color="auto"/>
        <w:left w:val="none" w:sz="0" w:space="0" w:color="auto"/>
        <w:bottom w:val="none" w:sz="0" w:space="0" w:color="auto"/>
        <w:right w:val="none" w:sz="0" w:space="0" w:color="auto"/>
      </w:divBdr>
    </w:div>
    <w:div w:id="89813123">
      <w:marLeft w:val="0"/>
      <w:marRight w:val="0"/>
      <w:marTop w:val="0"/>
      <w:marBottom w:val="0"/>
      <w:divBdr>
        <w:top w:val="none" w:sz="0" w:space="0" w:color="auto"/>
        <w:left w:val="none" w:sz="0" w:space="0" w:color="auto"/>
        <w:bottom w:val="none" w:sz="0" w:space="0" w:color="auto"/>
        <w:right w:val="none" w:sz="0" w:space="0" w:color="auto"/>
      </w:divBdr>
    </w:div>
    <w:div w:id="97649654">
      <w:marLeft w:val="0"/>
      <w:marRight w:val="0"/>
      <w:marTop w:val="0"/>
      <w:marBottom w:val="0"/>
      <w:divBdr>
        <w:top w:val="none" w:sz="0" w:space="0" w:color="auto"/>
        <w:left w:val="none" w:sz="0" w:space="0" w:color="auto"/>
        <w:bottom w:val="none" w:sz="0" w:space="0" w:color="auto"/>
        <w:right w:val="none" w:sz="0" w:space="0" w:color="auto"/>
      </w:divBdr>
    </w:div>
    <w:div w:id="108354393">
      <w:marLeft w:val="0"/>
      <w:marRight w:val="0"/>
      <w:marTop w:val="0"/>
      <w:marBottom w:val="0"/>
      <w:divBdr>
        <w:top w:val="none" w:sz="0" w:space="0" w:color="auto"/>
        <w:left w:val="none" w:sz="0" w:space="0" w:color="auto"/>
        <w:bottom w:val="none" w:sz="0" w:space="0" w:color="auto"/>
        <w:right w:val="none" w:sz="0" w:space="0" w:color="auto"/>
      </w:divBdr>
    </w:div>
    <w:div w:id="115948238">
      <w:marLeft w:val="0"/>
      <w:marRight w:val="0"/>
      <w:marTop w:val="0"/>
      <w:marBottom w:val="0"/>
      <w:divBdr>
        <w:top w:val="none" w:sz="0" w:space="0" w:color="auto"/>
        <w:left w:val="none" w:sz="0" w:space="0" w:color="auto"/>
        <w:bottom w:val="none" w:sz="0" w:space="0" w:color="auto"/>
        <w:right w:val="none" w:sz="0" w:space="0" w:color="auto"/>
      </w:divBdr>
    </w:div>
    <w:div w:id="117333264">
      <w:marLeft w:val="0"/>
      <w:marRight w:val="0"/>
      <w:marTop w:val="0"/>
      <w:marBottom w:val="0"/>
      <w:divBdr>
        <w:top w:val="none" w:sz="0" w:space="0" w:color="auto"/>
        <w:left w:val="none" w:sz="0" w:space="0" w:color="auto"/>
        <w:bottom w:val="none" w:sz="0" w:space="0" w:color="auto"/>
        <w:right w:val="none" w:sz="0" w:space="0" w:color="auto"/>
      </w:divBdr>
      <w:divsChild>
        <w:div w:id="1229922340">
          <w:marLeft w:val="0"/>
          <w:marRight w:val="0"/>
          <w:marTop w:val="0"/>
          <w:marBottom w:val="0"/>
          <w:divBdr>
            <w:top w:val="none" w:sz="0" w:space="0" w:color="auto"/>
            <w:left w:val="none" w:sz="0" w:space="0" w:color="auto"/>
            <w:bottom w:val="none" w:sz="0" w:space="0" w:color="auto"/>
            <w:right w:val="none" w:sz="0" w:space="0" w:color="auto"/>
          </w:divBdr>
        </w:div>
      </w:divsChild>
    </w:div>
    <w:div w:id="119540906">
      <w:marLeft w:val="0"/>
      <w:marRight w:val="0"/>
      <w:marTop w:val="120"/>
      <w:marBottom w:val="0"/>
      <w:divBdr>
        <w:top w:val="none" w:sz="0" w:space="0" w:color="auto"/>
        <w:left w:val="none" w:sz="0" w:space="0" w:color="auto"/>
        <w:bottom w:val="none" w:sz="0" w:space="0" w:color="auto"/>
        <w:right w:val="none" w:sz="0" w:space="0" w:color="auto"/>
      </w:divBdr>
    </w:div>
    <w:div w:id="124738860">
      <w:marLeft w:val="0"/>
      <w:marRight w:val="0"/>
      <w:marTop w:val="120"/>
      <w:marBottom w:val="0"/>
      <w:divBdr>
        <w:top w:val="none" w:sz="0" w:space="0" w:color="auto"/>
        <w:left w:val="none" w:sz="0" w:space="0" w:color="auto"/>
        <w:bottom w:val="none" w:sz="0" w:space="0" w:color="auto"/>
        <w:right w:val="none" w:sz="0" w:space="0" w:color="auto"/>
      </w:divBdr>
    </w:div>
    <w:div w:id="130751356">
      <w:marLeft w:val="0"/>
      <w:marRight w:val="0"/>
      <w:marTop w:val="120"/>
      <w:marBottom w:val="0"/>
      <w:divBdr>
        <w:top w:val="none" w:sz="0" w:space="0" w:color="auto"/>
        <w:left w:val="none" w:sz="0" w:space="0" w:color="auto"/>
        <w:bottom w:val="none" w:sz="0" w:space="0" w:color="auto"/>
        <w:right w:val="none" w:sz="0" w:space="0" w:color="auto"/>
      </w:divBdr>
    </w:div>
    <w:div w:id="131290518">
      <w:marLeft w:val="0"/>
      <w:marRight w:val="0"/>
      <w:marTop w:val="120"/>
      <w:marBottom w:val="120"/>
      <w:divBdr>
        <w:top w:val="none" w:sz="0" w:space="0" w:color="auto"/>
        <w:left w:val="none" w:sz="0" w:space="0" w:color="auto"/>
        <w:bottom w:val="none" w:sz="0" w:space="0" w:color="auto"/>
        <w:right w:val="none" w:sz="0" w:space="0" w:color="auto"/>
      </w:divBdr>
    </w:div>
    <w:div w:id="131676338">
      <w:marLeft w:val="0"/>
      <w:marRight w:val="0"/>
      <w:marTop w:val="0"/>
      <w:marBottom w:val="0"/>
      <w:divBdr>
        <w:top w:val="none" w:sz="0" w:space="0" w:color="auto"/>
        <w:left w:val="none" w:sz="0" w:space="0" w:color="auto"/>
        <w:bottom w:val="none" w:sz="0" w:space="0" w:color="auto"/>
        <w:right w:val="none" w:sz="0" w:space="0" w:color="auto"/>
      </w:divBdr>
    </w:div>
    <w:div w:id="135489975">
      <w:marLeft w:val="0"/>
      <w:marRight w:val="0"/>
      <w:marTop w:val="0"/>
      <w:marBottom w:val="0"/>
      <w:divBdr>
        <w:top w:val="none" w:sz="0" w:space="0" w:color="auto"/>
        <w:left w:val="none" w:sz="0" w:space="0" w:color="auto"/>
        <w:bottom w:val="none" w:sz="0" w:space="0" w:color="auto"/>
        <w:right w:val="none" w:sz="0" w:space="0" w:color="auto"/>
      </w:divBdr>
    </w:div>
    <w:div w:id="139006982">
      <w:marLeft w:val="0"/>
      <w:marRight w:val="0"/>
      <w:marTop w:val="0"/>
      <w:marBottom w:val="0"/>
      <w:divBdr>
        <w:top w:val="none" w:sz="0" w:space="0" w:color="auto"/>
        <w:left w:val="none" w:sz="0" w:space="0" w:color="auto"/>
        <w:bottom w:val="none" w:sz="0" w:space="0" w:color="auto"/>
        <w:right w:val="none" w:sz="0" w:space="0" w:color="auto"/>
      </w:divBdr>
    </w:div>
    <w:div w:id="139811952">
      <w:marLeft w:val="0"/>
      <w:marRight w:val="0"/>
      <w:marTop w:val="0"/>
      <w:marBottom w:val="0"/>
      <w:divBdr>
        <w:top w:val="none" w:sz="0" w:space="0" w:color="auto"/>
        <w:left w:val="none" w:sz="0" w:space="0" w:color="auto"/>
        <w:bottom w:val="none" w:sz="0" w:space="0" w:color="auto"/>
        <w:right w:val="none" w:sz="0" w:space="0" w:color="auto"/>
      </w:divBdr>
    </w:div>
    <w:div w:id="141964793">
      <w:marLeft w:val="0"/>
      <w:marRight w:val="0"/>
      <w:marTop w:val="120"/>
      <w:marBottom w:val="0"/>
      <w:divBdr>
        <w:top w:val="none" w:sz="0" w:space="0" w:color="auto"/>
        <w:left w:val="none" w:sz="0" w:space="0" w:color="auto"/>
        <w:bottom w:val="none" w:sz="0" w:space="0" w:color="auto"/>
        <w:right w:val="none" w:sz="0" w:space="0" w:color="auto"/>
      </w:divBdr>
    </w:div>
    <w:div w:id="144862844">
      <w:marLeft w:val="0"/>
      <w:marRight w:val="0"/>
      <w:marTop w:val="120"/>
      <w:marBottom w:val="0"/>
      <w:divBdr>
        <w:top w:val="none" w:sz="0" w:space="0" w:color="auto"/>
        <w:left w:val="none" w:sz="0" w:space="0" w:color="auto"/>
        <w:bottom w:val="none" w:sz="0" w:space="0" w:color="auto"/>
        <w:right w:val="none" w:sz="0" w:space="0" w:color="auto"/>
      </w:divBdr>
    </w:div>
    <w:div w:id="148323902">
      <w:marLeft w:val="0"/>
      <w:marRight w:val="0"/>
      <w:marTop w:val="120"/>
      <w:marBottom w:val="0"/>
      <w:divBdr>
        <w:top w:val="none" w:sz="0" w:space="0" w:color="auto"/>
        <w:left w:val="none" w:sz="0" w:space="0" w:color="auto"/>
        <w:bottom w:val="none" w:sz="0" w:space="0" w:color="auto"/>
        <w:right w:val="none" w:sz="0" w:space="0" w:color="auto"/>
      </w:divBdr>
    </w:div>
    <w:div w:id="148594063">
      <w:marLeft w:val="0"/>
      <w:marRight w:val="0"/>
      <w:marTop w:val="0"/>
      <w:marBottom w:val="0"/>
      <w:divBdr>
        <w:top w:val="none" w:sz="0" w:space="0" w:color="auto"/>
        <w:left w:val="none" w:sz="0" w:space="0" w:color="auto"/>
        <w:bottom w:val="none" w:sz="0" w:space="0" w:color="auto"/>
        <w:right w:val="none" w:sz="0" w:space="0" w:color="auto"/>
      </w:divBdr>
      <w:divsChild>
        <w:div w:id="1941716249">
          <w:marLeft w:val="0"/>
          <w:marRight w:val="0"/>
          <w:marTop w:val="0"/>
          <w:marBottom w:val="0"/>
          <w:divBdr>
            <w:top w:val="none" w:sz="0" w:space="0" w:color="auto"/>
            <w:left w:val="none" w:sz="0" w:space="0" w:color="auto"/>
            <w:bottom w:val="none" w:sz="0" w:space="0" w:color="auto"/>
            <w:right w:val="none" w:sz="0" w:space="0" w:color="auto"/>
          </w:divBdr>
        </w:div>
      </w:divsChild>
    </w:div>
    <w:div w:id="156309406">
      <w:marLeft w:val="0"/>
      <w:marRight w:val="0"/>
      <w:marTop w:val="0"/>
      <w:marBottom w:val="0"/>
      <w:divBdr>
        <w:top w:val="none" w:sz="0" w:space="0" w:color="auto"/>
        <w:left w:val="none" w:sz="0" w:space="0" w:color="auto"/>
        <w:bottom w:val="none" w:sz="0" w:space="0" w:color="auto"/>
        <w:right w:val="none" w:sz="0" w:space="0" w:color="auto"/>
      </w:divBdr>
    </w:div>
    <w:div w:id="158204477">
      <w:marLeft w:val="0"/>
      <w:marRight w:val="0"/>
      <w:marTop w:val="120"/>
      <w:marBottom w:val="0"/>
      <w:divBdr>
        <w:top w:val="none" w:sz="0" w:space="0" w:color="auto"/>
        <w:left w:val="none" w:sz="0" w:space="0" w:color="auto"/>
        <w:bottom w:val="none" w:sz="0" w:space="0" w:color="auto"/>
        <w:right w:val="none" w:sz="0" w:space="0" w:color="auto"/>
      </w:divBdr>
    </w:div>
    <w:div w:id="159539808">
      <w:marLeft w:val="0"/>
      <w:marRight w:val="0"/>
      <w:marTop w:val="0"/>
      <w:marBottom w:val="0"/>
      <w:divBdr>
        <w:top w:val="none" w:sz="0" w:space="0" w:color="auto"/>
        <w:left w:val="none" w:sz="0" w:space="0" w:color="auto"/>
        <w:bottom w:val="none" w:sz="0" w:space="0" w:color="auto"/>
        <w:right w:val="none" w:sz="0" w:space="0" w:color="auto"/>
      </w:divBdr>
      <w:divsChild>
        <w:div w:id="280306951">
          <w:marLeft w:val="0"/>
          <w:marRight w:val="0"/>
          <w:marTop w:val="0"/>
          <w:marBottom w:val="0"/>
          <w:divBdr>
            <w:top w:val="none" w:sz="0" w:space="0" w:color="auto"/>
            <w:left w:val="none" w:sz="0" w:space="0" w:color="auto"/>
            <w:bottom w:val="none" w:sz="0" w:space="0" w:color="auto"/>
            <w:right w:val="none" w:sz="0" w:space="0" w:color="auto"/>
          </w:divBdr>
        </w:div>
      </w:divsChild>
    </w:div>
    <w:div w:id="162089504">
      <w:marLeft w:val="0"/>
      <w:marRight w:val="0"/>
      <w:marTop w:val="120"/>
      <w:marBottom w:val="120"/>
      <w:divBdr>
        <w:top w:val="none" w:sz="0" w:space="0" w:color="auto"/>
        <w:left w:val="none" w:sz="0" w:space="0" w:color="auto"/>
        <w:bottom w:val="none" w:sz="0" w:space="0" w:color="auto"/>
        <w:right w:val="none" w:sz="0" w:space="0" w:color="auto"/>
      </w:divBdr>
    </w:div>
    <w:div w:id="162161006">
      <w:marLeft w:val="0"/>
      <w:marRight w:val="0"/>
      <w:marTop w:val="0"/>
      <w:marBottom w:val="0"/>
      <w:divBdr>
        <w:top w:val="none" w:sz="0" w:space="0" w:color="auto"/>
        <w:left w:val="none" w:sz="0" w:space="0" w:color="auto"/>
        <w:bottom w:val="none" w:sz="0" w:space="0" w:color="auto"/>
        <w:right w:val="none" w:sz="0" w:space="0" w:color="auto"/>
      </w:divBdr>
    </w:div>
    <w:div w:id="172106790">
      <w:marLeft w:val="0"/>
      <w:marRight w:val="0"/>
      <w:marTop w:val="120"/>
      <w:marBottom w:val="0"/>
      <w:divBdr>
        <w:top w:val="none" w:sz="0" w:space="0" w:color="auto"/>
        <w:left w:val="none" w:sz="0" w:space="0" w:color="auto"/>
        <w:bottom w:val="none" w:sz="0" w:space="0" w:color="auto"/>
        <w:right w:val="none" w:sz="0" w:space="0" w:color="auto"/>
      </w:divBdr>
    </w:div>
    <w:div w:id="172648330">
      <w:marLeft w:val="0"/>
      <w:marRight w:val="0"/>
      <w:marTop w:val="240"/>
      <w:marBottom w:val="0"/>
      <w:divBdr>
        <w:top w:val="none" w:sz="0" w:space="0" w:color="auto"/>
        <w:left w:val="none" w:sz="0" w:space="0" w:color="auto"/>
        <w:bottom w:val="none" w:sz="0" w:space="0" w:color="auto"/>
        <w:right w:val="none" w:sz="0" w:space="0" w:color="auto"/>
      </w:divBdr>
    </w:div>
    <w:div w:id="173544989">
      <w:marLeft w:val="0"/>
      <w:marRight w:val="0"/>
      <w:marTop w:val="0"/>
      <w:marBottom w:val="0"/>
      <w:divBdr>
        <w:top w:val="none" w:sz="0" w:space="0" w:color="auto"/>
        <w:left w:val="none" w:sz="0" w:space="0" w:color="auto"/>
        <w:bottom w:val="none" w:sz="0" w:space="0" w:color="auto"/>
        <w:right w:val="none" w:sz="0" w:space="0" w:color="auto"/>
      </w:divBdr>
    </w:div>
    <w:div w:id="178011984">
      <w:marLeft w:val="0"/>
      <w:marRight w:val="0"/>
      <w:marTop w:val="120"/>
      <w:marBottom w:val="0"/>
      <w:divBdr>
        <w:top w:val="none" w:sz="0" w:space="0" w:color="auto"/>
        <w:left w:val="none" w:sz="0" w:space="0" w:color="auto"/>
        <w:bottom w:val="none" w:sz="0" w:space="0" w:color="auto"/>
        <w:right w:val="none" w:sz="0" w:space="0" w:color="auto"/>
      </w:divBdr>
    </w:div>
    <w:div w:id="183909149">
      <w:marLeft w:val="0"/>
      <w:marRight w:val="0"/>
      <w:marTop w:val="0"/>
      <w:marBottom w:val="0"/>
      <w:divBdr>
        <w:top w:val="none" w:sz="0" w:space="0" w:color="auto"/>
        <w:left w:val="none" w:sz="0" w:space="0" w:color="auto"/>
        <w:bottom w:val="none" w:sz="0" w:space="0" w:color="auto"/>
        <w:right w:val="none" w:sz="0" w:space="0" w:color="auto"/>
      </w:divBdr>
    </w:div>
    <w:div w:id="186219909">
      <w:marLeft w:val="0"/>
      <w:marRight w:val="0"/>
      <w:marTop w:val="120"/>
      <w:marBottom w:val="120"/>
      <w:divBdr>
        <w:top w:val="none" w:sz="0" w:space="0" w:color="auto"/>
        <w:left w:val="none" w:sz="0" w:space="0" w:color="auto"/>
        <w:bottom w:val="none" w:sz="0" w:space="0" w:color="auto"/>
        <w:right w:val="none" w:sz="0" w:space="0" w:color="auto"/>
      </w:divBdr>
    </w:div>
    <w:div w:id="188380126">
      <w:marLeft w:val="0"/>
      <w:marRight w:val="0"/>
      <w:marTop w:val="120"/>
      <w:marBottom w:val="0"/>
      <w:divBdr>
        <w:top w:val="none" w:sz="0" w:space="0" w:color="auto"/>
        <w:left w:val="none" w:sz="0" w:space="0" w:color="auto"/>
        <w:bottom w:val="none" w:sz="0" w:space="0" w:color="auto"/>
        <w:right w:val="none" w:sz="0" w:space="0" w:color="auto"/>
      </w:divBdr>
    </w:div>
    <w:div w:id="204871509">
      <w:marLeft w:val="0"/>
      <w:marRight w:val="0"/>
      <w:marTop w:val="120"/>
      <w:marBottom w:val="0"/>
      <w:divBdr>
        <w:top w:val="none" w:sz="0" w:space="0" w:color="auto"/>
        <w:left w:val="none" w:sz="0" w:space="0" w:color="auto"/>
        <w:bottom w:val="none" w:sz="0" w:space="0" w:color="auto"/>
        <w:right w:val="none" w:sz="0" w:space="0" w:color="auto"/>
      </w:divBdr>
    </w:div>
    <w:div w:id="211498464">
      <w:marLeft w:val="0"/>
      <w:marRight w:val="0"/>
      <w:marTop w:val="0"/>
      <w:marBottom w:val="0"/>
      <w:divBdr>
        <w:top w:val="none" w:sz="0" w:space="0" w:color="auto"/>
        <w:left w:val="none" w:sz="0" w:space="0" w:color="auto"/>
        <w:bottom w:val="none" w:sz="0" w:space="0" w:color="auto"/>
        <w:right w:val="none" w:sz="0" w:space="0" w:color="auto"/>
      </w:divBdr>
    </w:div>
    <w:div w:id="217284511">
      <w:marLeft w:val="0"/>
      <w:marRight w:val="0"/>
      <w:marTop w:val="0"/>
      <w:marBottom w:val="0"/>
      <w:divBdr>
        <w:top w:val="none" w:sz="0" w:space="0" w:color="auto"/>
        <w:left w:val="none" w:sz="0" w:space="0" w:color="auto"/>
        <w:bottom w:val="none" w:sz="0" w:space="0" w:color="auto"/>
        <w:right w:val="none" w:sz="0" w:space="0" w:color="auto"/>
      </w:divBdr>
    </w:div>
    <w:div w:id="221454713">
      <w:marLeft w:val="0"/>
      <w:marRight w:val="0"/>
      <w:marTop w:val="0"/>
      <w:marBottom w:val="0"/>
      <w:divBdr>
        <w:top w:val="none" w:sz="0" w:space="0" w:color="auto"/>
        <w:left w:val="none" w:sz="0" w:space="0" w:color="auto"/>
        <w:bottom w:val="none" w:sz="0" w:space="0" w:color="auto"/>
        <w:right w:val="none" w:sz="0" w:space="0" w:color="auto"/>
      </w:divBdr>
    </w:div>
    <w:div w:id="223302834">
      <w:marLeft w:val="0"/>
      <w:marRight w:val="0"/>
      <w:marTop w:val="0"/>
      <w:marBottom w:val="0"/>
      <w:divBdr>
        <w:top w:val="none" w:sz="0" w:space="0" w:color="auto"/>
        <w:left w:val="none" w:sz="0" w:space="0" w:color="auto"/>
        <w:bottom w:val="none" w:sz="0" w:space="0" w:color="auto"/>
        <w:right w:val="none" w:sz="0" w:space="0" w:color="auto"/>
      </w:divBdr>
    </w:div>
    <w:div w:id="224266695">
      <w:marLeft w:val="0"/>
      <w:marRight w:val="0"/>
      <w:marTop w:val="0"/>
      <w:marBottom w:val="0"/>
      <w:divBdr>
        <w:top w:val="none" w:sz="0" w:space="0" w:color="auto"/>
        <w:left w:val="none" w:sz="0" w:space="0" w:color="auto"/>
        <w:bottom w:val="none" w:sz="0" w:space="0" w:color="auto"/>
        <w:right w:val="none" w:sz="0" w:space="0" w:color="auto"/>
      </w:divBdr>
    </w:div>
    <w:div w:id="226192428">
      <w:marLeft w:val="0"/>
      <w:marRight w:val="0"/>
      <w:marTop w:val="0"/>
      <w:marBottom w:val="0"/>
      <w:divBdr>
        <w:top w:val="none" w:sz="0" w:space="0" w:color="auto"/>
        <w:left w:val="none" w:sz="0" w:space="0" w:color="auto"/>
        <w:bottom w:val="none" w:sz="0" w:space="0" w:color="auto"/>
        <w:right w:val="none" w:sz="0" w:space="0" w:color="auto"/>
      </w:divBdr>
    </w:div>
    <w:div w:id="227114199">
      <w:marLeft w:val="0"/>
      <w:marRight w:val="0"/>
      <w:marTop w:val="0"/>
      <w:marBottom w:val="0"/>
      <w:divBdr>
        <w:top w:val="none" w:sz="0" w:space="0" w:color="auto"/>
        <w:left w:val="none" w:sz="0" w:space="0" w:color="auto"/>
        <w:bottom w:val="none" w:sz="0" w:space="0" w:color="auto"/>
        <w:right w:val="none" w:sz="0" w:space="0" w:color="auto"/>
      </w:divBdr>
    </w:div>
    <w:div w:id="228224070">
      <w:marLeft w:val="0"/>
      <w:marRight w:val="0"/>
      <w:marTop w:val="0"/>
      <w:marBottom w:val="0"/>
      <w:divBdr>
        <w:top w:val="none" w:sz="0" w:space="0" w:color="auto"/>
        <w:left w:val="none" w:sz="0" w:space="0" w:color="auto"/>
        <w:bottom w:val="none" w:sz="0" w:space="0" w:color="auto"/>
        <w:right w:val="none" w:sz="0" w:space="0" w:color="auto"/>
      </w:divBdr>
    </w:div>
    <w:div w:id="228928381">
      <w:marLeft w:val="0"/>
      <w:marRight w:val="0"/>
      <w:marTop w:val="120"/>
      <w:marBottom w:val="120"/>
      <w:divBdr>
        <w:top w:val="none" w:sz="0" w:space="0" w:color="auto"/>
        <w:left w:val="none" w:sz="0" w:space="0" w:color="auto"/>
        <w:bottom w:val="none" w:sz="0" w:space="0" w:color="auto"/>
        <w:right w:val="none" w:sz="0" w:space="0" w:color="auto"/>
      </w:divBdr>
    </w:div>
    <w:div w:id="230426382">
      <w:marLeft w:val="0"/>
      <w:marRight w:val="0"/>
      <w:marTop w:val="120"/>
      <w:marBottom w:val="0"/>
      <w:divBdr>
        <w:top w:val="none" w:sz="0" w:space="0" w:color="auto"/>
        <w:left w:val="none" w:sz="0" w:space="0" w:color="auto"/>
        <w:bottom w:val="none" w:sz="0" w:space="0" w:color="auto"/>
        <w:right w:val="none" w:sz="0" w:space="0" w:color="auto"/>
      </w:divBdr>
    </w:div>
    <w:div w:id="231433978">
      <w:marLeft w:val="0"/>
      <w:marRight w:val="0"/>
      <w:marTop w:val="120"/>
      <w:marBottom w:val="0"/>
      <w:divBdr>
        <w:top w:val="none" w:sz="0" w:space="0" w:color="auto"/>
        <w:left w:val="none" w:sz="0" w:space="0" w:color="auto"/>
        <w:bottom w:val="none" w:sz="0" w:space="0" w:color="auto"/>
        <w:right w:val="none" w:sz="0" w:space="0" w:color="auto"/>
      </w:divBdr>
    </w:div>
    <w:div w:id="236089678">
      <w:marLeft w:val="0"/>
      <w:marRight w:val="0"/>
      <w:marTop w:val="0"/>
      <w:marBottom w:val="0"/>
      <w:divBdr>
        <w:top w:val="none" w:sz="0" w:space="0" w:color="auto"/>
        <w:left w:val="none" w:sz="0" w:space="0" w:color="auto"/>
        <w:bottom w:val="none" w:sz="0" w:space="0" w:color="auto"/>
        <w:right w:val="none" w:sz="0" w:space="0" w:color="auto"/>
      </w:divBdr>
      <w:divsChild>
        <w:div w:id="330836858">
          <w:marLeft w:val="0"/>
          <w:marRight w:val="0"/>
          <w:marTop w:val="0"/>
          <w:marBottom w:val="0"/>
          <w:divBdr>
            <w:top w:val="none" w:sz="0" w:space="0" w:color="auto"/>
            <w:left w:val="none" w:sz="0" w:space="0" w:color="auto"/>
            <w:bottom w:val="none" w:sz="0" w:space="0" w:color="auto"/>
            <w:right w:val="none" w:sz="0" w:space="0" w:color="auto"/>
          </w:divBdr>
        </w:div>
      </w:divsChild>
    </w:div>
    <w:div w:id="237249097">
      <w:marLeft w:val="0"/>
      <w:marRight w:val="0"/>
      <w:marTop w:val="240"/>
      <w:marBottom w:val="0"/>
      <w:divBdr>
        <w:top w:val="none" w:sz="0" w:space="0" w:color="auto"/>
        <w:left w:val="none" w:sz="0" w:space="0" w:color="auto"/>
        <w:bottom w:val="none" w:sz="0" w:space="0" w:color="auto"/>
        <w:right w:val="none" w:sz="0" w:space="0" w:color="auto"/>
      </w:divBdr>
    </w:div>
    <w:div w:id="245724342">
      <w:marLeft w:val="0"/>
      <w:marRight w:val="0"/>
      <w:marTop w:val="120"/>
      <w:marBottom w:val="0"/>
      <w:divBdr>
        <w:top w:val="none" w:sz="0" w:space="0" w:color="auto"/>
        <w:left w:val="none" w:sz="0" w:space="0" w:color="auto"/>
        <w:bottom w:val="none" w:sz="0" w:space="0" w:color="auto"/>
        <w:right w:val="none" w:sz="0" w:space="0" w:color="auto"/>
      </w:divBdr>
    </w:div>
    <w:div w:id="247619424">
      <w:marLeft w:val="0"/>
      <w:marRight w:val="0"/>
      <w:marTop w:val="0"/>
      <w:marBottom w:val="0"/>
      <w:divBdr>
        <w:top w:val="none" w:sz="0" w:space="0" w:color="auto"/>
        <w:left w:val="none" w:sz="0" w:space="0" w:color="auto"/>
        <w:bottom w:val="none" w:sz="0" w:space="0" w:color="auto"/>
        <w:right w:val="none" w:sz="0" w:space="0" w:color="auto"/>
      </w:divBdr>
    </w:div>
    <w:div w:id="248852701">
      <w:marLeft w:val="0"/>
      <w:marRight w:val="0"/>
      <w:marTop w:val="0"/>
      <w:marBottom w:val="0"/>
      <w:divBdr>
        <w:top w:val="none" w:sz="0" w:space="0" w:color="auto"/>
        <w:left w:val="none" w:sz="0" w:space="0" w:color="auto"/>
        <w:bottom w:val="none" w:sz="0" w:space="0" w:color="auto"/>
        <w:right w:val="none" w:sz="0" w:space="0" w:color="auto"/>
      </w:divBdr>
      <w:divsChild>
        <w:div w:id="311369097">
          <w:marLeft w:val="0"/>
          <w:marRight w:val="0"/>
          <w:marTop w:val="0"/>
          <w:marBottom w:val="0"/>
          <w:divBdr>
            <w:top w:val="none" w:sz="0" w:space="0" w:color="auto"/>
            <w:left w:val="none" w:sz="0" w:space="0" w:color="auto"/>
            <w:bottom w:val="none" w:sz="0" w:space="0" w:color="auto"/>
            <w:right w:val="none" w:sz="0" w:space="0" w:color="auto"/>
          </w:divBdr>
        </w:div>
      </w:divsChild>
    </w:div>
    <w:div w:id="250625966">
      <w:marLeft w:val="0"/>
      <w:marRight w:val="0"/>
      <w:marTop w:val="120"/>
      <w:marBottom w:val="0"/>
      <w:divBdr>
        <w:top w:val="none" w:sz="0" w:space="0" w:color="auto"/>
        <w:left w:val="none" w:sz="0" w:space="0" w:color="auto"/>
        <w:bottom w:val="none" w:sz="0" w:space="0" w:color="auto"/>
        <w:right w:val="none" w:sz="0" w:space="0" w:color="auto"/>
      </w:divBdr>
    </w:div>
    <w:div w:id="251471312">
      <w:marLeft w:val="0"/>
      <w:marRight w:val="0"/>
      <w:marTop w:val="0"/>
      <w:marBottom w:val="0"/>
      <w:divBdr>
        <w:top w:val="none" w:sz="0" w:space="0" w:color="auto"/>
        <w:left w:val="none" w:sz="0" w:space="0" w:color="auto"/>
        <w:bottom w:val="none" w:sz="0" w:space="0" w:color="auto"/>
        <w:right w:val="none" w:sz="0" w:space="0" w:color="auto"/>
      </w:divBdr>
    </w:div>
    <w:div w:id="261493343">
      <w:marLeft w:val="0"/>
      <w:marRight w:val="0"/>
      <w:marTop w:val="120"/>
      <w:marBottom w:val="0"/>
      <w:divBdr>
        <w:top w:val="none" w:sz="0" w:space="0" w:color="auto"/>
        <w:left w:val="none" w:sz="0" w:space="0" w:color="auto"/>
        <w:bottom w:val="none" w:sz="0" w:space="0" w:color="auto"/>
        <w:right w:val="none" w:sz="0" w:space="0" w:color="auto"/>
      </w:divBdr>
    </w:div>
    <w:div w:id="265160428">
      <w:marLeft w:val="0"/>
      <w:marRight w:val="0"/>
      <w:marTop w:val="0"/>
      <w:marBottom w:val="120"/>
      <w:divBdr>
        <w:top w:val="none" w:sz="0" w:space="0" w:color="auto"/>
        <w:left w:val="none" w:sz="0" w:space="0" w:color="auto"/>
        <w:bottom w:val="none" w:sz="0" w:space="0" w:color="auto"/>
        <w:right w:val="none" w:sz="0" w:space="0" w:color="auto"/>
      </w:divBdr>
    </w:div>
    <w:div w:id="277376818">
      <w:marLeft w:val="0"/>
      <w:marRight w:val="0"/>
      <w:marTop w:val="120"/>
      <w:marBottom w:val="0"/>
      <w:divBdr>
        <w:top w:val="none" w:sz="0" w:space="0" w:color="auto"/>
        <w:left w:val="none" w:sz="0" w:space="0" w:color="auto"/>
        <w:bottom w:val="none" w:sz="0" w:space="0" w:color="auto"/>
        <w:right w:val="none" w:sz="0" w:space="0" w:color="auto"/>
      </w:divBdr>
    </w:div>
    <w:div w:id="277640166">
      <w:marLeft w:val="0"/>
      <w:marRight w:val="0"/>
      <w:marTop w:val="0"/>
      <w:marBottom w:val="120"/>
      <w:divBdr>
        <w:top w:val="none" w:sz="0" w:space="0" w:color="auto"/>
        <w:left w:val="none" w:sz="0" w:space="0" w:color="auto"/>
        <w:bottom w:val="none" w:sz="0" w:space="0" w:color="auto"/>
        <w:right w:val="none" w:sz="0" w:space="0" w:color="auto"/>
      </w:divBdr>
    </w:div>
    <w:div w:id="287588676">
      <w:marLeft w:val="0"/>
      <w:marRight w:val="0"/>
      <w:marTop w:val="0"/>
      <w:marBottom w:val="0"/>
      <w:divBdr>
        <w:top w:val="none" w:sz="0" w:space="0" w:color="auto"/>
        <w:left w:val="none" w:sz="0" w:space="0" w:color="auto"/>
        <w:bottom w:val="none" w:sz="0" w:space="0" w:color="auto"/>
        <w:right w:val="none" w:sz="0" w:space="0" w:color="auto"/>
      </w:divBdr>
    </w:div>
    <w:div w:id="289357748">
      <w:marLeft w:val="0"/>
      <w:marRight w:val="0"/>
      <w:marTop w:val="120"/>
      <w:marBottom w:val="0"/>
      <w:divBdr>
        <w:top w:val="none" w:sz="0" w:space="0" w:color="auto"/>
        <w:left w:val="none" w:sz="0" w:space="0" w:color="auto"/>
        <w:bottom w:val="none" w:sz="0" w:space="0" w:color="auto"/>
        <w:right w:val="none" w:sz="0" w:space="0" w:color="auto"/>
      </w:divBdr>
    </w:div>
    <w:div w:id="290749845">
      <w:marLeft w:val="0"/>
      <w:marRight w:val="0"/>
      <w:marTop w:val="120"/>
      <w:marBottom w:val="120"/>
      <w:divBdr>
        <w:top w:val="none" w:sz="0" w:space="0" w:color="auto"/>
        <w:left w:val="none" w:sz="0" w:space="0" w:color="auto"/>
        <w:bottom w:val="none" w:sz="0" w:space="0" w:color="auto"/>
        <w:right w:val="none" w:sz="0" w:space="0" w:color="auto"/>
      </w:divBdr>
    </w:div>
    <w:div w:id="293408112">
      <w:marLeft w:val="0"/>
      <w:marRight w:val="0"/>
      <w:marTop w:val="0"/>
      <w:marBottom w:val="0"/>
      <w:divBdr>
        <w:top w:val="none" w:sz="0" w:space="0" w:color="auto"/>
        <w:left w:val="none" w:sz="0" w:space="0" w:color="auto"/>
        <w:bottom w:val="none" w:sz="0" w:space="0" w:color="auto"/>
        <w:right w:val="none" w:sz="0" w:space="0" w:color="auto"/>
      </w:divBdr>
      <w:divsChild>
        <w:div w:id="1282957052">
          <w:marLeft w:val="0"/>
          <w:marRight w:val="0"/>
          <w:marTop w:val="0"/>
          <w:marBottom w:val="0"/>
          <w:divBdr>
            <w:top w:val="none" w:sz="0" w:space="0" w:color="auto"/>
            <w:left w:val="none" w:sz="0" w:space="0" w:color="auto"/>
            <w:bottom w:val="none" w:sz="0" w:space="0" w:color="auto"/>
            <w:right w:val="none" w:sz="0" w:space="0" w:color="auto"/>
          </w:divBdr>
        </w:div>
      </w:divsChild>
    </w:div>
    <w:div w:id="294525101">
      <w:marLeft w:val="0"/>
      <w:marRight w:val="0"/>
      <w:marTop w:val="0"/>
      <w:marBottom w:val="0"/>
      <w:divBdr>
        <w:top w:val="none" w:sz="0" w:space="0" w:color="auto"/>
        <w:left w:val="none" w:sz="0" w:space="0" w:color="auto"/>
        <w:bottom w:val="none" w:sz="0" w:space="0" w:color="auto"/>
        <w:right w:val="none" w:sz="0" w:space="0" w:color="auto"/>
      </w:divBdr>
      <w:divsChild>
        <w:div w:id="1825002776">
          <w:marLeft w:val="0"/>
          <w:marRight w:val="0"/>
          <w:marTop w:val="0"/>
          <w:marBottom w:val="0"/>
          <w:divBdr>
            <w:top w:val="none" w:sz="0" w:space="0" w:color="auto"/>
            <w:left w:val="none" w:sz="0" w:space="0" w:color="auto"/>
            <w:bottom w:val="none" w:sz="0" w:space="0" w:color="auto"/>
            <w:right w:val="none" w:sz="0" w:space="0" w:color="auto"/>
          </w:divBdr>
        </w:div>
      </w:divsChild>
    </w:div>
    <w:div w:id="296032209">
      <w:marLeft w:val="0"/>
      <w:marRight w:val="0"/>
      <w:marTop w:val="120"/>
      <w:marBottom w:val="0"/>
      <w:divBdr>
        <w:top w:val="none" w:sz="0" w:space="0" w:color="auto"/>
        <w:left w:val="none" w:sz="0" w:space="0" w:color="auto"/>
        <w:bottom w:val="none" w:sz="0" w:space="0" w:color="auto"/>
        <w:right w:val="none" w:sz="0" w:space="0" w:color="auto"/>
      </w:divBdr>
    </w:div>
    <w:div w:id="297345755">
      <w:marLeft w:val="0"/>
      <w:marRight w:val="0"/>
      <w:marTop w:val="0"/>
      <w:marBottom w:val="0"/>
      <w:divBdr>
        <w:top w:val="none" w:sz="0" w:space="0" w:color="auto"/>
        <w:left w:val="none" w:sz="0" w:space="0" w:color="auto"/>
        <w:bottom w:val="none" w:sz="0" w:space="0" w:color="auto"/>
        <w:right w:val="none" w:sz="0" w:space="0" w:color="auto"/>
      </w:divBdr>
      <w:divsChild>
        <w:div w:id="452138279">
          <w:marLeft w:val="0"/>
          <w:marRight w:val="0"/>
          <w:marTop w:val="180"/>
          <w:marBottom w:val="0"/>
          <w:divBdr>
            <w:top w:val="none" w:sz="0" w:space="0" w:color="auto"/>
            <w:left w:val="none" w:sz="0" w:space="0" w:color="auto"/>
            <w:bottom w:val="none" w:sz="0" w:space="0" w:color="auto"/>
            <w:right w:val="none" w:sz="0" w:space="0" w:color="auto"/>
          </w:divBdr>
        </w:div>
      </w:divsChild>
    </w:div>
    <w:div w:id="301614359">
      <w:marLeft w:val="0"/>
      <w:marRight w:val="0"/>
      <w:marTop w:val="120"/>
      <w:marBottom w:val="0"/>
      <w:divBdr>
        <w:top w:val="none" w:sz="0" w:space="0" w:color="auto"/>
        <w:left w:val="none" w:sz="0" w:space="0" w:color="auto"/>
        <w:bottom w:val="none" w:sz="0" w:space="0" w:color="auto"/>
        <w:right w:val="none" w:sz="0" w:space="0" w:color="auto"/>
      </w:divBdr>
    </w:div>
    <w:div w:id="303776248">
      <w:marLeft w:val="0"/>
      <w:marRight w:val="0"/>
      <w:marTop w:val="120"/>
      <w:marBottom w:val="0"/>
      <w:divBdr>
        <w:top w:val="none" w:sz="0" w:space="0" w:color="auto"/>
        <w:left w:val="none" w:sz="0" w:space="0" w:color="auto"/>
        <w:bottom w:val="none" w:sz="0" w:space="0" w:color="auto"/>
        <w:right w:val="none" w:sz="0" w:space="0" w:color="auto"/>
      </w:divBdr>
    </w:div>
    <w:div w:id="303971521">
      <w:marLeft w:val="0"/>
      <w:marRight w:val="0"/>
      <w:marTop w:val="120"/>
      <w:marBottom w:val="0"/>
      <w:divBdr>
        <w:top w:val="none" w:sz="0" w:space="0" w:color="auto"/>
        <w:left w:val="none" w:sz="0" w:space="0" w:color="auto"/>
        <w:bottom w:val="none" w:sz="0" w:space="0" w:color="auto"/>
        <w:right w:val="none" w:sz="0" w:space="0" w:color="auto"/>
      </w:divBdr>
    </w:div>
    <w:div w:id="304359049">
      <w:marLeft w:val="0"/>
      <w:marRight w:val="0"/>
      <w:marTop w:val="120"/>
      <w:marBottom w:val="0"/>
      <w:divBdr>
        <w:top w:val="none" w:sz="0" w:space="0" w:color="auto"/>
        <w:left w:val="none" w:sz="0" w:space="0" w:color="auto"/>
        <w:bottom w:val="none" w:sz="0" w:space="0" w:color="auto"/>
        <w:right w:val="none" w:sz="0" w:space="0" w:color="auto"/>
      </w:divBdr>
    </w:div>
    <w:div w:id="306056587">
      <w:marLeft w:val="0"/>
      <w:marRight w:val="0"/>
      <w:marTop w:val="0"/>
      <w:marBottom w:val="0"/>
      <w:divBdr>
        <w:top w:val="none" w:sz="0" w:space="0" w:color="auto"/>
        <w:left w:val="none" w:sz="0" w:space="0" w:color="auto"/>
        <w:bottom w:val="none" w:sz="0" w:space="0" w:color="auto"/>
        <w:right w:val="none" w:sz="0" w:space="0" w:color="auto"/>
      </w:divBdr>
      <w:divsChild>
        <w:div w:id="1001275941">
          <w:marLeft w:val="0"/>
          <w:marRight w:val="0"/>
          <w:marTop w:val="0"/>
          <w:marBottom w:val="0"/>
          <w:divBdr>
            <w:top w:val="none" w:sz="0" w:space="0" w:color="auto"/>
            <w:left w:val="none" w:sz="0" w:space="0" w:color="auto"/>
            <w:bottom w:val="none" w:sz="0" w:space="0" w:color="auto"/>
            <w:right w:val="none" w:sz="0" w:space="0" w:color="auto"/>
          </w:divBdr>
        </w:div>
      </w:divsChild>
    </w:div>
    <w:div w:id="309140247">
      <w:marLeft w:val="0"/>
      <w:marRight w:val="0"/>
      <w:marTop w:val="120"/>
      <w:marBottom w:val="120"/>
      <w:divBdr>
        <w:top w:val="none" w:sz="0" w:space="0" w:color="auto"/>
        <w:left w:val="none" w:sz="0" w:space="0" w:color="auto"/>
        <w:bottom w:val="none" w:sz="0" w:space="0" w:color="auto"/>
        <w:right w:val="none" w:sz="0" w:space="0" w:color="auto"/>
      </w:divBdr>
    </w:div>
    <w:div w:id="309604797">
      <w:marLeft w:val="0"/>
      <w:marRight w:val="0"/>
      <w:marTop w:val="0"/>
      <w:marBottom w:val="0"/>
      <w:divBdr>
        <w:top w:val="none" w:sz="0" w:space="0" w:color="auto"/>
        <w:left w:val="none" w:sz="0" w:space="0" w:color="auto"/>
        <w:bottom w:val="none" w:sz="0" w:space="0" w:color="auto"/>
        <w:right w:val="none" w:sz="0" w:space="0" w:color="auto"/>
      </w:divBdr>
      <w:divsChild>
        <w:div w:id="659619907">
          <w:marLeft w:val="0"/>
          <w:marRight w:val="0"/>
          <w:marTop w:val="0"/>
          <w:marBottom w:val="0"/>
          <w:divBdr>
            <w:top w:val="none" w:sz="0" w:space="0" w:color="auto"/>
            <w:left w:val="none" w:sz="0" w:space="0" w:color="auto"/>
            <w:bottom w:val="none" w:sz="0" w:space="0" w:color="auto"/>
            <w:right w:val="none" w:sz="0" w:space="0" w:color="auto"/>
          </w:divBdr>
        </w:div>
      </w:divsChild>
    </w:div>
    <w:div w:id="310444162">
      <w:marLeft w:val="0"/>
      <w:marRight w:val="0"/>
      <w:marTop w:val="120"/>
      <w:marBottom w:val="120"/>
      <w:divBdr>
        <w:top w:val="none" w:sz="0" w:space="0" w:color="auto"/>
        <w:left w:val="none" w:sz="0" w:space="0" w:color="auto"/>
        <w:bottom w:val="none" w:sz="0" w:space="0" w:color="auto"/>
        <w:right w:val="none" w:sz="0" w:space="0" w:color="auto"/>
      </w:divBdr>
    </w:div>
    <w:div w:id="311259054">
      <w:marLeft w:val="0"/>
      <w:marRight w:val="0"/>
      <w:marTop w:val="120"/>
      <w:marBottom w:val="0"/>
      <w:divBdr>
        <w:top w:val="none" w:sz="0" w:space="0" w:color="auto"/>
        <w:left w:val="none" w:sz="0" w:space="0" w:color="auto"/>
        <w:bottom w:val="none" w:sz="0" w:space="0" w:color="auto"/>
        <w:right w:val="none" w:sz="0" w:space="0" w:color="auto"/>
      </w:divBdr>
    </w:div>
    <w:div w:id="316493946">
      <w:marLeft w:val="0"/>
      <w:marRight w:val="0"/>
      <w:marTop w:val="120"/>
      <w:marBottom w:val="0"/>
      <w:divBdr>
        <w:top w:val="none" w:sz="0" w:space="0" w:color="auto"/>
        <w:left w:val="none" w:sz="0" w:space="0" w:color="auto"/>
        <w:bottom w:val="none" w:sz="0" w:space="0" w:color="auto"/>
        <w:right w:val="none" w:sz="0" w:space="0" w:color="auto"/>
      </w:divBdr>
    </w:div>
    <w:div w:id="320088986">
      <w:marLeft w:val="0"/>
      <w:marRight w:val="0"/>
      <w:marTop w:val="120"/>
      <w:marBottom w:val="0"/>
      <w:divBdr>
        <w:top w:val="none" w:sz="0" w:space="0" w:color="auto"/>
        <w:left w:val="none" w:sz="0" w:space="0" w:color="auto"/>
        <w:bottom w:val="none" w:sz="0" w:space="0" w:color="auto"/>
        <w:right w:val="none" w:sz="0" w:space="0" w:color="auto"/>
      </w:divBdr>
    </w:div>
    <w:div w:id="323748340">
      <w:marLeft w:val="0"/>
      <w:marRight w:val="0"/>
      <w:marTop w:val="180"/>
      <w:marBottom w:val="0"/>
      <w:divBdr>
        <w:top w:val="none" w:sz="0" w:space="0" w:color="auto"/>
        <w:left w:val="none" w:sz="0" w:space="0" w:color="auto"/>
        <w:bottom w:val="none" w:sz="0" w:space="0" w:color="auto"/>
        <w:right w:val="none" w:sz="0" w:space="0" w:color="auto"/>
      </w:divBdr>
    </w:div>
    <w:div w:id="324018432">
      <w:marLeft w:val="0"/>
      <w:marRight w:val="0"/>
      <w:marTop w:val="120"/>
      <w:marBottom w:val="120"/>
      <w:divBdr>
        <w:top w:val="none" w:sz="0" w:space="0" w:color="auto"/>
        <w:left w:val="none" w:sz="0" w:space="0" w:color="auto"/>
        <w:bottom w:val="none" w:sz="0" w:space="0" w:color="auto"/>
        <w:right w:val="none" w:sz="0" w:space="0" w:color="auto"/>
      </w:divBdr>
    </w:div>
    <w:div w:id="324864590">
      <w:marLeft w:val="0"/>
      <w:marRight w:val="0"/>
      <w:marTop w:val="120"/>
      <w:marBottom w:val="120"/>
      <w:divBdr>
        <w:top w:val="none" w:sz="0" w:space="0" w:color="auto"/>
        <w:left w:val="none" w:sz="0" w:space="0" w:color="auto"/>
        <w:bottom w:val="none" w:sz="0" w:space="0" w:color="auto"/>
        <w:right w:val="none" w:sz="0" w:space="0" w:color="auto"/>
      </w:divBdr>
    </w:div>
    <w:div w:id="327026654">
      <w:marLeft w:val="0"/>
      <w:marRight w:val="0"/>
      <w:marTop w:val="120"/>
      <w:marBottom w:val="0"/>
      <w:divBdr>
        <w:top w:val="none" w:sz="0" w:space="0" w:color="auto"/>
        <w:left w:val="none" w:sz="0" w:space="0" w:color="auto"/>
        <w:bottom w:val="none" w:sz="0" w:space="0" w:color="auto"/>
        <w:right w:val="none" w:sz="0" w:space="0" w:color="auto"/>
      </w:divBdr>
    </w:div>
    <w:div w:id="329211999">
      <w:marLeft w:val="0"/>
      <w:marRight w:val="0"/>
      <w:marTop w:val="120"/>
      <w:marBottom w:val="0"/>
      <w:divBdr>
        <w:top w:val="none" w:sz="0" w:space="0" w:color="auto"/>
        <w:left w:val="none" w:sz="0" w:space="0" w:color="auto"/>
        <w:bottom w:val="none" w:sz="0" w:space="0" w:color="auto"/>
        <w:right w:val="none" w:sz="0" w:space="0" w:color="auto"/>
      </w:divBdr>
    </w:div>
    <w:div w:id="334000638">
      <w:marLeft w:val="0"/>
      <w:marRight w:val="0"/>
      <w:marTop w:val="120"/>
      <w:marBottom w:val="0"/>
      <w:divBdr>
        <w:top w:val="none" w:sz="0" w:space="0" w:color="auto"/>
        <w:left w:val="none" w:sz="0" w:space="0" w:color="auto"/>
        <w:bottom w:val="none" w:sz="0" w:space="0" w:color="auto"/>
        <w:right w:val="none" w:sz="0" w:space="0" w:color="auto"/>
      </w:divBdr>
    </w:div>
    <w:div w:id="336081238">
      <w:marLeft w:val="0"/>
      <w:marRight w:val="0"/>
      <w:marTop w:val="0"/>
      <w:marBottom w:val="0"/>
      <w:divBdr>
        <w:top w:val="none" w:sz="0" w:space="0" w:color="auto"/>
        <w:left w:val="none" w:sz="0" w:space="0" w:color="auto"/>
        <w:bottom w:val="none" w:sz="0" w:space="0" w:color="auto"/>
        <w:right w:val="none" w:sz="0" w:space="0" w:color="auto"/>
      </w:divBdr>
      <w:divsChild>
        <w:div w:id="1690451549">
          <w:marLeft w:val="0"/>
          <w:marRight w:val="0"/>
          <w:marTop w:val="0"/>
          <w:marBottom w:val="0"/>
          <w:divBdr>
            <w:top w:val="none" w:sz="0" w:space="0" w:color="auto"/>
            <w:left w:val="none" w:sz="0" w:space="0" w:color="auto"/>
            <w:bottom w:val="none" w:sz="0" w:space="0" w:color="auto"/>
            <w:right w:val="none" w:sz="0" w:space="0" w:color="auto"/>
          </w:divBdr>
        </w:div>
      </w:divsChild>
    </w:div>
    <w:div w:id="336884207">
      <w:marLeft w:val="0"/>
      <w:marRight w:val="0"/>
      <w:marTop w:val="0"/>
      <w:marBottom w:val="0"/>
      <w:divBdr>
        <w:top w:val="none" w:sz="0" w:space="0" w:color="auto"/>
        <w:left w:val="none" w:sz="0" w:space="0" w:color="auto"/>
        <w:bottom w:val="none" w:sz="0" w:space="0" w:color="auto"/>
        <w:right w:val="none" w:sz="0" w:space="0" w:color="auto"/>
      </w:divBdr>
    </w:div>
    <w:div w:id="337970015">
      <w:marLeft w:val="0"/>
      <w:marRight w:val="0"/>
      <w:marTop w:val="120"/>
      <w:marBottom w:val="0"/>
      <w:divBdr>
        <w:top w:val="none" w:sz="0" w:space="0" w:color="auto"/>
        <w:left w:val="none" w:sz="0" w:space="0" w:color="auto"/>
        <w:bottom w:val="none" w:sz="0" w:space="0" w:color="auto"/>
        <w:right w:val="none" w:sz="0" w:space="0" w:color="auto"/>
      </w:divBdr>
    </w:div>
    <w:div w:id="343869675">
      <w:marLeft w:val="0"/>
      <w:marRight w:val="0"/>
      <w:marTop w:val="120"/>
      <w:marBottom w:val="0"/>
      <w:divBdr>
        <w:top w:val="none" w:sz="0" w:space="0" w:color="auto"/>
        <w:left w:val="none" w:sz="0" w:space="0" w:color="auto"/>
        <w:bottom w:val="none" w:sz="0" w:space="0" w:color="auto"/>
        <w:right w:val="none" w:sz="0" w:space="0" w:color="auto"/>
      </w:divBdr>
    </w:div>
    <w:div w:id="345330234">
      <w:marLeft w:val="0"/>
      <w:marRight w:val="0"/>
      <w:marTop w:val="120"/>
      <w:marBottom w:val="0"/>
      <w:divBdr>
        <w:top w:val="none" w:sz="0" w:space="0" w:color="auto"/>
        <w:left w:val="none" w:sz="0" w:space="0" w:color="auto"/>
        <w:bottom w:val="none" w:sz="0" w:space="0" w:color="auto"/>
        <w:right w:val="none" w:sz="0" w:space="0" w:color="auto"/>
      </w:divBdr>
    </w:div>
    <w:div w:id="350842842">
      <w:marLeft w:val="0"/>
      <w:marRight w:val="0"/>
      <w:marTop w:val="0"/>
      <w:marBottom w:val="0"/>
      <w:divBdr>
        <w:top w:val="none" w:sz="0" w:space="0" w:color="auto"/>
        <w:left w:val="none" w:sz="0" w:space="0" w:color="auto"/>
        <w:bottom w:val="none" w:sz="0" w:space="0" w:color="auto"/>
        <w:right w:val="none" w:sz="0" w:space="0" w:color="auto"/>
      </w:divBdr>
    </w:div>
    <w:div w:id="351492648">
      <w:marLeft w:val="0"/>
      <w:marRight w:val="0"/>
      <w:marTop w:val="120"/>
      <w:marBottom w:val="120"/>
      <w:divBdr>
        <w:top w:val="none" w:sz="0" w:space="0" w:color="auto"/>
        <w:left w:val="none" w:sz="0" w:space="0" w:color="auto"/>
        <w:bottom w:val="none" w:sz="0" w:space="0" w:color="auto"/>
        <w:right w:val="none" w:sz="0" w:space="0" w:color="auto"/>
      </w:divBdr>
    </w:div>
    <w:div w:id="352457583">
      <w:marLeft w:val="0"/>
      <w:marRight w:val="0"/>
      <w:marTop w:val="120"/>
      <w:marBottom w:val="0"/>
      <w:divBdr>
        <w:top w:val="none" w:sz="0" w:space="0" w:color="auto"/>
        <w:left w:val="none" w:sz="0" w:space="0" w:color="auto"/>
        <w:bottom w:val="none" w:sz="0" w:space="0" w:color="auto"/>
        <w:right w:val="none" w:sz="0" w:space="0" w:color="auto"/>
      </w:divBdr>
    </w:div>
    <w:div w:id="354965195">
      <w:marLeft w:val="0"/>
      <w:marRight w:val="0"/>
      <w:marTop w:val="120"/>
      <w:marBottom w:val="0"/>
      <w:divBdr>
        <w:top w:val="none" w:sz="0" w:space="0" w:color="auto"/>
        <w:left w:val="none" w:sz="0" w:space="0" w:color="auto"/>
        <w:bottom w:val="none" w:sz="0" w:space="0" w:color="auto"/>
        <w:right w:val="none" w:sz="0" w:space="0" w:color="auto"/>
      </w:divBdr>
    </w:div>
    <w:div w:id="363483946">
      <w:marLeft w:val="0"/>
      <w:marRight w:val="0"/>
      <w:marTop w:val="120"/>
      <w:marBottom w:val="0"/>
      <w:divBdr>
        <w:top w:val="none" w:sz="0" w:space="0" w:color="auto"/>
        <w:left w:val="none" w:sz="0" w:space="0" w:color="auto"/>
        <w:bottom w:val="none" w:sz="0" w:space="0" w:color="auto"/>
        <w:right w:val="none" w:sz="0" w:space="0" w:color="auto"/>
      </w:divBdr>
    </w:div>
    <w:div w:id="363605840">
      <w:marLeft w:val="0"/>
      <w:marRight w:val="0"/>
      <w:marTop w:val="120"/>
      <w:marBottom w:val="120"/>
      <w:divBdr>
        <w:top w:val="none" w:sz="0" w:space="0" w:color="auto"/>
        <w:left w:val="none" w:sz="0" w:space="0" w:color="auto"/>
        <w:bottom w:val="none" w:sz="0" w:space="0" w:color="auto"/>
        <w:right w:val="none" w:sz="0" w:space="0" w:color="auto"/>
      </w:divBdr>
    </w:div>
    <w:div w:id="363942414">
      <w:marLeft w:val="0"/>
      <w:marRight w:val="0"/>
      <w:marTop w:val="0"/>
      <w:marBottom w:val="0"/>
      <w:divBdr>
        <w:top w:val="none" w:sz="0" w:space="0" w:color="auto"/>
        <w:left w:val="none" w:sz="0" w:space="0" w:color="auto"/>
        <w:bottom w:val="none" w:sz="0" w:space="0" w:color="auto"/>
        <w:right w:val="none" w:sz="0" w:space="0" w:color="auto"/>
      </w:divBdr>
      <w:divsChild>
        <w:div w:id="467817115">
          <w:marLeft w:val="0"/>
          <w:marRight w:val="0"/>
          <w:marTop w:val="0"/>
          <w:marBottom w:val="0"/>
          <w:divBdr>
            <w:top w:val="none" w:sz="0" w:space="0" w:color="auto"/>
            <w:left w:val="none" w:sz="0" w:space="0" w:color="auto"/>
            <w:bottom w:val="none" w:sz="0" w:space="0" w:color="auto"/>
            <w:right w:val="none" w:sz="0" w:space="0" w:color="auto"/>
          </w:divBdr>
        </w:div>
      </w:divsChild>
    </w:div>
    <w:div w:id="366833149">
      <w:marLeft w:val="0"/>
      <w:marRight w:val="0"/>
      <w:marTop w:val="120"/>
      <w:marBottom w:val="0"/>
      <w:divBdr>
        <w:top w:val="none" w:sz="0" w:space="0" w:color="auto"/>
        <w:left w:val="none" w:sz="0" w:space="0" w:color="auto"/>
        <w:bottom w:val="none" w:sz="0" w:space="0" w:color="auto"/>
        <w:right w:val="none" w:sz="0" w:space="0" w:color="auto"/>
      </w:divBdr>
    </w:div>
    <w:div w:id="372265605">
      <w:marLeft w:val="0"/>
      <w:marRight w:val="0"/>
      <w:marTop w:val="0"/>
      <w:marBottom w:val="0"/>
      <w:divBdr>
        <w:top w:val="none" w:sz="0" w:space="0" w:color="auto"/>
        <w:left w:val="none" w:sz="0" w:space="0" w:color="auto"/>
        <w:bottom w:val="none" w:sz="0" w:space="0" w:color="auto"/>
        <w:right w:val="none" w:sz="0" w:space="0" w:color="auto"/>
      </w:divBdr>
    </w:div>
    <w:div w:id="372778960">
      <w:marLeft w:val="0"/>
      <w:marRight w:val="0"/>
      <w:marTop w:val="0"/>
      <w:marBottom w:val="0"/>
      <w:divBdr>
        <w:top w:val="none" w:sz="0" w:space="0" w:color="auto"/>
        <w:left w:val="none" w:sz="0" w:space="0" w:color="auto"/>
        <w:bottom w:val="none" w:sz="0" w:space="0" w:color="auto"/>
        <w:right w:val="none" w:sz="0" w:space="0" w:color="auto"/>
      </w:divBdr>
    </w:div>
    <w:div w:id="375859087">
      <w:marLeft w:val="0"/>
      <w:marRight w:val="0"/>
      <w:marTop w:val="0"/>
      <w:marBottom w:val="0"/>
      <w:divBdr>
        <w:top w:val="none" w:sz="0" w:space="0" w:color="auto"/>
        <w:left w:val="none" w:sz="0" w:space="0" w:color="auto"/>
        <w:bottom w:val="none" w:sz="0" w:space="0" w:color="auto"/>
        <w:right w:val="none" w:sz="0" w:space="0" w:color="auto"/>
      </w:divBdr>
    </w:div>
    <w:div w:id="382171657">
      <w:marLeft w:val="0"/>
      <w:marRight w:val="0"/>
      <w:marTop w:val="0"/>
      <w:marBottom w:val="0"/>
      <w:divBdr>
        <w:top w:val="none" w:sz="0" w:space="0" w:color="auto"/>
        <w:left w:val="none" w:sz="0" w:space="0" w:color="auto"/>
        <w:bottom w:val="none" w:sz="0" w:space="0" w:color="auto"/>
        <w:right w:val="none" w:sz="0" w:space="0" w:color="auto"/>
      </w:divBdr>
    </w:div>
    <w:div w:id="382606801">
      <w:marLeft w:val="0"/>
      <w:marRight w:val="0"/>
      <w:marTop w:val="120"/>
      <w:marBottom w:val="0"/>
      <w:divBdr>
        <w:top w:val="none" w:sz="0" w:space="0" w:color="auto"/>
        <w:left w:val="none" w:sz="0" w:space="0" w:color="auto"/>
        <w:bottom w:val="none" w:sz="0" w:space="0" w:color="auto"/>
        <w:right w:val="none" w:sz="0" w:space="0" w:color="auto"/>
      </w:divBdr>
    </w:div>
    <w:div w:id="386034432">
      <w:marLeft w:val="0"/>
      <w:marRight w:val="0"/>
      <w:marTop w:val="0"/>
      <w:marBottom w:val="120"/>
      <w:divBdr>
        <w:top w:val="none" w:sz="0" w:space="0" w:color="auto"/>
        <w:left w:val="none" w:sz="0" w:space="0" w:color="auto"/>
        <w:bottom w:val="none" w:sz="0" w:space="0" w:color="auto"/>
        <w:right w:val="none" w:sz="0" w:space="0" w:color="auto"/>
      </w:divBdr>
    </w:div>
    <w:div w:id="386800571">
      <w:marLeft w:val="0"/>
      <w:marRight w:val="0"/>
      <w:marTop w:val="120"/>
      <w:marBottom w:val="0"/>
      <w:divBdr>
        <w:top w:val="none" w:sz="0" w:space="0" w:color="auto"/>
        <w:left w:val="none" w:sz="0" w:space="0" w:color="auto"/>
        <w:bottom w:val="none" w:sz="0" w:space="0" w:color="auto"/>
        <w:right w:val="none" w:sz="0" w:space="0" w:color="auto"/>
      </w:divBdr>
    </w:div>
    <w:div w:id="387873766">
      <w:marLeft w:val="0"/>
      <w:marRight w:val="0"/>
      <w:marTop w:val="120"/>
      <w:marBottom w:val="0"/>
      <w:divBdr>
        <w:top w:val="none" w:sz="0" w:space="0" w:color="auto"/>
        <w:left w:val="none" w:sz="0" w:space="0" w:color="auto"/>
        <w:bottom w:val="none" w:sz="0" w:space="0" w:color="auto"/>
        <w:right w:val="none" w:sz="0" w:space="0" w:color="auto"/>
      </w:divBdr>
    </w:div>
    <w:div w:id="389113715">
      <w:marLeft w:val="0"/>
      <w:marRight w:val="0"/>
      <w:marTop w:val="0"/>
      <w:marBottom w:val="0"/>
      <w:divBdr>
        <w:top w:val="none" w:sz="0" w:space="0" w:color="auto"/>
        <w:left w:val="none" w:sz="0" w:space="0" w:color="auto"/>
        <w:bottom w:val="none" w:sz="0" w:space="0" w:color="auto"/>
        <w:right w:val="none" w:sz="0" w:space="0" w:color="auto"/>
      </w:divBdr>
      <w:divsChild>
        <w:div w:id="12535103">
          <w:marLeft w:val="0"/>
          <w:marRight w:val="0"/>
          <w:marTop w:val="0"/>
          <w:marBottom w:val="0"/>
          <w:divBdr>
            <w:top w:val="none" w:sz="0" w:space="0" w:color="auto"/>
            <w:left w:val="none" w:sz="0" w:space="0" w:color="auto"/>
            <w:bottom w:val="none" w:sz="0" w:space="0" w:color="auto"/>
            <w:right w:val="none" w:sz="0" w:space="0" w:color="auto"/>
          </w:divBdr>
        </w:div>
      </w:divsChild>
    </w:div>
    <w:div w:id="393893056">
      <w:marLeft w:val="0"/>
      <w:marRight w:val="0"/>
      <w:marTop w:val="0"/>
      <w:marBottom w:val="0"/>
      <w:divBdr>
        <w:top w:val="none" w:sz="0" w:space="0" w:color="auto"/>
        <w:left w:val="none" w:sz="0" w:space="0" w:color="auto"/>
        <w:bottom w:val="none" w:sz="0" w:space="0" w:color="auto"/>
        <w:right w:val="none" w:sz="0" w:space="0" w:color="auto"/>
      </w:divBdr>
      <w:divsChild>
        <w:div w:id="1385176874">
          <w:marLeft w:val="0"/>
          <w:marRight w:val="0"/>
          <w:marTop w:val="0"/>
          <w:marBottom w:val="0"/>
          <w:divBdr>
            <w:top w:val="none" w:sz="0" w:space="0" w:color="auto"/>
            <w:left w:val="none" w:sz="0" w:space="0" w:color="auto"/>
            <w:bottom w:val="none" w:sz="0" w:space="0" w:color="auto"/>
            <w:right w:val="none" w:sz="0" w:space="0" w:color="auto"/>
          </w:divBdr>
        </w:div>
      </w:divsChild>
    </w:div>
    <w:div w:id="393898926">
      <w:marLeft w:val="0"/>
      <w:marRight w:val="0"/>
      <w:marTop w:val="120"/>
      <w:marBottom w:val="120"/>
      <w:divBdr>
        <w:top w:val="none" w:sz="0" w:space="0" w:color="auto"/>
        <w:left w:val="none" w:sz="0" w:space="0" w:color="auto"/>
        <w:bottom w:val="none" w:sz="0" w:space="0" w:color="auto"/>
        <w:right w:val="none" w:sz="0" w:space="0" w:color="auto"/>
      </w:divBdr>
    </w:div>
    <w:div w:id="395082047">
      <w:marLeft w:val="0"/>
      <w:marRight w:val="0"/>
      <w:marTop w:val="120"/>
      <w:marBottom w:val="0"/>
      <w:divBdr>
        <w:top w:val="none" w:sz="0" w:space="0" w:color="auto"/>
        <w:left w:val="none" w:sz="0" w:space="0" w:color="auto"/>
        <w:bottom w:val="none" w:sz="0" w:space="0" w:color="auto"/>
        <w:right w:val="none" w:sz="0" w:space="0" w:color="auto"/>
      </w:divBdr>
    </w:div>
    <w:div w:id="397244494">
      <w:marLeft w:val="0"/>
      <w:marRight w:val="0"/>
      <w:marTop w:val="0"/>
      <w:marBottom w:val="0"/>
      <w:divBdr>
        <w:top w:val="none" w:sz="0" w:space="0" w:color="auto"/>
        <w:left w:val="none" w:sz="0" w:space="0" w:color="auto"/>
        <w:bottom w:val="none" w:sz="0" w:space="0" w:color="auto"/>
        <w:right w:val="none" w:sz="0" w:space="0" w:color="auto"/>
      </w:divBdr>
    </w:div>
    <w:div w:id="397872489">
      <w:marLeft w:val="0"/>
      <w:marRight w:val="0"/>
      <w:marTop w:val="0"/>
      <w:marBottom w:val="120"/>
      <w:divBdr>
        <w:top w:val="none" w:sz="0" w:space="0" w:color="auto"/>
        <w:left w:val="none" w:sz="0" w:space="0" w:color="auto"/>
        <w:bottom w:val="none" w:sz="0" w:space="0" w:color="auto"/>
        <w:right w:val="none" w:sz="0" w:space="0" w:color="auto"/>
      </w:divBdr>
    </w:div>
    <w:div w:id="403721053">
      <w:marLeft w:val="0"/>
      <w:marRight w:val="0"/>
      <w:marTop w:val="120"/>
      <w:marBottom w:val="0"/>
      <w:divBdr>
        <w:top w:val="none" w:sz="0" w:space="0" w:color="auto"/>
        <w:left w:val="none" w:sz="0" w:space="0" w:color="auto"/>
        <w:bottom w:val="none" w:sz="0" w:space="0" w:color="auto"/>
        <w:right w:val="none" w:sz="0" w:space="0" w:color="auto"/>
      </w:divBdr>
    </w:div>
    <w:div w:id="404499433">
      <w:marLeft w:val="0"/>
      <w:marRight w:val="0"/>
      <w:marTop w:val="120"/>
      <w:marBottom w:val="120"/>
      <w:divBdr>
        <w:top w:val="none" w:sz="0" w:space="0" w:color="auto"/>
        <w:left w:val="none" w:sz="0" w:space="0" w:color="auto"/>
        <w:bottom w:val="none" w:sz="0" w:space="0" w:color="auto"/>
        <w:right w:val="none" w:sz="0" w:space="0" w:color="auto"/>
      </w:divBdr>
    </w:div>
    <w:div w:id="408044280">
      <w:marLeft w:val="0"/>
      <w:marRight w:val="0"/>
      <w:marTop w:val="0"/>
      <w:marBottom w:val="0"/>
      <w:divBdr>
        <w:top w:val="none" w:sz="0" w:space="0" w:color="auto"/>
        <w:left w:val="none" w:sz="0" w:space="0" w:color="auto"/>
        <w:bottom w:val="none" w:sz="0" w:space="0" w:color="auto"/>
        <w:right w:val="none" w:sz="0" w:space="0" w:color="auto"/>
      </w:divBdr>
    </w:div>
    <w:div w:id="412240646">
      <w:marLeft w:val="0"/>
      <w:marRight w:val="0"/>
      <w:marTop w:val="120"/>
      <w:marBottom w:val="0"/>
      <w:divBdr>
        <w:top w:val="none" w:sz="0" w:space="0" w:color="auto"/>
        <w:left w:val="none" w:sz="0" w:space="0" w:color="auto"/>
        <w:bottom w:val="none" w:sz="0" w:space="0" w:color="auto"/>
        <w:right w:val="none" w:sz="0" w:space="0" w:color="auto"/>
      </w:divBdr>
    </w:div>
    <w:div w:id="413741533">
      <w:marLeft w:val="0"/>
      <w:marRight w:val="0"/>
      <w:marTop w:val="120"/>
      <w:marBottom w:val="0"/>
      <w:divBdr>
        <w:top w:val="none" w:sz="0" w:space="0" w:color="auto"/>
        <w:left w:val="none" w:sz="0" w:space="0" w:color="auto"/>
        <w:bottom w:val="none" w:sz="0" w:space="0" w:color="auto"/>
        <w:right w:val="none" w:sz="0" w:space="0" w:color="auto"/>
      </w:divBdr>
    </w:div>
    <w:div w:id="421993931">
      <w:marLeft w:val="0"/>
      <w:marRight w:val="0"/>
      <w:marTop w:val="120"/>
      <w:marBottom w:val="0"/>
      <w:divBdr>
        <w:top w:val="none" w:sz="0" w:space="0" w:color="auto"/>
        <w:left w:val="none" w:sz="0" w:space="0" w:color="auto"/>
        <w:bottom w:val="none" w:sz="0" w:space="0" w:color="auto"/>
        <w:right w:val="none" w:sz="0" w:space="0" w:color="auto"/>
      </w:divBdr>
    </w:div>
    <w:div w:id="422259438">
      <w:marLeft w:val="0"/>
      <w:marRight w:val="0"/>
      <w:marTop w:val="120"/>
      <w:marBottom w:val="0"/>
      <w:divBdr>
        <w:top w:val="none" w:sz="0" w:space="0" w:color="auto"/>
        <w:left w:val="none" w:sz="0" w:space="0" w:color="auto"/>
        <w:bottom w:val="none" w:sz="0" w:space="0" w:color="auto"/>
        <w:right w:val="none" w:sz="0" w:space="0" w:color="auto"/>
      </w:divBdr>
    </w:div>
    <w:div w:id="424352445">
      <w:marLeft w:val="0"/>
      <w:marRight w:val="0"/>
      <w:marTop w:val="120"/>
      <w:marBottom w:val="0"/>
      <w:divBdr>
        <w:top w:val="none" w:sz="0" w:space="0" w:color="auto"/>
        <w:left w:val="none" w:sz="0" w:space="0" w:color="auto"/>
        <w:bottom w:val="none" w:sz="0" w:space="0" w:color="auto"/>
        <w:right w:val="none" w:sz="0" w:space="0" w:color="auto"/>
      </w:divBdr>
    </w:div>
    <w:div w:id="424497151">
      <w:marLeft w:val="0"/>
      <w:marRight w:val="0"/>
      <w:marTop w:val="120"/>
      <w:marBottom w:val="0"/>
      <w:divBdr>
        <w:top w:val="none" w:sz="0" w:space="0" w:color="auto"/>
        <w:left w:val="none" w:sz="0" w:space="0" w:color="auto"/>
        <w:bottom w:val="none" w:sz="0" w:space="0" w:color="auto"/>
        <w:right w:val="none" w:sz="0" w:space="0" w:color="auto"/>
      </w:divBdr>
    </w:div>
    <w:div w:id="425734267">
      <w:marLeft w:val="0"/>
      <w:marRight w:val="0"/>
      <w:marTop w:val="0"/>
      <w:marBottom w:val="0"/>
      <w:divBdr>
        <w:top w:val="none" w:sz="0" w:space="0" w:color="auto"/>
        <w:left w:val="none" w:sz="0" w:space="0" w:color="auto"/>
        <w:bottom w:val="none" w:sz="0" w:space="0" w:color="auto"/>
        <w:right w:val="none" w:sz="0" w:space="0" w:color="auto"/>
      </w:divBdr>
      <w:divsChild>
        <w:div w:id="1977833952">
          <w:marLeft w:val="0"/>
          <w:marRight w:val="0"/>
          <w:marTop w:val="0"/>
          <w:marBottom w:val="0"/>
          <w:divBdr>
            <w:top w:val="none" w:sz="0" w:space="0" w:color="auto"/>
            <w:left w:val="none" w:sz="0" w:space="0" w:color="auto"/>
            <w:bottom w:val="none" w:sz="0" w:space="0" w:color="auto"/>
            <w:right w:val="none" w:sz="0" w:space="0" w:color="auto"/>
          </w:divBdr>
        </w:div>
      </w:divsChild>
    </w:div>
    <w:div w:id="431318011">
      <w:marLeft w:val="0"/>
      <w:marRight w:val="0"/>
      <w:marTop w:val="120"/>
      <w:marBottom w:val="0"/>
      <w:divBdr>
        <w:top w:val="none" w:sz="0" w:space="0" w:color="auto"/>
        <w:left w:val="none" w:sz="0" w:space="0" w:color="auto"/>
        <w:bottom w:val="none" w:sz="0" w:space="0" w:color="auto"/>
        <w:right w:val="none" w:sz="0" w:space="0" w:color="auto"/>
      </w:divBdr>
    </w:div>
    <w:div w:id="434404740">
      <w:marLeft w:val="0"/>
      <w:marRight w:val="0"/>
      <w:marTop w:val="0"/>
      <w:marBottom w:val="0"/>
      <w:divBdr>
        <w:top w:val="none" w:sz="0" w:space="0" w:color="auto"/>
        <w:left w:val="none" w:sz="0" w:space="0" w:color="auto"/>
        <w:bottom w:val="none" w:sz="0" w:space="0" w:color="auto"/>
        <w:right w:val="none" w:sz="0" w:space="0" w:color="auto"/>
      </w:divBdr>
      <w:divsChild>
        <w:div w:id="1534151132">
          <w:marLeft w:val="0"/>
          <w:marRight w:val="0"/>
          <w:marTop w:val="0"/>
          <w:marBottom w:val="0"/>
          <w:divBdr>
            <w:top w:val="none" w:sz="0" w:space="0" w:color="auto"/>
            <w:left w:val="none" w:sz="0" w:space="0" w:color="auto"/>
            <w:bottom w:val="none" w:sz="0" w:space="0" w:color="auto"/>
            <w:right w:val="none" w:sz="0" w:space="0" w:color="auto"/>
          </w:divBdr>
        </w:div>
      </w:divsChild>
    </w:div>
    <w:div w:id="435254391">
      <w:marLeft w:val="0"/>
      <w:marRight w:val="0"/>
      <w:marTop w:val="120"/>
      <w:marBottom w:val="0"/>
      <w:divBdr>
        <w:top w:val="none" w:sz="0" w:space="0" w:color="auto"/>
        <w:left w:val="none" w:sz="0" w:space="0" w:color="auto"/>
        <w:bottom w:val="none" w:sz="0" w:space="0" w:color="auto"/>
        <w:right w:val="none" w:sz="0" w:space="0" w:color="auto"/>
      </w:divBdr>
    </w:div>
    <w:div w:id="437531449">
      <w:marLeft w:val="0"/>
      <w:marRight w:val="0"/>
      <w:marTop w:val="120"/>
      <w:marBottom w:val="0"/>
      <w:divBdr>
        <w:top w:val="none" w:sz="0" w:space="0" w:color="auto"/>
        <w:left w:val="none" w:sz="0" w:space="0" w:color="auto"/>
        <w:bottom w:val="none" w:sz="0" w:space="0" w:color="auto"/>
        <w:right w:val="none" w:sz="0" w:space="0" w:color="auto"/>
      </w:divBdr>
    </w:div>
    <w:div w:id="447168365">
      <w:marLeft w:val="0"/>
      <w:marRight w:val="0"/>
      <w:marTop w:val="120"/>
      <w:marBottom w:val="0"/>
      <w:divBdr>
        <w:top w:val="none" w:sz="0" w:space="0" w:color="auto"/>
        <w:left w:val="none" w:sz="0" w:space="0" w:color="auto"/>
        <w:bottom w:val="none" w:sz="0" w:space="0" w:color="auto"/>
        <w:right w:val="none" w:sz="0" w:space="0" w:color="auto"/>
      </w:divBdr>
    </w:div>
    <w:div w:id="459886464">
      <w:marLeft w:val="0"/>
      <w:marRight w:val="0"/>
      <w:marTop w:val="120"/>
      <w:marBottom w:val="120"/>
      <w:divBdr>
        <w:top w:val="none" w:sz="0" w:space="0" w:color="auto"/>
        <w:left w:val="none" w:sz="0" w:space="0" w:color="auto"/>
        <w:bottom w:val="none" w:sz="0" w:space="0" w:color="auto"/>
        <w:right w:val="none" w:sz="0" w:space="0" w:color="auto"/>
      </w:divBdr>
    </w:div>
    <w:div w:id="460198709">
      <w:marLeft w:val="0"/>
      <w:marRight w:val="0"/>
      <w:marTop w:val="120"/>
      <w:marBottom w:val="0"/>
      <w:divBdr>
        <w:top w:val="none" w:sz="0" w:space="0" w:color="auto"/>
        <w:left w:val="none" w:sz="0" w:space="0" w:color="auto"/>
        <w:bottom w:val="none" w:sz="0" w:space="0" w:color="auto"/>
        <w:right w:val="none" w:sz="0" w:space="0" w:color="auto"/>
      </w:divBdr>
    </w:div>
    <w:div w:id="463236001">
      <w:marLeft w:val="0"/>
      <w:marRight w:val="0"/>
      <w:marTop w:val="120"/>
      <w:marBottom w:val="0"/>
      <w:divBdr>
        <w:top w:val="none" w:sz="0" w:space="0" w:color="auto"/>
        <w:left w:val="none" w:sz="0" w:space="0" w:color="auto"/>
        <w:bottom w:val="none" w:sz="0" w:space="0" w:color="auto"/>
        <w:right w:val="none" w:sz="0" w:space="0" w:color="auto"/>
      </w:divBdr>
    </w:div>
    <w:div w:id="463237813">
      <w:marLeft w:val="0"/>
      <w:marRight w:val="0"/>
      <w:marTop w:val="120"/>
      <w:marBottom w:val="0"/>
      <w:divBdr>
        <w:top w:val="none" w:sz="0" w:space="0" w:color="auto"/>
        <w:left w:val="none" w:sz="0" w:space="0" w:color="auto"/>
        <w:bottom w:val="none" w:sz="0" w:space="0" w:color="auto"/>
        <w:right w:val="none" w:sz="0" w:space="0" w:color="auto"/>
      </w:divBdr>
    </w:div>
    <w:div w:id="463668538">
      <w:marLeft w:val="0"/>
      <w:marRight w:val="0"/>
      <w:marTop w:val="120"/>
      <w:marBottom w:val="120"/>
      <w:divBdr>
        <w:top w:val="none" w:sz="0" w:space="0" w:color="auto"/>
        <w:left w:val="none" w:sz="0" w:space="0" w:color="auto"/>
        <w:bottom w:val="none" w:sz="0" w:space="0" w:color="auto"/>
        <w:right w:val="none" w:sz="0" w:space="0" w:color="auto"/>
      </w:divBdr>
    </w:div>
    <w:div w:id="471361897">
      <w:marLeft w:val="0"/>
      <w:marRight w:val="0"/>
      <w:marTop w:val="0"/>
      <w:marBottom w:val="0"/>
      <w:divBdr>
        <w:top w:val="none" w:sz="0" w:space="0" w:color="auto"/>
        <w:left w:val="none" w:sz="0" w:space="0" w:color="auto"/>
        <w:bottom w:val="none" w:sz="0" w:space="0" w:color="auto"/>
        <w:right w:val="none" w:sz="0" w:space="0" w:color="auto"/>
      </w:divBdr>
      <w:divsChild>
        <w:div w:id="492331669">
          <w:marLeft w:val="0"/>
          <w:marRight w:val="0"/>
          <w:marTop w:val="0"/>
          <w:marBottom w:val="0"/>
          <w:divBdr>
            <w:top w:val="none" w:sz="0" w:space="0" w:color="auto"/>
            <w:left w:val="none" w:sz="0" w:space="0" w:color="auto"/>
            <w:bottom w:val="none" w:sz="0" w:space="0" w:color="auto"/>
            <w:right w:val="none" w:sz="0" w:space="0" w:color="auto"/>
          </w:divBdr>
        </w:div>
      </w:divsChild>
    </w:div>
    <w:div w:id="474956324">
      <w:marLeft w:val="0"/>
      <w:marRight w:val="0"/>
      <w:marTop w:val="0"/>
      <w:marBottom w:val="120"/>
      <w:divBdr>
        <w:top w:val="none" w:sz="0" w:space="0" w:color="auto"/>
        <w:left w:val="none" w:sz="0" w:space="0" w:color="auto"/>
        <w:bottom w:val="none" w:sz="0" w:space="0" w:color="auto"/>
        <w:right w:val="none" w:sz="0" w:space="0" w:color="auto"/>
      </w:divBdr>
    </w:div>
    <w:div w:id="475417192">
      <w:marLeft w:val="0"/>
      <w:marRight w:val="0"/>
      <w:marTop w:val="0"/>
      <w:marBottom w:val="0"/>
      <w:divBdr>
        <w:top w:val="none" w:sz="0" w:space="0" w:color="auto"/>
        <w:left w:val="none" w:sz="0" w:space="0" w:color="auto"/>
        <w:bottom w:val="none" w:sz="0" w:space="0" w:color="auto"/>
        <w:right w:val="none" w:sz="0" w:space="0" w:color="auto"/>
      </w:divBdr>
    </w:div>
    <w:div w:id="483008742">
      <w:marLeft w:val="0"/>
      <w:marRight w:val="0"/>
      <w:marTop w:val="120"/>
      <w:marBottom w:val="120"/>
      <w:divBdr>
        <w:top w:val="none" w:sz="0" w:space="0" w:color="auto"/>
        <w:left w:val="none" w:sz="0" w:space="0" w:color="auto"/>
        <w:bottom w:val="none" w:sz="0" w:space="0" w:color="auto"/>
        <w:right w:val="none" w:sz="0" w:space="0" w:color="auto"/>
      </w:divBdr>
    </w:div>
    <w:div w:id="485323734">
      <w:marLeft w:val="0"/>
      <w:marRight w:val="0"/>
      <w:marTop w:val="120"/>
      <w:marBottom w:val="120"/>
      <w:divBdr>
        <w:top w:val="none" w:sz="0" w:space="0" w:color="auto"/>
        <w:left w:val="none" w:sz="0" w:space="0" w:color="auto"/>
        <w:bottom w:val="none" w:sz="0" w:space="0" w:color="auto"/>
        <w:right w:val="none" w:sz="0" w:space="0" w:color="auto"/>
      </w:divBdr>
    </w:div>
    <w:div w:id="491138599">
      <w:marLeft w:val="0"/>
      <w:marRight w:val="0"/>
      <w:marTop w:val="120"/>
      <w:marBottom w:val="120"/>
      <w:divBdr>
        <w:top w:val="none" w:sz="0" w:space="0" w:color="auto"/>
        <w:left w:val="none" w:sz="0" w:space="0" w:color="auto"/>
        <w:bottom w:val="none" w:sz="0" w:space="0" w:color="auto"/>
        <w:right w:val="none" w:sz="0" w:space="0" w:color="auto"/>
      </w:divBdr>
    </w:div>
    <w:div w:id="494877966">
      <w:marLeft w:val="0"/>
      <w:marRight w:val="0"/>
      <w:marTop w:val="240"/>
      <w:marBottom w:val="0"/>
      <w:divBdr>
        <w:top w:val="none" w:sz="0" w:space="0" w:color="auto"/>
        <w:left w:val="none" w:sz="0" w:space="0" w:color="auto"/>
        <w:bottom w:val="none" w:sz="0" w:space="0" w:color="auto"/>
        <w:right w:val="none" w:sz="0" w:space="0" w:color="auto"/>
      </w:divBdr>
    </w:div>
    <w:div w:id="496306822">
      <w:marLeft w:val="0"/>
      <w:marRight w:val="0"/>
      <w:marTop w:val="0"/>
      <w:marBottom w:val="0"/>
      <w:divBdr>
        <w:top w:val="none" w:sz="0" w:space="0" w:color="auto"/>
        <w:left w:val="none" w:sz="0" w:space="0" w:color="auto"/>
        <w:bottom w:val="none" w:sz="0" w:space="0" w:color="auto"/>
        <w:right w:val="none" w:sz="0" w:space="0" w:color="auto"/>
      </w:divBdr>
      <w:divsChild>
        <w:div w:id="484980724">
          <w:marLeft w:val="0"/>
          <w:marRight w:val="0"/>
          <w:marTop w:val="0"/>
          <w:marBottom w:val="0"/>
          <w:divBdr>
            <w:top w:val="none" w:sz="0" w:space="0" w:color="auto"/>
            <w:left w:val="none" w:sz="0" w:space="0" w:color="auto"/>
            <w:bottom w:val="none" w:sz="0" w:space="0" w:color="auto"/>
            <w:right w:val="none" w:sz="0" w:space="0" w:color="auto"/>
          </w:divBdr>
        </w:div>
      </w:divsChild>
    </w:div>
    <w:div w:id="501703141">
      <w:marLeft w:val="0"/>
      <w:marRight w:val="0"/>
      <w:marTop w:val="0"/>
      <w:marBottom w:val="0"/>
      <w:divBdr>
        <w:top w:val="none" w:sz="0" w:space="0" w:color="auto"/>
        <w:left w:val="none" w:sz="0" w:space="0" w:color="auto"/>
        <w:bottom w:val="none" w:sz="0" w:space="0" w:color="auto"/>
        <w:right w:val="none" w:sz="0" w:space="0" w:color="auto"/>
      </w:divBdr>
    </w:div>
    <w:div w:id="504593468">
      <w:marLeft w:val="0"/>
      <w:marRight w:val="0"/>
      <w:marTop w:val="120"/>
      <w:marBottom w:val="0"/>
      <w:divBdr>
        <w:top w:val="none" w:sz="0" w:space="0" w:color="auto"/>
        <w:left w:val="none" w:sz="0" w:space="0" w:color="auto"/>
        <w:bottom w:val="none" w:sz="0" w:space="0" w:color="auto"/>
        <w:right w:val="none" w:sz="0" w:space="0" w:color="auto"/>
      </w:divBdr>
    </w:div>
    <w:div w:id="511259059">
      <w:marLeft w:val="0"/>
      <w:marRight w:val="0"/>
      <w:marTop w:val="0"/>
      <w:marBottom w:val="0"/>
      <w:divBdr>
        <w:top w:val="none" w:sz="0" w:space="0" w:color="auto"/>
        <w:left w:val="none" w:sz="0" w:space="0" w:color="auto"/>
        <w:bottom w:val="none" w:sz="0" w:space="0" w:color="auto"/>
        <w:right w:val="none" w:sz="0" w:space="0" w:color="auto"/>
      </w:divBdr>
    </w:div>
    <w:div w:id="512840470">
      <w:marLeft w:val="0"/>
      <w:marRight w:val="0"/>
      <w:marTop w:val="120"/>
      <w:marBottom w:val="0"/>
      <w:divBdr>
        <w:top w:val="none" w:sz="0" w:space="0" w:color="auto"/>
        <w:left w:val="none" w:sz="0" w:space="0" w:color="auto"/>
        <w:bottom w:val="none" w:sz="0" w:space="0" w:color="auto"/>
        <w:right w:val="none" w:sz="0" w:space="0" w:color="auto"/>
      </w:divBdr>
    </w:div>
    <w:div w:id="512916752">
      <w:marLeft w:val="0"/>
      <w:marRight w:val="0"/>
      <w:marTop w:val="0"/>
      <w:marBottom w:val="0"/>
      <w:divBdr>
        <w:top w:val="none" w:sz="0" w:space="0" w:color="auto"/>
        <w:left w:val="none" w:sz="0" w:space="0" w:color="auto"/>
        <w:bottom w:val="none" w:sz="0" w:space="0" w:color="auto"/>
        <w:right w:val="none" w:sz="0" w:space="0" w:color="auto"/>
      </w:divBdr>
      <w:divsChild>
        <w:div w:id="3439982">
          <w:marLeft w:val="0"/>
          <w:marRight w:val="0"/>
          <w:marTop w:val="0"/>
          <w:marBottom w:val="0"/>
          <w:divBdr>
            <w:top w:val="none" w:sz="0" w:space="0" w:color="auto"/>
            <w:left w:val="none" w:sz="0" w:space="0" w:color="auto"/>
            <w:bottom w:val="none" w:sz="0" w:space="0" w:color="auto"/>
            <w:right w:val="none" w:sz="0" w:space="0" w:color="auto"/>
          </w:divBdr>
        </w:div>
      </w:divsChild>
    </w:div>
    <w:div w:id="514350262">
      <w:marLeft w:val="0"/>
      <w:marRight w:val="0"/>
      <w:marTop w:val="120"/>
      <w:marBottom w:val="0"/>
      <w:divBdr>
        <w:top w:val="none" w:sz="0" w:space="0" w:color="auto"/>
        <w:left w:val="none" w:sz="0" w:space="0" w:color="auto"/>
        <w:bottom w:val="none" w:sz="0" w:space="0" w:color="auto"/>
        <w:right w:val="none" w:sz="0" w:space="0" w:color="auto"/>
      </w:divBdr>
    </w:div>
    <w:div w:id="518274786">
      <w:marLeft w:val="0"/>
      <w:marRight w:val="0"/>
      <w:marTop w:val="120"/>
      <w:marBottom w:val="0"/>
      <w:divBdr>
        <w:top w:val="none" w:sz="0" w:space="0" w:color="auto"/>
        <w:left w:val="none" w:sz="0" w:space="0" w:color="auto"/>
        <w:bottom w:val="none" w:sz="0" w:space="0" w:color="auto"/>
        <w:right w:val="none" w:sz="0" w:space="0" w:color="auto"/>
      </w:divBdr>
    </w:div>
    <w:div w:id="520315199">
      <w:marLeft w:val="0"/>
      <w:marRight w:val="0"/>
      <w:marTop w:val="120"/>
      <w:marBottom w:val="0"/>
      <w:divBdr>
        <w:top w:val="none" w:sz="0" w:space="0" w:color="auto"/>
        <w:left w:val="none" w:sz="0" w:space="0" w:color="auto"/>
        <w:bottom w:val="none" w:sz="0" w:space="0" w:color="auto"/>
        <w:right w:val="none" w:sz="0" w:space="0" w:color="auto"/>
      </w:divBdr>
    </w:div>
    <w:div w:id="528883407">
      <w:marLeft w:val="0"/>
      <w:marRight w:val="0"/>
      <w:marTop w:val="0"/>
      <w:marBottom w:val="0"/>
      <w:divBdr>
        <w:top w:val="none" w:sz="0" w:space="0" w:color="auto"/>
        <w:left w:val="none" w:sz="0" w:space="0" w:color="auto"/>
        <w:bottom w:val="none" w:sz="0" w:space="0" w:color="auto"/>
        <w:right w:val="none" w:sz="0" w:space="0" w:color="auto"/>
      </w:divBdr>
      <w:divsChild>
        <w:div w:id="288513445">
          <w:marLeft w:val="0"/>
          <w:marRight w:val="0"/>
          <w:marTop w:val="0"/>
          <w:marBottom w:val="0"/>
          <w:divBdr>
            <w:top w:val="none" w:sz="0" w:space="0" w:color="auto"/>
            <w:left w:val="none" w:sz="0" w:space="0" w:color="auto"/>
            <w:bottom w:val="none" w:sz="0" w:space="0" w:color="auto"/>
            <w:right w:val="none" w:sz="0" w:space="0" w:color="auto"/>
          </w:divBdr>
        </w:div>
      </w:divsChild>
    </w:div>
    <w:div w:id="529537912">
      <w:marLeft w:val="0"/>
      <w:marRight w:val="0"/>
      <w:marTop w:val="120"/>
      <w:marBottom w:val="0"/>
      <w:divBdr>
        <w:top w:val="none" w:sz="0" w:space="0" w:color="auto"/>
        <w:left w:val="none" w:sz="0" w:space="0" w:color="auto"/>
        <w:bottom w:val="none" w:sz="0" w:space="0" w:color="auto"/>
        <w:right w:val="none" w:sz="0" w:space="0" w:color="auto"/>
      </w:divBdr>
    </w:div>
    <w:div w:id="536430291">
      <w:marLeft w:val="0"/>
      <w:marRight w:val="0"/>
      <w:marTop w:val="120"/>
      <w:marBottom w:val="120"/>
      <w:divBdr>
        <w:top w:val="none" w:sz="0" w:space="0" w:color="auto"/>
        <w:left w:val="none" w:sz="0" w:space="0" w:color="auto"/>
        <w:bottom w:val="none" w:sz="0" w:space="0" w:color="auto"/>
        <w:right w:val="none" w:sz="0" w:space="0" w:color="auto"/>
      </w:divBdr>
      <w:divsChild>
        <w:div w:id="336544590">
          <w:marLeft w:val="0"/>
          <w:marRight w:val="0"/>
          <w:marTop w:val="0"/>
          <w:marBottom w:val="0"/>
          <w:divBdr>
            <w:top w:val="none" w:sz="0" w:space="0" w:color="auto"/>
            <w:left w:val="none" w:sz="0" w:space="0" w:color="auto"/>
            <w:bottom w:val="none" w:sz="0" w:space="0" w:color="auto"/>
            <w:right w:val="none" w:sz="0" w:space="0" w:color="auto"/>
          </w:divBdr>
        </w:div>
      </w:divsChild>
    </w:div>
    <w:div w:id="538124767">
      <w:marLeft w:val="0"/>
      <w:marRight w:val="0"/>
      <w:marTop w:val="120"/>
      <w:marBottom w:val="0"/>
      <w:divBdr>
        <w:top w:val="none" w:sz="0" w:space="0" w:color="auto"/>
        <w:left w:val="none" w:sz="0" w:space="0" w:color="auto"/>
        <w:bottom w:val="none" w:sz="0" w:space="0" w:color="auto"/>
        <w:right w:val="none" w:sz="0" w:space="0" w:color="auto"/>
      </w:divBdr>
    </w:div>
    <w:div w:id="538779346">
      <w:marLeft w:val="0"/>
      <w:marRight w:val="0"/>
      <w:marTop w:val="0"/>
      <w:marBottom w:val="0"/>
      <w:divBdr>
        <w:top w:val="none" w:sz="0" w:space="0" w:color="auto"/>
        <w:left w:val="none" w:sz="0" w:space="0" w:color="auto"/>
        <w:bottom w:val="none" w:sz="0" w:space="0" w:color="auto"/>
        <w:right w:val="none" w:sz="0" w:space="0" w:color="auto"/>
      </w:divBdr>
    </w:div>
    <w:div w:id="541594303">
      <w:marLeft w:val="0"/>
      <w:marRight w:val="0"/>
      <w:marTop w:val="0"/>
      <w:marBottom w:val="0"/>
      <w:divBdr>
        <w:top w:val="none" w:sz="0" w:space="0" w:color="auto"/>
        <w:left w:val="none" w:sz="0" w:space="0" w:color="auto"/>
        <w:bottom w:val="none" w:sz="0" w:space="0" w:color="auto"/>
        <w:right w:val="none" w:sz="0" w:space="0" w:color="auto"/>
      </w:divBdr>
      <w:divsChild>
        <w:div w:id="1640302790">
          <w:marLeft w:val="0"/>
          <w:marRight w:val="0"/>
          <w:marTop w:val="0"/>
          <w:marBottom w:val="0"/>
          <w:divBdr>
            <w:top w:val="none" w:sz="0" w:space="0" w:color="auto"/>
            <w:left w:val="none" w:sz="0" w:space="0" w:color="auto"/>
            <w:bottom w:val="none" w:sz="0" w:space="0" w:color="auto"/>
            <w:right w:val="none" w:sz="0" w:space="0" w:color="auto"/>
          </w:divBdr>
        </w:div>
      </w:divsChild>
    </w:div>
    <w:div w:id="542403753">
      <w:marLeft w:val="0"/>
      <w:marRight w:val="0"/>
      <w:marTop w:val="240"/>
      <w:marBottom w:val="0"/>
      <w:divBdr>
        <w:top w:val="none" w:sz="0" w:space="0" w:color="auto"/>
        <w:left w:val="none" w:sz="0" w:space="0" w:color="auto"/>
        <w:bottom w:val="none" w:sz="0" w:space="0" w:color="auto"/>
        <w:right w:val="none" w:sz="0" w:space="0" w:color="auto"/>
      </w:divBdr>
    </w:div>
    <w:div w:id="548496772">
      <w:marLeft w:val="0"/>
      <w:marRight w:val="0"/>
      <w:marTop w:val="120"/>
      <w:marBottom w:val="0"/>
      <w:divBdr>
        <w:top w:val="none" w:sz="0" w:space="0" w:color="auto"/>
        <w:left w:val="none" w:sz="0" w:space="0" w:color="auto"/>
        <w:bottom w:val="none" w:sz="0" w:space="0" w:color="auto"/>
        <w:right w:val="none" w:sz="0" w:space="0" w:color="auto"/>
      </w:divBdr>
    </w:div>
    <w:div w:id="554318562">
      <w:marLeft w:val="0"/>
      <w:marRight w:val="0"/>
      <w:marTop w:val="0"/>
      <w:marBottom w:val="0"/>
      <w:divBdr>
        <w:top w:val="none" w:sz="0" w:space="0" w:color="auto"/>
        <w:left w:val="none" w:sz="0" w:space="0" w:color="auto"/>
        <w:bottom w:val="none" w:sz="0" w:space="0" w:color="auto"/>
        <w:right w:val="none" w:sz="0" w:space="0" w:color="auto"/>
      </w:divBdr>
    </w:div>
    <w:div w:id="558517946">
      <w:marLeft w:val="0"/>
      <w:marRight w:val="0"/>
      <w:marTop w:val="120"/>
      <w:marBottom w:val="120"/>
      <w:divBdr>
        <w:top w:val="none" w:sz="0" w:space="0" w:color="auto"/>
        <w:left w:val="none" w:sz="0" w:space="0" w:color="auto"/>
        <w:bottom w:val="none" w:sz="0" w:space="0" w:color="auto"/>
        <w:right w:val="none" w:sz="0" w:space="0" w:color="auto"/>
      </w:divBdr>
    </w:div>
    <w:div w:id="561017061">
      <w:marLeft w:val="0"/>
      <w:marRight w:val="0"/>
      <w:marTop w:val="0"/>
      <w:marBottom w:val="0"/>
      <w:divBdr>
        <w:top w:val="none" w:sz="0" w:space="0" w:color="auto"/>
        <w:left w:val="none" w:sz="0" w:space="0" w:color="auto"/>
        <w:bottom w:val="none" w:sz="0" w:space="0" w:color="auto"/>
        <w:right w:val="none" w:sz="0" w:space="0" w:color="auto"/>
      </w:divBdr>
      <w:divsChild>
        <w:div w:id="1138767423">
          <w:marLeft w:val="0"/>
          <w:marRight w:val="0"/>
          <w:marTop w:val="0"/>
          <w:marBottom w:val="0"/>
          <w:divBdr>
            <w:top w:val="none" w:sz="0" w:space="0" w:color="auto"/>
            <w:left w:val="none" w:sz="0" w:space="0" w:color="auto"/>
            <w:bottom w:val="none" w:sz="0" w:space="0" w:color="auto"/>
            <w:right w:val="none" w:sz="0" w:space="0" w:color="auto"/>
          </w:divBdr>
        </w:div>
      </w:divsChild>
    </w:div>
    <w:div w:id="573318624">
      <w:marLeft w:val="0"/>
      <w:marRight w:val="0"/>
      <w:marTop w:val="0"/>
      <w:marBottom w:val="0"/>
      <w:divBdr>
        <w:top w:val="none" w:sz="0" w:space="0" w:color="auto"/>
        <w:left w:val="none" w:sz="0" w:space="0" w:color="auto"/>
        <w:bottom w:val="none" w:sz="0" w:space="0" w:color="auto"/>
        <w:right w:val="none" w:sz="0" w:space="0" w:color="auto"/>
      </w:divBdr>
    </w:div>
    <w:div w:id="576477859">
      <w:marLeft w:val="0"/>
      <w:marRight w:val="0"/>
      <w:marTop w:val="0"/>
      <w:marBottom w:val="0"/>
      <w:divBdr>
        <w:top w:val="none" w:sz="0" w:space="0" w:color="auto"/>
        <w:left w:val="none" w:sz="0" w:space="0" w:color="auto"/>
        <w:bottom w:val="none" w:sz="0" w:space="0" w:color="auto"/>
        <w:right w:val="none" w:sz="0" w:space="0" w:color="auto"/>
      </w:divBdr>
    </w:div>
    <w:div w:id="579221098">
      <w:marLeft w:val="0"/>
      <w:marRight w:val="0"/>
      <w:marTop w:val="0"/>
      <w:marBottom w:val="0"/>
      <w:divBdr>
        <w:top w:val="none" w:sz="0" w:space="0" w:color="auto"/>
        <w:left w:val="none" w:sz="0" w:space="0" w:color="auto"/>
        <w:bottom w:val="none" w:sz="0" w:space="0" w:color="auto"/>
        <w:right w:val="none" w:sz="0" w:space="0" w:color="auto"/>
      </w:divBdr>
    </w:div>
    <w:div w:id="579757260">
      <w:marLeft w:val="0"/>
      <w:marRight w:val="0"/>
      <w:marTop w:val="120"/>
      <w:marBottom w:val="0"/>
      <w:divBdr>
        <w:top w:val="none" w:sz="0" w:space="0" w:color="auto"/>
        <w:left w:val="none" w:sz="0" w:space="0" w:color="auto"/>
        <w:bottom w:val="none" w:sz="0" w:space="0" w:color="auto"/>
        <w:right w:val="none" w:sz="0" w:space="0" w:color="auto"/>
      </w:divBdr>
    </w:div>
    <w:div w:id="580456681">
      <w:marLeft w:val="0"/>
      <w:marRight w:val="0"/>
      <w:marTop w:val="120"/>
      <w:marBottom w:val="0"/>
      <w:divBdr>
        <w:top w:val="none" w:sz="0" w:space="0" w:color="auto"/>
        <w:left w:val="none" w:sz="0" w:space="0" w:color="auto"/>
        <w:bottom w:val="none" w:sz="0" w:space="0" w:color="auto"/>
        <w:right w:val="none" w:sz="0" w:space="0" w:color="auto"/>
      </w:divBdr>
    </w:div>
    <w:div w:id="582422304">
      <w:marLeft w:val="0"/>
      <w:marRight w:val="0"/>
      <w:marTop w:val="120"/>
      <w:marBottom w:val="0"/>
      <w:divBdr>
        <w:top w:val="none" w:sz="0" w:space="0" w:color="auto"/>
        <w:left w:val="none" w:sz="0" w:space="0" w:color="auto"/>
        <w:bottom w:val="none" w:sz="0" w:space="0" w:color="auto"/>
        <w:right w:val="none" w:sz="0" w:space="0" w:color="auto"/>
      </w:divBdr>
    </w:div>
    <w:div w:id="586034739">
      <w:marLeft w:val="0"/>
      <w:marRight w:val="0"/>
      <w:marTop w:val="0"/>
      <w:marBottom w:val="0"/>
      <w:divBdr>
        <w:top w:val="none" w:sz="0" w:space="0" w:color="auto"/>
        <w:left w:val="none" w:sz="0" w:space="0" w:color="auto"/>
        <w:bottom w:val="none" w:sz="0" w:space="0" w:color="auto"/>
        <w:right w:val="none" w:sz="0" w:space="0" w:color="auto"/>
      </w:divBdr>
      <w:divsChild>
        <w:div w:id="558784529">
          <w:marLeft w:val="0"/>
          <w:marRight w:val="0"/>
          <w:marTop w:val="0"/>
          <w:marBottom w:val="0"/>
          <w:divBdr>
            <w:top w:val="none" w:sz="0" w:space="0" w:color="auto"/>
            <w:left w:val="none" w:sz="0" w:space="0" w:color="auto"/>
            <w:bottom w:val="none" w:sz="0" w:space="0" w:color="auto"/>
            <w:right w:val="none" w:sz="0" w:space="0" w:color="auto"/>
          </w:divBdr>
        </w:div>
      </w:divsChild>
    </w:div>
    <w:div w:id="590436056">
      <w:marLeft w:val="0"/>
      <w:marRight w:val="0"/>
      <w:marTop w:val="0"/>
      <w:marBottom w:val="0"/>
      <w:divBdr>
        <w:top w:val="none" w:sz="0" w:space="0" w:color="auto"/>
        <w:left w:val="none" w:sz="0" w:space="0" w:color="auto"/>
        <w:bottom w:val="none" w:sz="0" w:space="0" w:color="auto"/>
        <w:right w:val="none" w:sz="0" w:space="0" w:color="auto"/>
      </w:divBdr>
    </w:div>
    <w:div w:id="597560554">
      <w:marLeft w:val="0"/>
      <w:marRight w:val="0"/>
      <w:marTop w:val="120"/>
      <w:marBottom w:val="0"/>
      <w:divBdr>
        <w:top w:val="none" w:sz="0" w:space="0" w:color="auto"/>
        <w:left w:val="none" w:sz="0" w:space="0" w:color="auto"/>
        <w:bottom w:val="none" w:sz="0" w:space="0" w:color="auto"/>
        <w:right w:val="none" w:sz="0" w:space="0" w:color="auto"/>
      </w:divBdr>
    </w:div>
    <w:div w:id="601378849">
      <w:marLeft w:val="0"/>
      <w:marRight w:val="0"/>
      <w:marTop w:val="0"/>
      <w:marBottom w:val="0"/>
      <w:divBdr>
        <w:top w:val="none" w:sz="0" w:space="0" w:color="auto"/>
        <w:left w:val="none" w:sz="0" w:space="0" w:color="auto"/>
        <w:bottom w:val="none" w:sz="0" w:space="0" w:color="auto"/>
        <w:right w:val="none" w:sz="0" w:space="0" w:color="auto"/>
      </w:divBdr>
      <w:divsChild>
        <w:div w:id="1002050419">
          <w:marLeft w:val="0"/>
          <w:marRight w:val="0"/>
          <w:marTop w:val="180"/>
          <w:marBottom w:val="0"/>
          <w:divBdr>
            <w:top w:val="none" w:sz="0" w:space="0" w:color="auto"/>
            <w:left w:val="none" w:sz="0" w:space="0" w:color="auto"/>
            <w:bottom w:val="none" w:sz="0" w:space="0" w:color="auto"/>
            <w:right w:val="none" w:sz="0" w:space="0" w:color="auto"/>
          </w:divBdr>
        </w:div>
      </w:divsChild>
    </w:div>
    <w:div w:id="602154326">
      <w:marLeft w:val="0"/>
      <w:marRight w:val="0"/>
      <w:marTop w:val="120"/>
      <w:marBottom w:val="0"/>
      <w:divBdr>
        <w:top w:val="none" w:sz="0" w:space="0" w:color="auto"/>
        <w:left w:val="none" w:sz="0" w:space="0" w:color="auto"/>
        <w:bottom w:val="none" w:sz="0" w:space="0" w:color="auto"/>
        <w:right w:val="none" w:sz="0" w:space="0" w:color="auto"/>
      </w:divBdr>
    </w:div>
    <w:div w:id="602348627">
      <w:marLeft w:val="0"/>
      <w:marRight w:val="0"/>
      <w:marTop w:val="120"/>
      <w:marBottom w:val="0"/>
      <w:divBdr>
        <w:top w:val="none" w:sz="0" w:space="0" w:color="auto"/>
        <w:left w:val="none" w:sz="0" w:space="0" w:color="auto"/>
        <w:bottom w:val="none" w:sz="0" w:space="0" w:color="auto"/>
        <w:right w:val="none" w:sz="0" w:space="0" w:color="auto"/>
      </w:divBdr>
    </w:div>
    <w:div w:id="602688813">
      <w:marLeft w:val="0"/>
      <w:marRight w:val="0"/>
      <w:marTop w:val="120"/>
      <w:marBottom w:val="0"/>
      <w:divBdr>
        <w:top w:val="none" w:sz="0" w:space="0" w:color="auto"/>
        <w:left w:val="none" w:sz="0" w:space="0" w:color="auto"/>
        <w:bottom w:val="none" w:sz="0" w:space="0" w:color="auto"/>
        <w:right w:val="none" w:sz="0" w:space="0" w:color="auto"/>
      </w:divBdr>
    </w:div>
    <w:div w:id="613907790">
      <w:marLeft w:val="0"/>
      <w:marRight w:val="0"/>
      <w:marTop w:val="0"/>
      <w:marBottom w:val="0"/>
      <w:divBdr>
        <w:top w:val="none" w:sz="0" w:space="0" w:color="auto"/>
        <w:left w:val="none" w:sz="0" w:space="0" w:color="auto"/>
        <w:bottom w:val="none" w:sz="0" w:space="0" w:color="auto"/>
        <w:right w:val="none" w:sz="0" w:space="0" w:color="auto"/>
      </w:divBdr>
      <w:divsChild>
        <w:div w:id="1606304263">
          <w:marLeft w:val="0"/>
          <w:marRight w:val="0"/>
          <w:marTop w:val="0"/>
          <w:marBottom w:val="0"/>
          <w:divBdr>
            <w:top w:val="none" w:sz="0" w:space="0" w:color="auto"/>
            <w:left w:val="none" w:sz="0" w:space="0" w:color="auto"/>
            <w:bottom w:val="none" w:sz="0" w:space="0" w:color="auto"/>
            <w:right w:val="none" w:sz="0" w:space="0" w:color="auto"/>
          </w:divBdr>
        </w:div>
      </w:divsChild>
    </w:div>
    <w:div w:id="614366123">
      <w:marLeft w:val="0"/>
      <w:marRight w:val="0"/>
      <w:marTop w:val="120"/>
      <w:marBottom w:val="0"/>
      <w:divBdr>
        <w:top w:val="none" w:sz="0" w:space="0" w:color="auto"/>
        <w:left w:val="none" w:sz="0" w:space="0" w:color="auto"/>
        <w:bottom w:val="none" w:sz="0" w:space="0" w:color="auto"/>
        <w:right w:val="none" w:sz="0" w:space="0" w:color="auto"/>
      </w:divBdr>
    </w:div>
    <w:div w:id="616647266">
      <w:marLeft w:val="0"/>
      <w:marRight w:val="0"/>
      <w:marTop w:val="120"/>
      <w:marBottom w:val="0"/>
      <w:divBdr>
        <w:top w:val="none" w:sz="0" w:space="0" w:color="auto"/>
        <w:left w:val="none" w:sz="0" w:space="0" w:color="auto"/>
        <w:bottom w:val="none" w:sz="0" w:space="0" w:color="auto"/>
        <w:right w:val="none" w:sz="0" w:space="0" w:color="auto"/>
      </w:divBdr>
    </w:div>
    <w:div w:id="621376667">
      <w:marLeft w:val="0"/>
      <w:marRight w:val="0"/>
      <w:marTop w:val="120"/>
      <w:marBottom w:val="0"/>
      <w:divBdr>
        <w:top w:val="none" w:sz="0" w:space="0" w:color="auto"/>
        <w:left w:val="none" w:sz="0" w:space="0" w:color="auto"/>
        <w:bottom w:val="none" w:sz="0" w:space="0" w:color="auto"/>
        <w:right w:val="none" w:sz="0" w:space="0" w:color="auto"/>
      </w:divBdr>
    </w:div>
    <w:div w:id="622230716">
      <w:marLeft w:val="0"/>
      <w:marRight w:val="0"/>
      <w:marTop w:val="120"/>
      <w:marBottom w:val="120"/>
      <w:divBdr>
        <w:top w:val="none" w:sz="0" w:space="0" w:color="auto"/>
        <w:left w:val="none" w:sz="0" w:space="0" w:color="auto"/>
        <w:bottom w:val="none" w:sz="0" w:space="0" w:color="auto"/>
        <w:right w:val="none" w:sz="0" w:space="0" w:color="auto"/>
      </w:divBdr>
    </w:div>
    <w:div w:id="623851226">
      <w:marLeft w:val="0"/>
      <w:marRight w:val="0"/>
      <w:marTop w:val="120"/>
      <w:marBottom w:val="120"/>
      <w:divBdr>
        <w:top w:val="none" w:sz="0" w:space="0" w:color="auto"/>
        <w:left w:val="none" w:sz="0" w:space="0" w:color="auto"/>
        <w:bottom w:val="none" w:sz="0" w:space="0" w:color="auto"/>
        <w:right w:val="none" w:sz="0" w:space="0" w:color="auto"/>
      </w:divBdr>
    </w:div>
    <w:div w:id="624695108">
      <w:marLeft w:val="0"/>
      <w:marRight w:val="0"/>
      <w:marTop w:val="0"/>
      <w:marBottom w:val="0"/>
      <w:divBdr>
        <w:top w:val="none" w:sz="0" w:space="0" w:color="auto"/>
        <w:left w:val="none" w:sz="0" w:space="0" w:color="auto"/>
        <w:bottom w:val="none" w:sz="0" w:space="0" w:color="auto"/>
        <w:right w:val="none" w:sz="0" w:space="0" w:color="auto"/>
      </w:divBdr>
    </w:div>
    <w:div w:id="626812943">
      <w:marLeft w:val="0"/>
      <w:marRight w:val="0"/>
      <w:marTop w:val="120"/>
      <w:marBottom w:val="0"/>
      <w:divBdr>
        <w:top w:val="none" w:sz="0" w:space="0" w:color="auto"/>
        <w:left w:val="none" w:sz="0" w:space="0" w:color="auto"/>
        <w:bottom w:val="none" w:sz="0" w:space="0" w:color="auto"/>
        <w:right w:val="none" w:sz="0" w:space="0" w:color="auto"/>
      </w:divBdr>
    </w:div>
    <w:div w:id="626934524">
      <w:marLeft w:val="0"/>
      <w:marRight w:val="0"/>
      <w:marTop w:val="0"/>
      <w:marBottom w:val="0"/>
      <w:divBdr>
        <w:top w:val="none" w:sz="0" w:space="0" w:color="auto"/>
        <w:left w:val="none" w:sz="0" w:space="0" w:color="auto"/>
        <w:bottom w:val="none" w:sz="0" w:space="0" w:color="auto"/>
        <w:right w:val="none" w:sz="0" w:space="0" w:color="auto"/>
      </w:divBdr>
      <w:divsChild>
        <w:div w:id="1692148299">
          <w:marLeft w:val="0"/>
          <w:marRight w:val="0"/>
          <w:marTop w:val="0"/>
          <w:marBottom w:val="0"/>
          <w:divBdr>
            <w:top w:val="none" w:sz="0" w:space="0" w:color="auto"/>
            <w:left w:val="none" w:sz="0" w:space="0" w:color="auto"/>
            <w:bottom w:val="none" w:sz="0" w:space="0" w:color="auto"/>
            <w:right w:val="none" w:sz="0" w:space="0" w:color="auto"/>
          </w:divBdr>
        </w:div>
      </w:divsChild>
    </w:div>
    <w:div w:id="630552312">
      <w:marLeft w:val="0"/>
      <w:marRight w:val="0"/>
      <w:marTop w:val="0"/>
      <w:marBottom w:val="0"/>
      <w:divBdr>
        <w:top w:val="none" w:sz="0" w:space="0" w:color="auto"/>
        <w:left w:val="none" w:sz="0" w:space="0" w:color="auto"/>
        <w:bottom w:val="none" w:sz="0" w:space="0" w:color="auto"/>
        <w:right w:val="none" w:sz="0" w:space="0" w:color="auto"/>
      </w:divBdr>
      <w:divsChild>
        <w:div w:id="1618682927">
          <w:marLeft w:val="0"/>
          <w:marRight w:val="0"/>
          <w:marTop w:val="0"/>
          <w:marBottom w:val="0"/>
          <w:divBdr>
            <w:top w:val="none" w:sz="0" w:space="0" w:color="auto"/>
            <w:left w:val="none" w:sz="0" w:space="0" w:color="auto"/>
            <w:bottom w:val="none" w:sz="0" w:space="0" w:color="auto"/>
            <w:right w:val="none" w:sz="0" w:space="0" w:color="auto"/>
          </w:divBdr>
        </w:div>
      </w:divsChild>
    </w:div>
    <w:div w:id="633945944">
      <w:marLeft w:val="0"/>
      <w:marRight w:val="0"/>
      <w:marTop w:val="120"/>
      <w:marBottom w:val="0"/>
      <w:divBdr>
        <w:top w:val="none" w:sz="0" w:space="0" w:color="auto"/>
        <w:left w:val="none" w:sz="0" w:space="0" w:color="auto"/>
        <w:bottom w:val="none" w:sz="0" w:space="0" w:color="auto"/>
        <w:right w:val="none" w:sz="0" w:space="0" w:color="auto"/>
      </w:divBdr>
    </w:div>
    <w:div w:id="635376380">
      <w:marLeft w:val="0"/>
      <w:marRight w:val="0"/>
      <w:marTop w:val="0"/>
      <w:marBottom w:val="0"/>
      <w:divBdr>
        <w:top w:val="none" w:sz="0" w:space="0" w:color="auto"/>
        <w:left w:val="none" w:sz="0" w:space="0" w:color="auto"/>
        <w:bottom w:val="none" w:sz="0" w:space="0" w:color="auto"/>
        <w:right w:val="none" w:sz="0" w:space="0" w:color="auto"/>
      </w:divBdr>
    </w:div>
    <w:div w:id="635841553">
      <w:marLeft w:val="0"/>
      <w:marRight w:val="0"/>
      <w:marTop w:val="240"/>
      <w:marBottom w:val="0"/>
      <w:divBdr>
        <w:top w:val="none" w:sz="0" w:space="0" w:color="auto"/>
        <w:left w:val="none" w:sz="0" w:space="0" w:color="auto"/>
        <w:bottom w:val="none" w:sz="0" w:space="0" w:color="auto"/>
        <w:right w:val="none" w:sz="0" w:space="0" w:color="auto"/>
      </w:divBdr>
    </w:div>
    <w:div w:id="646133183">
      <w:marLeft w:val="0"/>
      <w:marRight w:val="0"/>
      <w:marTop w:val="0"/>
      <w:marBottom w:val="0"/>
      <w:divBdr>
        <w:top w:val="none" w:sz="0" w:space="0" w:color="auto"/>
        <w:left w:val="none" w:sz="0" w:space="0" w:color="auto"/>
        <w:bottom w:val="none" w:sz="0" w:space="0" w:color="auto"/>
        <w:right w:val="none" w:sz="0" w:space="0" w:color="auto"/>
      </w:divBdr>
      <w:divsChild>
        <w:div w:id="603608695">
          <w:marLeft w:val="0"/>
          <w:marRight w:val="0"/>
          <w:marTop w:val="0"/>
          <w:marBottom w:val="0"/>
          <w:divBdr>
            <w:top w:val="none" w:sz="0" w:space="0" w:color="auto"/>
            <w:left w:val="none" w:sz="0" w:space="0" w:color="auto"/>
            <w:bottom w:val="none" w:sz="0" w:space="0" w:color="auto"/>
            <w:right w:val="none" w:sz="0" w:space="0" w:color="auto"/>
          </w:divBdr>
        </w:div>
      </w:divsChild>
    </w:div>
    <w:div w:id="651368132">
      <w:marLeft w:val="0"/>
      <w:marRight w:val="0"/>
      <w:marTop w:val="0"/>
      <w:marBottom w:val="0"/>
      <w:divBdr>
        <w:top w:val="none" w:sz="0" w:space="0" w:color="auto"/>
        <w:left w:val="none" w:sz="0" w:space="0" w:color="auto"/>
        <w:bottom w:val="none" w:sz="0" w:space="0" w:color="auto"/>
        <w:right w:val="none" w:sz="0" w:space="0" w:color="auto"/>
      </w:divBdr>
      <w:divsChild>
        <w:div w:id="2067489827">
          <w:marLeft w:val="0"/>
          <w:marRight w:val="0"/>
          <w:marTop w:val="0"/>
          <w:marBottom w:val="0"/>
          <w:divBdr>
            <w:top w:val="none" w:sz="0" w:space="0" w:color="auto"/>
            <w:left w:val="none" w:sz="0" w:space="0" w:color="auto"/>
            <w:bottom w:val="none" w:sz="0" w:space="0" w:color="auto"/>
            <w:right w:val="none" w:sz="0" w:space="0" w:color="auto"/>
          </w:divBdr>
        </w:div>
      </w:divsChild>
    </w:div>
    <w:div w:id="654380800">
      <w:marLeft w:val="0"/>
      <w:marRight w:val="0"/>
      <w:marTop w:val="120"/>
      <w:marBottom w:val="120"/>
      <w:divBdr>
        <w:top w:val="none" w:sz="0" w:space="0" w:color="auto"/>
        <w:left w:val="none" w:sz="0" w:space="0" w:color="auto"/>
        <w:bottom w:val="none" w:sz="0" w:space="0" w:color="auto"/>
        <w:right w:val="none" w:sz="0" w:space="0" w:color="auto"/>
      </w:divBdr>
    </w:div>
    <w:div w:id="655767694">
      <w:marLeft w:val="0"/>
      <w:marRight w:val="0"/>
      <w:marTop w:val="0"/>
      <w:marBottom w:val="0"/>
      <w:divBdr>
        <w:top w:val="none" w:sz="0" w:space="0" w:color="auto"/>
        <w:left w:val="none" w:sz="0" w:space="0" w:color="auto"/>
        <w:bottom w:val="none" w:sz="0" w:space="0" w:color="auto"/>
        <w:right w:val="none" w:sz="0" w:space="0" w:color="auto"/>
      </w:divBdr>
    </w:div>
    <w:div w:id="656612841">
      <w:marLeft w:val="0"/>
      <w:marRight w:val="0"/>
      <w:marTop w:val="120"/>
      <w:marBottom w:val="0"/>
      <w:divBdr>
        <w:top w:val="none" w:sz="0" w:space="0" w:color="auto"/>
        <w:left w:val="none" w:sz="0" w:space="0" w:color="auto"/>
        <w:bottom w:val="none" w:sz="0" w:space="0" w:color="auto"/>
        <w:right w:val="none" w:sz="0" w:space="0" w:color="auto"/>
      </w:divBdr>
    </w:div>
    <w:div w:id="662902191">
      <w:marLeft w:val="0"/>
      <w:marRight w:val="0"/>
      <w:marTop w:val="0"/>
      <w:marBottom w:val="120"/>
      <w:divBdr>
        <w:top w:val="none" w:sz="0" w:space="0" w:color="auto"/>
        <w:left w:val="none" w:sz="0" w:space="0" w:color="auto"/>
        <w:bottom w:val="none" w:sz="0" w:space="0" w:color="auto"/>
        <w:right w:val="none" w:sz="0" w:space="0" w:color="auto"/>
      </w:divBdr>
    </w:div>
    <w:div w:id="663437589">
      <w:marLeft w:val="0"/>
      <w:marRight w:val="0"/>
      <w:marTop w:val="0"/>
      <w:marBottom w:val="0"/>
      <w:divBdr>
        <w:top w:val="none" w:sz="0" w:space="0" w:color="auto"/>
        <w:left w:val="none" w:sz="0" w:space="0" w:color="auto"/>
        <w:bottom w:val="none" w:sz="0" w:space="0" w:color="auto"/>
        <w:right w:val="none" w:sz="0" w:space="0" w:color="auto"/>
      </w:divBdr>
    </w:div>
    <w:div w:id="665212822">
      <w:marLeft w:val="0"/>
      <w:marRight w:val="0"/>
      <w:marTop w:val="120"/>
      <w:marBottom w:val="120"/>
      <w:divBdr>
        <w:top w:val="none" w:sz="0" w:space="0" w:color="auto"/>
        <w:left w:val="none" w:sz="0" w:space="0" w:color="auto"/>
        <w:bottom w:val="none" w:sz="0" w:space="0" w:color="auto"/>
        <w:right w:val="none" w:sz="0" w:space="0" w:color="auto"/>
      </w:divBdr>
    </w:div>
    <w:div w:id="668095728">
      <w:marLeft w:val="0"/>
      <w:marRight w:val="0"/>
      <w:marTop w:val="0"/>
      <w:marBottom w:val="0"/>
      <w:divBdr>
        <w:top w:val="none" w:sz="0" w:space="0" w:color="auto"/>
        <w:left w:val="none" w:sz="0" w:space="0" w:color="auto"/>
        <w:bottom w:val="none" w:sz="0" w:space="0" w:color="auto"/>
        <w:right w:val="none" w:sz="0" w:space="0" w:color="auto"/>
      </w:divBdr>
    </w:div>
    <w:div w:id="673413182">
      <w:marLeft w:val="0"/>
      <w:marRight w:val="0"/>
      <w:marTop w:val="0"/>
      <w:marBottom w:val="0"/>
      <w:divBdr>
        <w:top w:val="none" w:sz="0" w:space="0" w:color="auto"/>
        <w:left w:val="none" w:sz="0" w:space="0" w:color="auto"/>
        <w:bottom w:val="none" w:sz="0" w:space="0" w:color="auto"/>
        <w:right w:val="none" w:sz="0" w:space="0" w:color="auto"/>
      </w:divBdr>
    </w:div>
    <w:div w:id="674498412">
      <w:marLeft w:val="0"/>
      <w:marRight w:val="0"/>
      <w:marTop w:val="0"/>
      <w:marBottom w:val="120"/>
      <w:divBdr>
        <w:top w:val="none" w:sz="0" w:space="0" w:color="auto"/>
        <w:left w:val="none" w:sz="0" w:space="0" w:color="auto"/>
        <w:bottom w:val="none" w:sz="0" w:space="0" w:color="auto"/>
        <w:right w:val="none" w:sz="0" w:space="0" w:color="auto"/>
      </w:divBdr>
    </w:div>
    <w:div w:id="675310368">
      <w:marLeft w:val="0"/>
      <w:marRight w:val="0"/>
      <w:marTop w:val="0"/>
      <w:marBottom w:val="0"/>
      <w:divBdr>
        <w:top w:val="none" w:sz="0" w:space="0" w:color="auto"/>
        <w:left w:val="none" w:sz="0" w:space="0" w:color="auto"/>
        <w:bottom w:val="none" w:sz="0" w:space="0" w:color="auto"/>
        <w:right w:val="none" w:sz="0" w:space="0" w:color="auto"/>
      </w:divBdr>
    </w:div>
    <w:div w:id="682047727">
      <w:marLeft w:val="0"/>
      <w:marRight w:val="0"/>
      <w:marTop w:val="120"/>
      <w:marBottom w:val="0"/>
      <w:divBdr>
        <w:top w:val="none" w:sz="0" w:space="0" w:color="auto"/>
        <w:left w:val="none" w:sz="0" w:space="0" w:color="auto"/>
        <w:bottom w:val="none" w:sz="0" w:space="0" w:color="auto"/>
        <w:right w:val="none" w:sz="0" w:space="0" w:color="auto"/>
      </w:divBdr>
    </w:div>
    <w:div w:id="689256261">
      <w:marLeft w:val="0"/>
      <w:marRight w:val="0"/>
      <w:marTop w:val="0"/>
      <w:marBottom w:val="0"/>
      <w:divBdr>
        <w:top w:val="none" w:sz="0" w:space="0" w:color="auto"/>
        <w:left w:val="none" w:sz="0" w:space="0" w:color="auto"/>
        <w:bottom w:val="none" w:sz="0" w:space="0" w:color="auto"/>
        <w:right w:val="none" w:sz="0" w:space="0" w:color="auto"/>
      </w:divBdr>
    </w:div>
    <w:div w:id="690648799">
      <w:marLeft w:val="0"/>
      <w:marRight w:val="0"/>
      <w:marTop w:val="120"/>
      <w:marBottom w:val="0"/>
      <w:divBdr>
        <w:top w:val="none" w:sz="0" w:space="0" w:color="auto"/>
        <w:left w:val="none" w:sz="0" w:space="0" w:color="auto"/>
        <w:bottom w:val="none" w:sz="0" w:space="0" w:color="auto"/>
        <w:right w:val="none" w:sz="0" w:space="0" w:color="auto"/>
      </w:divBdr>
    </w:div>
    <w:div w:id="692614991">
      <w:marLeft w:val="0"/>
      <w:marRight w:val="0"/>
      <w:marTop w:val="120"/>
      <w:marBottom w:val="0"/>
      <w:divBdr>
        <w:top w:val="none" w:sz="0" w:space="0" w:color="auto"/>
        <w:left w:val="none" w:sz="0" w:space="0" w:color="auto"/>
        <w:bottom w:val="none" w:sz="0" w:space="0" w:color="auto"/>
        <w:right w:val="none" w:sz="0" w:space="0" w:color="auto"/>
      </w:divBdr>
    </w:div>
    <w:div w:id="697893807">
      <w:marLeft w:val="0"/>
      <w:marRight w:val="0"/>
      <w:marTop w:val="120"/>
      <w:marBottom w:val="120"/>
      <w:divBdr>
        <w:top w:val="none" w:sz="0" w:space="0" w:color="auto"/>
        <w:left w:val="none" w:sz="0" w:space="0" w:color="auto"/>
        <w:bottom w:val="none" w:sz="0" w:space="0" w:color="auto"/>
        <w:right w:val="none" w:sz="0" w:space="0" w:color="auto"/>
      </w:divBdr>
    </w:div>
    <w:div w:id="698549049">
      <w:marLeft w:val="0"/>
      <w:marRight w:val="0"/>
      <w:marTop w:val="120"/>
      <w:marBottom w:val="0"/>
      <w:divBdr>
        <w:top w:val="none" w:sz="0" w:space="0" w:color="auto"/>
        <w:left w:val="none" w:sz="0" w:space="0" w:color="auto"/>
        <w:bottom w:val="none" w:sz="0" w:space="0" w:color="auto"/>
        <w:right w:val="none" w:sz="0" w:space="0" w:color="auto"/>
      </w:divBdr>
    </w:div>
    <w:div w:id="700008117">
      <w:marLeft w:val="0"/>
      <w:marRight w:val="0"/>
      <w:marTop w:val="120"/>
      <w:marBottom w:val="0"/>
      <w:divBdr>
        <w:top w:val="none" w:sz="0" w:space="0" w:color="auto"/>
        <w:left w:val="none" w:sz="0" w:space="0" w:color="auto"/>
        <w:bottom w:val="none" w:sz="0" w:space="0" w:color="auto"/>
        <w:right w:val="none" w:sz="0" w:space="0" w:color="auto"/>
      </w:divBdr>
    </w:div>
    <w:div w:id="701786479">
      <w:marLeft w:val="0"/>
      <w:marRight w:val="0"/>
      <w:marTop w:val="120"/>
      <w:marBottom w:val="0"/>
      <w:divBdr>
        <w:top w:val="none" w:sz="0" w:space="0" w:color="auto"/>
        <w:left w:val="none" w:sz="0" w:space="0" w:color="auto"/>
        <w:bottom w:val="none" w:sz="0" w:space="0" w:color="auto"/>
        <w:right w:val="none" w:sz="0" w:space="0" w:color="auto"/>
      </w:divBdr>
    </w:div>
    <w:div w:id="716004745">
      <w:marLeft w:val="0"/>
      <w:marRight w:val="0"/>
      <w:marTop w:val="120"/>
      <w:marBottom w:val="0"/>
      <w:divBdr>
        <w:top w:val="none" w:sz="0" w:space="0" w:color="auto"/>
        <w:left w:val="none" w:sz="0" w:space="0" w:color="auto"/>
        <w:bottom w:val="none" w:sz="0" w:space="0" w:color="auto"/>
        <w:right w:val="none" w:sz="0" w:space="0" w:color="auto"/>
      </w:divBdr>
    </w:div>
    <w:div w:id="721902458">
      <w:marLeft w:val="0"/>
      <w:marRight w:val="0"/>
      <w:marTop w:val="120"/>
      <w:marBottom w:val="120"/>
      <w:divBdr>
        <w:top w:val="none" w:sz="0" w:space="0" w:color="auto"/>
        <w:left w:val="none" w:sz="0" w:space="0" w:color="auto"/>
        <w:bottom w:val="none" w:sz="0" w:space="0" w:color="auto"/>
        <w:right w:val="none" w:sz="0" w:space="0" w:color="auto"/>
      </w:divBdr>
    </w:div>
    <w:div w:id="723025859">
      <w:marLeft w:val="0"/>
      <w:marRight w:val="0"/>
      <w:marTop w:val="120"/>
      <w:marBottom w:val="120"/>
      <w:divBdr>
        <w:top w:val="none" w:sz="0" w:space="0" w:color="auto"/>
        <w:left w:val="none" w:sz="0" w:space="0" w:color="auto"/>
        <w:bottom w:val="none" w:sz="0" w:space="0" w:color="auto"/>
        <w:right w:val="none" w:sz="0" w:space="0" w:color="auto"/>
      </w:divBdr>
    </w:div>
    <w:div w:id="726883122">
      <w:marLeft w:val="0"/>
      <w:marRight w:val="0"/>
      <w:marTop w:val="0"/>
      <w:marBottom w:val="0"/>
      <w:divBdr>
        <w:top w:val="none" w:sz="0" w:space="0" w:color="auto"/>
        <w:left w:val="none" w:sz="0" w:space="0" w:color="auto"/>
        <w:bottom w:val="none" w:sz="0" w:space="0" w:color="auto"/>
        <w:right w:val="none" w:sz="0" w:space="0" w:color="auto"/>
      </w:divBdr>
    </w:div>
    <w:div w:id="727416174">
      <w:marLeft w:val="0"/>
      <w:marRight w:val="0"/>
      <w:marTop w:val="120"/>
      <w:marBottom w:val="0"/>
      <w:divBdr>
        <w:top w:val="none" w:sz="0" w:space="0" w:color="auto"/>
        <w:left w:val="none" w:sz="0" w:space="0" w:color="auto"/>
        <w:bottom w:val="none" w:sz="0" w:space="0" w:color="auto"/>
        <w:right w:val="none" w:sz="0" w:space="0" w:color="auto"/>
      </w:divBdr>
    </w:div>
    <w:div w:id="728697566">
      <w:marLeft w:val="0"/>
      <w:marRight w:val="0"/>
      <w:marTop w:val="0"/>
      <w:marBottom w:val="0"/>
      <w:divBdr>
        <w:top w:val="none" w:sz="0" w:space="0" w:color="auto"/>
        <w:left w:val="none" w:sz="0" w:space="0" w:color="auto"/>
        <w:bottom w:val="none" w:sz="0" w:space="0" w:color="auto"/>
        <w:right w:val="none" w:sz="0" w:space="0" w:color="auto"/>
      </w:divBdr>
    </w:div>
    <w:div w:id="730621085">
      <w:marLeft w:val="0"/>
      <w:marRight w:val="0"/>
      <w:marTop w:val="120"/>
      <w:marBottom w:val="120"/>
      <w:divBdr>
        <w:top w:val="none" w:sz="0" w:space="0" w:color="auto"/>
        <w:left w:val="none" w:sz="0" w:space="0" w:color="auto"/>
        <w:bottom w:val="none" w:sz="0" w:space="0" w:color="auto"/>
        <w:right w:val="none" w:sz="0" w:space="0" w:color="auto"/>
      </w:divBdr>
    </w:div>
    <w:div w:id="732387043">
      <w:marLeft w:val="0"/>
      <w:marRight w:val="0"/>
      <w:marTop w:val="120"/>
      <w:marBottom w:val="0"/>
      <w:divBdr>
        <w:top w:val="none" w:sz="0" w:space="0" w:color="auto"/>
        <w:left w:val="none" w:sz="0" w:space="0" w:color="auto"/>
        <w:bottom w:val="none" w:sz="0" w:space="0" w:color="auto"/>
        <w:right w:val="none" w:sz="0" w:space="0" w:color="auto"/>
      </w:divBdr>
    </w:div>
    <w:div w:id="733816026">
      <w:marLeft w:val="0"/>
      <w:marRight w:val="0"/>
      <w:marTop w:val="120"/>
      <w:marBottom w:val="120"/>
      <w:divBdr>
        <w:top w:val="none" w:sz="0" w:space="0" w:color="auto"/>
        <w:left w:val="none" w:sz="0" w:space="0" w:color="auto"/>
        <w:bottom w:val="none" w:sz="0" w:space="0" w:color="auto"/>
        <w:right w:val="none" w:sz="0" w:space="0" w:color="auto"/>
      </w:divBdr>
    </w:div>
    <w:div w:id="733894078">
      <w:marLeft w:val="0"/>
      <w:marRight w:val="0"/>
      <w:marTop w:val="120"/>
      <w:marBottom w:val="0"/>
      <w:divBdr>
        <w:top w:val="none" w:sz="0" w:space="0" w:color="auto"/>
        <w:left w:val="none" w:sz="0" w:space="0" w:color="auto"/>
        <w:bottom w:val="none" w:sz="0" w:space="0" w:color="auto"/>
        <w:right w:val="none" w:sz="0" w:space="0" w:color="auto"/>
      </w:divBdr>
    </w:div>
    <w:div w:id="738333844">
      <w:marLeft w:val="0"/>
      <w:marRight w:val="0"/>
      <w:marTop w:val="120"/>
      <w:marBottom w:val="120"/>
      <w:divBdr>
        <w:top w:val="none" w:sz="0" w:space="0" w:color="auto"/>
        <w:left w:val="none" w:sz="0" w:space="0" w:color="auto"/>
        <w:bottom w:val="none" w:sz="0" w:space="0" w:color="auto"/>
        <w:right w:val="none" w:sz="0" w:space="0" w:color="auto"/>
      </w:divBdr>
    </w:div>
    <w:div w:id="740832897">
      <w:marLeft w:val="0"/>
      <w:marRight w:val="0"/>
      <w:marTop w:val="0"/>
      <w:marBottom w:val="0"/>
      <w:divBdr>
        <w:top w:val="none" w:sz="0" w:space="0" w:color="auto"/>
        <w:left w:val="none" w:sz="0" w:space="0" w:color="auto"/>
        <w:bottom w:val="none" w:sz="0" w:space="0" w:color="auto"/>
        <w:right w:val="none" w:sz="0" w:space="0" w:color="auto"/>
      </w:divBdr>
      <w:divsChild>
        <w:div w:id="1786774609">
          <w:marLeft w:val="0"/>
          <w:marRight w:val="0"/>
          <w:marTop w:val="0"/>
          <w:marBottom w:val="0"/>
          <w:divBdr>
            <w:top w:val="none" w:sz="0" w:space="0" w:color="auto"/>
            <w:left w:val="none" w:sz="0" w:space="0" w:color="auto"/>
            <w:bottom w:val="none" w:sz="0" w:space="0" w:color="auto"/>
            <w:right w:val="none" w:sz="0" w:space="0" w:color="auto"/>
          </w:divBdr>
        </w:div>
      </w:divsChild>
    </w:div>
    <w:div w:id="742488662">
      <w:marLeft w:val="0"/>
      <w:marRight w:val="0"/>
      <w:marTop w:val="0"/>
      <w:marBottom w:val="0"/>
      <w:divBdr>
        <w:top w:val="none" w:sz="0" w:space="0" w:color="auto"/>
        <w:left w:val="none" w:sz="0" w:space="0" w:color="auto"/>
        <w:bottom w:val="none" w:sz="0" w:space="0" w:color="auto"/>
        <w:right w:val="none" w:sz="0" w:space="0" w:color="auto"/>
      </w:divBdr>
      <w:divsChild>
        <w:div w:id="1541434340">
          <w:marLeft w:val="0"/>
          <w:marRight w:val="0"/>
          <w:marTop w:val="0"/>
          <w:marBottom w:val="0"/>
          <w:divBdr>
            <w:top w:val="none" w:sz="0" w:space="0" w:color="auto"/>
            <w:left w:val="none" w:sz="0" w:space="0" w:color="auto"/>
            <w:bottom w:val="none" w:sz="0" w:space="0" w:color="auto"/>
            <w:right w:val="none" w:sz="0" w:space="0" w:color="auto"/>
          </w:divBdr>
        </w:div>
      </w:divsChild>
    </w:div>
    <w:div w:id="742878019">
      <w:marLeft w:val="0"/>
      <w:marRight w:val="0"/>
      <w:marTop w:val="0"/>
      <w:marBottom w:val="0"/>
      <w:divBdr>
        <w:top w:val="none" w:sz="0" w:space="0" w:color="auto"/>
        <w:left w:val="none" w:sz="0" w:space="0" w:color="auto"/>
        <w:bottom w:val="none" w:sz="0" w:space="0" w:color="auto"/>
        <w:right w:val="none" w:sz="0" w:space="0" w:color="auto"/>
      </w:divBdr>
    </w:div>
    <w:div w:id="747577459">
      <w:marLeft w:val="0"/>
      <w:marRight w:val="0"/>
      <w:marTop w:val="240"/>
      <w:marBottom w:val="120"/>
      <w:divBdr>
        <w:top w:val="none" w:sz="0" w:space="0" w:color="auto"/>
        <w:left w:val="none" w:sz="0" w:space="0" w:color="auto"/>
        <w:bottom w:val="none" w:sz="0" w:space="0" w:color="auto"/>
        <w:right w:val="none" w:sz="0" w:space="0" w:color="auto"/>
      </w:divBdr>
    </w:div>
    <w:div w:id="749498755">
      <w:marLeft w:val="0"/>
      <w:marRight w:val="0"/>
      <w:marTop w:val="120"/>
      <w:marBottom w:val="0"/>
      <w:divBdr>
        <w:top w:val="none" w:sz="0" w:space="0" w:color="auto"/>
        <w:left w:val="none" w:sz="0" w:space="0" w:color="auto"/>
        <w:bottom w:val="none" w:sz="0" w:space="0" w:color="auto"/>
        <w:right w:val="none" w:sz="0" w:space="0" w:color="auto"/>
      </w:divBdr>
    </w:div>
    <w:div w:id="752357444">
      <w:marLeft w:val="0"/>
      <w:marRight w:val="0"/>
      <w:marTop w:val="0"/>
      <w:marBottom w:val="0"/>
      <w:divBdr>
        <w:top w:val="none" w:sz="0" w:space="0" w:color="auto"/>
        <w:left w:val="none" w:sz="0" w:space="0" w:color="auto"/>
        <w:bottom w:val="none" w:sz="0" w:space="0" w:color="auto"/>
        <w:right w:val="none" w:sz="0" w:space="0" w:color="auto"/>
      </w:divBdr>
      <w:divsChild>
        <w:div w:id="345862360">
          <w:marLeft w:val="0"/>
          <w:marRight w:val="0"/>
          <w:marTop w:val="180"/>
          <w:marBottom w:val="0"/>
          <w:divBdr>
            <w:top w:val="none" w:sz="0" w:space="0" w:color="auto"/>
            <w:left w:val="none" w:sz="0" w:space="0" w:color="auto"/>
            <w:bottom w:val="none" w:sz="0" w:space="0" w:color="auto"/>
            <w:right w:val="none" w:sz="0" w:space="0" w:color="auto"/>
          </w:divBdr>
        </w:div>
      </w:divsChild>
    </w:div>
    <w:div w:id="756025572">
      <w:marLeft w:val="0"/>
      <w:marRight w:val="0"/>
      <w:marTop w:val="0"/>
      <w:marBottom w:val="0"/>
      <w:divBdr>
        <w:top w:val="none" w:sz="0" w:space="0" w:color="auto"/>
        <w:left w:val="none" w:sz="0" w:space="0" w:color="auto"/>
        <w:bottom w:val="none" w:sz="0" w:space="0" w:color="auto"/>
        <w:right w:val="none" w:sz="0" w:space="0" w:color="auto"/>
      </w:divBdr>
      <w:divsChild>
        <w:div w:id="1015619200">
          <w:marLeft w:val="0"/>
          <w:marRight w:val="0"/>
          <w:marTop w:val="0"/>
          <w:marBottom w:val="0"/>
          <w:divBdr>
            <w:top w:val="none" w:sz="0" w:space="0" w:color="auto"/>
            <w:left w:val="none" w:sz="0" w:space="0" w:color="auto"/>
            <w:bottom w:val="none" w:sz="0" w:space="0" w:color="auto"/>
            <w:right w:val="none" w:sz="0" w:space="0" w:color="auto"/>
          </w:divBdr>
        </w:div>
      </w:divsChild>
    </w:div>
    <w:div w:id="757017322">
      <w:marLeft w:val="0"/>
      <w:marRight w:val="0"/>
      <w:marTop w:val="0"/>
      <w:marBottom w:val="0"/>
      <w:divBdr>
        <w:top w:val="none" w:sz="0" w:space="0" w:color="auto"/>
        <w:left w:val="none" w:sz="0" w:space="0" w:color="auto"/>
        <w:bottom w:val="none" w:sz="0" w:space="0" w:color="auto"/>
        <w:right w:val="none" w:sz="0" w:space="0" w:color="auto"/>
      </w:divBdr>
    </w:div>
    <w:div w:id="758211621">
      <w:marLeft w:val="0"/>
      <w:marRight w:val="0"/>
      <w:marTop w:val="0"/>
      <w:marBottom w:val="0"/>
      <w:divBdr>
        <w:top w:val="none" w:sz="0" w:space="0" w:color="auto"/>
        <w:left w:val="none" w:sz="0" w:space="0" w:color="auto"/>
        <w:bottom w:val="none" w:sz="0" w:space="0" w:color="auto"/>
        <w:right w:val="none" w:sz="0" w:space="0" w:color="auto"/>
      </w:divBdr>
      <w:divsChild>
        <w:div w:id="260531448">
          <w:marLeft w:val="0"/>
          <w:marRight w:val="0"/>
          <w:marTop w:val="0"/>
          <w:marBottom w:val="0"/>
          <w:divBdr>
            <w:top w:val="none" w:sz="0" w:space="0" w:color="auto"/>
            <w:left w:val="none" w:sz="0" w:space="0" w:color="auto"/>
            <w:bottom w:val="none" w:sz="0" w:space="0" w:color="auto"/>
            <w:right w:val="none" w:sz="0" w:space="0" w:color="auto"/>
          </w:divBdr>
        </w:div>
      </w:divsChild>
    </w:div>
    <w:div w:id="758334638">
      <w:marLeft w:val="0"/>
      <w:marRight w:val="0"/>
      <w:marTop w:val="120"/>
      <w:marBottom w:val="120"/>
      <w:divBdr>
        <w:top w:val="none" w:sz="0" w:space="0" w:color="auto"/>
        <w:left w:val="none" w:sz="0" w:space="0" w:color="auto"/>
        <w:bottom w:val="none" w:sz="0" w:space="0" w:color="auto"/>
        <w:right w:val="none" w:sz="0" w:space="0" w:color="auto"/>
      </w:divBdr>
    </w:div>
    <w:div w:id="759253768">
      <w:marLeft w:val="0"/>
      <w:marRight w:val="0"/>
      <w:marTop w:val="120"/>
      <w:marBottom w:val="0"/>
      <w:divBdr>
        <w:top w:val="none" w:sz="0" w:space="0" w:color="auto"/>
        <w:left w:val="none" w:sz="0" w:space="0" w:color="auto"/>
        <w:bottom w:val="none" w:sz="0" w:space="0" w:color="auto"/>
        <w:right w:val="none" w:sz="0" w:space="0" w:color="auto"/>
      </w:divBdr>
    </w:div>
    <w:div w:id="766581808">
      <w:marLeft w:val="0"/>
      <w:marRight w:val="0"/>
      <w:marTop w:val="0"/>
      <w:marBottom w:val="0"/>
      <w:divBdr>
        <w:top w:val="none" w:sz="0" w:space="0" w:color="auto"/>
        <w:left w:val="none" w:sz="0" w:space="0" w:color="auto"/>
        <w:bottom w:val="none" w:sz="0" w:space="0" w:color="auto"/>
        <w:right w:val="none" w:sz="0" w:space="0" w:color="auto"/>
      </w:divBdr>
    </w:div>
    <w:div w:id="771628073">
      <w:marLeft w:val="0"/>
      <w:marRight w:val="0"/>
      <w:marTop w:val="0"/>
      <w:marBottom w:val="0"/>
      <w:divBdr>
        <w:top w:val="none" w:sz="0" w:space="0" w:color="auto"/>
        <w:left w:val="none" w:sz="0" w:space="0" w:color="auto"/>
        <w:bottom w:val="none" w:sz="0" w:space="0" w:color="auto"/>
        <w:right w:val="none" w:sz="0" w:space="0" w:color="auto"/>
      </w:divBdr>
      <w:divsChild>
        <w:div w:id="1613972356">
          <w:marLeft w:val="0"/>
          <w:marRight w:val="0"/>
          <w:marTop w:val="0"/>
          <w:marBottom w:val="0"/>
          <w:divBdr>
            <w:top w:val="none" w:sz="0" w:space="0" w:color="auto"/>
            <w:left w:val="none" w:sz="0" w:space="0" w:color="auto"/>
            <w:bottom w:val="none" w:sz="0" w:space="0" w:color="auto"/>
            <w:right w:val="none" w:sz="0" w:space="0" w:color="auto"/>
          </w:divBdr>
        </w:div>
      </w:divsChild>
    </w:div>
    <w:div w:id="772242940">
      <w:marLeft w:val="0"/>
      <w:marRight w:val="0"/>
      <w:marTop w:val="120"/>
      <w:marBottom w:val="120"/>
      <w:divBdr>
        <w:top w:val="none" w:sz="0" w:space="0" w:color="auto"/>
        <w:left w:val="none" w:sz="0" w:space="0" w:color="auto"/>
        <w:bottom w:val="none" w:sz="0" w:space="0" w:color="auto"/>
        <w:right w:val="none" w:sz="0" w:space="0" w:color="auto"/>
      </w:divBdr>
    </w:div>
    <w:div w:id="780151169">
      <w:marLeft w:val="0"/>
      <w:marRight w:val="0"/>
      <w:marTop w:val="120"/>
      <w:marBottom w:val="0"/>
      <w:divBdr>
        <w:top w:val="none" w:sz="0" w:space="0" w:color="auto"/>
        <w:left w:val="none" w:sz="0" w:space="0" w:color="auto"/>
        <w:bottom w:val="none" w:sz="0" w:space="0" w:color="auto"/>
        <w:right w:val="none" w:sz="0" w:space="0" w:color="auto"/>
      </w:divBdr>
    </w:div>
    <w:div w:id="784617837">
      <w:marLeft w:val="0"/>
      <w:marRight w:val="0"/>
      <w:marTop w:val="0"/>
      <w:marBottom w:val="120"/>
      <w:divBdr>
        <w:top w:val="none" w:sz="0" w:space="0" w:color="auto"/>
        <w:left w:val="none" w:sz="0" w:space="0" w:color="auto"/>
        <w:bottom w:val="none" w:sz="0" w:space="0" w:color="auto"/>
        <w:right w:val="none" w:sz="0" w:space="0" w:color="auto"/>
      </w:divBdr>
    </w:div>
    <w:div w:id="788742890">
      <w:marLeft w:val="0"/>
      <w:marRight w:val="0"/>
      <w:marTop w:val="0"/>
      <w:marBottom w:val="0"/>
      <w:divBdr>
        <w:top w:val="none" w:sz="0" w:space="0" w:color="auto"/>
        <w:left w:val="none" w:sz="0" w:space="0" w:color="auto"/>
        <w:bottom w:val="none" w:sz="0" w:space="0" w:color="auto"/>
        <w:right w:val="none" w:sz="0" w:space="0" w:color="auto"/>
      </w:divBdr>
      <w:divsChild>
        <w:div w:id="498547050">
          <w:marLeft w:val="0"/>
          <w:marRight w:val="0"/>
          <w:marTop w:val="180"/>
          <w:marBottom w:val="0"/>
          <w:divBdr>
            <w:top w:val="none" w:sz="0" w:space="0" w:color="auto"/>
            <w:left w:val="none" w:sz="0" w:space="0" w:color="auto"/>
            <w:bottom w:val="none" w:sz="0" w:space="0" w:color="auto"/>
            <w:right w:val="none" w:sz="0" w:space="0" w:color="auto"/>
          </w:divBdr>
        </w:div>
      </w:divsChild>
    </w:div>
    <w:div w:id="790512155">
      <w:marLeft w:val="0"/>
      <w:marRight w:val="0"/>
      <w:marTop w:val="120"/>
      <w:marBottom w:val="120"/>
      <w:divBdr>
        <w:top w:val="none" w:sz="0" w:space="0" w:color="auto"/>
        <w:left w:val="none" w:sz="0" w:space="0" w:color="auto"/>
        <w:bottom w:val="none" w:sz="0" w:space="0" w:color="auto"/>
        <w:right w:val="none" w:sz="0" w:space="0" w:color="auto"/>
      </w:divBdr>
    </w:div>
    <w:div w:id="806899078">
      <w:marLeft w:val="0"/>
      <w:marRight w:val="0"/>
      <w:marTop w:val="240"/>
      <w:marBottom w:val="120"/>
      <w:divBdr>
        <w:top w:val="none" w:sz="0" w:space="0" w:color="auto"/>
        <w:left w:val="none" w:sz="0" w:space="0" w:color="auto"/>
        <w:bottom w:val="none" w:sz="0" w:space="0" w:color="auto"/>
        <w:right w:val="none" w:sz="0" w:space="0" w:color="auto"/>
      </w:divBdr>
    </w:div>
    <w:div w:id="810050520">
      <w:marLeft w:val="0"/>
      <w:marRight w:val="0"/>
      <w:marTop w:val="120"/>
      <w:marBottom w:val="0"/>
      <w:divBdr>
        <w:top w:val="none" w:sz="0" w:space="0" w:color="auto"/>
        <w:left w:val="none" w:sz="0" w:space="0" w:color="auto"/>
        <w:bottom w:val="none" w:sz="0" w:space="0" w:color="auto"/>
        <w:right w:val="none" w:sz="0" w:space="0" w:color="auto"/>
      </w:divBdr>
    </w:div>
    <w:div w:id="811870526">
      <w:marLeft w:val="0"/>
      <w:marRight w:val="0"/>
      <w:marTop w:val="120"/>
      <w:marBottom w:val="0"/>
      <w:divBdr>
        <w:top w:val="none" w:sz="0" w:space="0" w:color="auto"/>
        <w:left w:val="none" w:sz="0" w:space="0" w:color="auto"/>
        <w:bottom w:val="none" w:sz="0" w:space="0" w:color="auto"/>
        <w:right w:val="none" w:sz="0" w:space="0" w:color="auto"/>
      </w:divBdr>
    </w:div>
    <w:div w:id="813254358">
      <w:marLeft w:val="0"/>
      <w:marRight w:val="0"/>
      <w:marTop w:val="120"/>
      <w:marBottom w:val="0"/>
      <w:divBdr>
        <w:top w:val="none" w:sz="0" w:space="0" w:color="auto"/>
        <w:left w:val="none" w:sz="0" w:space="0" w:color="auto"/>
        <w:bottom w:val="none" w:sz="0" w:space="0" w:color="auto"/>
        <w:right w:val="none" w:sz="0" w:space="0" w:color="auto"/>
      </w:divBdr>
    </w:div>
    <w:div w:id="817453678">
      <w:marLeft w:val="0"/>
      <w:marRight w:val="0"/>
      <w:marTop w:val="120"/>
      <w:marBottom w:val="120"/>
      <w:divBdr>
        <w:top w:val="none" w:sz="0" w:space="0" w:color="auto"/>
        <w:left w:val="none" w:sz="0" w:space="0" w:color="auto"/>
        <w:bottom w:val="none" w:sz="0" w:space="0" w:color="auto"/>
        <w:right w:val="none" w:sz="0" w:space="0" w:color="auto"/>
      </w:divBdr>
    </w:div>
    <w:div w:id="822623315">
      <w:marLeft w:val="0"/>
      <w:marRight w:val="0"/>
      <w:marTop w:val="120"/>
      <w:marBottom w:val="0"/>
      <w:divBdr>
        <w:top w:val="none" w:sz="0" w:space="0" w:color="auto"/>
        <w:left w:val="none" w:sz="0" w:space="0" w:color="auto"/>
        <w:bottom w:val="none" w:sz="0" w:space="0" w:color="auto"/>
        <w:right w:val="none" w:sz="0" w:space="0" w:color="auto"/>
      </w:divBdr>
    </w:div>
    <w:div w:id="827549441">
      <w:marLeft w:val="0"/>
      <w:marRight w:val="0"/>
      <w:marTop w:val="0"/>
      <w:marBottom w:val="120"/>
      <w:divBdr>
        <w:top w:val="none" w:sz="0" w:space="0" w:color="auto"/>
        <w:left w:val="none" w:sz="0" w:space="0" w:color="auto"/>
        <w:bottom w:val="none" w:sz="0" w:space="0" w:color="auto"/>
        <w:right w:val="none" w:sz="0" w:space="0" w:color="auto"/>
      </w:divBdr>
      <w:divsChild>
        <w:div w:id="50737974">
          <w:marLeft w:val="0"/>
          <w:marRight w:val="0"/>
          <w:marTop w:val="0"/>
          <w:marBottom w:val="0"/>
          <w:divBdr>
            <w:top w:val="none" w:sz="0" w:space="0" w:color="auto"/>
            <w:left w:val="none" w:sz="0" w:space="0" w:color="auto"/>
            <w:bottom w:val="none" w:sz="0" w:space="0" w:color="auto"/>
            <w:right w:val="none" w:sz="0" w:space="0" w:color="auto"/>
          </w:divBdr>
        </w:div>
      </w:divsChild>
    </w:div>
    <w:div w:id="829829062">
      <w:marLeft w:val="0"/>
      <w:marRight w:val="0"/>
      <w:marTop w:val="120"/>
      <w:marBottom w:val="0"/>
      <w:divBdr>
        <w:top w:val="none" w:sz="0" w:space="0" w:color="auto"/>
        <w:left w:val="none" w:sz="0" w:space="0" w:color="auto"/>
        <w:bottom w:val="none" w:sz="0" w:space="0" w:color="auto"/>
        <w:right w:val="none" w:sz="0" w:space="0" w:color="auto"/>
      </w:divBdr>
    </w:div>
    <w:div w:id="834030127">
      <w:marLeft w:val="0"/>
      <w:marRight w:val="0"/>
      <w:marTop w:val="0"/>
      <w:marBottom w:val="0"/>
      <w:divBdr>
        <w:top w:val="none" w:sz="0" w:space="0" w:color="auto"/>
        <w:left w:val="none" w:sz="0" w:space="0" w:color="auto"/>
        <w:bottom w:val="none" w:sz="0" w:space="0" w:color="auto"/>
        <w:right w:val="none" w:sz="0" w:space="0" w:color="auto"/>
      </w:divBdr>
    </w:div>
    <w:div w:id="837380211">
      <w:marLeft w:val="0"/>
      <w:marRight w:val="0"/>
      <w:marTop w:val="0"/>
      <w:marBottom w:val="0"/>
      <w:divBdr>
        <w:top w:val="none" w:sz="0" w:space="0" w:color="auto"/>
        <w:left w:val="none" w:sz="0" w:space="0" w:color="auto"/>
        <w:bottom w:val="none" w:sz="0" w:space="0" w:color="auto"/>
        <w:right w:val="none" w:sz="0" w:space="0" w:color="auto"/>
      </w:divBdr>
      <w:divsChild>
        <w:div w:id="139659923">
          <w:marLeft w:val="0"/>
          <w:marRight w:val="0"/>
          <w:marTop w:val="0"/>
          <w:marBottom w:val="0"/>
          <w:divBdr>
            <w:top w:val="none" w:sz="0" w:space="0" w:color="auto"/>
            <w:left w:val="none" w:sz="0" w:space="0" w:color="auto"/>
            <w:bottom w:val="none" w:sz="0" w:space="0" w:color="auto"/>
            <w:right w:val="none" w:sz="0" w:space="0" w:color="auto"/>
          </w:divBdr>
        </w:div>
      </w:divsChild>
    </w:div>
    <w:div w:id="842235209">
      <w:marLeft w:val="0"/>
      <w:marRight w:val="0"/>
      <w:marTop w:val="120"/>
      <w:marBottom w:val="0"/>
      <w:divBdr>
        <w:top w:val="none" w:sz="0" w:space="0" w:color="auto"/>
        <w:left w:val="none" w:sz="0" w:space="0" w:color="auto"/>
        <w:bottom w:val="none" w:sz="0" w:space="0" w:color="auto"/>
        <w:right w:val="none" w:sz="0" w:space="0" w:color="auto"/>
      </w:divBdr>
    </w:div>
    <w:div w:id="843667093">
      <w:marLeft w:val="0"/>
      <w:marRight w:val="0"/>
      <w:marTop w:val="240"/>
      <w:marBottom w:val="120"/>
      <w:divBdr>
        <w:top w:val="none" w:sz="0" w:space="0" w:color="auto"/>
        <w:left w:val="none" w:sz="0" w:space="0" w:color="auto"/>
        <w:bottom w:val="none" w:sz="0" w:space="0" w:color="auto"/>
        <w:right w:val="none" w:sz="0" w:space="0" w:color="auto"/>
      </w:divBdr>
    </w:div>
    <w:div w:id="848106113">
      <w:marLeft w:val="0"/>
      <w:marRight w:val="0"/>
      <w:marTop w:val="120"/>
      <w:marBottom w:val="0"/>
      <w:divBdr>
        <w:top w:val="none" w:sz="0" w:space="0" w:color="auto"/>
        <w:left w:val="none" w:sz="0" w:space="0" w:color="auto"/>
        <w:bottom w:val="none" w:sz="0" w:space="0" w:color="auto"/>
        <w:right w:val="none" w:sz="0" w:space="0" w:color="auto"/>
      </w:divBdr>
    </w:div>
    <w:div w:id="848446381">
      <w:marLeft w:val="0"/>
      <w:marRight w:val="0"/>
      <w:marTop w:val="0"/>
      <w:marBottom w:val="0"/>
      <w:divBdr>
        <w:top w:val="none" w:sz="0" w:space="0" w:color="auto"/>
        <w:left w:val="none" w:sz="0" w:space="0" w:color="auto"/>
        <w:bottom w:val="none" w:sz="0" w:space="0" w:color="auto"/>
        <w:right w:val="none" w:sz="0" w:space="0" w:color="auto"/>
      </w:divBdr>
    </w:div>
    <w:div w:id="851917846">
      <w:marLeft w:val="0"/>
      <w:marRight w:val="0"/>
      <w:marTop w:val="0"/>
      <w:marBottom w:val="0"/>
      <w:divBdr>
        <w:top w:val="none" w:sz="0" w:space="0" w:color="auto"/>
        <w:left w:val="none" w:sz="0" w:space="0" w:color="auto"/>
        <w:bottom w:val="none" w:sz="0" w:space="0" w:color="auto"/>
        <w:right w:val="none" w:sz="0" w:space="0" w:color="auto"/>
      </w:divBdr>
      <w:divsChild>
        <w:div w:id="2028405107">
          <w:marLeft w:val="0"/>
          <w:marRight w:val="0"/>
          <w:marTop w:val="0"/>
          <w:marBottom w:val="0"/>
          <w:divBdr>
            <w:top w:val="none" w:sz="0" w:space="0" w:color="auto"/>
            <w:left w:val="none" w:sz="0" w:space="0" w:color="auto"/>
            <w:bottom w:val="none" w:sz="0" w:space="0" w:color="auto"/>
            <w:right w:val="none" w:sz="0" w:space="0" w:color="auto"/>
          </w:divBdr>
        </w:div>
      </w:divsChild>
    </w:div>
    <w:div w:id="859204783">
      <w:marLeft w:val="0"/>
      <w:marRight w:val="0"/>
      <w:marTop w:val="0"/>
      <w:marBottom w:val="0"/>
      <w:divBdr>
        <w:top w:val="none" w:sz="0" w:space="0" w:color="auto"/>
        <w:left w:val="none" w:sz="0" w:space="0" w:color="auto"/>
        <w:bottom w:val="none" w:sz="0" w:space="0" w:color="auto"/>
        <w:right w:val="none" w:sz="0" w:space="0" w:color="auto"/>
      </w:divBdr>
    </w:div>
    <w:div w:id="864177695">
      <w:marLeft w:val="0"/>
      <w:marRight w:val="0"/>
      <w:marTop w:val="120"/>
      <w:marBottom w:val="0"/>
      <w:divBdr>
        <w:top w:val="none" w:sz="0" w:space="0" w:color="auto"/>
        <w:left w:val="none" w:sz="0" w:space="0" w:color="auto"/>
        <w:bottom w:val="none" w:sz="0" w:space="0" w:color="auto"/>
        <w:right w:val="none" w:sz="0" w:space="0" w:color="auto"/>
      </w:divBdr>
    </w:div>
    <w:div w:id="867375712">
      <w:marLeft w:val="0"/>
      <w:marRight w:val="0"/>
      <w:marTop w:val="120"/>
      <w:marBottom w:val="0"/>
      <w:divBdr>
        <w:top w:val="none" w:sz="0" w:space="0" w:color="auto"/>
        <w:left w:val="none" w:sz="0" w:space="0" w:color="auto"/>
        <w:bottom w:val="none" w:sz="0" w:space="0" w:color="auto"/>
        <w:right w:val="none" w:sz="0" w:space="0" w:color="auto"/>
      </w:divBdr>
    </w:div>
    <w:div w:id="871959800">
      <w:marLeft w:val="0"/>
      <w:marRight w:val="0"/>
      <w:marTop w:val="120"/>
      <w:marBottom w:val="0"/>
      <w:divBdr>
        <w:top w:val="none" w:sz="0" w:space="0" w:color="auto"/>
        <w:left w:val="none" w:sz="0" w:space="0" w:color="auto"/>
        <w:bottom w:val="none" w:sz="0" w:space="0" w:color="auto"/>
        <w:right w:val="none" w:sz="0" w:space="0" w:color="auto"/>
      </w:divBdr>
    </w:div>
    <w:div w:id="875044689">
      <w:marLeft w:val="0"/>
      <w:marRight w:val="0"/>
      <w:marTop w:val="0"/>
      <w:marBottom w:val="0"/>
      <w:divBdr>
        <w:top w:val="none" w:sz="0" w:space="0" w:color="auto"/>
        <w:left w:val="none" w:sz="0" w:space="0" w:color="auto"/>
        <w:bottom w:val="none" w:sz="0" w:space="0" w:color="auto"/>
        <w:right w:val="none" w:sz="0" w:space="0" w:color="auto"/>
      </w:divBdr>
      <w:divsChild>
        <w:div w:id="1009020577">
          <w:marLeft w:val="0"/>
          <w:marRight w:val="0"/>
          <w:marTop w:val="0"/>
          <w:marBottom w:val="0"/>
          <w:divBdr>
            <w:top w:val="none" w:sz="0" w:space="0" w:color="auto"/>
            <w:left w:val="none" w:sz="0" w:space="0" w:color="auto"/>
            <w:bottom w:val="none" w:sz="0" w:space="0" w:color="auto"/>
            <w:right w:val="none" w:sz="0" w:space="0" w:color="auto"/>
          </w:divBdr>
        </w:div>
      </w:divsChild>
    </w:div>
    <w:div w:id="885147087">
      <w:marLeft w:val="0"/>
      <w:marRight w:val="0"/>
      <w:marTop w:val="120"/>
      <w:marBottom w:val="120"/>
      <w:divBdr>
        <w:top w:val="none" w:sz="0" w:space="0" w:color="auto"/>
        <w:left w:val="none" w:sz="0" w:space="0" w:color="auto"/>
        <w:bottom w:val="none" w:sz="0" w:space="0" w:color="auto"/>
        <w:right w:val="none" w:sz="0" w:space="0" w:color="auto"/>
      </w:divBdr>
    </w:div>
    <w:div w:id="888761708">
      <w:marLeft w:val="0"/>
      <w:marRight w:val="0"/>
      <w:marTop w:val="120"/>
      <w:marBottom w:val="0"/>
      <w:divBdr>
        <w:top w:val="none" w:sz="0" w:space="0" w:color="auto"/>
        <w:left w:val="none" w:sz="0" w:space="0" w:color="auto"/>
        <w:bottom w:val="none" w:sz="0" w:space="0" w:color="auto"/>
        <w:right w:val="none" w:sz="0" w:space="0" w:color="auto"/>
      </w:divBdr>
    </w:div>
    <w:div w:id="889347611">
      <w:marLeft w:val="0"/>
      <w:marRight w:val="0"/>
      <w:marTop w:val="0"/>
      <w:marBottom w:val="0"/>
      <w:divBdr>
        <w:top w:val="none" w:sz="0" w:space="0" w:color="auto"/>
        <w:left w:val="none" w:sz="0" w:space="0" w:color="auto"/>
        <w:bottom w:val="none" w:sz="0" w:space="0" w:color="auto"/>
        <w:right w:val="none" w:sz="0" w:space="0" w:color="auto"/>
      </w:divBdr>
    </w:div>
    <w:div w:id="897058351">
      <w:marLeft w:val="0"/>
      <w:marRight w:val="0"/>
      <w:marTop w:val="120"/>
      <w:marBottom w:val="0"/>
      <w:divBdr>
        <w:top w:val="none" w:sz="0" w:space="0" w:color="auto"/>
        <w:left w:val="none" w:sz="0" w:space="0" w:color="auto"/>
        <w:bottom w:val="none" w:sz="0" w:space="0" w:color="auto"/>
        <w:right w:val="none" w:sz="0" w:space="0" w:color="auto"/>
      </w:divBdr>
    </w:div>
    <w:div w:id="898441817">
      <w:marLeft w:val="0"/>
      <w:marRight w:val="0"/>
      <w:marTop w:val="120"/>
      <w:marBottom w:val="120"/>
      <w:divBdr>
        <w:top w:val="none" w:sz="0" w:space="0" w:color="auto"/>
        <w:left w:val="none" w:sz="0" w:space="0" w:color="auto"/>
        <w:bottom w:val="none" w:sz="0" w:space="0" w:color="auto"/>
        <w:right w:val="none" w:sz="0" w:space="0" w:color="auto"/>
      </w:divBdr>
    </w:div>
    <w:div w:id="898445705">
      <w:marLeft w:val="0"/>
      <w:marRight w:val="0"/>
      <w:marTop w:val="240"/>
      <w:marBottom w:val="120"/>
      <w:divBdr>
        <w:top w:val="none" w:sz="0" w:space="0" w:color="auto"/>
        <w:left w:val="none" w:sz="0" w:space="0" w:color="auto"/>
        <w:bottom w:val="none" w:sz="0" w:space="0" w:color="auto"/>
        <w:right w:val="none" w:sz="0" w:space="0" w:color="auto"/>
      </w:divBdr>
    </w:div>
    <w:div w:id="899364217">
      <w:marLeft w:val="0"/>
      <w:marRight w:val="0"/>
      <w:marTop w:val="120"/>
      <w:marBottom w:val="0"/>
      <w:divBdr>
        <w:top w:val="none" w:sz="0" w:space="0" w:color="auto"/>
        <w:left w:val="none" w:sz="0" w:space="0" w:color="auto"/>
        <w:bottom w:val="none" w:sz="0" w:space="0" w:color="auto"/>
        <w:right w:val="none" w:sz="0" w:space="0" w:color="auto"/>
      </w:divBdr>
    </w:div>
    <w:div w:id="900867121">
      <w:marLeft w:val="0"/>
      <w:marRight w:val="0"/>
      <w:marTop w:val="0"/>
      <w:marBottom w:val="120"/>
      <w:divBdr>
        <w:top w:val="none" w:sz="0" w:space="0" w:color="auto"/>
        <w:left w:val="none" w:sz="0" w:space="0" w:color="auto"/>
        <w:bottom w:val="none" w:sz="0" w:space="0" w:color="auto"/>
        <w:right w:val="none" w:sz="0" w:space="0" w:color="auto"/>
      </w:divBdr>
    </w:div>
    <w:div w:id="901600237">
      <w:marLeft w:val="0"/>
      <w:marRight w:val="0"/>
      <w:marTop w:val="0"/>
      <w:marBottom w:val="120"/>
      <w:divBdr>
        <w:top w:val="none" w:sz="0" w:space="0" w:color="auto"/>
        <w:left w:val="none" w:sz="0" w:space="0" w:color="auto"/>
        <w:bottom w:val="none" w:sz="0" w:space="0" w:color="auto"/>
        <w:right w:val="none" w:sz="0" w:space="0" w:color="auto"/>
      </w:divBdr>
    </w:div>
    <w:div w:id="902787565">
      <w:marLeft w:val="0"/>
      <w:marRight w:val="0"/>
      <w:marTop w:val="120"/>
      <w:marBottom w:val="120"/>
      <w:divBdr>
        <w:top w:val="none" w:sz="0" w:space="0" w:color="auto"/>
        <w:left w:val="none" w:sz="0" w:space="0" w:color="auto"/>
        <w:bottom w:val="none" w:sz="0" w:space="0" w:color="auto"/>
        <w:right w:val="none" w:sz="0" w:space="0" w:color="auto"/>
      </w:divBdr>
    </w:div>
    <w:div w:id="905457921">
      <w:marLeft w:val="0"/>
      <w:marRight w:val="0"/>
      <w:marTop w:val="120"/>
      <w:marBottom w:val="0"/>
      <w:divBdr>
        <w:top w:val="none" w:sz="0" w:space="0" w:color="auto"/>
        <w:left w:val="none" w:sz="0" w:space="0" w:color="auto"/>
        <w:bottom w:val="none" w:sz="0" w:space="0" w:color="auto"/>
        <w:right w:val="none" w:sz="0" w:space="0" w:color="auto"/>
      </w:divBdr>
    </w:div>
    <w:div w:id="910164153">
      <w:marLeft w:val="0"/>
      <w:marRight w:val="0"/>
      <w:marTop w:val="0"/>
      <w:marBottom w:val="0"/>
      <w:divBdr>
        <w:top w:val="none" w:sz="0" w:space="0" w:color="auto"/>
        <w:left w:val="none" w:sz="0" w:space="0" w:color="auto"/>
        <w:bottom w:val="none" w:sz="0" w:space="0" w:color="auto"/>
        <w:right w:val="none" w:sz="0" w:space="0" w:color="auto"/>
      </w:divBdr>
      <w:divsChild>
        <w:div w:id="2121949192">
          <w:marLeft w:val="0"/>
          <w:marRight w:val="0"/>
          <w:marTop w:val="0"/>
          <w:marBottom w:val="0"/>
          <w:divBdr>
            <w:top w:val="none" w:sz="0" w:space="0" w:color="auto"/>
            <w:left w:val="none" w:sz="0" w:space="0" w:color="auto"/>
            <w:bottom w:val="none" w:sz="0" w:space="0" w:color="auto"/>
            <w:right w:val="none" w:sz="0" w:space="0" w:color="auto"/>
          </w:divBdr>
        </w:div>
      </w:divsChild>
    </w:div>
    <w:div w:id="917983526">
      <w:marLeft w:val="0"/>
      <w:marRight w:val="0"/>
      <w:marTop w:val="120"/>
      <w:marBottom w:val="0"/>
      <w:divBdr>
        <w:top w:val="none" w:sz="0" w:space="0" w:color="auto"/>
        <w:left w:val="none" w:sz="0" w:space="0" w:color="auto"/>
        <w:bottom w:val="none" w:sz="0" w:space="0" w:color="auto"/>
        <w:right w:val="none" w:sz="0" w:space="0" w:color="auto"/>
      </w:divBdr>
    </w:div>
    <w:div w:id="918634748">
      <w:marLeft w:val="0"/>
      <w:marRight w:val="0"/>
      <w:marTop w:val="120"/>
      <w:marBottom w:val="0"/>
      <w:divBdr>
        <w:top w:val="none" w:sz="0" w:space="0" w:color="auto"/>
        <w:left w:val="none" w:sz="0" w:space="0" w:color="auto"/>
        <w:bottom w:val="none" w:sz="0" w:space="0" w:color="auto"/>
        <w:right w:val="none" w:sz="0" w:space="0" w:color="auto"/>
      </w:divBdr>
    </w:div>
    <w:div w:id="919221450">
      <w:marLeft w:val="0"/>
      <w:marRight w:val="0"/>
      <w:marTop w:val="0"/>
      <w:marBottom w:val="0"/>
      <w:divBdr>
        <w:top w:val="none" w:sz="0" w:space="0" w:color="auto"/>
        <w:left w:val="none" w:sz="0" w:space="0" w:color="auto"/>
        <w:bottom w:val="none" w:sz="0" w:space="0" w:color="auto"/>
        <w:right w:val="none" w:sz="0" w:space="0" w:color="auto"/>
      </w:divBdr>
    </w:div>
    <w:div w:id="927929089">
      <w:marLeft w:val="0"/>
      <w:marRight w:val="0"/>
      <w:marTop w:val="120"/>
      <w:marBottom w:val="120"/>
      <w:divBdr>
        <w:top w:val="none" w:sz="0" w:space="0" w:color="auto"/>
        <w:left w:val="none" w:sz="0" w:space="0" w:color="auto"/>
        <w:bottom w:val="none" w:sz="0" w:space="0" w:color="auto"/>
        <w:right w:val="none" w:sz="0" w:space="0" w:color="auto"/>
      </w:divBdr>
    </w:div>
    <w:div w:id="928076490">
      <w:marLeft w:val="0"/>
      <w:marRight w:val="0"/>
      <w:marTop w:val="0"/>
      <w:marBottom w:val="0"/>
      <w:divBdr>
        <w:top w:val="none" w:sz="0" w:space="0" w:color="auto"/>
        <w:left w:val="none" w:sz="0" w:space="0" w:color="auto"/>
        <w:bottom w:val="none" w:sz="0" w:space="0" w:color="auto"/>
        <w:right w:val="none" w:sz="0" w:space="0" w:color="auto"/>
      </w:divBdr>
    </w:div>
    <w:div w:id="929050012">
      <w:marLeft w:val="0"/>
      <w:marRight w:val="0"/>
      <w:marTop w:val="240"/>
      <w:marBottom w:val="0"/>
      <w:divBdr>
        <w:top w:val="none" w:sz="0" w:space="0" w:color="auto"/>
        <w:left w:val="none" w:sz="0" w:space="0" w:color="auto"/>
        <w:bottom w:val="none" w:sz="0" w:space="0" w:color="auto"/>
        <w:right w:val="none" w:sz="0" w:space="0" w:color="auto"/>
      </w:divBdr>
    </w:div>
    <w:div w:id="929852469">
      <w:marLeft w:val="0"/>
      <w:marRight w:val="0"/>
      <w:marTop w:val="120"/>
      <w:marBottom w:val="0"/>
      <w:divBdr>
        <w:top w:val="none" w:sz="0" w:space="0" w:color="auto"/>
        <w:left w:val="none" w:sz="0" w:space="0" w:color="auto"/>
        <w:bottom w:val="none" w:sz="0" w:space="0" w:color="auto"/>
        <w:right w:val="none" w:sz="0" w:space="0" w:color="auto"/>
      </w:divBdr>
    </w:div>
    <w:div w:id="930045829">
      <w:marLeft w:val="0"/>
      <w:marRight w:val="0"/>
      <w:marTop w:val="120"/>
      <w:marBottom w:val="0"/>
      <w:divBdr>
        <w:top w:val="none" w:sz="0" w:space="0" w:color="auto"/>
        <w:left w:val="none" w:sz="0" w:space="0" w:color="auto"/>
        <w:bottom w:val="none" w:sz="0" w:space="0" w:color="auto"/>
        <w:right w:val="none" w:sz="0" w:space="0" w:color="auto"/>
      </w:divBdr>
    </w:div>
    <w:div w:id="933822919">
      <w:marLeft w:val="0"/>
      <w:marRight w:val="0"/>
      <w:marTop w:val="0"/>
      <w:marBottom w:val="0"/>
      <w:divBdr>
        <w:top w:val="none" w:sz="0" w:space="0" w:color="auto"/>
        <w:left w:val="none" w:sz="0" w:space="0" w:color="auto"/>
        <w:bottom w:val="none" w:sz="0" w:space="0" w:color="auto"/>
        <w:right w:val="none" w:sz="0" w:space="0" w:color="auto"/>
      </w:divBdr>
    </w:div>
    <w:div w:id="937367731">
      <w:marLeft w:val="0"/>
      <w:marRight w:val="0"/>
      <w:marTop w:val="240"/>
      <w:marBottom w:val="120"/>
      <w:divBdr>
        <w:top w:val="none" w:sz="0" w:space="0" w:color="auto"/>
        <w:left w:val="none" w:sz="0" w:space="0" w:color="auto"/>
        <w:bottom w:val="none" w:sz="0" w:space="0" w:color="auto"/>
        <w:right w:val="none" w:sz="0" w:space="0" w:color="auto"/>
      </w:divBdr>
    </w:div>
    <w:div w:id="937636390">
      <w:marLeft w:val="0"/>
      <w:marRight w:val="0"/>
      <w:marTop w:val="0"/>
      <w:marBottom w:val="0"/>
      <w:divBdr>
        <w:top w:val="none" w:sz="0" w:space="0" w:color="auto"/>
        <w:left w:val="none" w:sz="0" w:space="0" w:color="auto"/>
        <w:bottom w:val="none" w:sz="0" w:space="0" w:color="auto"/>
        <w:right w:val="none" w:sz="0" w:space="0" w:color="auto"/>
      </w:divBdr>
    </w:div>
    <w:div w:id="942957334">
      <w:marLeft w:val="0"/>
      <w:marRight w:val="0"/>
      <w:marTop w:val="120"/>
      <w:marBottom w:val="0"/>
      <w:divBdr>
        <w:top w:val="none" w:sz="0" w:space="0" w:color="auto"/>
        <w:left w:val="none" w:sz="0" w:space="0" w:color="auto"/>
        <w:bottom w:val="none" w:sz="0" w:space="0" w:color="auto"/>
        <w:right w:val="none" w:sz="0" w:space="0" w:color="auto"/>
      </w:divBdr>
    </w:div>
    <w:div w:id="947808562">
      <w:marLeft w:val="0"/>
      <w:marRight w:val="0"/>
      <w:marTop w:val="0"/>
      <w:marBottom w:val="0"/>
      <w:divBdr>
        <w:top w:val="none" w:sz="0" w:space="0" w:color="auto"/>
        <w:left w:val="none" w:sz="0" w:space="0" w:color="auto"/>
        <w:bottom w:val="none" w:sz="0" w:space="0" w:color="auto"/>
        <w:right w:val="none" w:sz="0" w:space="0" w:color="auto"/>
      </w:divBdr>
    </w:div>
    <w:div w:id="950362120">
      <w:marLeft w:val="0"/>
      <w:marRight w:val="0"/>
      <w:marTop w:val="0"/>
      <w:marBottom w:val="0"/>
      <w:divBdr>
        <w:top w:val="none" w:sz="0" w:space="0" w:color="auto"/>
        <w:left w:val="none" w:sz="0" w:space="0" w:color="auto"/>
        <w:bottom w:val="none" w:sz="0" w:space="0" w:color="auto"/>
        <w:right w:val="none" w:sz="0" w:space="0" w:color="auto"/>
      </w:divBdr>
    </w:div>
    <w:div w:id="953824878">
      <w:marLeft w:val="0"/>
      <w:marRight w:val="0"/>
      <w:marTop w:val="120"/>
      <w:marBottom w:val="0"/>
      <w:divBdr>
        <w:top w:val="none" w:sz="0" w:space="0" w:color="auto"/>
        <w:left w:val="none" w:sz="0" w:space="0" w:color="auto"/>
        <w:bottom w:val="none" w:sz="0" w:space="0" w:color="auto"/>
        <w:right w:val="none" w:sz="0" w:space="0" w:color="auto"/>
      </w:divBdr>
    </w:div>
    <w:div w:id="954480190">
      <w:marLeft w:val="0"/>
      <w:marRight w:val="0"/>
      <w:marTop w:val="240"/>
      <w:marBottom w:val="0"/>
      <w:divBdr>
        <w:top w:val="none" w:sz="0" w:space="0" w:color="auto"/>
        <w:left w:val="none" w:sz="0" w:space="0" w:color="auto"/>
        <w:bottom w:val="none" w:sz="0" w:space="0" w:color="auto"/>
        <w:right w:val="none" w:sz="0" w:space="0" w:color="auto"/>
      </w:divBdr>
    </w:div>
    <w:div w:id="955721736">
      <w:marLeft w:val="0"/>
      <w:marRight w:val="0"/>
      <w:marTop w:val="120"/>
      <w:marBottom w:val="0"/>
      <w:divBdr>
        <w:top w:val="none" w:sz="0" w:space="0" w:color="auto"/>
        <w:left w:val="none" w:sz="0" w:space="0" w:color="auto"/>
        <w:bottom w:val="none" w:sz="0" w:space="0" w:color="auto"/>
        <w:right w:val="none" w:sz="0" w:space="0" w:color="auto"/>
      </w:divBdr>
    </w:div>
    <w:div w:id="956449677">
      <w:marLeft w:val="0"/>
      <w:marRight w:val="0"/>
      <w:marTop w:val="0"/>
      <w:marBottom w:val="0"/>
      <w:divBdr>
        <w:top w:val="none" w:sz="0" w:space="0" w:color="auto"/>
        <w:left w:val="none" w:sz="0" w:space="0" w:color="auto"/>
        <w:bottom w:val="none" w:sz="0" w:space="0" w:color="auto"/>
        <w:right w:val="none" w:sz="0" w:space="0" w:color="auto"/>
      </w:divBdr>
    </w:div>
    <w:div w:id="957223366">
      <w:marLeft w:val="0"/>
      <w:marRight w:val="0"/>
      <w:marTop w:val="0"/>
      <w:marBottom w:val="0"/>
      <w:divBdr>
        <w:top w:val="none" w:sz="0" w:space="0" w:color="auto"/>
        <w:left w:val="none" w:sz="0" w:space="0" w:color="auto"/>
        <w:bottom w:val="none" w:sz="0" w:space="0" w:color="auto"/>
        <w:right w:val="none" w:sz="0" w:space="0" w:color="auto"/>
      </w:divBdr>
      <w:divsChild>
        <w:div w:id="1596790070">
          <w:marLeft w:val="0"/>
          <w:marRight w:val="0"/>
          <w:marTop w:val="0"/>
          <w:marBottom w:val="0"/>
          <w:divBdr>
            <w:top w:val="none" w:sz="0" w:space="0" w:color="auto"/>
            <w:left w:val="none" w:sz="0" w:space="0" w:color="auto"/>
            <w:bottom w:val="none" w:sz="0" w:space="0" w:color="auto"/>
            <w:right w:val="none" w:sz="0" w:space="0" w:color="auto"/>
          </w:divBdr>
        </w:div>
      </w:divsChild>
    </w:div>
    <w:div w:id="963462320">
      <w:marLeft w:val="0"/>
      <w:marRight w:val="0"/>
      <w:marTop w:val="120"/>
      <w:marBottom w:val="120"/>
      <w:divBdr>
        <w:top w:val="none" w:sz="0" w:space="0" w:color="auto"/>
        <w:left w:val="none" w:sz="0" w:space="0" w:color="auto"/>
        <w:bottom w:val="none" w:sz="0" w:space="0" w:color="auto"/>
        <w:right w:val="none" w:sz="0" w:space="0" w:color="auto"/>
      </w:divBdr>
    </w:div>
    <w:div w:id="966547855">
      <w:marLeft w:val="0"/>
      <w:marRight w:val="0"/>
      <w:marTop w:val="120"/>
      <w:marBottom w:val="0"/>
      <w:divBdr>
        <w:top w:val="none" w:sz="0" w:space="0" w:color="auto"/>
        <w:left w:val="none" w:sz="0" w:space="0" w:color="auto"/>
        <w:bottom w:val="none" w:sz="0" w:space="0" w:color="auto"/>
        <w:right w:val="none" w:sz="0" w:space="0" w:color="auto"/>
      </w:divBdr>
    </w:div>
    <w:div w:id="972637435">
      <w:marLeft w:val="0"/>
      <w:marRight w:val="0"/>
      <w:marTop w:val="0"/>
      <w:marBottom w:val="0"/>
      <w:divBdr>
        <w:top w:val="none" w:sz="0" w:space="0" w:color="auto"/>
        <w:left w:val="none" w:sz="0" w:space="0" w:color="auto"/>
        <w:bottom w:val="none" w:sz="0" w:space="0" w:color="auto"/>
        <w:right w:val="none" w:sz="0" w:space="0" w:color="auto"/>
      </w:divBdr>
    </w:div>
    <w:div w:id="972949142">
      <w:marLeft w:val="0"/>
      <w:marRight w:val="0"/>
      <w:marTop w:val="0"/>
      <w:marBottom w:val="0"/>
      <w:divBdr>
        <w:top w:val="none" w:sz="0" w:space="0" w:color="auto"/>
        <w:left w:val="none" w:sz="0" w:space="0" w:color="auto"/>
        <w:bottom w:val="none" w:sz="0" w:space="0" w:color="auto"/>
        <w:right w:val="none" w:sz="0" w:space="0" w:color="auto"/>
      </w:divBdr>
      <w:divsChild>
        <w:div w:id="239103325">
          <w:marLeft w:val="0"/>
          <w:marRight w:val="0"/>
          <w:marTop w:val="0"/>
          <w:marBottom w:val="0"/>
          <w:divBdr>
            <w:top w:val="none" w:sz="0" w:space="0" w:color="auto"/>
            <w:left w:val="none" w:sz="0" w:space="0" w:color="auto"/>
            <w:bottom w:val="none" w:sz="0" w:space="0" w:color="auto"/>
            <w:right w:val="none" w:sz="0" w:space="0" w:color="auto"/>
          </w:divBdr>
        </w:div>
      </w:divsChild>
    </w:div>
    <w:div w:id="975068322">
      <w:marLeft w:val="0"/>
      <w:marRight w:val="0"/>
      <w:marTop w:val="120"/>
      <w:marBottom w:val="0"/>
      <w:divBdr>
        <w:top w:val="none" w:sz="0" w:space="0" w:color="auto"/>
        <w:left w:val="none" w:sz="0" w:space="0" w:color="auto"/>
        <w:bottom w:val="none" w:sz="0" w:space="0" w:color="auto"/>
        <w:right w:val="none" w:sz="0" w:space="0" w:color="auto"/>
      </w:divBdr>
    </w:div>
    <w:div w:id="976295944">
      <w:marLeft w:val="0"/>
      <w:marRight w:val="0"/>
      <w:marTop w:val="0"/>
      <w:marBottom w:val="0"/>
      <w:divBdr>
        <w:top w:val="none" w:sz="0" w:space="0" w:color="auto"/>
        <w:left w:val="none" w:sz="0" w:space="0" w:color="auto"/>
        <w:bottom w:val="none" w:sz="0" w:space="0" w:color="auto"/>
        <w:right w:val="none" w:sz="0" w:space="0" w:color="auto"/>
      </w:divBdr>
    </w:div>
    <w:div w:id="986086286">
      <w:marLeft w:val="0"/>
      <w:marRight w:val="0"/>
      <w:marTop w:val="120"/>
      <w:marBottom w:val="0"/>
      <w:divBdr>
        <w:top w:val="none" w:sz="0" w:space="0" w:color="auto"/>
        <w:left w:val="none" w:sz="0" w:space="0" w:color="auto"/>
        <w:bottom w:val="none" w:sz="0" w:space="0" w:color="auto"/>
        <w:right w:val="none" w:sz="0" w:space="0" w:color="auto"/>
      </w:divBdr>
    </w:div>
    <w:div w:id="999961070">
      <w:marLeft w:val="0"/>
      <w:marRight w:val="0"/>
      <w:marTop w:val="120"/>
      <w:marBottom w:val="0"/>
      <w:divBdr>
        <w:top w:val="none" w:sz="0" w:space="0" w:color="auto"/>
        <w:left w:val="none" w:sz="0" w:space="0" w:color="auto"/>
        <w:bottom w:val="none" w:sz="0" w:space="0" w:color="auto"/>
        <w:right w:val="none" w:sz="0" w:space="0" w:color="auto"/>
      </w:divBdr>
    </w:div>
    <w:div w:id="1001929014">
      <w:marLeft w:val="0"/>
      <w:marRight w:val="0"/>
      <w:marTop w:val="0"/>
      <w:marBottom w:val="0"/>
      <w:divBdr>
        <w:top w:val="none" w:sz="0" w:space="0" w:color="auto"/>
        <w:left w:val="none" w:sz="0" w:space="0" w:color="auto"/>
        <w:bottom w:val="none" w:sz="0" w:space="0" w:color="auto"/>
        <w:right w:val="none" w:sz="0" w:space="0" w:color="auto"/>
      </w:divBdr>
    </w:div>
    <w:div w:id="1002195810">
      <w:marLeft w:val="0"/>
      <w:marRight w:val="0"/>
      <w:marTop w:val="120"/>
      <w:marBottom w:val="0"/>
      <w:divBdr>
        <w:top w:val="none" w:sz="0" w:space="0" w:color="auto"/>
        <w:left w:val="none" w:sz="0" w:space="0" w:color="auto"/>
        <w:bottom w:val="none" w:sz="0" w:space="0" w:color="auto"/>
        <w:right w:val="none" w:sz="0" w:space="0" w:color="auto"/>
      </w:divBdr>
    </w:div>
    <w:div w:id="1003433373">
      <w:marLeft w:val="0"/>
      <w:marRight w:val="0"/>
      <w:marTop w:val="0"/>
      <w:marBottom w:val="120"/>
      <w:divBdr>
        <w:top w:val="none" w:sz="0" w:space="0" w:color="auto"/>
        <w:left w:val="none" w:sz="0" w:space="0" w:color="auto"/>
        <w:bottom w:val="none" w:sz="0" w:space="0" w:color="auto"/>
        <w:right w:val="none" w:sz="0" w:space="0" w:color="auto"/>
      </w:divBdr>
    </w:div>
    <w:div w:id="1009404690">
      <w:marLeft w:val="0"/>
      <w:marRight w:val="0"/>
      <w:marTop w:val="0"/>
      <w:marBottom w:val="0"/>
      <w:divBdr>
        <w:top w:val="none" w:sz="0" w:space="0" w:color="auto"/>
        <w:left w:val="none" w:sz="0" w:space="0" w:color="auto"/>
        <w:bottom w:val="none" w:sz="0" w:space="0" w:color="auto"/>
        <w:right w:val="none" w:sz="0" w:space="0" w:color="auto"/>
      </w:divBdr>
      <w:divsChild>
        <w:div w:id="5526532">
          <w:marLeft w:val="0"/>
          <w:marRight w:val="0"/>
          <w:marTop w:val="0"/>
          <w:marBottom w:val="0"/>
          <w:divBdr>
            <w:top w:val="none" w:sz="0" w:space="0" w:color="auto"/>
            <w:left w:val="none" w:sz="0" w:space="0" w:color="auto"/>
            <w:bottom w:val="none" w:sz="0" w:space="0" w:color="auto"/>
            <w:right w:val="none" w:sz="0" w:space="0" w:color="auto"/>
          </w:divBdr>
        </w:div>
      </w:divsChild>
    </w:div>
    <w:div w:id="1013071179">
      <w:marLeft w:val="0"/>
      <w:marRight w:val="0"/>
      <w:marTop w:val="0"/>
      <w:marBottom w:val="0"/>
      <w:divBdr>
        <w:top w:val="none" w:sz="0" w:space="0" w:color="auto"/>
        <w:left w:val="none" w:sz="0" w:space="0" w:color="auto"/>
        <w:bottom w:val="none" w:sz="0" w:space="0" w:color="auto"/>
        <w:right w:val="none" w:sz="0" w:space="0" w:color="auto"/>
      </w:divBdr>
      <w:divsChild>
        <w:div w:id="1209688679">
          <w:marLeft w:val="0"/>
          <w:marRight w:val="0"/>
          <w:marTop w:val="0"/>
          <w:marBottom w:val="0"/>
          <w:divBdr>
            <w:top w:val="none" w:sz="0" w:space="0" w:color="auto"/>
            <w:left w:val="none" w:sz="0" w:space="0" w:color="auto"/>
            <w:bottom w:val="none" w:sz="0" w:space="0" w:color="auto"/>
            <w:right w:val="none" w:sz="0" w:space="0" w:color="auto"/>
          </w:divBdr>
        </w:div>
      </w:divsChild>
    </w:div>
    <w:div w:id="1013456998">
      <w:marLeft w:val="0"/>
      <w:marRight w:val="0"/>
      <w:marTop w:val="0"/>
      <w:marBottom w:val="0"/>
      <w:divBdr>
        <w:top w:val="none" w:sz="0" w:space="0" w:color="auto"/>
        <w:left w:val="none" w:sz="0" w:space="0" w:color="auto"/>
        <w:bottom w:val="none" w:sz="0" w:space="0" w:color="auto"/>
        <w:right w:val="none" w:sz="0" w:space="0" w:color="auto"/>
      </w:divBdr>
    </w:div>
    <w:div w:id="1014309708">
      <w:marLeft w:val="0"/>
      <w:marRight w:val="0"/>
      <w:marTop w:val="120"/>
      <w:marBottom w:val="0"/>
      <w:divBdr>
        <w:top w:val="none" w:sz="0" w:space="0" w:color="auto"/>
        <w:left w:val="none" w:sz="0" w:space="0" w:color="auto"/>
        <w:bottom w:val="none" w:sz="0" w:space="0" w:color="auto"/>
        <w:right w:val="none" w:sz="0" w:space="0" w:color="auto"/>
      </w:divBdr>
    </w:div>
    <w:div w:id="1017082027">
      <w:marLeft w:val="0"/>
      <w:marRight w:val="0"/>
      <w:marTop w:val="0"/>
      <w:marBottom w:val="0"/>
      <w:divBdr>
        <w:top w:val="none" w:sz="0" w:space="0" w:color="auto"/>
        <w:left w:val="none" w:sz="0" w:space="0" w:color="auto"/>
        <w:bottom w:val="none" w:sz="0" w:space="0" w:color="auto"/>
        <w:right w:val="none" w:sz="0" w:space="0" w:color="auto"/>
      </w:divBdr>
      <w:divsChild>
        <w:div w:id="1975256863">
          <w:marLeft w:val="0"/>
          <w:marRight w:val="0"/>
          <w:marTop w:val="0"/>
          <w:marBottom w:val="0"/>
          <w:divBdr>
            <w:top w:val="none" w:sz="0" w:space="0" w:color="auto"/>
            <w:left w:val="none" w:sz="0" w:space="0" w:color="auto"/>
            <w:bottom w:val="none" w:sz="0" w:space="0" w:color="auto"/>
            <w:right w:val="none" w:sz="0" w:space="0" w:color="auto"/>
          </w:divBdr>
        </w:div>
      </w:divsChild>
    </w:div>
    <w:div w:id="1021396761">
      <w:marLeft w:val="0"/>
      <w:marRight w:val="0"/>
      <w:marTop w:val="120"/>
      <w:marBottom w:val="120"/>
      <w:divBdr>
        <w:top w:val="none" w:sz="0" w:space="0" w:color="auto"/>
        <w:left w:val="none" w:sz="0" w:space="0" w:color="auto"/>
        <w:bottom w:val="none" w:sz="0" w:space="0" w:color="auto"/>
        <w:right w:val="none" w:sz="0" w:space="0" w:color="auto"/>
      </w:divBdr>
    </w:div>
    <w:div w:id="1022436836">
      <w:marLeft w:val="0"/>
      <w:marRight w:val="0"/>
      <w:marTop w:val="0"/>
      <w:marBottom w:val="0"/>
      <w:divBdr>
        <w:top w:val="none" w:sz="0" w:space="0" w:color="auto"/>
        <w:left w:val="none" w:sz="0" w:space="0" w:color="auto"/>
        <w:bottom w:val="none" w:sz="0" w:space="0" w:color="auto"/>
        <w:right w:val="none" w:sz="0" w:space="0" w:color="auto"/>
      </w:divBdr>
      <w:divsChild>
        <w:div w:id="454829544">
          <w:marLeft w:val="0"/>
          <w:marRight w:val="0"/>
          <w:marTop w:val="0"/>
          <w:marBottom w:val="0"/>
          <w:divBdr>
            <w:top w:val="none" w:sz="0" w:space="0" w:color="auto"/>
            <w:left w:val="none" w:sz="0" w:space="0" w:color="auto"/>
            <w:bottom w:val="none" w:sz="0" w:space="0" w:color="auto"/>
            <w:right w:val="none" w:sz="0" w:space="0" w:color="auto"/>
          </w:divBdr>
        </w:div>
      </w:divsChild>
    </w:div>
    <w:div w:id="1023752171">
      <w:marLeft w:val="0"/>
      <w:marRight w:val="0"/>
      <w:marTop w:val="0"/>
      <w:marBottom w:val="0"/>
      <w:divBdr>
        <w:top w:val="none" w:sz="0" w:space="0" w:color="auto"/>
        <w:left w:val="none" w:sz="0" w:space="0" w:color="auto"/>
        <w:bottom w:val="none" w:sz="0" w:space="0" w:color="auto"/>
        <w:right w:val="none" w:sz="0" w:space="0" w:color="auto"/>
      </w:divBdr>
    </w:div>
    <w:div w:id="1035617105">
      <w:marLeft w:val="0"/>
      <w:marRight w:val="0"/>
      <w:marTop w:val="120"/>
      <w:marBottom w:val="0"/>
      <w:divBdr>
        <w:top w:val="none" w:sz="0" w:space="0" w:color="auto"/>
        <w:left w:val="none" w:sz="0" w:space="0" w:color="auto"/>
        <w:bottom w:val="none" w:sz="0" w:space="0" w:color="auto"/>
        <w:right w:val="none" w:sz="0" w:space="0" w:color="auto"/>
      </w:divBdr>
    </w:div>
    <w:div w:id="1035621041">
      <w:marLeft w:val="0"/>
      <w:marRight w:val="0"/>
      <w:marTop w:val="120"/>
      <w:marBottom w:val="0"/>
      <w:divBdr>
        <w:top w:val="none" w:sz="0" w:space="0" w:color="auto"/>
        <w:left w:val="none" w:sz="0" w:space="0" w:color="auto"/>
        <w:bottom w:val="none" w:sz="0" w:space="0" w:color="auto"/>
        <w:right w:val="none" w:sz="0" w:space="0" w:color="auto"/>
      </w:divBdr>
    </w:div>
    <w:div w:id="1039477882">
      <w:marLeft w:val="0"/>
      <w:marRight w:val="0"/>
      <w:marTop w:val="180"/>
      <w:marBottom w:val="0"/>
      <w:divBdr>
        <w:top w:val="none" w:sz="0" w:space="0" w:color="auto"/>
        <w:left w:val="none" w:sz="0" w:space="0" w:color="auto"/>
        <w:bottom w:val="none" w:sz="0" w:space="0" w:color="auto"/>
        <w:right w:val="none" w:sz="0" w:space="0" w:color="auto"/>
      </w:divBdr>
    </w:div>
    <w:div w:id="1042244127">
      <w:marLeft w:val="0"/>
      <w:marRight w:val="0"/>
      <w:marTop w:val="0"/>
      <w:marBottom w:val="0"/>
      <w:divBdr>
        <w:top w:val="none" w:sz="0" w:space="0" w:color="auto"/>
        <w:left w:val="none" w:sz="0" w:space="0" w:color="auto"/>
        <w:bottom w:val="none" w:sz="0" w:space="0" w:color="auto"/>
        <w:right w:val="none" w:sz="0" w:space="0" w:color="auto"/>
      </w:divBdr>
    </w:div>
    <w:div w:id="1044064757">
      <w:marLeft w:val="0"/>
      <w:marRight w:val="0"/>
      <w:marTop w:val="0"/>
      <w:marBottom w:val="0"/>
      <w:divBdr>
        <w:top w:val="none" w:sz="0" w:space="0" w:color="auto"/>
        <w:left w:val="none" w:sz="0" w:space="0" w:color="auto"/>
        <w:bottom w:val="none" w:sz="0" w:space="0" w:color="auto"/>
        <w:right w:val="none" w:sz="0" w:space="0" w:color="auto"/>
      </w:divBdr>
    </w:div>
    <w:div w:id="1045518205">
      <w:marLeft w:val="0"/>
      <w:marRight w:val="0"/>
      <w:marTop w:val="120"/>
      <w:marBottom w:val="0"/>
      <w:divBdr>
        <w:top w:val="none" w:sz="0" w:space="0" w:color="auto"/>
        <w:left w:val="none" w:sz="0" w:space="0" w:color="auto"/>
        <w:bottom w:val="none" w:sz="0" w:space="0" w:color="auto"/>
        <w:right w:val="none" w:sz="0" w:space="0" w:color="auto"/>
      </w:divBdr>
    </w:div>
    <w:div w:id="1051417259">
      <w:marLeft w:val="0"/>
      <w:marRight w:val="0"/>
      <w:marTop w:val="120"/>
      <w:marBottom w:val="0"/>
      <w:divBdr>
        <w:top w:val="none" w:sz="0" w:space="0" w:color="auto"/>
        <w:left w:val="none" w:sz="0" w:space="0" w:color="auto"/>
        <w:bottom w:val="none" w:sz="0" w:space="0" w:color="auto"/>
        <w:right w:val="none" w:sz="0" w:space="0" w:color="auto"/>
      </w:divBdr>
    </w:div>
    <w:div w:id="1053195016">
      <w:marLeft w:val="0"/>
      <w:marRight w:val="0"/>
      <w:marTop w:val="120"/>
      <w:marBottom w:val="0"/>
      <w:divBdr>
        <w:top w:val="none" w:sz="0" w:space="0" w:color="auto"/>
        <w:left w:val="none" w:sz="0" w:space="0" w:color="auto"/>
        <w:bottom w:val="none" w:sz="0" w:space="0" w:color="auto"/>
        <w:right w:val="none" w:sz="0" w:space="0" w:color="auto"/>
      </w:divBdr>
    </w:div>
    <w:div w:id="1054084312">
      <w:marLeft w:val="0"/>
      <w:marRight w:val="0"/>
      <w:marTop w:val="120"/>
      <w:marBottom w:val="120"/>
      <w:divBdr>
        <w:top w:val="none" w:sz="0" w:space="0" w:color="auto"/>
        <w:left w:val="none" w:sz="0" w:space="0" w:color="auto"/>
        <w:bottom w:val="none" w:sz="0" w:space="0" w:color="auto"/>
        <w:right w:val="none" w:sz="0" w:space="0" w:color="auto"/>
      </w:divBdr>
    </w:div>
    <w:div w:id="1056785226">
      <w:marLeft w:val="0"/>
      <w:marRight w:val="0"/>
      <w:marTop w:val="120"/>
      <w:marBottom w:val="120"/>
      <w:divBdr>
        <w:top w:val="none" w:sz="0" w:space="0" w:color="auto"/>
        <w:left w:val="none" w:sz="0" w:space="0" w:color="auto"/>
        <w:bottom w:val="none" w:sz="0" w:space="0" w:color="auto"/>
        <w:right w:val="none" w:sz="0" w:space="0" w:color="auto"/>
      </w:divBdr>
    </w:div>
    <w:div w:id="1062605689">
      <w:marLeft w:val="0"/>
      <w:marRight w:val="0"/>
      <w:marTop w:val="0"/>
      <w:marBottom w:val="0"/>
      <w:divBdr>
        <w:top w:val="none" w:sz="0" w:space="0" w:color="auto"/>
        <w:left w:val="none" w:sz="0" w:space="0" w:color="auto"/>
        <w:bottom w:val="none" w:sz="0" w:space="0" w:color="auto"/>
        <w:right w:val="none" w:sz="0" w:space="0" w:color="auto"/>
      </w:divBdr>
      <w:divsChild>
        <w:div w:id="990132680">
          <w:marLeft w:val="0"/>
          <w:marRight w:val="0"/>
          <w:marTop w:val="0"/>
          <w:marBottom w:val="0"/>
          <w:divBdr>
            <w:top w:val="none" w:sz="0" w:space="0" w:color="auto"/>
            <w:left w:val="none" w:sz="0" w:space="0" w:color="auto"/>
            <w:bottom w:val="none" w:sz="0" w:space="0" w:color="auto"/>
            <w:right w:val="none" w:sz="0" w:space="0" w:color="auto"/>
          </w:divBdr>
        </w:div>
      </w:divsChild>
    </w:div>
    <w:div w:id="1070234047">
      <w:marLeft w:val="0"/>
      <w:marRight w:val="0"/>
      <w:marTop w:val="120"/>
      <w:marBottom w:val="0"/>
      <w:divBdr>
        <w:top w:val="none" w:sz="0" w:space="0" w:color="auto"/>
        <w:left w:val="none" w:sz="0" w:space="0" w:color="auto"/>
        <w:bottom w:val="none" w:sz="0" w:space="0" w:color="auto"/>
        <w:right w:val="none" w:sz="0" w:space="0" w:color="auto"/>
      </w:divBdr>
    </w:div>
    <w:div w:id="1076587559">
      <w:marLeft w:val="0"/>
      <w:marRight w:val="0"/>
      <w:marTop w:val="0"/>
      <w:marBottom w:val="0"/>
      <w:divBdr>
        <w:top w:val="none" w:sz="0" w:space="0" w:color="auto"/>
        <w:left w:val="none" w:sz="0" w:space="0" w:color="auto"/>
        <w:bottom w:val="none" w:sz="0" w:space="0" w:color="auto"/>
        <w:right w:val="none" w:sz="0" w:space="0" w:color="auto"/>
      </w:divBdr>
    </w:div>
    <w:div w:id="1078093095">
      <w:marLeft w:val="0"/>
      <w:marRight w:val="0"/>
      <w:marTop w:val="120"/>
      <w:marBottom w:val="0"/>
      <w:divBdr>
        <w:top w:val="none" w:sz="0" w:space="0" w:color="auto"/>
        <w:left w:val="none" w:sz="0" w:space="0" w:color="auto"/>
        <w:bottom w:val="none" w:sz="0" w:space="0" w:color="auto"/>
        <w:right w:val="none" w:sz="0" w:space="0" w:color="auto"/>
      </w:divBdr>
    </w:div>
    <w:div w:id="1079405756">
      <w:marLeft w:val="0"/>
      <w:marRight w:val="0"/>
      <w:marTop w:val="0"/>
      <w:marBottom w:val="0"/>
      <w:divBdr>
        <w:top w:val="none" w:sz="0" w:space="0" w:color="auto"/>
        <w:left w:val="none" w:sz="0" w:space="0" w:color="auto"/>
        <w:bottom w:val="none" w:sz="0" w:space="0" w:color="auto"/>
        <w:right w:val="none" w:sz="0" w:space="0" w:color="auto"/>
      </w:divBdr>
    </w:div>
    <w:div w:id="1084883050">
      <w:marLeft w:val="0"/>
      <w:marRight w:val="0"/>
      <w:marTop w:val="120"/>
      <w:marBottom w:val="0"/>
      <w:divBdr>
        <w:top w:val="none" w:sz="0" w:space="0" w:color="auto"/>
        <w:left w:val="none" w:sz="0" w:space="0" w:color="auto"/>
        <w:bottom w:val="none" w:sz="0" w:space="0" w:color="auto"/>
        <w:right w:val="none" w:sz="0" w:space="0" w:color="auto"/>
      </w:divBdr>
    </w:div>
    <w:div w:id="1086422019">
      <w:marLeft w:val="0"/>
      <w:marRight w:val="0"/>
      <w:marTop w:val="120"/>
      <w:marBottom w:val="0"/>
      <w:divBdr>
        <w:top w:val="none" w:sz="0" w:space="0" w:color="auto"/>
        <w:left w:val="none" w:sz="0" w:space="0" w:color="auto"/>
        <w:bottom w:val="none" w:sz="0" w:space="0" w:color="auto"/>
        <w:right w:val="none" w:sz="0" w:space="0" w:color="auto"/>
      </w:divBdr>
    </w:div>
    <w:div w:id="1086730054">
      <w:marLeft w:val="0"/>
      <w:marRight w:val="0"/>
      <w:marTop w:val="120"/>
      <w:marBottom w:val="0"/>
      <w:divBdr>
        <w:top w:val="none" w:sz="0" w:space="0" w:color="auto"/>
        <w:left w:val="none" w:sz="0" w:space="0" w:color="auto"/>
        <w:bottom w:val="none" w:sz="0" w:space="0" w:color="auto"/>
        <w:right w:val="none" w:sz="0" w:space="0" w:color="auto"/>
      </w:divBdr>
    </w:div>
    <w:div w:id="1086805478">
      <w:marLeft w:val="0"/>
      <w:marRight w:val="0"/>
      <w:marTop w:val="120"/>
      <w:marBottom w:val="0"/>
      <w:divBdr>
        <w:top w:val="none" w:sz="0" w:space="0" w:color="auto"/>
        <w:left w:val="none" w:sz="0" w:space="0" w:color="auto"/>
        <w:bottom w:val="none" w:sz="0" w:space="0" w:color="auto"/>
        <w:right w:val="none" w:sz="0" w:space="0" w:color="auto"/>
      </w:divBdr>
    </w:div>
    <w:div w:id="1091896858">
      <w:marLeft w:val="0"/>
      <w:marRight w:val="0"/>
      <w:marTop w:val="120"/>
      <w:marBottom w:val="120"/>
      <w:divBdr>
        <w:top w:val="none" w:sz="0" w:space="0" w:color="auto"/>
        <w:left w:val="none" w:sz="0" w:space="0" w:color="auto"/>
        <w:bottom w:val="none" w:sz="0" w:space="0" w:color="auto"/>
        <w:right w:val="none" w:sz="0" w:space="0" w:color="auto"/>
      </w:divBdr>
    </w:div>
    <w:div w:id="1095132290">
      <w:marLeft w:val="0"/>
      <w:marRight w:val="0"/>
      <w:marTop w:val="0"/>
      <w:marBottom w:val="120"/>
      <w:divBdr>
        <w:top w:val="none" w:sz="0" w:space="0" w:color="auto"/>
        <w:left w:val="none" w:sz="0" w:space="0" w:color="auto"/>
        <w:bottom w:val="none" w:sz="0" w:space="0" w:color="auto"/>
        <w:right w:val="none" w:sz="0" w:space="0" w:color="auto"/>
      </w:divBdr>
    </w:div>
    <w:div w:id="1099331006">
      <w:marLeft w:val="0"/>
      <w:marRight w:val="0"/>
      <w:marTop w:val="120"/>
      <w:marBottom w:val="0"/>
      <w:divBdr>
        <w:top w:val="none" w:sz="0" w:space="0" w:color="auto"/>
        <w:left w:val="none" w:sz="0" w:space="0" w:color="auto"/>
        <w:bottom w:val="none" w:sz="0" w:space="0" w:color="auto"/>
        <w:right w:val="none" w:sz="0" w:space="0" w:color="auto"/>
      </w:divBdr>
    </w:div>
    <w:div w:id="1100492692">
      <w:marLeft w:val="0"/>
      <w:marRight w:val="0"/>
      <w:marTop w:val="0"/>
      <w:marBottom w:val="0"/>
      <w:divBdr>
        <w:top w:val="none" w:sz="0" w:space="0" w:color="auto"/>
        <w:left w:val="none" w:sz="0" w:space="0" w:color="auto"/>
        <w:bottom w:val="none" w:sz="0" w:space="0" w:color="auto"/>
        <w:right w:val="none" w:sz="0" w:space="0" w:color="auto"/>
      </w:divBdr>
      <w:divsChild>
        <w:div w:id="1814105180">
          <w:marLeft w:val="0"/>
          <w:marRight w:val="0"/>
          <w:marTop w:val="0"/>
          <w:marBottom w:val="0"/>
          <w:divBdr>
            <w:top w:val="none" w:sz="0" w:space="0" w:color="auto"/>
            <w:left w:val="none" w:sz="0" w:space="0" w:color="auto"/>
            <w:bottom w:val="none" w:sz="0" w:space="0" w:color="auto"/>
            <w:right w:val="none" w:sz="0" w:space="0" w:color="auto"/>
          </w:divBdr>
        </w:div>
      </w:divsChild>
    </w:div>
    <w:div w:id="1100755652">
      <w:marLeft w:val="0"/>
      <w:marRight w:val="0"/>
      <w:marTop w:val="120"/>
      <w:marBottom w:val="0"/>
      <w:divBdr>
        <w:top w:val="none" w:sz="0" w:space="0" w:color="auto"/>
        <w:left w:val="none" w:sz="0" w:space="0" w:color="auto"/>
        <w:bottom w:val="none" w:sz="0" w:space="0" w:color="auto"/>
        <w:right w:val="none" w:sz="0" w:space="0" w:color="auto"/>
      </w:divBdr>
    </w:div>
    <w:div w:id="1102603230">
      <w:marLeft w:val="0"/>
      <w:marRight w:val="0"/>
      <w:marTop w:val="0"/>
      <w:marBottom w:val="0"/>
      <w:divBdr>
        <w:top w:val="none" w:sz="0" w:space="0" w:color="auto"/>
        <w:left w:val="none" w:sz="0" w:space="0" w:color="auto"/>
        <w:bottom w:val="none" w:sz="0" w:space="0" w:color="auto"/>
        <w:right w:val="none" w:sz="0" w:space="0" w:color="auto"/>
      </w:divBdr>
    </w:div>
    <w:div w:id="1102652862">
      <w:marLeft w:val="0"/>
      <w:marRight w:val="0"/>
      <w:marTop w:val="0"/>
      <w:marBottom w:val="120"/>
      <w:divBdr>
        <w:top w:val="none" w:sz="0" w:space="0" w:color="auto"/>
        <w:left w:val="none" w:sz="0" w:space="0" w:color="auto"/>
        <w:bottom w:val="none" w:sz="0" w:space="0" w:color="auto"/>
        <w:right w:val="none" w:sz="0" w:space="0" w:color="auto"/>
      </w:divBdr>
    </w:div>
    <w:div w:id="1111050657">
      <w:marLeft w:val="0"/>
      <w:marRight w:val="0"/>
      <w:marTop w:val="0"/>
      <w:marBottom w:val="0"/>
      <w:divBdr>
        <w:top w:val="none" w:sz="0" w:space="0" w:color="auto"/>
        <w:left w:val="none" w:sz="0" w:space="0" w:color="auto"/>
        <w:bottom w:val="none" w:sz="0" w:space="0" w:color="auto"/>
        <w:right w:val="none" w:sz="0" w:space="0" w:color="auto"/>
      </w:divBdr>
    </w:div>
    <w:div w:id="1111240687">
      <w:marLeft w:val="0"/>
      <w:marRight w:val="0"/>
      <w:marTop w:val="120"/>
      <w:marBottom w:val="0"/>
      <w:divBdr>
        <w:top w:val="none" w:sz="0" w:space="0" w:color="auto"/>
        <w:left w:val="none" w:sz="0" w:space="0" w:color="auto"/>
        <w:bottom w:val="none" w:sz="0" w:space="0" w:color="auto"/>
        <w:right w:val="none" w:sz="0" w:space="0" w:color="auto"/>
      </w:divBdr>
    </w:div>
    <w:div w:id="1111320428">
      <w:marLeft w:val="0"/>
      <w:marRight w:val="0"/>
      <w:marTop w:val="120"/>
      <w:marBottom w:val="0"/>
      <w:divBdr>
        <w:top w:val="none" w:sz="0" w:space="0" w:color="auto"/>
        <w:left w:val="none" w:sz="0" w:space="0" w:color="auto"/>
        <w:bottom w:val="none" w:sz="0" w:space="0" w:color="auto"/>
        <w:right w:val="none" w:sz="0" w:space="0" w:color="auto"/>
      </w:divBdr>
    </w:div>
    <w:div w:id="1114208447">
      <w:marLeft w:val="0"/>
      <w:marRight w:val="0"/>
      <w:marTop w:val="120"/>
      <w:marBottom w:val="0"/>
      <w:divBdr>
        <w:top w:val="none" w:sz="0" w:space="0" w:color="auto"/>
        <w:left w:val="none" w:sz="0" w:space="0" w:color="auto"/>
        <w:bottom w:val="none" w:sz="0" w:space="0" w:color="auto"/>
        <w:right w:val="none" w:sz="0" w:space="0" w:color="auto"/>
      </w:divBdr>
    </w:div>
    <w:div w:id="1114716141">
      <w:marLeft w:val="0"/>
      <w:marRight w:val="0"/>
      <w:marTop w:val="120"/>
      <w:marBottom w:val="0"/>
      <w:divBdr>
        <w:top w:val="none" w:sz="0" w:space="0" w:color="auto"/>
        <w:left w:val="none" w:sz="0" w:space="0" w:color="auto"/>
        <w:bottom w:val="none" w:sz="0" w:space="0" w:color="auto"/>
        <w:right w:val="none" w:sz="0" w:space="0" w:color="auto"/>
      </w:divBdr>
    </w:div>
    <w:div w:id="1115321173">
      <w:marLeft w:val="0"/>
      <w:marRight w:val="0"/>
      <w:marTop w:val="0"/>
      <w:marBottom w:val="0"/>
      <w:divBdr>
        <w:top w:val="none" w:sz="0" w:space="0" w:color="auto"/>
        <w:left w:val="none" w:sz="0" w:space="0" w:color="auto"/>
        <w:bottom w:val="none" w:sz="0" w:space="0" w:color="auto"/>
        <w:right w:val="none" w:sz="0" w:space="0" w:color="auto"/>
      </w:divBdr>
    </w:div>
    <w:div w:id="1119639170">
      <w:marLeft w:val="0"/>
      <w:marRight w:val="0"/>
      <w:marTop w:val="120"/>
      <w:marBottom w:val="120"/>
      <w:divBdr>
        <w:top w:val="none" w:sz="0" w:space="0" w:color="auto"/>
        <w:left w:val="none" w:sz="0" w:space="0" w:color="auto"/>
        <w:bottom w:val="none" w:sz="0" w:space="0" w:color="auto"/>
        <w:right w:val="none" w:sz="0" w:space="0" w:color="auto"/>
      </w:divBdr>
    </w:div>
    <w:div w:id="1120418299">
      <w:marLeft w:val="0"/>
      <w:marRight w:val="0"/>
      <w:marTop w:val="120"/>
      <w:marBottom w:val="0"/>
      <w:divBdr>
        <w:top w:val="none" w:sz="0" w:space="0" w:color="auto"/>
        <w:left w:val="none" w:sz="0" w:space="0" w:color="auto"/>
        <w:bottom w:val="none" w:sz="0" w:space="0" w:color="auto"/>
        <w:right w:val="none" w:sz="0" w:space="0" w:color="auto"/>
      </w:divBdr>
    </w:div>
    <w:div w:id="1124231130">
      <w:marLeft w:val="0"/>
      <w:marRight w:val="0"/>
      <w:marTop w:val="0"/>
      <w:marBottom w:val="0"/>
      <w:divBdr>
        <w:top w:val="none" w:sz="0" w:space="0" w:color="auto"/>
        <w:left w:val="none" w:sz="0" w:space="0" w:color="auto"/>
        <w:bottom w:val="none" w:sz="0" w:space="0" w:color="auto"/>
        <w:right w:val="none" w:sz="0" w:space="0" w:color="auto"/>
      </w:divBdr>
      <w:divsChild>
        <w:div w:id="373583705">
          <w:marLeft w:val="0"/>
          <w:marRight w:val="0"/>
          <w:marTop w:val="0"/>
          <w:marBottom w:val="0"/>
          <w:divBdr>
            <w:top w:val="none" w:sz="0" w:space="0" w:color="auto"/>
            <w:left w:val="none" w:sz="0" w:space="0" w:color="auto"/>
            <w:bottom w:val="none" w:sz="0" w:space="0" w:color="auto"/>
            <w:right w:val="none" w:sz="0" w:space="0" w:color="auto"/>
          </w:divBdr>
        </w:div>
      </w:divsChild>
    </w:div>
    <w:div w:id="1128819604">
      <w:marLeft w:val="0"/>
      <w:marRight w:val="0"/>
      <w:marTop w:val="0"/>
      <w:marBottom w:val="0"/>
      <w:divBdr>
        <w:top w:val="none" w:sz="0" w:space="0" w:color="auto"/>
        <w:left w:val="none" w:sz="0" w:space="0" w:color="auto"/>
        <w:bottom w:val="none" w:sz="0" w:space="0" w:color="auto"/>
        <w:right w:val="none" w:sz="0" w:space="0" w:color="auto"/>
      </w:divBdr>
    </w:div>
    <w:div w:id="1129973300">
      <w:marLeft w:val="0"/>
      <w:marRight w:val="0"/>
      <w:marTop w:val="0"/>
      <w:marBottom w:val="0"/>
      <w:divBdr>
        <w:top w:val="none" w:sz="0" w:space="0" w:color="auto"/>
        <w:left w:val="none" w:sz="0" w:space="0" w:color="auto"/>
        <w:bottom w:val="none" w:sz="0" w:space="0" w:color="auto"/>
        <w:right w:val="none" w:sz="0" w:space="0" w:color="auto"/>
      </w:divBdr>
    </w:div>
    <w:div w:id="1130168399">
      <w:marLeft w:val="0"/>
      <w:marRight w:val="0"/>
      <w:marTop w:val="120"/>
      <w:marBottom w:val="120"/>
      <w:divBdr>
        <w:top w:val="none" w:sz="0" w:space="0" w:color="auto"/>
        <w:left w:val="none" w:sz="0" w:space="0" w:color="auto"/>
        <w:bottom w:val="none" w:sz="0" w:space="0" w:color="auto"/>
        <w:right w:val="none" w:sz="0" w:space="0" w:color="auto"/>
      </w:divBdr>
    </w:div>
    <w:div w:id="1131435887">
      <w:marLeft w:val="0"/>
      <w:marRight w:val="0"/>
      <w:marTop w:val="0"/>
      <w:marBottom w:val="0"/>
      <w:divBdr>
        <w:top w:val="none" w:sz="0" w:space="0" w:color="auto"/>
        <w:left w:val="none" w:sz="0" w:space="0" w:color="auto"/>
        <w:bottom w:val="none" w:sz="0" w:space="0" w:color="auto"/>
        <w:right w:val="none" w:sz="0" w:space="0" w:color="auto"/>
      </w:divBdr>
    </w:div>
    <w:div w:id="1132556766">
      <w:marLeft w:val="0"/>
      <w:marRight w:val="0"/>
      <w:marTop w:val="0"/>
      <w:marBottom w:val="0"/>
      <w:divBdr>
        <w:top w:val="none" w:sz="0" w:space="0" w:color="auto"/>
        <w:left w:val="none" w:sz="0" w:space="0" w:color="auto"/>
        <w:bottom w:val="none" w:sz="0" w:space="0" w:color="auto"/>
        <w:right w:val="none" w:sz="0" w:space="0" w:color="auto"/>
      </w:divBdr>
    </w:div>
    <w:div w:id="1134635108">
      <w:marLeft w:val="0"/>
      <w:marRight w:val="0"/>
      <w:marTop w:val="0"/>
      <w:marBottom w:val="0"/>
      <w:divBdr>
        <w:top w:val="none" w:sz="0" w:space="0" w:color="auto"/>
        <w:left w:val="none" w:sz="0" w:space="0" w:color="auto"/>
        <w:bottom w:val="none" w:sz="0" w:space="0" w:color="auto"/>
        <w:right w:val="none" w:sz="0" w:space="0" w:color="auto"/>
      </w:divBdr>
    </w:div>
    <w:div w:id="1134762233">
      <w:marLeft w:val="0"/>
      <w:marRight w:val="0"/>
      <w:marTop w:val="0"/>
      <w:marBottom w:val="0"/>
      <w:divBdr>
        <w:top w:val="none" w:sz="0" w:space="0" w:color="auto"/>
        <w:left w:val="none" w:sz="0" w:space="0" w:color="auto"/>
        <w:bottom w:val="none" w:sz="0" w:space="0" w:color="auto"/>
        <w:right w:val="none" w:sz="0" w:space="0" w:color="auto"/>
      </w:divBdr>
      <w:divsChild>
        <w:div w:id="1674409020">
          <w:marLeft w:val="0"/>
          <w:marRight w:val="0"/>
          <w:marTop w:val="0"/>
          <w:marBottom w:val="0"/>
          <w:divBdr>
            <w:top w:val="none" w:sz="0" w:space="0" w:color="auto"/>
            <w:left w:val="none" w:sz="0" w:space="0" w:color="auto"/>
            <w:bottom w:val="none" w:sz="0" w:space="0" w:color="auto"/>
            <w:right w:val="none" w:sz="0" w:space="0" w:color="auto"/>
          </w:divBdr>
        </w:div>
      </w:divsChild>
    </w:div>
    <w:div w:id="1142383058">
      <w:marLeft w:val="0"/>
      <w:marRight w:val="0"/>
      <w:marTop w:val="120"/>
      <w:marBottom w:val="0"/>
      <w:divBdr>
        <w:top w:val="none" w:sz="0" w:space="0" w:color="auto"/>
        <w:left w:val="none" w:sz="0" w:space="0" w:color="auto"/>
        <w:bottom w:val="none" w:sz="0" w:space="0" w:color="auto"/>
        <w:right w:val="none" w:sz="0" w:space="0" w:color="auto"/>
      </w:divBdr>
    </w:div>
    <w:div w:id="1142387304">
      <w:marLeft w:val="0"/>
      <w:marRight w:val="0"/>
      <w:marTop w:val="0"/>
      <w:marBottom w:val="0"/>
      <w:divBdr>
        <w:top w:val="none" w:sz="0" w:space="0" w:color="auto"/>
        <w:left w:val="none" w:sz="0" w:space="0" w:color="auto"/>
        <w:bottom w:val="none" w:sz="0" w:space="0" w:color="auto"/>
        <w:right w:val="none" w:sz="0" w:space="0" w:color="auto"/>
      </w:divBdr>
      <w:divsChild>
        <w:div w:id="68578877">
          <w:marLeft w:val="0"/>
          <w:marRight w:val="0"/>
          <w:marTop w:val="0"/>
          <w:marBottom w:val="0"/>
          <w:divBdr>
            <w:top w:val="none" w:sz="0" w:space="0" w:color="auto"/>
            <w:left w:val="none" w:sz="0" w:space="0" w:color="auto"/>
            <w:bottom w:val="none" w:sz="0" w:space="0" w:color="auto"/>
            <w:right w:val="none" w:sz="0" w:space="0" w:color="auto"/>
          </w:divBdr>
        </w:div>
      </w:divsChild>
    </w:div>
    <w:div w:id="1143278227">
      <w:marLeft w:val="0"/>
      <w:marRight w:val="0"/>
      <w:marTop w:val="0"/>
      <w:marBottom w:val="0"/>
      <w:divBdr>
        <w:top w:val="none" w:sz="0" w:space="0" w:color="auto"/>
        <w:left w:val="none" w:sz="0" w:space="0" w:color="auto"/>
        <w:bottom w:val="none" w:sz="0" w:space="0" w:color="auto"/>
        <w:right w:val="none" w:sz="0" w:space="0" w:color="auto"/>
      </w:divBdr>
      <w:divsChild>
        <w:div w:id="1697923999">
          <w:marLeft w:val="0"/>
          <w:marRight w:val="0"/>
          <w:marTop w:val="0"/>
          <w:marBottom w:val="0"/>
          <w:divBdr>
            <w:top w:val="none" w:sz="0" w:space="0" w:color="auto"/>
            <w:left w:val="none" w:sz="0" w:space="0" w:color="auto"/>
            <w:bottom w:val="none" w:sz="0" w:space="0" w:color="auto"/>
            <w:right w:val="none" w:sz="0" w:space="0" w:color="auto"/>
          </w:divBdr>
        </w:div>
      </w:divsChild>
    </w:div>
    <w:div w:id="1145047136">
      <w:marLeft w:val="0"/>
      <w:marRight w:val="0"/>
      <w:marTop w:val="0"/>
      <w:marBottom w:val="120"/>
      <w:divBdr>
        <w:top w:val="none" w:sz="0" w:space="0" w:color="auto"/>
        <w:left w:val="none" w:sz="0" w:space="0" w:color="auto"/>
        <w:bottom w:val="none" w:sz="0" w:space="0" w:color="auto"/>
        <w:right w:val="none" w:sz="0" w:space="0" w:color="auto"/>
      </w:divBdr>
      <w:divsChild>
        <w:div w:id="1458989305">
          <w:marLeft w:val="0"/>
          <w:marRight w:val="0"/>
          <w:marTop w:val="0"/>
          <w:marBottom w:val="0"/>
          <w:divBdr>
            <w:top w:val="none" w:sz="0" w:space="0" w:color="auto"/>
            <w:left w:val="none" w:sz="0" w:space="0" w:color="auto"/>
            <w:bottom w:val="none" w:sz="0" w:space="0" w:color="auto"/>
            <w:right w:val="none" w:sz="0" w:space="0" w:color="auto"/>
          </w:divBdr>
        </w:div>
        <w:div w:id="1185830779">
          <w:marLeft w:val="0"/>
          <w:marRight w:val="0"/>
          <w:marTop w:val="0"/>
          <w:marBottom w:val="0"/>
          <w:divBdr>
            <w:top w:val="none" w:sz="0" w:space="0" w:color="auto"/>
            <w:left w:val="none" w:sz="0" w:space="0" w:color="auto"/>
            <w:bottom w:val="none" w:sz="0" w:space="0" w:color="auto"/>
            <w:right w:val="none" w:sz="0" w:space="0" w:color="auto"/>
          </w:divBdr>
        </w:div>
      </w:divsChild>
    </w:div>
    <w:div w:id="1147356464">
      <w:marLeft w:val="0"/>
      <w:marRight w:val="0"/>
      <w:marTop w:val="120"/>
      <w:marBottom w:val="0"/>
      <w:divBdr>
        <w:top w:val="none" w:sz="0" w:space="0" w:color="auto"/>
        <w:left w:val="none" w:sz="0" w:space="0" w:color="auto"/>
        <w:bottom w:val="none" w:sz="0" w:space="0" w:color="auto"/>
        <w:right w:val="none" w:sz="0" w:space="0" w:color="auto"/>
      </w:divBdr>
    </w:div>
    <w:div w:id="1152915941">
      <w:marLeft w:val="0"/>
      <w:marRight w:val="0"/>
      <w:marTop w:val="120"/>
      <w:marBottom w:val="120"/>
      <w:divBdr>
        <w:top w:val="none" w:sz="0" w:space="0" w:color="auto"/>
        <w:left w:val="none" w:sz="0" w:space="0" w:color="auto"/>
        <w:bottom w:val="none" w:sz="0" w:space="0" w:color="auto"/>
        <w:right w:val="none" w:sz="0" w:space="0" w:color="auto"/>
      </w:divBdr>
    </w:div>
    <w:div w:id="1158035051">
      <w:marLeft w:val="0"/>
      <w:marRight w:val="0"/>
      <w:marTop w:val="120"/>
      <w:marBottom w:val="120"/>
      <w:divBdr>
        <w:top w:val="none" w:sz="0" w:space="0" w:color="auto"/>
        <w:left w:val="none" w:sz="0" w:space="0" w:color="auto"/>
        <w:bottom w:val="none" w:sz="0" w:space="0" w:color="auto"/>
        <w:right w:val="none" w:sz="0" w:space="0" w:color="auto"/>
      </w:divBdr>
    </w:div>
    <w:div w:id="1164248788">
      <w:marLeft w:val="0"/>
      <w:marRight w:val="0"/>
      <w:marTop w:val="120"/>
      <w:marBottom w:val="120"/>
      <w:divBdr>
        <w:top w:val="none" w:sz="0" w:space="0" w:color="auto"/>
        <w:left w:val="none" w:sz="0" w:space="0" w:color="auto"/>
        <w:bottom w:val="none" w:sz="0" w:space="0" w:color="auto"/>
        <w:right w:val="none" w:sz="0" w:space="0" w:color="auto"/>
      </w:divBdr>
    </w:div>
    <w:div w:id="1166869452">
      <w:marLeft w:val="0"/>
      <w:marRight w:val="0"/>
      <w:marTop w:val="120"/>
      <w:marBottom w:val="0"/>
      <w:divBdr>
        <w:top w:val="none" w:sz="0" w:space="0" w:color="auto"/>
        <w:left w:val="none" w:sz="0" w:space="0" w:color="auto"/>
        <w:bottom w:val="none" w:sz="0" w:space="0" w:color="auto"/>
        <w:right w:val="none" w:sz="0" w:space="0" w:color="auto"/>
      </w:divBdr>
    </w:div>
    <w:div w:id="1170490817">
      <w:marLeft w:val="0"/>
      <w:marRight w:val="0"/>
      <w:marTop w:val="0"/>
      <w:marBottom w:val="0"/>
      <w:divBdr>
        <w:top w:val="none" w:sz="0" w:space="0" w:color="auto"/>
        <w:left w:val="none" w:sz="0" w:space="0" w:color="auto"/>
        <w:bottom w:val="none" w:sz="0" w:space="0" w:color="auto"/>
        <w:right w:val="none" w:sz="0" w:space="0" w:color="auto"/>
      </w:divBdr>
    </w:div>
    <w:div w:id="1171482388">
      <w:marLeft w:val="0"/>
      <w:marRight w:val="0"/>
      <w:marTop w:val="120"/>
      <w:marBottom w:val="120"/>
      <w:divBdr>
        <w:top w:val="none" w:sz="0" w:space="0" w:color="auto"/>
        <w:left w:val="none" w:sz="0" w:space="0" w:color="auto"/>
        <w:bottom w:val="none" w:sz="0" w:space="0" w:color="auto"/>
        <w:right w:val="none" w:sz="0" w:space="0" w:color="auto"/>
      </w:divBdr>
    </w:div>
    <w:div w:id="1174417129">
      <w:marLeft w:val="0"/>
      <w:marRight w:val="0"/>
      <w:marTop w:val="0"/>
      <w:marBottom w:val="0"/>
      <w:divBdr>
        <w:top w:val="none" w:sz="0" w:space="0" w:color="auto"/>
        <w:left w:val="none" w:sz="0" w:space="0" w:color="auto"/>
        <w:bottom w:val="none" w:sz="0" w:space="0" w:color="auto"/>
        <w:right w:val="none" w:sz="0" w:space="0" w:color="auto"/>
      </w:divBdr>
      <w:divsChild>
        <w:div w:id="1736512675">
          <w:marLeft w:val="0"/>
          <w:marRight w:val="0"/>
          <w:marTop w:val="0"/>
          <w:marBottom w:val="0"/>
          <w:divBdr>
            <w:top w:val="none" w:sz="0" w:space="0" w:color="auto"/>
            <w:left w:val="none" w:sz="0" w:space="0" w:color="auto"/>
            <w:bottom w:val="none" w:sz="0" w:space="0" w:color="auto"/>
            <w:right w:val="none" w:sz="0" w:space="0" w:color="auto"/>
          </w:divBdr>
        </w:div>
      </w:divsChild>
    </w:div>
    <w:div w:id="1177698098">
      <w:marLeft w:val="0"/>
      <w:marRight w:val="0"/>
      <w:marTop w:val="0"/>
      <w:marBottom w:val="0"/>
      <w:divBdr>
        <w:top w:val="none" w:sz="0" w:space="0" w:color="auto"/>
        <w:left w:val="none" w:sz="0" w:space="0" w:color="auto"/>
        <w:bottom w:val="none" w:sz="0" w:space="0" w:color="auto"/>
        <w:right w:val="none" w:sz="0" w:space="0" w:color="auto"/>
      </w:divBdr>
      <w:divsChild>
        <w:div w:id="1863397544">
          <w:marLeft w:val="0"/>
          <w:marRight w:val="0"/>
          <w:marTop w:val="180"/>
          <w:marBottom w:val="0"/>
          <w:divBdr>
            <w:top w:val="none" w:sz="0" w:space="0" w:color="auto"/>
            <w:left w:val="none" w:sz="0" w:space="0" w:color="auto"/>
            <w:bottom w:val="none" w:sz="0" w:space="0" w:color="auto"/>
            <w:right w:val="none" w:sz="0" w:space="0" w:color="auto"/>
          </w:divBdr>
        </w:div>
      </w:divsChild>
    </w:div>
    <w:div w:id="1181554747">
      <w:marLeft w:val="0"/>
      <w:marRight w:val="0"/>
      <w:marTop w:val="120"/>
      <w:marBottom w:val="0"/>
      <w:divBdr>
        <w:top w:val="none" w:sz="0" w:space="0" w:color="auto"/>
        <w:left w:val="none" w:sz="0" w:space="0" w:color="auto"/>
        <w:bottom w:val="none" w:sz="0" w:space="0" w:color="auto"/>
        <w:right w:val="none" w:sz="0" w:space="0" w:color="auto"/>
      </w:divBdr>
    </w:div>
    <w:div w:id="1183204325">
      <w:marLeft w:val="0"/>
      <w:marRight w:val="0"/>
      <w:marTop w:val="0"/>
      <w:marBottom w:val="0"/>
      <w:divBdr>
        <w:top w:val="none" w:sz="0" w:space="0" w:color="auto"/>
        <w:left w:val="none" w:sz="0" w:space="0" w:color="auto"/>
        <w:bottom w:val="none" w:sz="0" w:space="0" w:color="auto"/>
        <w:right w:val="none" w:sz="0" w:space="0" w:color="auto"/>
      </w:divBdr>
    </w:div>
    <w:div w:id="1191838232">
      <w:marLeft w:val="0"/>
      <w:marRight w:val="0"/>
      <w:marTop w:val="0"/>
      <w:marBottom w:val="120"/>
      <w:divBdr>
        <w:top w:val="none" w:sz="0" w:space="0" w:color="auto"/>
        <w:left w:val="none" w:sz="0" w:space="0" w:color="auto"/>
        <w:bottom w:val="none" w:sz="0" w:space="0" w:color="auto"/>
        <w:right w:val="none" w:sz="0" w:space="0" w:color="auto"/>
      </w:divBdr>
    </w:div>
    <w:div w:id="1194687957">
      <w:marLeft w:val="0"/>
      <w:marRight w:val="0"/>
      <w:marTop w:val="120"/>
      <w:marBottom w:val="120"/>
      <w:divBdr>
        <w:top w:val="none" w:sz="0" w:space="0" w:color="auto"/>
        <w:left w:val="none" w:sz="0" w:space="0" w:color="auto"/>
        <w:bottom w:val="none" w:sz="0" w:space="0" w:color="auto"/>
        <w:right w:val="none" w:sz="0" w:space="0" w:color="auto"/>
      </w:divBdr>
    </w:div>
    <w:div w:id="1196774787">
      <w:marLeft w:val="0"/>
      <w:marRight w:val="0"/>
      <w:marTop w:val="120"/>
      <w:marBottom w:val="0"/>
      <w:divBdr>
        <w:top w:val="none" w:sz="0" w:space="0" w:color="auto"/>
        <w:left w:val="none" w:sz="0" w:space="0" w:color="auto"/>
        <w:bottom w:val="none" w:sz="0" w:space="0" w:color="auto"/>
        <w:right w:val="none" w:sz="0" w:space="0" w:color="auto"/>
      </w:divBdr>
    </w:div>
    <w:div w:id="1209344920">
      <w:marLeft w:val="0"/>
      <w:marRight w:val="0"/>
      <w:marTop w:val="0"/>
      <w:marBottom w:val="0"/>
      <w:divBdr>
        <w:top w:val="none" w:sz="0" w:space="0" w:color="auto"/>
        <w:left w:val="none" w:sz="0" w:space="0" w:color="auto"/>
        <w:bottom w:val="none" w:sz="0" w:space="0" w:color="auto"/>
        <w:right w:val="none" w:sz="0" w:space="0" w:color="auto"/>
      </w:divBdr>
      <w:divsChild>
        <w:div w:id="1849976290">
          <w:marLeft w:val="0"/>
          <w:marRight w:val="0"/>
          <w:marTop w:val="0"/>
          <w:marBottom w:val="0"/>
          <w:divBdr>
            <w:top w:val="none" w:sz="0" w:space="0" w:color="auto"/>
            <w:left w:val="none" w:sz="0" w:space="0" w:color="auto"/>
            <w:bottom w:val="none" w:sz="0" w:space="0" w:color="auto"/>
            <w:right w:val="none" w:sz="0" w:space="0" w:color="auto"/>
          </w:divBdr>
        </w:div>
      </w:divsChild>
    </w:div>
    <w:div w:id="1209608316">
      <w:marLeft w:val="0"/>
      <w:marRight w:val="0"/>
      <w:marTop w:val="120"/>
      <w:marBottom w:val="0"/>
      <w:divBdr>
        <w:top w:val="none" w:sz="0" w:space="0" w:color="auto"/>
        <w:left w:val="none" w:sz="0" w:space="0" w:color="auto"/>
        <w:bottom w:val="none" w:sz="0" w:space="0" w:color="auto"/>
        <w:right w:val="none" w:sz="0" w:space="0" w:color="auto"/>
      </w:divBdr>
    </w:div>
    <w:div w:id="1213151048">
      <w:marLeft w:val="0"/>
      <w:marRight w:val="0"/>
      <w:marTop w:val="120"/>
      <w:marBottom w:val="0"/>
      <w:divBdr>
        <w:top w:val="none" w:sz="0" w:space="0" w:color="auto"/>
        <w:left w:val="none" w:sz="0" w:space="0" w:color="auto"/>
        <w:bottom w:val="none" w:sz="0" w:space="0" w:color="auto"/>
        <w:right w:val="none" w:sz="0" w:space="0" w:color="auto"/>
      </w:divBdr>
    </w:div>
    <w:div w:id="1214536878">
      <w:marLeft w:val="0"/>
      <w:marRight w:val="0"/>
      <w:marTop w:val="120"/>
      <w:marBottom w:val="0"/>
      <w:divBdr>
        <w:top w:val="none" w:sz="0" w:space="0" w:color="auto"/>
        <w:left w:val="none" w:sz="0" w:space="0" w:color="auto"/>
        <w:bottom w:val="none" w:sz="0" w:space="0" w:color="auto"/>
        <w:right w:val="none" w:sz="0" w:space="0" w:color="auto"/>
      </w:divBdr>
    </w:div>
    <w:div w:id="1215047335">
      <w:marLeft w:val="0"/>
      <w:marRight w:val="0"/>
      <w:marTop w:val="0"/>
      <w:marBottom w:val="0"/>
      <w:divBdr>
        <w:top w:val="none" w:sz="0" w:space="0" w:color="auto"/>
        <w:left w:val="none" w:sz="0" w:space="0" w:color="auto"/>
        <w:bottom w:val="none" w:sz="0" w:space="0" w:color="auto"/>
        <w:right w:val="none" w:sz="0" w:space="0" w:color="auto"/>
      </w:divBdr>
      <w:divsChild>
        <w:div w:id="1603144503">
          <w:marLeft w:val="0"/>
          <w:marRight w:val="0"/>
          <w:marTop w:val="0"/>
          <w:marBottom w:val="0"/>
          <w:divBdr>
            <w:top w:val="none" w:sz="0" w:space="0" w:color="auto"/>
            <w:left w:val="none" w:sz="0" w:space="0" w:color="auto"/>
            <w:bottom w:val="none" w:sz="0" w:space="0" w:color="auto"/>
            <w:right w:val="none" w:sz="0" w:space="0" w:color="auto"/>
          </w:divBdr>
        </w:div>
      </w:divsChild>
    </w:div>
    <w:div w:id="1223830942">
      <w:marLeft w:val="0"/>
      <w:marRight w:val="0"/>
      <w:marTop w:val="120"/>
      <w:marBottom w:val="0"/>
      <w:divBdr>
        <w:top w:val="none" w:sz="0" w:space="0" w:color="auto"/>
        <w:left w:val="none" w:sz="0" w:space="0" w:color="auto"/>
        <w:bottom w:val="none" w:sz="0" w:space="0" w:color="auto"/>
        <w:right w:val="none" w:sz="0" w:space="0" w:color="auto"/>
      </w:divBdr>
    </w:div>
    <w:div w:id="1225487059">
      <w:marLeft w:val="0"/>
      <w:marRight w:val="0"/>
      <w:marTop w:val="0"/>
      <w:marBottom w:val="120"/>
      <w:divBdr>
        <w:top w:val="none" w:sz="0" w:space="0" w:color="auto"/>
        <w:left w:val="none" w:sz="0" w:space="0" w:color="auto"/>
        <w:bottom w:val="none" w:sz="0" w:space="0" w:color="auto"/>
        <w:right w:val="none" w:sz="0" w:space="0" w:color="auto"/>
      </w:divBdr>
    </w:div>
    <w:div w:id="1226799568">
      <w:marLeft w:val="0"/>
      <w:marRight w:val="0"/>
      <w:marTop w:val="120"/>
      <w:marBottom w:val="0"/>
      <w:divBdr>
        <w:top w:val="none" w:sz="0" w:space="0" w:color="auto"/>
        <w:left w:val="none" w:sz="0" w:space="0" w:color="auto"/>
        <w:bottom w:val="none" w:sz="0" w:space="0" w:color="auto"/>
        <w:right w:val="none" w:sz="0" w:space="0" w:color="auto"/>
      </w:divBdr>
    </w:div>
    <w:div w:id="1227689783">
      <w:marLeft w:val="0"/>
      <w:marRight w:val="0"/>
      <w:marTop w:val="240"/>
      <w:marBottom w:val="0"/>
      <w:divBdr>
        <w:top w:val="none" w:sz="0" w:space="0" w:color="auto"/>
        <w:left w:val="none" w:sz="0" w:space="0" w:color="auto"/>
        <w:bottom w:val="none" w:sz="0" w:space="0" w:color="auto"/>
        <w:right w:val="none" w:sz="0" w:space="0" w:color="auto"/>
      </w:divBdr>
    </w:div>
    <w:div w:id="1228226714">
      <w:marLeft w:val="0"/>
      <w:marRight w:val="0"/>
      <w:marTop w:val="120"/>
      <w:marBottom w:val="120"/>
      <w:divBdr>
        <w:top w:val="none" w:sz="0" w:space="0" w:color="auto"/>
        <w:left w:val="none" w:sz="0" w:space="0" w:color="auto"/>
        <w:bottom w:val="none" w:sz="0" w:space="0" w:color="auto"/>
        <w:right w:val="none" w:sz="0" w:space="0" w:color="auto"/>
      </w:divBdr>
    </w:div>
    <w:div w:id="1232275308">
      <w:marLeft w:val="0"/>
      <w:marRight w:val="0"/>
      <w:marTop w:val="0"/>
      <w:marBottom w:val="0"/>
      <w:divBdr>
        <w:top w:val="none" w:sz="0" w:space="0" w:color="auto"/>
        <w:left w:val="none" w:sz="0" w:space="0" w:color="auto"/>
        <w:bottom w:val="none" w:sz="0" w:space="0" w:color="auto"/>
        <w:right w:val="none" w:sz="0" w:space="0" w:color="auto"/>
      </w:divBdr>
    </w:div>
    <w:div w:id="1235431373">
      <w:marLeft w:val="0"/>
      <w:marRight w:val="0"/>
      <w:marTop w:val="0"/>
      <w:marBottom w:val="0"/>
      <w:divBdr>
        <w:top w:val="none" w:sz="0" w:space="0" w:color="auto"/>
        <w:left w:val="none" w:sz="0" w:space="0" w:color="auto"/>
        <w:bottom w:val="none" w:sz="0" w:space="0" w:color="auto"/>
        <w:right w:val="none" w:sz="0" w:space="0" w:color="auto"/>
      </w:divBdr>
      <w:divsChild>
        <w:div w:id="1054354680">
          <w:marLeft w:val="0"/>
          <w:marRight w:val="0"/>
          <w:marTop w:val="0"/>
          <w:marBottom w:val="0"/>
          <w:divBdr>
            <w:top w:val="none" w:sz="0" w:space="0" w:color="auto"/>
            <w:left w:val="none" w:sz="0" w:space="0" w:color="auto"/>
            <w:bottom w:val="none" w:sz="0" w:space="0" w:color="auto"/>
            <w:right w:val="none" w:sz="0" w:space="0" w:color="auto"/>
          </w:divBdr>
        </w:div>
      </w:divsChild>
    </w:div>
    <w:div w:id="1237128760">
      <w:marLeft w:val="0"/>
      <w:marRight w:val="0"/>
      <w:marTop w:val="240"/>
      <w:marBottom w:val="120"/>
      <w:divBdr>
        <w:top w:val="none" w:sz="0" w:space="0" w:color="auto"/>
        <w:left w:val="none" w:sz="0" w:space="0" w:color="auto"/>
        <w:bottom w:val="none" w:sz="0" w:space="0" w:color="auto"/>
        <w:right w:val="none" w:sz="0" w:space="0" w:color="auto"/>
      </w:divBdr>
    </w:div>
    <w:div w:id="1240335950">
      <w:marLeft w:val="0"/>
      <w:marRight w:val="0"/>
      <w:marTop w:val="0"/>
      <w:marBottom w:val="0"/>
      <w:divBdr>
        <w:top w:val="none" w:sz="0" w:space="0" w:color="auto"/>
        <w:left w:val="none" w:sz="0" w:space="0" w:color="auto"/>
        <w:bottom w:val="none" w:sz="0" w:space="0" w:color="auto"/>
        <w:right w:val="none" w:sz="0" w:space="0" w:color="auto"/>
      </w:divBdr>
      <w:divsChild>
        <w:div w:id="1606619369">
          <w:marLeft w:val="0"/>
          <w:marRight w:val="0"/>
          <w:marTop w:val="0"/>
          <w:marBottom w:val="0"/>
          <w:divBdr>
            <w:top w:val="none" w:sz="0" w:space="0" w:color="auto"/>
            <w:left w:val="none" w:sz="0" w:space="0" w:color="auto"/>
            <w:bottom w:val="none" w:sz="0" w:space="0" w:color="auto"/>
            <w:right w:val="none" w:sz="0" w:space="0" w:color="auto"/>
          </w:divBdr>
        </w:div>
      </w:divsChild>
    </w:div>
    <w:div w:id="1249198608">
      <w:marLeft w:val="0"/>
      <w:marRight w:val="0"/>
      <w:marTop w:val="120"/>
      <w:marBottom w:val="120"/>
      <w:divBdr>
        <w:top w:val="none" w:sz="0" w:space="0" w:color="auto"/>
        <w:left w:val="none" w:sz="0" w:space="0" w:color="auto"/>
        <w:bottom w:val="none" w:sz="0" w:space="0" w:color="auto"/>
        <w:right w:val="none" w:sz="0" w:space="0" w:color="auto"/>
      </w:divBdr>
    </w:div>
    <w:div w:id="1249730168">
      <w:marLeft w:val="0"/>
      <w:marRight w:val="0"/>
      <w:marTop w:val="0"/>
      <w:marBottom w:val="0"/>
      <w:divBdr>
        <w:top w:val="none" w:sz="0" w:space="0" w:color="auto"/>
        <w:left w:val="none" w:sz="0" w:space="0" w:color="auto"/>
        <w:bottom w:val="none" w:sz="0" w:space="0" w:color="auto"/>
        <w:right w:val="none" w:sz="0" w:space="0" w:color="auto"/>
      </w:divBdr>
    </w:div>
    <w:div w:id="1261186683">
      <w:marLeft w:val="0"/>
      <w:marRight w:val="0"/>
      <w:marTop w:val="120"/>
      <w:marBottom w:val="120"/>
      <w:divBdr>
        <w:top w:val="none" w:sz="0" w:space="0" w:color="auto"/>
        <w:left w:val="none" w:sz="0" w:space="0" w:color="auto"/>
        <w:bottom w:val="none" w:sz="0" w:space="0" w:color="auto"/>
        <w:right w:val="none" w:sz="0" w:space="0" w:color="auto"/>
      </w:divBdr>
    </w:div>
    <w:div w:id="1262950118">
      <w:marLeft w:val="0"/>
      <w:marRight w:val="0"/>
      <w:marTop w:val="120"/>
      <w:marBottom w:val="0"/>
      <w:divBdr>
        <w:top w:val="none" w:sz="0" w:space="0" w:color="auto"/>
        <w:left w:val="none" w:sz="0" w:space="0" w:color="auto"/>
        <w:bottom w:val="none" w:sz="0" w:space="0" w:color="auto"/>
        <w:right w:val="none" w:sz="0" w:space="0" w:color="auto"/>
      </w:divBdr>
    </w:div>
    <w:div w:id="1263687690">
      <w:marLeft w:val="0"/>
      <w:marRight w:val="0"/>
      <w:marTop w:val="120"/>
      <w:marBottom w:val="0"/>
      <w:divBdr>
        <w:top w:val="none" w:sz="0" w:space="0" w:color="auto"/>
        <w:left w:val="none" w:sz="0" w:space="0" w:color="auto"/>
        <w:bottom w:val="none" w:sz="0" w:space="0" w:color="auto"/>
        <w:right w:val="none" w:sz="0" w:space="0" w:color="auto"/>
      </w:divBdr>
    </w:div>
    <w:div w:id="1266617278">
      <w:marLeft w:val="0"/>
      <w:marRight w:val="0"/>
      <w:marTop w:val="0"/>
      <w:marBottom w:val="0"/>
      <w:divBdr>
        <w:top w:val="none" w:sz="0" w:space="0" w:color="auto"/>
        <w:left w:val="none" w:sz="0" w:space="0" w:color="auto"/>
        <w:bottom w:val="none" w:sz="0" w:space="0" w:color="auto"/>
        <w:right w:val="none" w:sz="0" w:space="0" w:color="auto"/>
      </w:divBdr>
      <w:divsChild>
        <w:div w:id="244538660">
          <w:marLeft w:val="0"/>
          <w:marRight w:val="0"/>
          <w:marTop w:val="0"/>
          <w:marBottom w:val="0"/>
          <w:divBdr>
            <w:top w:val="none" w:sz="0" w:space="0" w:color="auto"/>
            <w:left w:val="none" w:sz="0" w:space="0" w:color="auto"/>
            <w:bottom w:val="none" w:sz="0" w:space="0" w:color="auto"/>
            <w:right w:val="none" w:sz="0" w:space="0" w:color="auto"/>
          </w:divBdr>
        </w:div>
      </w:divsChild>
    </w:div>
    <w:div w:id="1270702345">
      <w:marLeft w:val="0"/>
      <w:marRight w:val="0"/>
      <w:marTop w:val="120"/>
      <w:marBottom w:val="0"/>
      <w:divBdr>
        <w:top w:val="none" w:sz="0" w:space="0" w:color="auto"/>
        <w:left w:val="none" w:sz="0" w:space="0" w:color="auto"/>
        <w:bottom w:val="none" w:sz="0" w:space="0" w:color="auto"/>
        <w:right w:val="none" w:sz="0" w:space="0" w:color="auto"/>
      </w:divBdr>
    </w:div>
    <w:div w:id="1275944933">
      <w:marLeft w:val="0"/>
      <w:marRight w:val="0"/>
      <w:marTop w:val="120"/>
      <w:marBottom w:val="120"/>
      <w:divBdr>
        <w:top w:val="none" w:sz="0" w:space="0" w:color="auto"/>
        <w:left w:val="none" w:sz="0" w:space="0" w:color="auto"/>
        <w:bottom w:val="none" w:sz="0" w:space="0" w:color="auto"/>
        <w:right w:val="none" w:sz="0" w:space="0" w:color="auto"/>
      </w:divBdr>
    </w:div>
    <w:div w:id="1279340330">
      <w:marLeft w:val="0"/>
      <w:marRight w:val="0"/>
      <w:marTop w:val="0"/>
      <w:marBottom w:val="0"/>
      <w:divBdr>
        <w:top w:val="none" w:sz="0" w:space="0" w:color="auto"/>
        <w:left w:val="none" w:sz="0" w:space="0" w:color="auto"/>
        <w:bottom w:val="none" w:sz="0" w:space="0" w:color="auto"/>
        <w:right w:val="none" w:sz="0" w:space="0" w:color="auto"/>
      </w:divBdr>
    </w:div>
    <w:div w:id="1279486296">
      <w:marLeft w:val="0"/>
      <w:marRight w:val="0"/>
      <w:marTop w:val="0"/>
      <w:marBottom w:val="0"/>
      <w:divBdr>
        <w:top w:val="none" w:sz="0" w:space="0" w:color="auto"/>
        <w:left w:val="none" w:sz="0" w:space="0" w:color="auto"/>
        <w:bottom w:val="none" w:sz="0" w:space="0" w:color="auto"/>
        <w:right w:val="none" w:sz="0" w:space="0" w:color="auto"/>
      </w:divBdr>
    </w:div>
    <w:div w:id="1296255580">
      <w:marLeft w:val="0"/>
      <w:marRight w:val="0"/>
      <w:marTop w:val="120"/>
      <w:marBottom w:val="0"/>
      <w:divBdr>
        <w:top w:val="none" w:sz="0" w:space="0" w:color="auto"/>
        <w:left w:val="none" w:sz="0" w:space="0" w:color="auto"/>
        <w:bottom w:val="none" w:sz="0" w:space="0" w:color="auto"/>
        <w:right w:val="none" w:sz="0" w:space="0" w:color="auto"/>
      </w:divBdr>
    </w:div>
    <w:div w:id="1298411655">
      <w:marLeft w:val="0"/>
      <w:marRight w:val="0"/>
      <w:marTop w:val="0"/>
      <w:marBottom w:val="0"/>
      <w:divBdr>
        <w:top w:val="none" w:sz="0" w:space="0" w:color="auto"/>
        <w:left w:val="none" w:sz="0" w:space="0" w:color="auto"/>
        <w:bottom w:val="none" w:sz="0" w:space="0" w:color="auto"/>
        <w:right w:val="none" w:sz="0" w:space="0" w:color="auto"/>
      </w:divBdr>
      <w:divsChild>
        <w:div w:id="1232735882">
          <w:marLeft w:val="0"/>
          <w:marRight w:val="0"/>
          <w:marTop w:val="0"/>
          <w:marBottom w:val="0"/>
          <w:divBdr>
            <w:top w:val="none" w:sz="0" w:space="0" w:color="auto"/>
            <w:left w:val="none" w:sz="0" w:space="0" w:color="auto"/>
            <w:bottom w:val="none" w:sz="0" w:space="0" w:color="auto"/>
            <w:right w:val="none" w:sz="0" w:space="0" w:color="auto"/>
          </w:divBdr>
        </w:div>
      </w:divsChild>
    </w:div>
    <w:div w:id="1299460513">
      <w:marLeft w:val="0"/>
      <w:marRight w:val="0"/>
      <w:marTop w:val="120"/>
      <w:marBottom w:val="0"/>
      <w:divBdr>
        <w:top w:val="none" w:sz="0" w:space="0" w:color="auto"/>
        <w:left w:val="none" w:sz="0" w:space="0" w:color="auto"/>
        <w:bottom w:val="none" w:sz="0" w:space="0" w:color="auto"/>
        <w:right w:val="none" w:sz="0" w:space="0" w:color="auto"/>
      </w:divBdr>
    </w:div>
    <w:div w:id="1303580242">
      <w:marLeft w:val="0"/>
      <w:marRight w:val="0"/>
      <w:marTop w:val="120"/>
      <w:marBottom w:val="0"/>
      <w:divBdr>
        <w:top w:val="none" w:sz="0" w:space="0" w:color="auto"/>
        <w:left w:val="none" w:sz="0" w:space="0" w:color="auto"/>
        <w:bottom w:val="none" w:sz="0" w:space="0" w:color="auto"/>
        <w:right w:val="none" w:sz="0" w:space="0" w:color="auto"/>
      </w:divBdr>
    </w:div>
    <w:div w:id="1307511116">
      <w:marLeft w:val="0"/>
      <w:marRight w:val="0"/>
      <w:marTop w:val="120"/>
      <w:marBottom w:val="0"/>
      <w:divBdr>
        <w:top w:val="none" w:sz="0" w:space="0" w:color="auto"/>
        <w:left w:val="none" w:sz="0" w:space="0" w:color="auto"/>
        <w:bottom w:val="none" w:sz="0" w:space="0" w:color="auto"/>
        <w:right w:val="none" w:sz="0" w:space="0" w:color="auto"/>
      </w:divBdr>
    </w:div>
    <w:div w:id="1310134367">
      <w:marLeft w:val="0"/>
      <w:marRight w:val="0"/>
      <w:marTop w:val="120"/>
      <w:marBottom w:val="120"/>
      <w:divBdr>
        <w:top w:val="none" w:sz="0" w:space="0" w:color="auto"/>
        <w:left w:val="none" w:sz="0" w:space="0" w:color="auto"/>
        <w:bottom w:val="none" w:sz="0" w:space="0" w:color="auto"/>
        <w:right w:val="none" w:sz="0" w:space="0" w:color="auto"/>
      </w:divBdr>
    </w:div>
    <w:div w:id="1311322905">
      <w:marLeft w:val="0"/>
      <w:marRight w:val="0"/>
      <w:marTop w:val="0"/>
      <w:marBottom w:val="0"/>
      <w:divBdr>
        <w:top w:val="none" w:sz="0" w:space="0" w:color="auto"/>
        <w:left w:val="none" w:sz="0" w:space="0" w:color="auto"/>
        <w:bottom w:val="none" w:sz="0" w:space="0" w:color="auto"/>
        <w:right w:val="none" w:sz="0" w:space="0" w:color="auto"/>
      </w:divBdr>
      <w:divsChild>
        <w:div w:id="697119840">
          <w:marLeft w:val="0"/>
          <w:marRight w:val="0"/>
          <w:marTop w:val="0"/>
          <w:marBottom w:val="0"/>
          <w:divBdr>
            <w:top w:val="none" w:sz="0" w:space="0" w:color="auto"/>
            <w:left w:val="none" w:sz="0" w:space="0" w:color="auto"/>
            <w:bottom w:val="none" w:sz="0" w:space="0" w:color="auto"/>
            <w:right w:val="none" w:sz="0" w:space="0" w:color="auto"/>
          </w:divBdr>
        </w:div>
      </w:divsChild>
    </w:div>
    <w:div w:id="1311521585">
      <w:marLeft w:val="0"/>
      <w:marRight w:val="0"/>
      <w:marTop w:val="120"/>
      <w:marBottom w:val="0"/>
      <w:divBdr>
        <w:top w:val="none" w:sz="0" w:space="0" w:color="auto"/>
        <w:left w:val="none" w:sz="0" w:space="0" w:color="auto"/>
        <w:bottom w:val="none" w:sz="0" w:space="0" w:color="auto"/>
        <w:right w:val="none" w:sz="0" w:space="0" w:color="auto"/>
      </w:divBdr>
    </w:div>
    <w:div w:id="1313829647">
      <w:marLeft w:val="0"/>
      <w:marRight w:val="0"/>
      <w:marTop w:val="0"/>
      <w:marBottom w:val="0"/>
      <w:divBdr>
        <w:top w:val="none" w:sz="0" w:space="0" w:color="auto"/>
        <w:left w:val="none" w:sz="0" w:space="0" w:color="auto"/>
        <w:bottom w:val="none" w:sz="0" w:space="0" w:color="auto"/>
        <w:right w:val="none" w:sz="0" w:space="0" w:color="auto"/>
      </w:divBdr>
      <w:divsChild>
        <w:div w:id="1702901903">
          <w:marLeft w:val="0"/>
          <w:marRight w:val="0"/>
          <w:marTop w:val="0"/>
          <w:marBottom w:val="0"/>
          <w:divBdr>
            <w:top w:val="none" w:sz="0" w:space="0" w:color="auto"/>
            <w:left w:val="none" w:sz="0" w:space="0" w:color="auto"/>
            <w:bottom w:val="none" w:sz="0" w:space="0" w:color="auto"/>
            <w:right w:val="none" w:sz="0" w:space="0" w:color="auto"/>
          </w:divBdr>
        </w:div>
      </w:divsChild>
    </w:div>
    <w:div w:id="1313942731">
      <w:marLeft w:val="0"/>
      <w:marRight w:val="0"/>
      <w:marTop w:val="240"/>
      <w:marBottom w:val="0"/>
      <w:divBdr>
        <w:top w:val="none" w:sz="0" w:space="0" w:color="auto"/>
        <w:left w:val="none" w:sz="0" w:space="0" w:color="auto"/>
        <w:bottom w:val="none" w:sz="0" w:space="0" w:color="auto"/>
        <w:right w:val="none" w:sz="0" w:space="0" w:color="auto"/>
      </w:divBdr>
    </w:div>
    <w:div w:id="1328288680">
      <w:marLeft w:val="0"/>
      <w:marRight w:val="0"/>
      <w:marTop w:val="0"/>
      <w:marBottom w:val="0"/>
      <w:divBdr>
        <w:top w:val="none" w:sz="0" w:space="0" w:color="auto"/>
        <w:left w:val="none" w:sz="0" w:space="0" w:color="auto"/>
        <w:bottom w:val="none" w:sz="0" w:space="0" w:color="auto"/>
        <w:right w:val="none" w:sz="0" w:space="0" w:color="auto"/>
      </w:divBdr>
      <w:divsChild>
        <w:div w:id="1408116550">
          <w:marLeft w:val="0"/>
          <w:marRight w:val="0"/>
          <w:marTop w:val="0"/>
          <w:marBottom w:val="0"/>
          <w:divBdr>
            <w:top w:val="none" w:sz="0" w:space="0" w:color="auto"/>
            <w:left w:val="none" w:sz="0" w:space="0" w:color="auto"/>
            <w:bottom w:val="none" w:sz="0" w:space="0" w:color="auto"/>
            <w:right w:val="none" w:sz="0" w:space="0" w:color="auto"/>
          </w:divBdr>
        </w:div>
      </w:divsChild>
    </w:div>
    <w:div w:id="1328826184">
      <w:marLeft w:val="0"/>
      <w:marRight w:val="0"/>
      <w:marTop w:val="120"/>
      <w:marBottom w:val="0"/>
      <w:divBdr>
        <w:top w:val="none" w:sz="0" w:space="0" w:color="auto"/>
        <w:left w:val="none" w:sz="0" w:space="0" w:color="auto"/>
        <w:bottom w:val="none" w:sz="0" w:space="0" w:color="auto"/>
        <w:right w:val="none" w:sz="0" w:space="0" w:color="auto"/>
      </w:divBdr>
    </w:div>
    <w:div w:id="1331062963">
      <w:marLeft w:val="0"/>
      <w:marRight w:val="0"/>
      <w:marTop w:val="0"/>
      <w:marBottom w:val="0"/>
      <w:divBdr>
        <w:top w:val="none" w:sz="0" w:space="0" w:color="auto"/>
        <w:left w:val="none" w:sz="0" w:space="0" w:color="auto"/>
        <w:bottom w:val="none" w:sz="0" w:space="0" w:color="auto"/>
        <w:right w:val="none" w:sz="0" w:space="0" w:color="auto"/>
      </w:divBdr>
      <w:divsChild>
        <w:div w:id="399364">
          <w:marLeft w:val="0"/>
          <w:marRight w:val="0"/>
          <w:marTop w:val="0"/>
          <w:marBottom w:val="0"/>
          <w:divBdr>
            <w:top w:val="none" w:sz="0" w:space="0" w:color="auto"/>
            <w:left w:val="none" w:sz="0" w:space="0" w:color="auto"/>
            <w:bottom w:val="none" w:sz="0" w:space="0" w:color="auto"/>
            <w:right w:val="none" w:sz="0" w:space="0" w:color="auto"/>
          </w:divBdr>
        </w:div>
      </w:divsChild>
    </w:div>
    <w:div w:id="1334262028">
      <w:marLeft w:val="0"/>
      <w:marRight w:val="0"/>
      <w:marTop w:val="0"/>
      <w:marBottom w:val="0"/>
      <w:divBdr>
        <w:top w:val="none" w:sz="0" w:space="0" w:color="auto"/>
        <w:left w:val="none" w:sz="0" w:space="0" w:color="auto"/>
        <w:bottom w:val="none" w:sz="0" w:space="0" w:color="auto"/>
        <w:right w:val="none" w:sz="0" w:space="0" w:color="auto"/>
      </w:divBdr>
      <w:divsChild>
        <w:div w:id="1119182663">
          <w:marLeft w:val="0"/>
          <w:marRight w:val="0"/>
          <w:marTop w:val="0"/>
          <w:marBottom w:val="0"/>
          <w:divBdr>
            <w:top w:val="none" w:sz="0" w:space="0" w:color="auto"/>
            <w:left w:val="none" w:sz="0" w:space="0" w:color="auto"/>
            <w:bottom w:val="none" w:sz="0" w:space="0" w:color="auto"/>
            <w:right w:val="none" w:sz="0" w:space="0" w:color="auto"/>
          </w:divBdr>
        </w:div>
      </w:divsChild>
    </w:div>
    <w:div w:id="1338845596">
      <w:marLeft w:val="0"/>
      <w:marRight w:val="0"/>
      <w:marTop w:val="120"/>
      <w:marBottom w:val="120"/>
      <w:divBdr>
        <w:top w:val="none" w:sz="0" w:space="0" w:color="auto"/>
        <w:left w:val="none" w:sz="0" w:space="0" w:color="auto"/>
        <w:bottom w:val="none" w:sz="0" w:space="0" w:color="auto"/>
        <w:right w:val="none" w:sz="0" w:space="0" w:color="auto"/>
      </w:divBdr>
    </w:div>
    <w:div w:id="1342197956">
      <w:marLeft w:val="0"/>
      <w:marRight w:val="0"/>
      <w:marTop w:val="240"/>
      <w:marBottom w:val="120"/>
      <w:divBdr>
        <w:top w:val="none" w:sz="0" w:space="0" w:color="auto"/>
        <w:left w:val="none" w:sz="0" w:space="0" w:color="auto"/>
        <w:bottom w:val="none" w:sz="0" w:space="0" w:color="auto"/>
        <w:right w:val="none" w:sz="0" w:space="0" w:color="auto"/>
      </w:divBdr>
    </w:div>
    <w:div w:id="1344282614">
      <w:marLeft w:val="0"/>
      <w:marRight w:val="0"/>
      <w:marTop w:val="0"/>
      <w:marBottom w:val="120"/>
      <w:divBdr>
        <w:top w:val="none" w:sz="0" w:space="0" w:color="auto"/>
        <w:left w:val="none" w:sz="0" w:space="0" w:color="auto"/>
        <w:bottom w:val="none" w:sz="0" w:space="0" w:color="auto"/>
        <w:right w:val="none" w:sz="0" w:space="0" w:color="auto"/>
      </w:divBdr>
      <w:divsChild>
        <w:div w:id="28722168">
          <w:marLeft w:val="0"/>
          <w:marRight w:val="0"/>
          <w:marTop w:val="120"/>
          <w:marBottom w:val="0"/>
          <w:divBdr>
            <w:top w:val="none" w:sz="0" w:space="0" w:color="auto"/>
            <w:left w:val="none" w:sz="0" w:space="0" w:color="auto"/>
            <w:bottom w:val="none" w:sz="0" w:space="0" w:color="auto"/>
            <w:right w:val="none" w:sz="0" w:space="0" w:color="auto"/>
          </w:divBdr>
        </w:div>
      </w:divsChild>
    </w:div>
    <w:div w:id="1345522173">
      <w:marLeft w:val="0"/>
      <w:marRight w:val="0"/>
      <w:marTop w:val="120"/>
      <w:marBottom w:val="120"/>
      <w:divBdr>
        <w:top w:val="none" w:sz="0" w:space="0" w:color="auto"/>
        <w:left w:val="none" w:sz="0" w:space="0" w:color="auto"/>
        <w:bottom w:val="none" w:sz="0" w:space="0" w:color="auto"/>
        <w:right w:val="none" w:sz="0" w:space="0" w:color="auto"/>
      </w:divBdr>
    </w:div>
    <w:div w:id="1350373343">
      <w:marLeft w:val="0"/>
      <w:marRight w:val="0"/>
      <w:marTop w:val="120"/>
      <w:marBottom w:val="0"/>
      <w:divBdr>
        <w:top w:val="none" w:sz="0" w:space="0" w:color="auto"/>
        <w:left w:val="none" w:sz="0" w:space="0" w:color="auto"/>
        <w:bottom w:val="none" w:sz="0" w:space="0" w:color="auto"/>
        <w:right w:val="none" w:sz="0" w:space="0" w:color="auto"/>
      </w:divBdr>
    </w:div>
    <w:div w:id="1352759345">
      <w:marLeft w:val="0"/>
      <w:marRight w:val="0"/>
      <w:marTop w:val="120"/>
      <w:marBottom w:val="0"/>
      <w:divBdr>
        <w:top w:val="none" w:sz="0" w:space="0" w:color="auto"/>
        <w:left w:val="none" w:sz="0" w:space="0" w:color="auto"/>
        <w:bottom w:val="none" w:sz="0" w:space="0" w:color="auto"/>
        <w:right w:val="none" w:sz="0" w:space="0" w:color="auto"/>
      </w:divBdr>
    </w:div>
    <w:div w:id="1356420559">
      <w:marLeft w:val="0"/>
      <w:marRight w:val="0"/>
      <w:marTop w:val="120"/>
      <w:marBottom w:val="120"/>
      <w:divBdr>
        <w:top w:val="none" w:sz="0" w:space="0" w:color="auto"/>
        <w:left w:val="none" w:sz="0" w:space="0" w:color="auto"/>
        <w:bottom w:val="none" w:sz="0" w:space="0" w:color="auto"/>
        <w:right w:val="none" w:sz="0" w:space="0" w:color="auto"/>
      </w:divBdr>
    </w:div>
    <w:div w:id="1358653677">
      <w:marLeft w:val="0"/>
      <w:marRight w:val="0"/>
      <w:marTop w:val="0"/>
      <w:marBottom w:val="0"/>
      <w:divBdr>
        <w:top w:val="none" w:sz="0" w:space="0" w:color="auto"/>
        <w:left w:val="none" w:sz="0" w:space="0" w:color="auto"/>
        <w:bottom w:val="none" w:sz="0" w:space="0" w:color="auto"/>
        <w:right w:val="none" w:sz="0" w:space="0" w:color="auto"/>
      </w:divBdr>
      <w:divsChild>
        <w:div w:id="1594045432">
          <w:marLeft w:val="0"/>
          <w:marRight w:val="0"/>
          <w:marTop w:val="0"/>
          <w:marBottom w:val="0"/>
          <w:divBdr>
            <w:top w:val="none" w:sz="0" w:space="0" w:color="auto"/>
            <w:left w:val="none" w:sz="0" w:space="0" w:color="auto"/>
            <w:bottom w:val="none" w:sz="0" w:space="0" w:color="auto"/>
            <w:right w:val="none" w:sz="0" w:space="0" w:color="auto"/>
          </w:divBdr>
        </w:div>
      </w:divsChild>
    </w:div>
    <w:div w:id="1364209485">
      <w:marLeft w:val="0"/>
      <w:marRight w:val="0"/>
      <w:marTop w:val="0"/>
      <w:marBottom w:val="0"/>
      <w:divBdr>
        <w:top w:val="none" w:sz="0" w:space="0" w:color="auto"/>
        <w:left w:val="none" w:sz="0" w:space="0" w:color="auto"/>
        <w:bottom w:val="none" w:sz="0" w:space="0" w:color="auto"/>
        <w:right w:val="none" w:sz="0" w:space="0" w:color="auto"/>
      </w:divBdr>
      <w:divsChild>
        <w:div w:id="488326117">
          <w:marLeft w:val="0"/>
          <w:marRight w:val="0"/>
          <w:marTop w:val="0"/>
          <w:marBottom w:val="0"/>
          <w:divBdr>
            <w:top w:val="none" w:sz="0" w:space="0" w:color="auto"/>
            <w:left w:val="none" w:sz="0" w:space="0" w:color="auto"/>
            <w:bottom w:val="none" w:sz="0" w:space="0" w:color="auto"/>
            <w:right w:val="none" w:sz="0" w:space="0" w:color="auto"/>
          </w:divBdr>
        </w:div>
      </w:divsChild>
    </w:div>
    <w:div w:id="1366760451">
      <w:marLeft w:val="0"/>
      <w:marRight w:val="0"/>
      <w:marTop w:val="120"/>
      <w:marBottom w:val="0"/>
      <w:divBdr>
        <w:top w:val="none" w:sz="0" w:space="0" w:color="auto"/>
        <w:left w:val="none" w:sz="0" w:space="0" w:color="auto"/>
        <w:bottom w:val="none" w:sz="0" w:space="0" w:color="auto"/>
        <w:right w:val="none" w:sz="0" w:space="0" w:color="auto"/>
      </w:divBdr>
    </w:div>
    <w:div w:id="1368022548">
      <w:marLeft w:val="0"/>
      <w:marRight w:val="0"/>
      <w:marTop w:val="120"/>
      <w:marBottom w:val="0"/>
      <w:divBdr>
        <w:top w:val="none" w:sz="0" w:space="0" w:color="auto"/>
        <w:left w:val="none" w:sz="0" w:space="0" w:color="auto"/>
        <w:bottom w:val="none" w:sz="0" w:space="0" w:color="auto"/>
        <w:right w:val="none" w:sz="0" w:space="0" w:color="auto"/>
      </w:divBdr>
    </w:div>
    <w:div w:id="1369136714">
      <w:marLeft w:val="0"/>
      <w:marRight w:val="0"/>
      <w:marTop w:val="120"/>
      <w:marBottom w:val="0"/>
      <w:divBdr>
        <w:top w:val="none" w:sz="0" w:space="0" w:color="auto"/>
        <w:left w:val="none" w:sz="0" w:space="0" w:color="auto"/>
        <w:bottom w:val="none" w:sz="0" w:space="0" w:color="auto"/>
        <w:right w:val="none" w:sz="0" w:space="0" w:color="auto"/>
      </w:divBdr>
    </w:div>
    <w:div w:id="1370297573">
      <w:marLeft w:val="0"/>
      <w:marRight w:val="0"/>
      <w:marTop w:val="120"/>
      <w:marBottom w:val="0"/>
      <w:divBdr>
        <w:top w:val="none" w:sz="0" w:space="0" w:color="auto"/>
        <w:left w:val="none" w:sz="0" w:space="0" w:color="auto"/>
        <w:bottom w:val="none" w:sz="0" w:space="0" w:color="auto"/>
        <w:right w:val="none" w:sz="0" w:space="0" w:color="auto"/>
      </w:divBdr>
    </w:div>
    <w:div w:id="1371145516">
      <w:marLeft w:val="0"/>
      <w:marRight w:val="0"/>
      <w:marTop w:val="0"/>
      <w:marBottom w:val="0"/>
      <w:divBdr>
        <w:top w:val="none" w:sz="0" w:space="0" w:color="auto"/>
        <w:left w:val="none" w:sz="0" w:space="0" w:color="auto"/>
        <w:bottom w:val="none" w:sz="0" w:space="0" w:color="auto"/>
        <w:right w:val="none" w:sz="0" w:space="0" w:color="auto"/>
      </w:divBdr>
    </w:div>
    <w:div w:id="1371685529">
      <w:marLeft w:val="0"/>
      <w:marRight w:val="0"/>
      <w:marTop w:val="120"/>
      <w:marBottom w:val="0"/>
      <w:divBdr>
        <w:top w:val="none" w:sz="0" w:space="0" w:color="auto"/>
        <w:left w:val="none" w:sz="0" w:space="0" w:color="auto"/>
        <w:bottom w:val="none" w:sz="0" w:space="0" w:color="auto"/>
        <w:right w:val="none" w:sz="0" w:space="0" w:color="auto"/>
      </w:divBdr>
    </w:div>
    <w:div w:id="1379861878">
      <w:marLeft w:val="0"/>
      <w:marRight w:val="0"/>
      <w:marTop w:val="120"/>
      <w:marBottom w:val="0"/>
      <w:divBdr>
        <w:top w:val="none" w:sz="0" w:space="0" w:color="auto"/>
        <w:left w:val="none" w:sz="0" w:space="0" w:color="auto"/>
        <w:bottom w:val="none" w:sz="0" w:space="0" w:color="auto"/>
        <w:right w:val="none" w:sz="0" w:space="0" w:color="auto"/>
      </w:divBdr>
    </w:div>
    <w:div w:id="1386414242">
      <w:marLeft w:val="0"/>
      <w:marRight w:val="0"/>
      <w:marTop w:val="120"/>
      <w:marBottom w:val="120"/>
      <w:divBdr>
        <w:top w:val="none" w:sz="0" w:space="0" w:color="auto"/>
        <w:left w:val="none" w:sz="0" w:space="0" w:color="auto"/>
        <w:bottom w:val="none" w:sz="0" w:space="0" w:color="auto"/>
        <w:right w:val="none" w:sz="0" w:space="0" w:color="auto"/>
      </w:divBdr>
    </w:div>
    <w:div w:id="1391880427">
      <w:marLeft w:val="0"/>
      <w:marRight w:val="0"/>
      <w:marTop w:val="0"/>
      <w:marBottom w:val="0"/>
      <w:divBdr>
        <w:top w:val="none" w:sz="0" w:space="0" w:color="auto"/>
        <w:left w:val="none" w:sz="0" w:space="0" w:color="auto"/>
        <w:bottom w:val="none" w:sz="0" w:space="0" w:color="auto"/>
        <w:right w:val="none" w:sz="0" w:space="0" w:color="auto"/>
      </w:divBdr>
      <w:divsChild>
        <w:div w:id="74135241">
          <w:marLeft w:val="0"/>
          <w:marRight w:val="0"/>
          <w:marTop w:val="0"/>
          <w:marBottom w:val="0"/>
          <w:divBdr>
            <w:top w:val="none" w:sz="0" w:space="0" w:color="auto"/>
            <w:left w:val="none" w:sz="0" w:space="0" w:color="auto"/>
            <w:bottom w:val="none" w:sz="0" w:space="0" w:color="auto"/>
            <w:right w:val="none" w:sz="0" w:space="0" w:color="auto"/>
          </w:divBdr>
        </w:div>
      </w:divsChild>
    </w:div>
    <w:div w:id="1392071005">
      <w:marLeft w:val="0"/>
      <w:marRight w:val="0"/>
      <w:marTop w:val="120"/>
      <w:marBottom w:val="0"/>
      <w:divBdr>
        <w:top w:val="none" w:sz="0" w:space="0" w:color="auto"/>
        <w:left w:val="none" w:sz="0" w:space="0" w:color="auto"/>
        <w:bottom w:val="none" w:sz="0" w:space="0" w:color="auto"/>
        <w:right w:val="none" w:sz="0" w:space="0" w:color="auto"/>
      </w:divBdr>
    </w:div>
    <w:div w:id="1393194301">
      <w:marLeft w:val="0"/>
      <w:marRight w:val="0"/>
      <w:marTop w:val="120"/>
      <w:marBottom w:val="120"/>
      <w:divBdr>
        <w:top w:val="none" w:sz="0" w:space="0" w:color="auto"/>
        <w:left w:val="none" w:sz="0" w:space="0" w:color="auto"/>
        <w:bottom w:val="none" w:sz="0" w:space="0" w:color="auto"/>
        <w:right w:val="none" w:sz="0" w:space="0" w:color="auto"/>
      </w:divBdr>
    </w:div>
    <w:div w:id="1396734927">
      <w:marLeft w:val="0"/>
      <w:marRight w:val="0"/>
      <w:marTop w:val="120"/>
      <w:marBottom w:val="0"/>
      <w:divBdr>
        <w:top w:val="none" w:sz="0" w:space="0" w:color="auto"/>
        <w:left w:val="none" w:sz="0" w:space="0" w:color="auto"/>
        <w:bottom w:val="none" w:sz="0" w:space="0" w:color="auto"/>
        <w:right w:val="none" w:sz="0" w:space="0" w:color="auto"/>
      </w:divBdr>
    </w:div>
    <w:div w:id="1398625162">
      <w:marLeft w:val="0"/>
      <w:marRight w:val="0"/>
      <w:marTop w:val="0"/>
      <w:marBottom w:val="0"/>
      <w:divBdr>
        <w:top w:val="none" w:sz="0" w:space="0" w:color="auto"/>
        <w:left w:val="none" w:sz="0" w:space="0" w:color="auto"/>
        <w:bottom w:val="none" w:sz="0" w:space="0" w:color="auto"/>
        <w:right w:val="none" w:sz="0" w:space="0" w:color="auto"/>
      </w:divBdr>
    </w:div>
    <w:div w:id="1399014805">
      <w:marLeft w:val="0"/>
      <w:marRight w:val="0"/>
      <w:marTop w:val="120"/>
      <w:marBottom w:val="0"/>
      <w:divBdr>
        <w:top w:val="none" w:sz="0" w:space="0" w:color="auto"/>
        <w:left w:val="none" w:sz="0" w:space="0" w:color="auto"/>
        <w:bottom w:val="none" w:sz="0" w:space="0" w:color="auto"/>
        <w:right w:val="none" w:sz="0" w:space="0" w:color="auto"/>
      </w:divBdr>
    </w:div>
    <w:div w:id="1403992832">
      <w:marLeft w:val="0"/>
      <w:marRight w:val="0"/>
      <w:marTop w:val="120"/>
      <w:marBottom w:val="0"/>
      <w:divBdr>
        <w:top w:val="none" w:sz="0" w:space="0" w:color="auto"/>
        <w:left w:val="none" w:sz="0" w:space="0" w:color="auto"/>
        <w:bottom w:val="none" w:sz="0" w:space="0" w:color="auto"/>
        <w:right w:val="none" w:sz="0" w:space="0" w:color="auto"/>
      </w:divBdr>
    </w:div>
    <w:div w:id="1421101347">
      <w:marLeft w:val="0"/>
      <w:marRight w:val="0"/>
      <w:marTop w:val="120"/>
      <w:marBottom w:val="120"/>
      <w:divBdr>
        <w:top w:val="none" w:sz="0" w:space="0" w:color="auto"/>
        <w:left w:val="none" w:sz="0" w:space="0" w:color="auto"/>
        <w:bottom w:val="none" w:sz="0" w:space="0" w:color="auto"/>
        <w:right w:val="none" w:sz="0" w:space="0" w:color="auto"/>
      </w:divBdr>
    </w:div>
    <w:div w:id="1426262518">
      <w:marLeft w:val="0"/>
      <w:marRight w:val="0"/>
      <w:marTop w:val="120"/>
      <w:marBottom w:val="120"/>
      <w:divBdr>
        <w:top w:val="none" w:sz="0" w:space="0" w:color="auto"/>
        <w:left w:val="none" w:sz="0" w:space="0" w:color="auto"/>
        <w:bottom w:val="none" w:sz="0" w:space="0" w:color="auto"/>
        <w:right w:val="none" w:sz="0" w:space="0" w:color="auto"/>
      </w:divBdr>
    </w:div>
    <w:div w:id="1427728882">
      <w:marLeft w:val="0"/>
      <w:marRight w:val="0"/>
      <w:marTop w:val="120"/>
      <w:marBottom w:val="120"/>
      <w:divBdr>
        <w:top w:val="none" w:sz="0" w:space="0" w:color="auto"/>
        <w:left w:val="none" w:sz="0" w:space="0" w:color="auto"/>
        <w:bottom w:val="none" w:sz="0" w:space="0" w:color="auto"/>
        <w:right w:val="none" w:sz="0" w:space="0" w:color="auto"/>
      </w:divBdr>
    </w:div>
    <w:div w:id="1434205998">
      <w:marLeft w:val="0"/>
      <w:marRight w:val="0"/>
      <w:marTop w:val="0"/>
      <w:marBottom w:val="0"/>
      <w:divBdr>
        <w:top w:val="none" w:sz="0" w:space="0" w:color="auto"/>
        <w:left w:val="none" w:sz="0" w:space="0" w:color="auto"/>
        <w:bottom w:val="none" w:sz="0" w:space="0" w:color="auto"/>
        <w:right w:val="none" w:sz="0" w:space="0" w:color="auto"/>
      </w:divBdr>
      <w:divsChild>
        <w:div w:id="1388720247">
          <w:marLeft w:val="0"/>
          <w:marRight w:val="0"/>
          <w:marTop w:val="0"/>
          <w:marBottom w:val="0"/>
          <w:divBdr>
            <w:top w:val="none" w:sz="0" w:space="0" w:color="auto"/>
            <w:left w:val="none" w:sz="0" w:space="0" w:color="auto"/>
            <w:bottom w:val="none" w:sz="0" w:space="0" w:color="auto"/>
            <w:right w:val="none" w:sz="0" w:space="0" w:color="auto"/>
          </w:divBdr>
        </w:div>
      </w:divsChild>
    </w:div>
    <w:div w:id="1435203884">
      <w:marLeft w:val="0"/>
      <w:marRight w:val="0"/>
      <w:marTop w:val="0"/>
      <w:marBottom w:val="0"/>
      <w:divBdr>
        <w:top w:val="none" w:sz="0" w:space="0" w:color="auto"/>
        <w:left w:val="none" w:sz="0" w:space="0" w:color="auto"/>
        <w:bottom w:val="none" w:sz="0" w:space="0" w:color="auto"/>
        <w:right w:val="none" w:sz="0" w:space="0" w:color="auto"/>
      </w:divBdr>
    </w:div>
    <w:div w:id="1438981242">
      <w:marLeft w:val="0"/>
      <w:marRight w:val="0"/>
      <w:marTop w:val="0"/>
      <w:marBottom w:val="0"/>
      <w:divBdr>
        <w:top w:val="none" w:sz="0" w:space="0" w:color="auto"/>
        <w:left w:val="none" w:sz="0" w:space="0" w:color="auto"/>
        <w:bottom w:val="none" w:sz="0" w:space="0" w:color="auto"/>
        <w:right w:val="none" w:sz="0" w:space="0" w:color="auto"/>
      </w:divBdr>
    </w:div>
    <w:div w:id="1439833191">
      <w:marLeft w:val="0"/>
      <w:marRight w:val="0"/>
      <w:marTop w:val="0"/>
      <w:marBottom w:val="0"/>
      <w:divBdr>
        <w:top w:val="none" w:sz="0" w:space="0" w:color="auto"/>
        <w:left w:val="none" w:sz="0" w:space="0" w:color="auto"/>
        <w:bottom w:val="none" w:sz="0" w:space="0" w:color="auto"/>
        <w:right w:val="none" w:sz="0" w:space="0" w:color="auto"/>
      </w:divBdr>
    </w:div>
    <w:div w:id="1442842213">
      <w:marLeft w:val="0"/>
      <w:marRight w:val="0"/>
      <w:marTop w:val="0"/>
      <w:marBottom w:val="0"/>
      <w:divBdr>
        <w:top w:val="none" w:sz="0" w:space="0" w:color="auto"/>
        <w:left w:val="none" w:sz="0" w:space="0" w:color="auto"/>
        <w:bottom w:val="none" w:sz="0" w:space="0" w:color="auto"/>
        <w:right w:val="none" w:sz="0" w:space="0" w:color="auto"/>
      </w:divBdr>
    </w:div>
    <w:div w:id="1442871484">
      <w:marLeft w:val="0"/>
      <w:marRight w:val="0"/>
      <w:marTop w:val="120"/>
      <w:marBottom w:val="0"/>
      <w:divBdr>
        <w:top w:val="none" w:sz="0" w:space="0" w:color="auto"/>
        <w:left w:val="none" w:sz="0" w:space="0" w:color="auto"/>
        <w:bottom w:val="none" w:sz="0" w:space="0" w:color="auto"/>
        <w:right w:val="none" w:sz="0" w:space="0" w:color="auto"/>
      </w:divBdr>
    </w:div>
    <w:div w:id="1451313881">
      <w:marLeft w:val="0"/>
      <w:marRight w:val="0"/>
      <w:marTop w:val="0"/>
      <w:marBottom w:val="0"/>
      <w:divBdr>
        <w:top w:val="none" w:sz="0" w:space="0" w:color="auto"/>
        <w:left w:val="none" w:sz="0" w:space="0" w:color="auto"/>
        <w:bottom w:val="none" w:sz="0" w:space="0" w:color="auto"/>
        <w:right w:val="none" w:sz="0" w:space="0" w:color="auto"/>
      </w:divBdr>
      <w:divsChild>
        <w:div w:id="942303515">
          <w:marLeft w:val="0"/>
          <w:marRight w:val="0"/>
          <w:marTop w:val="0"/>
          <w:marBottom w:val="0"/>
          <w:divBdr>
            <w:top w:val="none" w:sz="0" w:space="0" w:color="auto"/>
            <w:left w:val="none" w:sz="0" w:space="0" w:color="auto"/>
            <w:bottom w:val="none" w:sz="0" w:space="0" w:color="auto"/>
            <w:right w:val="none" w:sz="0" w:space="0" w:color="auto"/>
          </w:divBdr>
        </w:div>
      </w:divsChild>
    </w:div>
    <w:div w:id="1451440518">
      <w:marLeft w:val="0"/>
      <w:marRight w:val="0"/>
      <w:marTop w:val="0"/>
      <w:marBottom w:val="0"/>
      <w:divBdr>
        <w:top w:val="none" w:sz="0" w:space="0" w:color="auto"/>
        <w:left w:val="none" w:sz="0" w:space="0" w:color="auto"/>
        <w:bottom w:val="none" w:sz="0" w:space="0" w:color="auto"/>
        <w:right w:val="none" w:sz="0" w:space="0" w:color="auto"/>
      </w:divBdr>
    </w:div>
    <w:div w:id="1456019357">
      <w:marLeft w:val="0"/>
      <w:marRight w:val="0"/>
      <w:marTop w:val="120"/>
      <w:marBottom w:val="0"/>
      <w:divBdr>
        <w:top w:val="none" w:sz="0" w:space="0" w:color="auto"/>
        <w:left w:val="none" w:sz="0" w:space="0" w:color="auto"/>
        <w:bottom w:val="none" w:sz="0" w:space="0" w:color="auto"/>
        <w:right w:val="none" w:sz="0" w:space="0" w:color="auto"/>
      </w:divBdr>
    </w:div>
    <w:div w:id="1457140973">
      <w:marLeft w:val="0"/>
      <w:marRight w:val="0"/>
      <w:marTop w:val="120"/>
      <w:marBottom w:val="120"/>
      <w:divBdr>
        <w:top w:val="none" w:sz="0" w:space="0" w:color="auto"/>
        <w:left w:val="none" w:sz="0" w:space="0" w:color="auto"/>
        <w:bottom w:val="none" w:sz="0" w:space="0" w:color="auto"/>
        <w:right w:val="none" w:sz="0" w:space="0" w:color="auto"/>
      </w:divBdr>
    </w:div>
    <w:div w:id="1461074776">
      <w:marLeft w:val="0"/>
      <w:marRight w:val="0"/>
      <w:marTop w:val="0"/>
      <w:marBottom w:val="0"/>
      <w:divBdr>
        <w:top w:val="none" w:sz="0" w:space="0" w:color="auto"/>
        <w:left w:val="none" w:sz="0" w:space="0" w:color="auto"/>
        <w:bottom w:val="none" w:sz="0" w:space="0" w:color="auto"/>
        <w:right w:val="none" w:sz="0" w:space="0" w:color="auto"/>
      </w:divBdr>
    </w:div>
    <w:div w:id="1464346146">
      <w:marLeft w:val="0"/>
      <w:marRight w:val="0"/>
      <w:marTop w:val="0"/>
      <w:marBottom w:val="0"/>
      <w:divBdr>
        <w:top w:val="none" w:sz="0" w:space="0" w:color="auto"/>
        <w:left w:val="none" w:sz="0" w:space="0" w:color="auto"/>
        <w:bottom w:val="none" w:sz="0" w:space="0" w:color="auto"/>
        <w:right w:val="none" w:sz="0" w:space="0" w:color="auto"/>
      </w:divBdr>
    </w:div>
    <w:div w:id="1474517510">
      <w:marLeft w:val="0"/>
      <w:marRight w:val="0"/>
      <w:marTop w:val="0"/>
      <w:marBottom w:val="0"/>
      <w:divBdr>
        <w:top w:val="none" w:sz="0" w:space="0" w:color="auto"/>
        <w:left w:val="none" w:sz="0" w:space="0" w:color="auto"/>
        <w:bottom w:val="none" w:sz="0" w:space="0" w:color="auto"/>
        <w:right w:val="none" w:sz="0" w:space="0" w:color="auto"/>
      </w:divBdr>
      <w:divsChild>
        <w:div w:id="1661807591">
          <w:marLeft w:val="0"/>
          <w:marRight w:val="0"/>
          <w:marTop w:val="0"/>
          <w:marBottom w:val="0"/>
          <w:divBdr>
            <w:top w:val="none" w:sz="0" w:space="0" w:color="auto"/>
            <w:left w:val="none" w:sz="0" w:space="0" w:color="auto"/>
            <w:bottom w:val="none" w:sz="0" w:space="0" w:color="auto"/>
            <w:right w:val="none" w:sz="0" w:space="0" w:color="auto"/>
          </w:divBdr>
        </w:div>
      </w:divsChild>
    </w:div>
    <w:div w:id="1485506422">
      <w:marLeft w:val="0"/>
      <w:marRight w:val="0"/>
      <w:marTop w:val="120"/>
      <w:marBottom w:val="120"/>
      <w:divBdr>
        <w:top w:val="none" w:sz="0" w:space="0" w:color="auto"/>
        <w:left w:val="none" w:sz="0" w:space="0" w:color="auto"/>
        <w:bottom w:val="none" w:sz="0" w:space="0" w:color="auto"/>
        <w:right w:val="none" w:sz="0" w:space="0" w:color="auto"/>
      </w:divBdr>
    </w:div>
    <w:div w:id="1485972097">
      <w:marLeft w:val="0"/>
      <w:marRight w:val="0"/>
      <w:marTop w:val="120"/>
      <w:marBottom w:val="0"/>
      <w:divBdr>
        <w:top w:val="none" w:sz="0" w:space="0" w:color="auto"/>
        <w:left w:val="none" w:sz="0" w:space="0" w:color="auto"/>
        <w:bottom w:val="none" w:sz="0" w:space="0" w:color="auto"/>
        <w:right w:val="none" w:sz="0" w:space="0" w:color="auto"/>
      </w:divBdr>
    </w:div>
    <w:div w:id="1486048425">
      <w:marLeft w:val="0"/>
      <w:marRight w:val="0"/>
      <w:marTop w:val="120"/>
      <w:marBottom w:val="0"/>
      <w:divBdr>
        <w:top w:val="none" w:sz="0" w:space="0" w:color="auto"/>
        <w:left w:val="none" w:sz="0" w:space="0" w:color="auto"/>
        <w:bottom w:val="none" w:sz="0" w:space="0" w:color="auto"/>
        <w:right w:val="none" w:sz="0" w:space="0" w:color="auto"/>
      </w:divBdr>
    </w:div>
    <w:div w:id="1492135983">
      <w:marLeft w:val="0"/>
      <w:marRight w:val="0"/>
      <w:marTop w:val="0"/>
      <w:marBottom w:val="0"/>
      <w:divBdr>
        <w:top w:val="none" w:sz="0" w:space="0" w:color="auto"/>
        <w:left w:val="none" w:sz="0" w:space="0" w:color="auto"/>
        <w:bottom w:val="none" w:sz="0" w:space="0" w:color="auto"/>
        <w:right w:val="none" w:sz="0" w:space="0" w:color="auto"/>
      </w:divBdr>
    </w:div>
    <w:div w:id="1492482398">
      <w:marLeft w:val="0"/>
      <w:marRight w:val="0"/>
      <w:marTop w:val="120"/>
      <w:marBottom w:val="0"/>
      <w:divBdr>
        <w:top w:val="none" w:sz="0" w:space="0" w:color="auto"/>
        <w:left w:val="none" w:sz="0" w:space="0" w:color="auto"/>
        <w:bottom w:val="none" w:sz="0" w:space="0" w:color="auto"/>
        <w:right w:val="none" w:sz="0" w:space="0" w:color="auto"/>
      </w:divBdr>
    </w:div>
    <w:div w:id="1493791232">
      <w:marLeft w:val="0"/>
      <w:marRight w:val="0"/>
      <w:marTop w:val="120"/>
      <w:marBottom w:val="0"/>
      <w:divBdr>
        <w:top w:val="none" w:sz="0" w:space="0" w:color="auto"/>
        <w:left w:val="none" w:sz="0" w:space="0" w:color="auto"/>
        <w:bottom w:val="none" w:sz="0" w:space="0" w:color="auto"/>
        <w:right w:val="none" w:sz="0" w:space="0" w:color="auto"/>
      </w:divBdr>
    </w:div>
    <w:div w:id="1496187587">
      <w:marLeft w:val="0"/>
      <w:marRight w:val="0"/>
      <w:marTop w:val="120"/>
      <w:marBottom w:val="120"/>
      <w:divBdr>
        <w:top w:val="none" w:sz="0" w:space="0" w:color="auto"/>
        <w:left w:val="none" w:sz="0" w:space="0" w:color="auto"/>
        <w:bottom w:val="none" w:sz="0" w:space="0" w:color="auto"/>
        <w:right w:val="none" w:sz="0" w:space="0" w:color="auto"/>
      </w:divBdr>
    </w:div>
    <w:div w:id="1500003429">
      <w:marLeft w:val="0"/>
      <w:marRight w:val="0"/>
      <w:marTop w:val="120"/>
      <w:marBottom w:val="0"/>
      <w:divBdr>
        <w:top w:val="none" w:sz="0" w:space="0" w:color="auto"/>
        <w:left w:val="none" w:sz="0" w:space="0" w:color="auto"/>
        <w:bottom w:val="none" w:sz="0" w:space="0" w:color="auto"/>
        <w:right w:val="none" w:sz="0" w:space="0" w:color="auto"/>
      </w:divBdr>
    </w:div>
    <w:div w:id="1500078355">
      <w:marLeft w:val="0"/>
      <w:marRight w:val="0"/>
      <w:marTop w:val="120"/>
      <w:marBottom w:val="120"/>
      <w:divBdr>
        <w:top w:val="none" w:sz="0" w:space="0" w:color="auto"/>
        <w:left w:val="none" w:sz="0" w:space="0" w:color="auto"/>
        <w:bottom w:val="none" w:sz="0" w:space="0" w:color="auto"/>
        <w:right w:val="none" w:sz="0" w:space="0" w:color="auto"/>
      </w:divBdr>
    </w:div>
    <w:div w:id="1502240313">
      <w:marLeft w:val="0"/>
      <w:marRight w:val="0"/>
      <w:marTop w:val="0"/>
      <w:marBottom w:val="0"/>
      <w:divBdr>
        <w:top w:val="none" w:sz="0" w:space="0" w:color="auto"/>
        <w:left w:val="none" w:sz="0" w:space="0" w:color="auto"/>
        <w:bottom w:val="none" w:sz="0" w:space="0" w:color="auto"/>
        <w:right w:val="none" w:sz="0" w:space="0" w:color="auto"/>
      </w:divBdr>
      <w:divsChild>
        <w:div w:id="1798138996">
          <w:marLeft w:val="0"/>
          <w:marRight w:val="0"/>
          <w:marTop w:val="0"/>
          <w:marBottom w:val="0"/>
          <w:divBdr>
            <w:top w:val="none" w:sz="0" w:space="0" w:color="auto"/>
            <w:left w:val="none" w:sz="0" w:space="0" w:color="auto"/>
            <w:bottom w:val="none" w:sz="0" w:space="0" w:color="auto"/>
            <w:right w:val="none" w:sz="0" w:space="0" w:color="auto"/>
          </w:divBdr>
        </w:div>
      </w:divsChild>
    </w:div>
    <w:div w:id="1504004359">
      <w:marLeft w:val="0"/>
      <w:marRight w:val="0"/>
      <w:marTop w:val="240"/>
      <w:marBottom w:val="0"/>
      <w:divBdr>
        <w:top w:val="none" w:sz="0" w:space="0" w:color="auto"/>
        <w:left w:val="none" w:sz="0" w:space="0" w:color="auto"/>
        <w:bottom w:val="none" w:sz="0" w:space="0" w:color="auto"/>
        <w:right w:val="none" w:sz="0" w:space="0" w:color="auto"/>
      </w:divBdr>
    </w:div>
    <w:div w:id="1505586895">
      <w:marLeft w:val="0"/>
      <w:marRight w:val="0"/>
      <w:marTop w:val="0"/>
      <w:marBottom w:val="0"/>
      <w:divBdr>
        <w:top w:val="none" w:sz="0" w:space="0" w:color="auto"/>
        <w:left w:val="none" w:sz="0" w:space="0" w:color="auto"/>
        <w:bottom w:val="none" w:sz="0" w:space="0" w:color="auto"/>
        <w:right w:val="none" w:sz="0" w:space="0" w:color="auto"/>
      </w:divBdr>
      <w:divsChild>
        <w:div w:id="780147646">
          <w:marLeft w:val="0"/>
          <w:marRight w:val="0"/>
          <w:marTop w:val="0"/>
          <w:marBottom w:val="0"/>
          <w:divBdr>
            <w:top w:val="none" w:sz="0" w:space="0" w:color="auto"/>
            <w:left w:val="none" w:sz="0" w:space="0" w:color="auto"/>
            <w:bottom w:val="none" w:sz="0" w:space="0" w:color="auto"/>
            <w:right w:val="none" w:sz="0" w:space="0" w:color="auto"/>
          </w:divBdr>
        </w:div>
      </w:divsChild>
    </w:div>
    <w:div w:id="1509641818">
      <w:marLeft w:val="0"/>
      <w:marRight w:val="0"/>
      <w:marTop w:val="120"/>
      <w:marBottom w:val="0"/>
      <w:divBdr>
        <w:top w:val="none" w:sz="0" w:space="0" w:color="auto"/>
        <w:left w:val="none" w:sz="0" w:space="0" w:color="auto"/>
        <w:bottom w:val="none" w:sz="0" w:space="0" w:color="auto"/>
        <w:right w:val="none" w:sz="0" w:space="0" w:color="auto"/>
      </w:divBdr>
    </w:div>
    <w:div w:id="1515532779">
      <w:marLeft w:val="0"/>
      <w:marRight w:val="0"/>
      <w:marTop w:val="0"/>
      <w:marBottom w:val="0"/>
      <w:divBdr>
        <w:top w:val="none" w:sz="0" w:space="0" w:color="auto"/>
        <w:left w:val="none" w:sz="0" w:space="0" w:color="auto"/>
        <w:bottom w:val="none" w:sz="0" w:space="0" w:color="auto"/>
        <w:right w:val="none" w:sz="0" w:space="0" w:color="auto"/>
      </w:divBdr>
    </w:div>
    <w:div w:id="1516269823">
      <w:marLeft w:val="0"/>
      <w:marRight w:val="0"/>
      <w:marTop w:val="240"/>
      <w:marBottom w:val="0"/>
      <w:divBdr>
        <w:top w:val="none" w:sz="0" w:space="0" w:color="auto"/>
        <w:left w:val="none" w:sz="0" w:space="0" w:color="auto"/>
        <w:bottom w:val="none" w:sz="0" w:space="0" w:color="auto"/>
        <w:right w:val="none" w:sz="0" w:space="0" w:color="auto"/>
      </w:divBdr>
    </w:div>
    <w:div w:id="1517622635">
      <w:marLeft w:val="0"/>
      <w:marRight w:val="0"/>
      <w:marTop w:val="120"/>
      <w:marBottom w:val="120"/>
      <w:divBdr>
        <w:top w:val="none" w:sz="0" w:space="0" w:color="auto"/>
        <w:left w:val="none" w:sz="0" w:space="0" w:color="auto"/>
        <w:bottom w:val="none" w:sz="0" w:space="0" w:color="auto"/>
        <w:right w:val="none" w:sz="0" w:space="0" w:color="auto"/>
      </w:divBdr>
    </w:div>
    <w:div w:id="1519076006">
      <w:marLeft w:val="0"/>
      <w:marRight w:val="0"/>
      <w:marTop w:val="120"/>
      <w:marBottom w:val="120"/>
      <w:divBdr>
        <w:top w:val="none" w:sz="0" w:space="0" w:color="auto"/>
        <w:left w:val="none" w:sz="0" w:space="0" w:color="auto"/>
        <w:bottom w:val="none" w:sz="0" w:space="0" w:color="auto"/>
        <w:right w:val="none" w:sz="0" w:space="0" w:color="auto"/>
      </w:divBdr>
    </w:div>
    <w:div w:id="1519350557">
      <w:marLeft w:val="0"/>
      <w:marRight w:val="0"/>
      <w:marTop w:val="240"/>
      <w:marBottom w:val="0"/>
      <w:divBdr>
        <w:top w:val="none" w:sz="0" w:space="0" w:color="auto"/>
        <w:left w:val="none" w:sz="0" w:space="0" w:color="auto"/>
        <w:bottom w:val="none" w:sz="0" w:space="0" w:color="auto"/>
        <w:right w:val="none" w:sz="0" w:space="0" w:color="auto"/>
      </w:divBdr>
    </w:div>
    <w:div w:id="1519393144">
      <w:marLeft w:val="0"/>
      <w:marRight w:val="0"/>
      <w:marTop w:val="0"/>
      <w:marBottom w:val="120"/>
      <w:divBdr>
        <w:top w:val="none" w:sz="0" w:space="0" w:color="auto"/>
        <w:left w:val="none" w:sz="0" w:space="0" w:color="auto"/>
        <w:bottom w:val="none" w:sz="0" w:space="0" w:color="auto"/>
        <w:right w:val="none" w:sz="0" w:space="0" w:color="auto"/>
      </w:divBdr>
    </w:div>
    <w:div w:id="1527718669">
      <w:marLeft w:val="0"/>
      <w:marRight w:val="0"/>
      <w:marTop w:val="0"/>
      <w:marBottom w:val="0"/>
      <w:divBdr>
        <w:top w:val="none" w:sz="0" w:space="0" w:color="auto"/>
        <w:left w:val="none" w:sz="0" w:space="0" w:color="auto"/>
        <w:bottom w:val="none" w:sz="0" w:space="0" w:color="auto"/>
        <w:right w:val="none" w:sz="0" w:space="0" w:color="auto"/>
      </w:divBdr>
    </w:div>
    <w:div w:id="1534027984">
      <w:marLeft w:val="0"/>
      <w:marRight w:val="0"/>
      <w:marTop w:val="0"/>
      <w:marBottom w:val="0"/>
      <w:divBdr>
        <w:top w:val="none" w:sz="0" w:space="0" w:color="auto"/>
        <w:left w:val="none" w:sz="0" w:space="0" w:color="auto"/>
        <w:bottom w:val="none" w:sz="0" w:space="0" w:color="auto"/>
        <w:right w:val="none" w:sz="0" w:space="0" w:color="auto"/>
      </w:divBdr>
      <w:divsChild>
        <w:div w:id="350687005">
          <w:marLeft w:val="0"/>
          <w:marRight w:val="0"/>
          <w:marTop w:val="0"/>
          <w:marBottom w:val="0"/>
          <w:divBdr>
            <w:top w:val="none" w:sz="0" w:space="0" w:color="auto"/>
            <w:left w:val="none" w:sz="0" w:space="0" w:color="auto"/>
            <w:bottom w:val="none" w:sz="0" w:space="0" w:color="auto"/>
            <w:right w:val="none" w:sz="0" w:space="0" w:color="auto"/>
          </w:divBdr>
        </w:div>
      </w:divsChild>
    </w:div>
    <w:div w:id="1537816057">
      <w:marLeft w:val="0"/>
      <w:marRight w:val="0"/>
      <w:marTop w:val="0"/>
      <w:marBottom w:val="0"/>
      <w:divBdr>
        <w:top w:val="none" w:sz="0" w:space="0" w:color="auto"/>
        <w:left w:val="none" w:sz="0" w:space="0" w:color="auto"/>
        <w:bottom w:val="none" w:sz="0" w:space="0" w:color="auto"/>
        <w:right w:val="none" w:sz="0" w:space="0" w:color="auto"/>
      </w:divBdr>
    </w:div>
    <w:div w:id="1540776736">
      <w:marLeft w:val="0"/>
      <w:marRight w:val="0"/>
      <w:marTop w:val="0"/>
      <w:marBottom w:val="0"/>
      <w:divBdr>
        <w:top w:val="none" w:sz="0" w:space="0" w:color="auto"/>
        <w:left w:val="none" w:sz="0" w:space="0" w:color="auto"/>
        <w:bottom w:val="none" w:sz="0" w:space="0" w:color="auto"/>
        <w:right w:val="none" w:sz="0" w:space="0" w:color="auto"/>
      </w:divBdr>
    </w:div>
    <w:div w:id="1546261200">
      <w:marLeft w:val="0"/>
      <w:marRight w:val="0"/>
      <w:marTop w:val="120"/>
      <w:marBottom w:val="120"/>
      <w:divBdr>
        <w:top w:val="none" w:sz="0" w:space="0" w:color="auto"/>
        <w:left w:val="none" w:sz="0" w:space="0" w:color="auto"/>
        <w:bottom w:val="none" w:sz="0" w:space="0" w:color="auto"/>
        <w:right w:val="none" w:sz="0" w:space="0" w:color="auto"/>
      </w:divBdr>
    </w:div>
    <w:div w:id="1556549791">
      <w:marLeft w:val="0"/>
      <w:marRight w:val="0"/>
      <w:marTop w:val="0"/>
      <w:marBottom w:val="0"/>
      <w:divBdr>
        <w:top w:val="none" w:sz="0" w:space="0" w:color="auto"/>
        <w:left w:val="none" w:sz="0" w:space="0" w:color="auto"/>
        <w:bottom w:val="none" w:sz="0" w:space="0" w:color="auto"/>
        <w:right w:val="none" w:sz="0" w:space="0" w:color="auto"/>
      </w:divBdr>
    </w:div>
    <w:div w:id="1561481903">
      <w:marLeft w:val="0"/>
      <w:marRight w:val="0"/>
      <w:marTop w:val="0"/>
      <w:marBottom w:val="0"/>
      <w:divBdr>
        <w:top w:val="none" w:sz="0" w:space="0" w:color="auto"/>
        <w:left w:val="none" w:sz="0" w:space="0" w:color="auto"/>
        <w:bottom w:val="none" w:sz="0" w:space="0" w:color="auto"/>
        <w:right w:val="none" w:sz="0" w:space="0" w:color="auto"/>
      </w:divBdr>
      <w:divsChild>
        <w:div w:id="985007710">
          <w:marLeft w:val="0"/>
          <w:marRight w:val="0"/>
          <w:marTop w:val="180"/>
          <w:marBottom w:val="0"/>
          <w:divBdr>
            <w:top w:val="none" w:sz="0" w:space="0" w:color="auto"/>
            <w:left w:val="none" w:sz="0" w:space="0" w:color="auto"/>
            <w:bottom w:val="none" w:sz="0" w:space="0" w:color="auto"/>
            <w:right w:val="none" w:sz="0" w:space="0" w:color="auto"/>
          </w:divBdr>
        </w:div>
      </w:divsChild>
    </w:div>
    <w:div w:id="1563442973">
      <w:marLeft w:val="0"/>
      <w:marRight w:val="0"/>
      <w:marTop w:val="240"/>
      <w:marBottom w:val="120"/>
      <w:divBdr>
        <w:top w:val="none" w:sz="0" w:space="0" w:color="auto"/>
        <w:left w:val="none" w:sz="0" w:space="0" w:color="auto"/>
        <w:bottom w:val="none" w:sz="0" w:space="0" w:color="auto"/>
        <w:right w:val="none" w:sz="0" w:space="0" w:color="auto"/>
      </w:divBdr>
    </w:div>
    <w:div w:id="1568805565">
      <w:marLeft w:val="0"/>
      <w:marRight w:val="0"/>
      <w:marTop w:val="120"/>
      <w:marBottom w:val="0"/>
      <w:divBdr>
        <w:top w:val="none" w:sz="0" w:space="0" w:color="auto"/>
        <w:left w:val="none" w:sz="0" w:space="0" w:color="auto"/>
        <w:bottom w:val="none" w:sz="0" w:space="0" w:color="auto"/>
        <w:right w:val="none" w:sz="0" w:space="0" w:color="auto"/>
      </w:divBdr>
    </w:div>
    <w:div w:id="1569337136">
      <w:marLeft w:val="0"/>
      <w:marRight w:val="0"/>
      <w:marTop w:val="0"/>
      <w:marBottom w:val="120"/>
      <w:divBdr>
        <w:top w:val="none" w:sz="0" w:space="0" w:color="auto"/>
        <w:left w:val="none" w:sz="0" w:space="0" w:color="auto"/>
        <w:bottom w:val="none" w:sz="0" w:space="0" w:color="auto"/>
        <w:right w:val="none" w:sz="0" w:space="0" w:color="auto"/>
      </w:divBdr>
      <w:divsChild>
        <w:div w:id="234781882">
          <w:marLeft w:val="0"/>
          <w:marRight w:val="0"/>
          <w:marTop w:val="120"/>
          <w:marBottom w:val="0"/>
          <w:divBdr>
            <w:top w:val="none" w:sz="0" w:space="0" w:color="auto"/>
            <w:left w:val="none" w:sz="0" w:space="0" w:color="auto"/>
            <w:bottom w:val="none" w:sz="0" w:space="0" w:color="auto"/>
            <w:right w:val="none" w:sz="0" w:space="0" w:color="auto"/>
          </w:divBdr>
        </w:div>
        <w:div w:id="543830546">
          <w:marLeft w:val="0"/>
          <w:marRight w:val="0"/>
          <w:marTop w:val="120"/>
          <w:marBottom w:val="0"/>
          <w:divBdr>
            <w:top w:val="none" w:sz="0" w:space="0" w:color="auto"/>
            <w:left w:val="none" w:sz="0" w:space="0" w:color="auto"/>
            <w:bottom w:val="none" w:sz="0" w:space="0" w:color="auto"/>
            <w:right w:val="none" w:sz="0" w:space="0" w:color="auto"/>
          </w:divBdr>
        </w:div>
        <w:div w:id="1648050465">
          <w:marLeft w:val="0"/>
          <w:marRight w:val="0"/>
          <w:marTop w:val="120"/>
          <w:marBottom w:val="0"/>
          <w:divBdr>
            <w:top w:val="none" w:sz="0" w:space="0" w:color="auto"/>
            <w:left w:val="none" w:sz="0" w:space="0" w:color="auto"/>
            <w:bottom w:val="none" w:sz="0" w:space="0" w:color="auto"/>
            <w:right w:val="none" w:sz="0" w:space="0" w:color="auto"/>
          </w:divBdr>
        </w:div>
        <w:div w:id="455414772">
          <w:marLeft w:val="0"/>
          <w:marRight w:val="0"/>
          <w:marTop w:val="120"/>
          <w:marBottom w:val="0"/>
          <w:divBdr>
            <w:top w:val="none" w:sz="0" w:space="0" w:color="auto"/>
            <w:left w:val="none" w:sz="0" w:space="0" w:color="auto"/>
            <w:bottom w:val="none" w:sz="0" w:space="0" w:color="auto"/>
            <w:right w:val="none" w:sz="0" w:space="0" w:color="auto"/>
          </w:divBdr>
        </w:div>
        <w:div w:id="209004814">
          <w:marLeft w:val="0"/>
          <w:marRight w:val="0"/>
          <w:marTop w:val="120"/>
          <w:marBottom w:val="0"/>
          <w:divBdr>
            <w:top w:val="none" w:sz="0" w:space="0" w:color="auto"/>
            <w:left w:val="none" w:sz="0" w:space="0" w:color="auto"/>
            <w:bottom w:val="none" w:sz="0" w:space="0" w:color="auto"/>
            <w:right w:val="none" w:sz="0" w:space="0" w:color="auto"/>
          </w:divBdr>
        </w:div>
      </w:divsChild>
    </w:div>
    <w:div w:id="1570918394">
      <w:marLeft w:val="0"/>
      <w:marRight w:val="0"/>
      <w:marTop w:val="120"/>
      <w:marBottom w:val="0"/>
      <w:divBdr>
        <w:top w:val="none" w:sz="0" w:space="0" w:color="auto"/>
        <w:left w:val="none" w:sz="0" w:space="0" w:color="auto"/>
        <w:bottom w:val="none" w:sz="0" w:space="0" w:color="auto"/>
        <w:right w:val="none" w:sz="0" w:space="0" w:color="auto"/>
      </w:divBdr>
    </w:div>
    <w:div w:id="1571454904">
      <w:marLeft w:val="0"/>
      <w:marRight w:val="0"/>
      <w:marTop w:val="240"/>
      <w:marBottom w:val="0"/>
      <w:divBdr>
        <w:top w:val="none" w:sz="0" w:space="0" w:color="auto"/>
        <w:left w:val="none" w:sz="0" w:space="0" w:color="auto"/>
        <w:bottom w:val="none" w:sz="0" w:space="0" w:color="auto"/>
        <w:right w:val="none" w:sz="0" w:space="0" w:color="auto"/>
      </w:divBdr>
    </w:div>
    <w:div w:id="1572734462">
      <w:marLeft w:val="0"/>
      <w:marRight w:val="0"/>
      <w:marTop w:val="120"/>
      <w:marBottom w:val="0"/>
      <w:divBdr>
        <w:top w:val="none" w:sz="0" w:space="0" w:color="auto"/>
        <w:left w:val="none" w:sz="0" w:space="0" w:color="auto"/>
        <w:bottom w:val="none" w:sz="0" w:space="0" w:color="auto"/>
        <w:right w:val="none" w:sz="0" w:space="0" w:color="auto"/>
      </w:divBdr>
    </w:div>
    <w:div w:id="1573389749">
      <w:marLeft w:val="0"/>
      <w:marRight w:val="0"/>
      <w:marTop w:val="120"/>
      <w:marBottom w:val="0"/>
      <w:divBdr>
        <w:top w:val="none" w:sz="0" w:space="0" w:color="auto"/>
        <w:left w:val="none" w:sz="0" w:space="0" w:color="auto"/>
        <w:bottom w:val="none" w:sz="0" w:space="0" w:color="auto"/>
        <w:right w:val="none" w:sz="0" w:space="0" w:color="auto"/>
      </w:divBdr>
    </w:div>
    <w:div w:id="1577930871">
      <w:marLeft w:val="0"/>
      <w:marRight w:val="0"/>
      <w:marTop w:val="120"/>
      <w:marBottom w:val="0"/>
      <w:divBdr>
        <w:top w:val="none" w:sz="0" w:space="0" w:color="auto"/>
        <w:left w:val="none" w:sz="0" w:space="0" w:color="auto"/>
        <w:bottom w:val="none" w:sz="0" w:space="0" w:color="auto"/>
        <w:right w:val="none" w:sz="0" w:space="0" w:color="auto"/>
      </w:divBdr>
    </w:div>
    <w:div w:id="1581864425">
      <w:marLeft w:val="0"/>
      <w:marRight w:val="0"/>
      <w:marTop w:val="0"/>
      <w:marBottom w:val="0"/>
      <w:divBdr>
        <w:top w:val="none" w:sz="0" w:space="0" w:color="auto"/>
        <w:left w:val="none" w:sz="0" w:space="0" w:color="auto"/>
        <w:bottom w:val="none" w:sz="0" w:space="0" w:color="auto"/>
        <w:right w:val="none" w:sz="0" w:space="0" w:color="auto"/>
      </w:divBdr>
    </w:div>
    <w:div w:id="1582329980">
      <w:marLeft w:val="0"/>
      <w:marRight w:val="0"/>
      <w:marTop w:val="120"/>
      <w:marBottom w:val="0"/>
      <w:divBdr>
        <w:top w:val="none" w:sz="0" w:space="0" w:color="auto"/>
        <w:left w:val="none" w:sz="0" w:space="0" w:color="auto"/>
        <w:bottom w:val="none" w:sz="0" w:space="0" w:color="auto"/>
        <w:right w:val="none" w:sz="0" w:space="0" w:color="auto"/>
      </w:divBdr>
    </w:div>
    <w:div w:id="1585259392">
      <w:marLeft w:val="0"/>
      <w:marRight w:val="0"/>
      <w:marTop w:val="120"/>
      <w:marBottom w:val="0"/>
      <w:divBdr>
        <w:top w:val="none" w:sz="0" w:space="0" w:color="auto"/>
        <w:left w:val="none" w:sz="0" w:space="0" w:color="auto"/>
        <w:bottom w:val="none" w:sz="0" w:space="0" w:color="auto"/>
        <w:right w:val="none" w:sz="0" w:space="0" w:color="auto"/>
      </w:divBdr>
    </w:div>
    <w:div w:id="1587036727">
      <w:marLeft w:val="0"/>
      <w:marRight w:val="0"/>
      <w:marTop w:val="0"/>
      <w:marBottom w:val="0"/>
      <w:divBdr>
        <w:top w:val="none" w:sz="0" w:space="0" w:color="auto"/>
        <w:left w:val="none" w:sz="0" w:space="0" w:color="auto"/>
        <w:bottom w:val="none" w:sz="0" w:space="0" w:color="auto"/>
        <w:right w:val="none" w:sz="0" w:space="0" w:color="auto"/>
      </w:divBdr>
    </w:div>
    <w:div w:id="1588418993">
      <w:marLeft w:val="0"/>
      <w:marRight w:val="0"/>
      <w:marTop w:val="0"/>
      <w:marBottom w:val="0"/>
      <w:divBdr>
        <w:top w:val="none" w:sz="0" w:space="0" w:color="auto"/>
        <w:left w:val="none" w:sz="0" w:space="0" w:color="auto"/>
        <w:bottom w:val="none" w:sz="0" w:space="0" w:color="auto"/>
        <w:right w:val="none" w:sz="0" w:space="0" w:color="auto"/>
      </w:divBdr>
      <w:divsChild>
        <w:div w:id="215433667">
          <w:marLeft w:val="0"/>
          <w:marRight w:val="0"/>
          <w:marTop w:val="0"/>
          <w:marBottom w:val="0"/>
          <w:divBdr>
            <w:top w:val="none" w:sz="0" w:space="0" w:color="auto"/>
            <w:left w:val="none" w:sz="0" w:space="0" w:color="auto"/>
            <w:bottom w:val="none" w:sz="0" w:space="0" w:color="auto"/>
            <w:right w:val="none" w:sz="0" w:space="0" w:color="auto"/>
          </w:divBdr>
        </w:div>
      </w:divsChild>
    </w:div>
    <w:div w:id="1589461699">
      <w:marLeft w:val="0"/>
      <w:marRight w:val="0"/>
      <w:marTop w:val="0"/>
      <w:marBottom w:val="0"/>
      <w:divBdr>
        <w:top w:val="none" w:sz="0" w:space="0" w:color="auto"/>
        <w:left w:val="none" w:sz="0" w:space="0" w:color="auto"/>
        <w:bottom w:val="none" w:sz="0" w:space="0" w:color="auto"/>
        <w:right w:val="none" w:sz="0" w:space="0" w:color="auto"/>
      </w:divBdr>
      <w:divsChild>
        <w:div w:id="1704551920">
          <w:marLeft w:val="0"/>
          <w:marRight w:val="0"/>
          <w:marTop w:val="0"/>
          <w:marBottom w:val="0"/>
          <w:divBdr>
            <w:top w:val="none" w:sz="0" w:space="0" w:color="auto"/>
            <w:left w:val="none" w:sz="0" w:space="0" w:color="auto"/>
            <w:bottom w:val="none" w:sz="0" w:space="0" w:color="auto"/>
            <w:right w:val="none" w:sz="0" w:space="0" w:color="auto"/>
          </w:divBdr>
        </w:div>
      </w:divsChild>
    </w:div>
    <w:div w:id="1593470607">
      <w:marLeft w:val="0"/>
      <w:marRight w:val="0"/>
      <w:marTop w:val="0"/>
      <w:marBottom w:val="0"/>
      <w:divBdr>
        <w:top w:val="none" w:sz="0" w:space="0" w:color="auto"/>
        <w:left w:val="none" w:sz="0" w:space="0" w:color="auto"/>
        <w:bottom w:val="none" w:sz="0" w:space="0" w:color="auto"/>
        <w:right w:val="none" w:sz="0" w:space="0" w:color="auto"/>
      </w:divBdr>
    </w:div>
    <w:div w:id="1595670577">
      <w:marLeft w:val="0"/>
      <w:marRight w:val="0"/>
      <w:marTop w:val="120"/>
      <w:marBottom w:val="0"/>
      <w:divBdr>
        <w:top w:val="none" w:sz="0" w:space="0" w:color="auto"/>
        <w:left w:val="none" w:sz="0" w:space="0" w:color="auto"/>
        <w:bottom w:val="none" w:sz="0" w:space="0" w:color="auto"/>
        <w:right w:val="none" w:sz="0" w:space="0" w:color="auto"/>
      </w:divBdr>
    </w:div>
    <w:div w:id="1597519716">
      <w:marLeft w:val="0"/>
      <w:marRight w:val="0"/>
      <w:marTop w:val="120"/>
      <w:marBottom w:val="0"/>
      <w:divBdr>
        <w:top w:val="none" w:sz="0" w:space="0" w:color="auto"/>
        <w:left w:val="none" w:sz="0" w:space="0" w:color="auto"/>
        <w:bottom w:val="none" w:sz="0" w:space="0" w:color="auto"/>
        <w:right w:val="none" w:sz="0" w:space="0" w:color="auto"/>
      </w:divBdr>
    </w:div>
    <w:div w:id="1598758354">
      <w:marLeft w:val="0"/>
      <w:marRight w:val="0"/>
      <w:marTop w:val="120"/>
      <w:marBottom w:val="120"/>
      <w:divBdr>
        <w:top w:val="none" w:sz="0" w:space="0" w:color="auto"/>
        <w:left w:val="none" w:sz="0" w:space="0" w:color="auto"/>
        <w:bottom w:val="none" w:sz="0" w:space="0" w:color="auto"/>
        <w:right w:val="none" w:sz="0" w:space="0" w:color="auto"/>
      </w:divBdr>
    </w:div>
    <w:div w:id="1599092694">
      <w:marLeft w:val="0"/>
      <w:marRight w:val="0"/>
      <w:marTop w:val="120"/>
      <w:marBottom w:val="120"/>
      <w:divBdr>
        <w:top w:val="none" w:sz="0" w:space="0" w:color="auto"/>
        <w:left w:val="none" w:sz="0" w:space="0" w:color="auto"/>
        <w:bottom w:val="none" w:sz="0" w:space="0" w:color="auto"/>
        <w:right w:val="none" w:sz="0" w:space="0" w:color="auto"/>
      </w:divBdr>
    </w:div>
    <w:div w:id="1599945828">
      <w:marLeft w:val="0"/>
      <w:marRight w:val="0"/>
      <w:marTop w:val="0"/>
      <w:marBottom w:val="120"/>
      <w:divBdr>
        <w:top w:val="none" w:sz="0" w:space="0" w:color="auto"/>
        <w:left w:val="none" w:sz="0" w:space="0" w:color="auto"/>
        <w:bottom w:val="none" w:sz="0" w:space="0" w:color="auto"/>
        <w:right w:val="none" w:sz="0" w:space="0" w:color="auto"/>
      </w:divBdr>
    </w:div>
    <w:div w:id="1602563463">
      <w:marLeft w:val="0"/>
      <w:marRight w:val="0"/>
      <w:marTop w:val="120"/>
      <w:marBottom w:val="0"/>
      <w:divBdr>
        <w:top w:val="none" w:sz="0" w:space="0" w:color="auto"/>
        <w:left w:val="none" w:sz="0" w:space="0" w:color="auto"/>
        <w:bottom w:val="none" w:sz="0" w:space="0" w:color="auto"/>
        <w:right w:val="none" w:sz="0" w:space="0" w:color="auto"/>
      </w:divBdr>
    </w:div>
    <w:div w:id="1610239383">
      <w:marLeft w:val="0"/>
      <w:marRight w:val="0"/>
      <w:marTop w:val="120"/>
      <w:marBottom w:val="0"/>
      <w:divBdr>
        <w:top w:val="none" w:sz="0" w:space="0" w:color="auto"/>
        <w:left w:val="none" w:sz="0" w:space="0" w:color="auto"/>
        <w:bottom w:val="none" w:sz="0" w:space="0" w:color="auto"/>
        <w:right w:val="none" w:sz="0" w:space="0" w:color="auto"/>
      </w:divBdr>
    </w:div>
    <w:div w:id="1614701963">
      <w:marLeft w:val="0"/>
      <w:marRight w:val="0"/>
      <w:marTop w:val="0"/>
      <w:marBottom w:val="0"/>
      <w:divBdr>
        <w:top w:val="none" w:sz="0" w:space="0" w:color="auto"/>
        <w:left w:val="none" w:sz="0" w:space="0" w:color="auto"/>
        <w:bottom w:val="none" w:sz="0" w:space="0" w:color="auto"/>
        <w:right w:val="none" w:sz="0" w:space="0" w:color="auto"/>
      </w:divBdr>
      <w:divsChild>
        <w:div w:id="1795100776">
          <w:marLeft w:val="0"/>
          <w:marRight w:val="0"/>
          <w:marTop w:val="0"/>
          <w:marBottom w:val="0"/>
          <w:divBdr>
            <w:top w:val="none" w:sz="0" w:space="0" w:color="auto"/>
            <w:left w:val="none" w:sz="0" w:space="0" w:color="auto"/>
            <w:bottom w:val="none" w:sz="0" w:space="0" w:color="auto"/>
            <w:right w:val="none" w:sz="0" w:space="0" w:color="auto"/>
          </w:divBdr>
        </w:div>
      </w:divsChild>
    </w:div>
    <w:div w:id="1615558289">
      <w:marLeft w:val="0"/>
      <w:marRight w:val="0"/>
      <w:marTop w:val="0"/>
      <w:marBottom w:val="0"/>
      <w:divBdr>
        <w:top w:val="none" w:sz="0" w:space="0" w:color="auto"/>
        <w:left w:val="none" w:sz="0" w:space="0" w:color="auto"/>
        <w:bottom w:val="none" w:sz="0" w:space="0" w:color="auto"/>
        <w:right w:val="none" w:sz="0" w:space="0" w:color="auto"/>
      </w:divBdr>
      <w:divsChild>
        <w:div w:id="101729697">
          <w:marLeft w:val="0"/>
          <w:marRight w:val="0"/>
          <w:marTop w:val="0"/>
          <w:marBottom w:val="0"/>
          <w:divBdr>
            <w:top w:val="none" w:sz="0" w:space="0" w:color="auto"/>
            <w:left w:val="none" w:sz="0" w:space="0" w:color="auto"/>
            <w:bottom w:val="none" w:sz="0" w:space="0" w:color="auto"/>
            <w:right w:val="none" w:sz="0" w:space="0" w:color="auto"/>
          </w:divBdr>
        </w:div>
      </w:divsChild>
    </w:div>
    <w:div w:id="1618413030">
      <w:marLeft w:val="0"/>
      <w:marRight w:val="0"/>
      <w:marTop w:val="0"/>
      <w:marBottom w:val="120"/>
      <w:divBdr>
        <w:top w:val="none" w:sz="0" w:space="0" w:color="auto"/>
        <w:left w:val="none" w:sz="0" w:space="0" w:color="auto"/>
        <w:bottom w:val="none" w:sz="0" w:space="0" w:color="auto"/>
        <w:right w:val="none" w:sz="0" w:space="0" w:color="auto"/>
      </w:divBdr>
    </w:div>
    <w:div w:id="1626035542">
      <w:marLeft w:val="0"/>
      <w:marRight w:val="0"/>
      <w:marTop w:val="120"/>
      <w:marBottom w:val="120"/>
      <w:divBdr>
        <w:top w:val="none" w:sz="0" w:space="0" w:color="auto"/>
        <w:left w:val="none" w:sz="0" w:space="0" w:color="auto"/>
        <w:bottom w:val="none" w:sz="0" w:space="0" w:color="auto"/>
        <w:right w:val="none" w:sz="0" w:space="0" w:color="auto"/>
      </w:divBdr>
    </w:div>
    <w:div w:id="1630166418">
      <w:marLeft w:val="0"/>
      <w:marRight w:val="0"/>
      <w:marTop w:val="180"/>
      <w:marBottom w:val="0"/>
      <w:divBdr>
        <w:top w:val="none" w:sz="0" w:space="0" w:color="auto"/>
        <w:left w:val="none" w:sz="0" w:space="0" w:color="auto"/>
        <w:bottom w:val="none" w:sz="0" w:space="0" w:color="auto"/>
        <w:right w:val="none" w:sz="0" w:space="0" w:color="auto"/>
      </w:divBdr>
    </w:div>
    <w:div w:id="1631016915">
      <w:marLeft w:val="0"/>
      <w:marRight w:val="0"/>
      <w:marTop w:val="120"/>
      <w:marBottom w:val="120"/>
      <w:divBdr>
        <w:top w:val="none" w:sz="0" w:space="0" w:color="auto"/>
        <w:left w:val="none" w:sz="0" w:space="0" w:color="auto"/>
        <w:bottom w:val="none" w:sz="0" w:space="0" w:color="auto"/>
        <w:right w:val="none" w:sz="0" w:space="0" w:color="auto"/>
      </w:divBdr>
    </w:div>
    <w:div w:id="1631546535">
      <w:marLeft w:val="0"/>
      <w:marRight w:val="0"/>
      <w:marTop w:val="120"/>
      <w:marBottom w:val="0"/>
      <w:divBdr>
        <w:top w:val="none" w:sz="0" w:space="0" w:color="auto"/>
        <w:left w:val="none" w:sz="0" w:space="0" w:color="auto"/>
        <w:bottom w:val="none" w:sz="0" w:space="0" w:color="auto"/>
        <w:right w:val="none" w:sz="0" w:space="0" w:color="auto"/>
      </w:divBdr>
    </w:div>
    <w:div w:id="1636449138">
      <w:marLeft w:val="0"/>
      <w:marRight w:val="0"/>
      <w:marTop w:val="0"/>
      <w:marBottom w:val="0"/>
      <w:divBdr>
        <w:top w:val="none" w:sz="0" w:space="0" w:color="auto"/>
        <w:left w:val="none" w:sz="0" w:space="0" w:color="auto"/>
        <w:bottom w:val="none" w:sz="0" w:space="0" w:color="auto"/>
        <w:right w:val="none" w:sz="0" w:space="0" w:color="auto"/>
      </w:divBdr>
    </w:div>
    <w:div w:id="1638104930">
      <w:marLeft w:val="0"/>
      <w:marRight w:val="0"/>
      <w:marTop w:val="0"/>
      <w:marBottom w:val="0"/>
      <w:divBdr>
        <w:top w:val="none" w:sz="0" w:space="0" w:color="auto"/>
        <w:left w:val="none" w:sz="0" w:space="0" w:color="auto"/>
        <w:bottom w:val="none" w:sz="0" w:space="0" w:color="auto"/>
        <w:right w:val="none" w:sz="0" w:space="0" w:color="auto"/>
      </w:divBdr>
    </w:div>
    <w:div w:id="1638797773">
      <w:marLeft w:val="0"/>
      <w:marRight w:val="0"/>
      <w:marTop w:val="120"/>
      <w:marBottom w:val="0"/>
      <w:divBdr>
        <w:top w:val="none" w:sz="0" w:space="0" w:color="auto"/>
        <w:left w:val="none" w:sz="0" w:space="0" w:color="auto"/>
        <w:bottom w:val="none" w:sz="0" w:space="0" w:color="auto"/>
        <w:right w:val="none" w:sz="0" w:space="0" w:color="auto"/>
      </w:divBdr>
    </w:div>
    <w:div w:id="1641227635">
      <w:marLeft w:val="0"/>
      <w:marRight w:val="0"/>
      <w:marTop w:val="0"/>
      <w:marBottom w:val="0"/>
      <w:divBdr>
        <w:top w:val="none" w:sz="0" w:space="0" w:color="auto"/>
        <w:left w:val="none" w:sz="0" w:space="0" w:color="auto"/>
        <w:bottom w:val="none" w:sz="0" w:space="0" w:color="auto"/>
        <w:right w:val="none" w:sz="0" w:space="0" w:color="auto"/>
      </w:divBdr>
      <w:divsChild>
        <w:div w:id="503206363">
          <w:marLeft w:val="0"/>
          <w:marRight w:val="0"/>
          <w:marTop w:val="0"/>
          <w:marBottom w:val="0"/>
          <w:divBdr>
            <w:top w:val="none" w:sz="0" w:space="0" w:color="auto"/>
            <w:left w:val="none" w:sz="0" w:space="0" w:color="auto"/>
            <w:bottom w:val="none" w:sz="0" w:space="0" w:color="auto"/>
            <w:right w:val="none" w:sz="0" w:space="0" w:color="auto"/>
          </w:divBdr>
        </w:div>
      </w:divsChild>
    </w:div>
    <w:div w:id="1644196826">
      <w:marLeft w:val="0"/>
      <w:marRight w:val="0"/>
      <w:marTop w:val="0"/>
      <w:marBottom w:val="120"/>
      <w:divBdr>
        <w:top w:val="none" w:sz="0" w:space="0" w:color="auto"/>
        <w:left w:val="none" w:sz="0" w:space="0" w:color="auto"/>
        <w:bottom w:val="none" w:sz="0" w:space="0" w:color="auto"/>
        <w:right w:val="none" w:sz="0" w:space="0" w:color="auto"/>
      </w:divBdr>
    </w:div>
    <w:div w:id="1644382596">
      <w:marLeft w:val="0"/>
      <w:marRight w:val="0"/>
      <w:marTop w:val="0"/>
      <w:marBottom w:val="0"/>
      <w:divBdr>
        <w:top w:val="none" w:sz="0" w:space="0" w:color="auto"/>
        <w:left w:val="none" w:sz="0" w:space="0" w:color="auto"/>
        <w:bottom w:val="none" w:sz="0" w:space="0" w:color="auto"/>
        <w:right w:val="none" w:sz="0" w:space="0" w:color="auto"/>
      </w:divBdr>
      <w:divsChild>
        <w:div w:id="1133130921">
          <w:marLeft w:val="0"/>
          <w:marRight w:val="0"/>
          <w:marTop w:val="0"/>
          <w:marBottom w:val="0"/>
          <w:divBdr>
            <w:top w:val="none" w:sz="0" w:space="0" w:color="auto"/>
            <w:left w:val="none" w:sz="0" w:space="0" w:color="auto"/>
            <w:bottom w:val="none" w:sz="0" w:space="0" w:color="auto"/>
            <w:right w:val="none" w:sz="0" w:space="0" w:color="auto"/>
          </w:divBdr>
        </w:div>
      </w:divsChild>
    </w:div>
    <w:div w:id="1651592435">
      <w:marLeft w:val="0"/>
      <w:marRight w:val="0"/>
      <w:marTop w:val="120"/>
      <w:marBottom w:val="0"/>
      <w:divBdr>
        <w:top w:val="none" w:sz="0" w:space="0" w:color="auto"/>
        <w:left w:val="none" w:sz="0" w:space="0" w:color="auto"/>
        <w:bottom w:val="none" w:sz="0" w:space="0" w:color="auto"/>
        <w:right w:val="none" w:sz="0" w:space="0" w:color="auto"/>
      </w:divBdr>
    </w:div>
    <w:div w:id="1651670122">
      <w:marLeft w:val="0"/>
      <w:marRight w:val="0"/>
      <w:marTop w:val="0"/>
      <w:marBottom w:val="0"/>
      <w:divBdr>
        <w:top w:val="none" w:sz="0" w:space="0" w:color="auto"/>
        <w:left w:val="none" w:sz="0" w:space="0" w:color="auto"/>
        <w:bottom w:val="none" w:sz="0" w:space="0" w:color="auto"/>
        <w:right w:val="none" w:sz="0" w:space="0" w:color="auto"/>
      </w:divBdr>
      <w:divsChild>
        <w:div w:id="1480075936">
          <w:marLeft w:val="0"/>
          <w:marRight w:val="0"/>
          <w:marTop w:val="0"/>
          <w:marBottom w:val="0"/>
          <w:divBdr>
            <w:top w:val="none" w:sz="0" w:space="0" w:color="auto"/>
            <w:left w:val="none" w:sz="0" w:space="0" w:color="auto"/>
            <w:bottom w:val="none" w:sz="0" w:space="0" w:color="auto"/>
            <w:right w:val="none" w:sz="0" w:space="0" w:color="auto"/>
          </w:divBdr>
        </w:div>
      </w:divsChild>
    </w:div>
    <w:div w:id="1655178237">
      <w:marLeft w:val="0"/>
      <w:marRight w:val="0"/>
      <w:marTop w:val="0"/>
      <w:marBottom w:val="0"/>
      <w:divBdr>
        <w:top w:val="none" w:sz="0" w:space="0" w:color="auto"/>
        <w:left w:val="none" w:sz="0" w:space="0" w:color="auto"/>
        <w:bottom w:val="none" w:sz="0" w:space="0" w:color="auto"/>
        <w:right w:val="none" w:sz="0" w:space="0" w:color="auto"/>
      </w:divBdr>
      <w:divsChild>
        <w:div w:id="1760516672">
          <w:marLeft w:val="0"/>
          <w:marRight w:val="0"/>
          <w:marTop w:val="0"/>
          <w:marBottom w:val="0"/>
          <w:divBdr>
            <w:top w:val="none" w:sz="0" w:space="0" w:color="auto"/>
            <w:left w:val="none" w:sz="0" w:space="0" w:color="auto"/>
            <w:bottom w:val="none" w:sz="0" w:space="0" w:color="auto"/>
            <w:right w:val="none" w:sz="0" w:space="0" w:color="auto"/>
          </w:divBdr>
        </w:div>
      </w:divsChild>
    </w:div>
    <w:div w:id="1657957940">
      <w:marLeft w:val="0"/>
      <w:marRight w:val="0"/>
      <w:marTop w:val="0"/>
      <w:marBottom w:val="0"/>
      <w:divBdr>
        <w:top w:val="none" w:sz="0" w:space="0" w:color="auto"/>
        <w:left w:val="none" w:sz="0" w:space="0" w:color="auto"/>
        <w:bottom w:val="none" w:sz="0" w:space="0" w:color="auto"/>
        <w:right w:val="none" w:sz="0" w:space="0" w:color="auto"/>
      </w:divBdr>
    </w:div>
    <w:div w:id="1660304507">
      <w:marLeft w:val="0"/>
      <w:marRight w:val="0"/>
      <w:marTop w:val="240"/>
      <w:marBottom w:val="0"/>
      <w:divBdr>
        <w:top w:val="none" w:sz="0" w:space="0" w:color="auto"/>
        <w:left w:val="none" w:sz="0" w:space="0" w:color="auto"/>
        <w:bottom w:val="none" w:sz="0" w:space="0" w:color="auto"/>
        <w:right w:val="none" w:sz="0" w:space="0" w:color="auto"/>
      </w:divBdr>
    </w:div>
    <w:div w:id="1664773397">
      <w:marLeft w:val="0"/>
      <w:marRight w:val="0"/>
      <w:marTop w:val="0"/>
      <w:marBottom w:val="0"/>
      <w:divBdr>
        <w:top w:val="none" w:sz="0" w:space="0" w:color="auto"/>
        <w:left w:val="none" w:sz="0" w:space="0" w:color="auto"/>
        <w:bottom w:val="none" w:sz="0" w:space="0" w:color="auto"/>
        <w:right w:val="none" w:sz="0" w:space="0" w:color="auto"/>
      </w:divBdr>
    </w:div>
    <w:div w:id="1666399143">
      <w:marLeft w:val="0"/>
      <w:marRight w:val="0"/>
      <w:marTop w:val="120"/>
      <w:marBottom w:val="0"/>
      <w:divBdr>
        <w:top w:val="none" w:sz="0" w:space="0" w:color="auto"/>
        <w:left w:val="none" w:sz="0" w:space="0" w:color="auto"/>
        <w:bottom w:val="none" w:sz="0" w:space="0" w:color="auto"/>
        <w:right w:val="none" w:sz="0" w:space="0" w:color="auto"/>
      </w:divBdr>
    </w:div>
    <w:div w:id="1670866064">
      <w:marLeft w:val="0"/>
      <w:marRight w:val="0"/>
      <w:marTop w:val="0"/>
      <w:marBottom w:val="0"/>
      <w:divBdr>
        <w:top w:val="none" w:sz="0" w:space="0" w:color="auto"/>
        <w:left w:val="none" w:sz="0" w:space="0" w:color="auto"/>
        <w:bottom w:val="none" w:sz="0" w:space="0" w:color="auto"/>
        <w:right w:val="none" w:sz="0" w:space="0" w:color="auto"/>
      </w:divBdr>
    </w:div>
    <w:div w:id="1671253180">
      <w:marLeft w:val="0"/>
      <w:marRight w:val="0"/>
      <w:marTop w:val="0"/>
      <w:marBottom w:val="0"/>
      <w:divBdr>
        <w:top w:val="none" w:sz="0" w:space="0" w:color="auto"/>
        <w:left w:val="none" w:sz="0" w:space="0" w:color="auto"/>
        <w:bottom w:val="none" w:sz="0" w:space="0" w:color="auto"/>
        <w:right w:val="none" w:sz="0" w:space="0" w:color="auto"/>
      </w:divBdr>
    </w:div>
    <w:div w:id="1675762786">
      <w:marLeft w:val="0"/>
      <w:marRight w:val="0"/>
      <w:marTop w:val="0"/>
      <w:marBottom w:val="0"/>
      <w:divBdr>
        <w:top w:val="none" w:sz="0" w:space="0" w:color="auto"/>
        <w:left w:val="none" w:sz="0" w:space="0" w:color="auto"/>
        <w:bottom w:val="none" w:sz="0" w:space="0" w:color="auto"/>
        <w:right w:val="none" w:sz="0" w:space="0" w:color="auto"/>
      </w:divBdr>
    </w:div>
    <w:div w:id="1682392279">
      <w:marLeft w:val="0"/>
      <w:marRight w:val="0"/>
      <w:marTop w:val="120"/>
      <w:marBottom w:val="0"/>
      <w:divBdr>
        <w:top w:val="none" w:sz="0" w:space="0" w:color="auto"/>
        <w:left w:val="none" w:sz="0" w:space="0" w:color="auto"/>
        <w:bottom w:val="none" w:sz="0" w:space="0" w:color="auto"/>
        <w:right w:val="none" w:sz="0" w:space="0" w:color="auto"/>
      </w:divBdr>
    </w:div>
    <w:div w:id="1684091865">
      <w:marLeft w:val="0"/>
      <w:marRight w:val="0"/>
      <w:marTop w:val="0"/>
      <w:marBottom w:val="0"/>
      <w:divBdr>
        <w:top w:val="none" w:sz="0" w:space="0" w:color="auto"/>
        <w:left w:val="none" w:sz="0" w:space="0" w:color="auto"/>
        <w:bottom w:val="none" w:sz="0" w:space="0" w:color="auto"/>
        <w:right w:val="none" w:sz="0" w:space="0" w:color="auto"/>
      </w:divBdr>
    </w:div>
    <w:div w:id="1684669143">
      <w:marLeft w:val="0"/>
      <w:marRight w:val="0"/>
      <w:marTop w:val="120"/>
      <w:marBottom w:val="0"/>
      <w:divBdr>
        <w:top w:val="none" w:sz="0" w:space="0" w:color="auto"/>
        <w:left w:val="none" w:sz="0" w:space="0" w:color="auto"/>
        <w:bottom w:val="none" w:sz="0" w:space="0" w:color="auto"/>
        <w:right w:val="none" w:sz="0" w:space="0" w:color="auto"/>
      </w:divBdr>
    </w:div>
    <w:div w:id="1686593600">
      <w:marLeft w:val="0"/>
      <w:marRight w:val="0"/>
      <w:marTop w:val="0"/>
      <w:marBottom w:val="120"/>
      <w:divBdr>
        <w:top w:val="none" w:sz="0" w:space="0" w:color="auto"/>
        <w:left w:val="none" w:sz="0" w:space="0" w:color="auto"/>
        <w:bottom w:val="none" w:sz="0" w:space="0" w:color="auto"/>
        <w:right w:val="none" w:sz="0" w:space="0" w:color="auto"/>
      </w:divBdr>
      <w:divsChild>
        <w:div w:id="402223040">
          <w:marLeft w:val="0"/>
          <w:marRight w:val="0"/>
          <w:marTop w:val="0"/>
          <w:marBottom w:val="0"/>
          <w:divBdr>
            <w:top w:val="none" w:sz="0" w:space="0" w:color="auto"/>
            <w:left w:val="none" w:sz="0" w:space="0" w:color="auto"/>
            <w:bottom w:val="none" w:sz="0" w:space="0" w:color="auto"/>
            <w:right w:val="none" w:sz="0" w:space="0" w:color="auto"/>
          </w:divBdr>
        </w:div>
        <w:div w:id="951013743">
          <w:marLeft w:val="0"/>
          <w:marRight w:val="0"/>
          <w:marTop w:val="0"/>
          <w:marBottom w:val="0"/>
          <w:divBdr>
            <w:top w:val="none" w:sz="0" w:space="0" w:color="auto"/>
            <w:left w:val="none" w:sz="0" w:space="0" w:color="auto"/>
            <w:bottom w:val="none" w:sz="0" w:space="0" w:color="auto"/>
            <w:right w:val="none" w:sz="0" w:space="0" w:color="auto"/>
          </w:divBdr>
        </w:div>
        <w:div w:id="847981180">
          <w:marLeft w:val="0"/>
          <w:marRight w:val="0"/>
          <w:marTop w:val="0"/>
          <w:marBottom w:val="0"/>
          <w:divBdr>
            <w:top w:val="none" w:sz="0" w:space="0" w:color="auto"/>
            <w:left w:val="none" w:sz="0" w:space="0" w:color="auto"/>
            <w:bottom w:val="none" w:sz="0" w:space="0" w:color="auto"/>
            <w:right w:val="none" w:sz="0" w:space="0" w:color="auto"/>
          </w:divBdr>
        </w:div>
        <w:div w:id="1701587943">
          <w:marLeft w:val="0"/>
          <w:marRight w:val="0"/>
          <w:marTop w:val="0"/>
          <w:marBottom w:val="0"/>
          <w:divBdr>
            <w:top w:val="none" w:sz="0" w:space="0" w:color="auto"/>
            <w:left w:val="none" w:sz="0" w:space="0" w:color="auto"/>
            <w:bottom w:val="none" w:sz="0" w:space="0" w:color="auto"/>
            <w:right w:val="none" w:sz="0" w:space="0" w:color="auto"/>
          </w:divBdr>
        </w:div>
        <w:div w:id="1414930571">
          <w:marLeft w:val="0"/>
          <w:marRight w:val="0"/>
          <w:marTop w:val="0"/>
          <w:marBottom w:val="0"/>
          <w:divBdr>
            <w:top w:val="none" w:sz="0" w:space="0" w:color="auto"/>
            <w:left w:val="none" w:sz="0" w:space="0" w:color="auto"/>
            <w:bottom w:val="none" w:sz="0" w:space="0" w:color="auto"/>
            <w:right w:val="none" w:sz="0" w:space="0" w:color="auto"/>
          </w:divBdr>
        </w:div>
        <w:div w:id="133759943">
          <w:marLeft w:val="0"/>
          <w:marRight w:val="0"/>
          <w:marTop w:val="0"/>
          <w:marBottom w:val="0"/>
          <w:divBdr>
            <w:top w:val="none" w:sz="0" w:space="0" w:color="auto"/>
            <w:left w:val="none" w:sz="0" w:space="0" w:color="auto"/>
            <w:bottom w:val="none" w:sz="0" w:space="0" w:color="auto"/>
            <w:right w:val="none" w:sz="0" w:space="0" w:color="auto"/>
          </w:divBdr>
        </w:div>
        <w:div w:id="2121030158">
          <w:marLeft w:val="0"/>
          <w:marRight w:val="0"/>
          <w:marTop w:val="0"/>
          <w:marBottom w:val="0"/>
          <w:divBdr>
            <w:top w:val="none" w:sz="0" w:space="0" w:color="auto"/>
            <w:left w:val="none" w:sz="0" w:space="0" w:color="auto"/>
            <w:bottom w:val="none" w:sz="0" w:space="0" w:color="auto"/>
            <w:right w:val="none" w:sz="0" w:space="0" w:color="auto"/>
          </w:divBdr>
        </w:div>
        <w:div w:id="1570504998">
          <w:marLeft w:val="0"/>
          <w:marRight w:val="0"/>
          <w:marTop w:val="0"/>
          <w:marBottom w:val="0"/>
          <w:divBdr>
            <w:top w:val="none" w:sz="0" w:space="0" w:color="auto"/>
            <w:left w:val="none" w:sz="0" w:space="0" w:color="auto"/>
            <w:bottom w:val="none" w:sz="0" w:space="0" w:color="auto"/>
            <w:right w:val="none" w:sz="0" w:space="0" w:color="auto"/>
          </w:divBdr>
        </w:div>
        <w:div w:id="214435753">
          <w:marLeft w:val="0"/>
          <w:marRight w:val="0"/>
          <w:marTop w:val="0"/>
          <w:marBottom w:val="0"/>
          <w:divBdr>
            <w:top w:val="none" w:sz="0" w:space="0" w:color="auto"/>
            <w:left w:val="none" w:sz="0" w:space="0" w:color="auto"/>
            <w:bottom w:val="none" w:sz="0" w:space="0" w:color="auto"/>
            <w:right w:val="none" w:sz="0" w:space="0" w:color="auto"/>
          </w:divBdr>
        </w:div>
        <w:div w:id="1631008121">
          <w:marLeft w:val="0"/>
          <w:marRight w:val="0"/>
          <w:marTop w:val="0"/>
          <w:marBottom w:val="0"/>
          <w:divBdr>
            <w:top w:val="none" w:sz="0" w:space="0" w:color="auto"/>
            <w:left w:val="none" w:sz="0" w:space="0" w:color="auto"/>
            <w:bottom w:val="none" w:sz="0" w:space="0" w:color="auto"/>
            <w:right w:val="none" w:sz="0" w:space="0" w:color="auto"/>
          </w:divBdr>
        </w:div>
        <w:div w:id="2023773124">
          <w:marLeft w:val="0"/>
          <w:marRight w:val="0"/>
          <w:marTop w:val="0"/>
          <w:marBottom w:val="0"/>
          <w:divBdr>
            <w:top w:val="none" w:sz="0" w:space="0" w:color="auto"/>
            <w:left w:val="none" w:sz="0" w:space="0" w:color="auto"/>
            <w:bottom w:val="none" w:sz="0" w:space="0" w:color="auto"/>
            <w:right w:val="none" w:sz="0" w:space="0" w:color="auto"/>
          </w:divBdr>
        </w:div>
        <w:div w:id="830219372">
          <w:marLeft w:val="0"/>
          <w:marRight w:val="0"/>
          <w:marTop w:val="0"/>
          <w:marBottom w:val="0"/>
          <w:divBdr>
            <w:top w:val="none" w:sz="0" w:space="0" w:color="auto"/>
            <w:left w:val="none" w:sz="0" w:space="0" w:color="auto"/>
            <w:bottom w:val="none" w:sz="0" w:space="0" w:color="auto"/>
            <w:right w:val="none" w:sz="0" w:space="0" w:color="auto"/>
          </w:divBdr>
        </w:div>
        <w:div w:id="1635255190">
          <w:marLeft w:val="0"/>
          <w:marRight w:val="0"/>
          <w:marTop w:val="0"/>
          <w:marBottom w:val="0"/>
          <w:divBdr>
            <w:top w:val="none" w:sz="0" w:space="0" w:color="auto"/>
            <w:left w:val="none" w:sz="0" w:space="0" w:color="auto"/>
            <w:bottom w:val="none" w:sz="0" w:space="0" w:color="auto"/>
            <w:right w:val="none" w:sz="0" w:space="0" w:color="auto"/>
          </w:divBdr>
        </w:div>
        <w:div w:id="277376346">
          <w:marLeft w:val="0"/>
          <w:marRight w:val="0"/>
          <w:marTop w:val="0"/>
          <w:marBottom w:val="0"/>
          <w:divBdr>
            <w:top w:val="none" w:sz="0" w:space="0" w:color="auto"/>
            <w:left w:val="none" w:sz="0" w:space="0" w:color="auto"/>
            <w:bottom w:val="none" w:sz="0" w:space="0" w:color="auto"/>
            <w:right w:val="none" w:sz="0" w:space="0" w:color="auto"/>
          </w:divBdr>
        </w:div>
        <w:div w:id="1136530037">
          <w:marLeft w:val="0"/>
          <w:marRight w:val="0"/>
          <w:marTop w:val="0"/>
          <w:marBottom w:val="0"/>
          <w:divBdr>
            <w:top w:val="none" w:sz="0" w:space="0" w:color="auto"/>
            <w:left w:val="none" w:sz="0" w:space="0" w:color="auto"/>
            <w:bottom w:val="none" w:sz="0" w:space="0" w:color="auto"/>
            <w:right w:val="none" w:sz="0" w:space="0" w:color="auto"/>
          </w:divBdr>
        </w:div>
        <w:div w:id="330570186">
          <w:marLeft w:val="0"/>
          <w:marRight w:val="0"/>
          <w:marTop w:val="0"/>
          <w:marBottom w:val="0"/>
          <w:divBdr>
            <w:top w:val="none" w:sz="0" w:space="0" w:color="auto"/>
            <w:left w:val="none" w:sz="0" w:space="0" w:color="auto"/>
            <w:bottom w:val="none" w:sz="0" w:space="0" w:color="auto"/>
            <w:right w:val="none" w:sz="0" w:space="0" w:color="auto"/>
          </w:divBdr>
        </w:div>
        <w:div w:id="1976255680">
          <w:marLeft w:val="0"/>
          <w:marRight w:val="0"/>
          <w:marTop w:val="0"/>
          <w:marBottom w:val="0"/>
          <w:divBdr>
            <w:top w:val="none" w:sz="0" w:space="0" w:color="auto"/>
            <w:left w:val="none" w:sz="0" w:space="0" w:color="auto"/>
            <w:bottom w:val="none" w:sz="0" w:space="0" w:color="auto"/>
            <w:right w:val="none" w:sz="0" w:space="0" w:color="auto"/>
          </w:divBdr>
        </w:div>
        <w:div w:id="319382876">
          <w:marLeft w:val="0"/>
          <w:marRight w:val="0"/>
          <w:marTop w:val="0"/>
          <w:marBottom w:val="0"/>
          <w:divBdr>
            <w:top w:val="none" w:sz="0" w:space="0" w:color="auto"/>
            <w:left w:val="none" w:sz="0" w:space="0" w:color="auto"/>
            <w:bottom w:val="none" w:sz="0" w:space="0" w:color="auto"/>
            <w:right w:val="none" w:sz="0" w:space="0" w:color="auto"/>
          </w:divBdr>
        </w:div>
        <w:div w:id="238709744">
          <w:marLeft w:val="0"/>
          <w:marRight w:val="0"/>
          <w:marTop w:val="0"/>
          <w:marBottom w:val="0"/>
          <w:divBdr>
            <w:top w:val="none" w:sz="0" w:space="0" w:color="auto"/>
            <w:left w:val="none" w:sz="0" w:space="0" w:color="auto"/>
            <w:bottom w:val="none" w:sz="0" w:space="0" w:color="auto"/>
            <w:right w:val="none" w:sz="0" w:space="0" w:color="auto"/>
          </w:divBdr>
        </w:div>
        <w:div w:id="1991446972">
          <w:marLeft w:val="0"/>
          <w:marRight w:val="0"/>
          <w:marTop w:val="0"/>
          <w:marBottom w:val="0"/>
          <w:divBdr>
            <w:top w:val="none" w:sz="0" w:space="0" w:color="auto"/>
            <w:left w:val="none" w:sz="0" w:space="0" w:color="auto"/>
            <w:bottom w:val="none" w:sz="0" w:space="0" w:color="auto"/>
            <w:right w:val="none" w:sz="0" w:space="0" w:color="auto"/>
          </w:divBdr>
        </w:div>
        <w:div w:id="1654523742">
          <w:marLeft w:val="0"/>
          <w:marRight w:val="0"/>
          <w:marTop w:val="0"/>
          <w:marBottom w:val="0"/>
          <w:divBdr>
            <w:top w:val="none" w:sz="0" w:space="0" w:color="auto"/>
            <w:left w:val="none" w:sz="0" w:space="0" w:color="auto"/>
            <w:bottom w:val="none" w:sz="0" w:space="0" w:color="auto"/>
            <w:right w:val="none" w:sz="0" w:space="0" w:color="auto"/>
          </w:divBdr>
        </w:div>
        <w:div w:id="523834687">
          <w:marLeft w:val="0"/>
          <w:marRight w:val="0"/>
          <w:marTop w:val="0"/>
          <w:marBottom w:val="0"/>
          <w:divBdr>
            <w:top w:val="none" w:sz="0" w:space="0" w:color="auto"/>
            <w:left w:val="none" w:sz="0" w:space="0" w:color="auto"/>
            <w:bottom w:val="none" w:sz="0" w:space="0" w:color="auto"/>
            <w:right w:val="none" w:sz="0" w:space="0" w:color="auto"/>
          </w:divBdr>
        </w:div>
        <w:div w:id="621693644">
          <w:marLeft w:val="0"/>
          <w:marRight w:val="0"/>
          <w:marTop w:val="0"/>
          <w:marBottom w:val="0"/>
          <w:divBdr>
            <w:top w:val="none" w:sz="0" w:space="0" w:color="auto"/>
            <w:left w:val="none" w:sz="0" w:space="0" w:color="auto"/>
            <w:bottom w:val="none" w:sz="0" w:space="0" w:color="auto"/>
            <w:right w:val="none" w:sz="0" w:space="0" w:color="auto"/>
          </w:divBdr>
        </w:div>
        <w:div w:id="561330005">
          <w:marLeft w:val="0"/>
          <w:marRight w:val="0"/>
          <w:marTop w:val="0"/>
          <w:marBottom w:val="0"/>
          <w:divBdr>
            <w:top w:val="none" w:sz="0" w:space="0" w:color="auto"/>
            <w:left w:val="none" w:sz="0" w:space="0" w:color="auto"/>
            <w:bottom w:val="none" w:sz="0" w:space="0" w:color="auto"/>
            <w:right w:val="none" w:sz="0" w:space="0" w:color="auto"/>
          </w:divBdr>
        </w:div>
        <w:div w:id="1568950302">
          <w:marLeft w:val="0"/>
          <w:marRight w:val="0"/>
          <w:marTop w:val="0"/>
          <w:marBottom w:val="0"/>
          <w:divBdr>
            <w:top w:val="none" w:sz="0" w:space="0" w:color="auto"/>
            <w:left w:val="none" w:sz="0" w:space="0" w:color="auto"/>
            <w:bottom w:val="none" w:sz="0" w:space="0" w:color="auto"/>
            <w:right w:val="none" w:sz="0" w:space="0" w:color="auto"/>
          </w:divBdr>
        </w:div>
        <w:div w:id="1042486855">
          <w:marLeft w:val="0"/>
          <w:marRight w:val="0"/>
          <w:marTop w:val="0"/>
          <w:marBottom w:val="0"/>
          <w:divBdr>
            <w:top w:val="none" w:sz="0" w:space="0" w:color="auto"/>
            <w:left w:val="none" w:sz="0" w:space="0" w:color="auto"/>
            <w:bottom w:val="none" w:sz="0" w:space="0" w:color="auto"/>
            <w:right w:val="none" w:sz="0" w:space="0" w:color="auto"/>
          </w:divBdr>
        </w:div>
        <w:div w:id="687292025">
          <w:marLeft w:val="0"/>
          <w:marRight w:val="0"/>
          <w:marTop w:val="0"/>
          <w:marBottom w:val="0"/>
          <w:divBdr>
            <w:top w:val="none" w:sz="0" w:space="0" w:color="auto"/>
            <w:left w:val="none" w:sz="0" w:space="0" w:color="auto"/>
            <w:bottom w:val="none" w:sz="0" w:space="0" w:color="auto"/>
            <w:right w:val="none" w:sz="0" w:space="0" w:color="auto"/>
          </w:divBdr>
        </w:div>
        <w:div w:id="890656300">
          <w:marLeft w:val="0"/>
          <w:marRight w:val="0"/>
          <w:marTop w:val="0"/>
          <w:marBottom w:val="0"/>
          <w:divBdr>
            <w:top w:val="none" w:sz="0" w:space="0" w:color="auto"/>
            <w:left w:val="none" w:sz="0" w:space="0" w:color="auto"/>
            <w:bottom w:val="none" w:sz="0" w:space="0" w:color="auto"/>
            <w:right w:val="none" w:sz="0" w:space="0" w:color="auto"/>
          </w:divBdr>
        </w:div>
        <w:div w:id="2047413127">
          <w:marLeft w:val="0"/>
          <w:marRight w:val="0"/>
          <w:marTop w:val="0"/>
          <w:marBottom w:val="0"/>
          <w:divBdr>
            <w:top w:val="none" w:sz="0" w:space="0" w:color="auto"/>
            <w:left w:val="none" w:sz="0" w:space="0" w:color="auto"/>
            <w:bottom w:val="none" w:sz="0" w:space="0" w:color="auto"/>
            <w:right w:val="none" w:sz="0" w:space="0" w:color="auto"/>
          </w:divBdr>
        </w:div>
        <w:div w:id="1302732570">
          <w:marLeft w:val="0"/>
          <w:marRight w:val="0"/>
          <w:marTop w:val="0"/>
          <w:marBottom w:val="0"/>
          <w:divBdr>
            <w:top w:val="none" w:sz="0" w:space="0" w:color="auto"/>
            <w:left w:val="none" w:sz="0" w:space="0" w:color="auto"/>
            <w:bottom w:val="none" w:sz="0" w:space="0" w:color="auto"/>
            <w:right w:val="none" w:sz="0" w:space="0" w:color="auto"/>
          </w:divBdr>
        </w:div>
        <w:div w:id="1091663191">
          <w:marLeft w:val="0"/>
          <w:marRight w:val="0"/>
          <w:marTop w:val="0"/>
          <w:marBottom w:val="0"/>
          <w:divBdr>
            <w:top w:val="none" w:sz="0" w:space="0" w:color="auto"/>
            <w:left w:val="none" w:sz="0" w:space="0" w:color="auto"/>
            <w:bottom w:val="none" w:sz="0" w:space="0" w:color="auto"/>
            <w:right w:val="none" w:sz="0" w:space="0" w:color="auto"/>
          </w:divBdr>
        </w:div>
      </w:divsChild>
    </w:div>
    <w:div w:id="1694844531">
      <w:marLeft w:val="0"/>
      <w:marRight w:val="0"/>
      <w:marTop w:val="0"/>
      <w:marBottom w:val="0"/>
      <w:divBdr>
        <w:top w:val="none" w:sz="0" w:space="0" w:color="auto"/>
        <w:left w:val="none" w:sz="0" w:space="0" w:color="auto"/>
        <w:bottom w:val="none" w:sz="0" w:space="0" w:color="auto"/>
        <w:right w:val="none" w:sz="0" w:space="0" w:color="auto"/>
      </w:divBdr>
    </w:div>
    <w:div w:id="1700667231">
      <w:marLeft w:val="0"/>
      <w:marRight w:val="0"/>
      <w:marTop w:val="120"/>
      <w:marBottom w:val="0"/>
      <w:divBdr>
        <w:top w:val="none" w:sz="0" w:space="0" w:color="auto"/>
        <w:left w:val="none" w:sz="0" w:space="0" w:color="auto"/>
        <w:bottom w:val="none" w:sz="0" w:space="0" w:color="auto"/>
        <w:right w:val="none" w:sz="0" w:space="0" w:color="auto"/>
      </w:divBdr>
    </w:div>
    <w:div w:id="1702196556">
      <w:marLeft w:val="0"/>
      <w:marRight w:val="0"/>
      <w:marTop w:val="120"/>
      <w:marBottom w:val="0"/>
      <w:divBdr>
        <w:top w:val="none" w:sz="0" w:space="0" w:color="auto"/>
        <w:left w:val="none" w:sz="0" w:space="0" w:color="auto"/>
        <w:bottom w:val="none" w:sz="0" w:space="0" w:color="auto"/>
        <w:right w:val="none" w:sz="0" w:space="0" w:color="auto"/>
      </w:divBdr>
    </w:div>
    <w:div w:id="1702894700">
      <w:marLeft w:val="0"/>
      <w:marRight w:val="0"/>
      <w:marTop w:val="0"/>
      <w:marBottom w:val="120"/>
      <w:divBdr>
        <w:top w:val="none" w:sz="0" w:space="0" w:color="auto"/>
        <w:left w:val="none" w:sz="0" w:space="0" w:color="auto"/>
        <w:bottom w:val="none" w:sz="0" w:space="0" w:color="auto"/>
        <w:right w:val="none" w:sz="0" w:space="0" w:color="auto"/>
      </w:divBdr>
    </w:div>
    <w:div w:id="1712077028">
      <w:marLeft w:val="0"/>
      <w:marRight w:val="0"/>
      <w:marTop w:val="120"/>
      <w:marBottom w:val="0"/>
      <w:divBdr>
        <w:top w:val="none" w:sz="0" w:space="0" w:color="auto"/>
        <w:left w:val="none" w:sz="0" w:space="0" w:color="auto"/>
        <w:bottom w:val="none" w:sz="0" w:space="0" w:color="auto"/>
        <w:right w:val="none" w:sz="0" w:space="0" w:color="auto"/>
      </w:divBdr>
    </w:div>
    <w:div w:id="1720471621">
      <w:marLeft w:val="0"/>
      <w:marRight w:val="0"/>
      <w:marTop w:val="120"/>
      <w:marBottom w:val="0"/>
      <w:divBdr>
        <w:top w:val="none" w:sz="0" w:space="0" w:color="auto"/>
        <w:left w:val="none" w:sz="0" w:space="0" w:color="auto"/>
        <w:bottom w:val="none" w:sz="0" w:space="0" w:color="auto"/>
        <w:right w:val="none" w:sz="0" w:space="0" w:color="auto"/>
      </w:divBdr>
    </w:div>
    <w:div w:id="1720545871">
      <w:marLeft w:val="0"/>
      <w:marRight w:val="0"/>
      <w:marTop w:val="0"/>
      <w:marBottom w:val="0"/>
      <w:divBdr>
        <w:top w:val="none" w:sz="0" w:space="0" w:color="auto"/>
        <w:left w:val="none" w:sz="0" w:space="0" w:color="auto"/>
        <w:bottom w:val="none" w:sz="0" w:space="0" w:color="auto"/>
        <w:right w:val="none" w:sz="0" w:space="0" w:color="auto"/>
      </w:divBdr>
    </w:div>
    <w:div w:id="1725443321">
      <w:marLeft w:val="0"/>
      <w:marRight w:val="0"/>
      <w:marTop w:val="120"/>
      <w:marBottom w:val="0"/>
      <w:divBdr>
        <w:top w:val="none" w:sz="0" w:space="0" w:color="auto"/>
        <w:left w:val="none" w:sz="0" w:space="0" w:color="auto"/>
        <w:bottom w:val="none" w:sz="0" w:space="0" w:color="auto"/>
        <w:right w:val="none" w:sz="0" w:space="0" w:color="auto"/>
      </w:divBdr>
    </w:div>
    <w:div w:id="1733388608">
      <w:marLeft w:val="0"/>
      <w:marRight w:val="0"/>
      <w:marTop w:val="120"/>
      <w:marBottom w:val="0"/>
      <w:divBdr>
        <w:top w:val="none" w:sz="0" w:space="0" w:color="auto"/>
        <w:left w:val="none" w:sz="0" w:space="0" w:color="auto"/>
        <w:bottom w:val="none" w:sz="0" w:space="0" w:color="auto"/>
        <w:right w:val="none" w:sz="0" w:space="0" w:color="auto"/>
      </w:divBdr>
    </w:div>
    <w:div w:id="1739211579">
      <w:marLeft w:val="0"/>
      <w:marRight w:val="0"/>
      <w:marTop w:val="240"/>
      <w:marBottom w:val="0"/>
      <w:divBdr>
        <w:top w:val="none" w:sz="0" w:space="0" w:color="auto"/>
        <w:left w:val="none" w:sz="0" w:space="0" w:color="auto"/>
        <w:bottom w:val="none" w:sz="0" w:space="0" w:color="auto"/>
        <w:right w:val="none" w:sz="0" w:space="0" w:color="auto"/>
      </w:divBdr>
    </w:div>
    <w:div w:id="1745033555">
      <w:marLeft w:val="0"/>
      <w:marRight w:val="0"/>
      <w:marTop w:val="0"/>
      <w:marBottom w:val="0"/>
      <w:divBdr>
        <w:top w:val="none" w:sz="0" w:space="0" w:color="auto"/>
        <w:left w:val="none" w:sz="0" w:space="0" w:color="auto"/>
        <w:bottom w:val="none" w:sz="0" w:space="0" w:color="auto"/>
        <w:right w:val="none" w:sz="0" w:space="0" w:color="auto"/>
      </w:divBdr>
      <w:divsChild>
        <w:div w:id="231473652">
          <w:marLeft w:val="0"/>
          <w:marRight w:val="0"/>
          <w:marTop w:val="0"/>
          <w:marBottom w:val="0"/>
          <w:divBdr>
            <w:top w:val="none" w:sz="0" w:space="0" w:color="auto"/>
            <w:left w:val="none" w:sz="0" w:space="0" w:color="auto"/>
            <w:bottom w:val="none" w:sz="0" w:space="0" w:color="auto"/>
            <w:right w:val="none" w:sz="0" w:space="0" w:color="auto"/>
          </w:divBdr>
        </w:div>
      </w:divsChild>
    </w:div>
    <w:div w:id="1751347253">
      <w:marLeft w:val="0"/>
      <w:marRight w:val="0"/>
      <w:marTop w:val="120"/>
      <w:marBottom w:val="0"/>
      <w:divBdr>
        <w:top w:val="none" w:sz="0" w:space="0" w:color="auto"/>
        <w:left w:val="none" w:sz="0" w:space="0" w:color="auto"/>
        <w:bottom w:val="none" w:sz="0" w:space="0" w:color="auto"/>
        <w:right w:val="none" w:sz="0" w:space="0" w:color="auto"/>
      </w:divBdr>
    </w:div>
    <w:div w:id="1752509970">
      <w:marLeft w:val="0"/>
      <w:marRight w:val="0"/>
      <w:marTop w:val="120"/>
      <w:marBottom w:val="120"/>
      <w:divBdr>
        <w:top w:val="none" w:sz="0" w:space="0" w:color="auto"/>
        <w:left w:val="none" w:sz="0" w:space="0" w:color="auto"/>
        <w:bottom w:val="none" w:sz="0" w:space="0" w:color="auto"/>
        <w:right w:val="none" w:sz="0" w:space="0" w:color="auto"/>
      </w:divBdr>
    </w:div>
    <w:div w:id="1757358066">
      <w:marLeft w:val="0"/>
      <w:marRight w:val="0"/>
      <w:marTop w:val="0"/>
      <w:marBottom w:val="0"/>
      <w:divBdr>
        <w:top w:val="none" w:sz="0" w:space="0" w:color="auto"/>
        <w:left w:val="none" w:sz="0" w:space="0" w:color="auto"/>
        <w:bottom w:val="none" w:sz="0" w:space="0" w:color="auto"/>
        <w:right w:val="none" w:sz="0" w:space="0" w:color="auto"/>
      </w:divBdr>
    </w:div>
    <w:div w:id="1758358284">
      <w:marLeft w:val="0"/>
      <w:marRight w:val="0"/>
      <w:marTop w:val="120"/>
      <w:marBottom w:val="120"/>
      <w:divBdr>
        <w:top w:val="none" w:sz="0" w:space="0" w:color="auto"/>
        <w:left w:val="none" w:sz="0" w:space="0" w:color="auto"/>
        <w:bottom w:val="none" w:sz="0" w:space="0" w:color="auto"/>
        <w:right w:val="none" w:sz="0" w:space="0" w:color="auto"/>
      </w:divBdr>
    </w:div>
    <w:div w:id="1763457031">
      <w:marLeft w:val="0"/>
      <w:marRight w:val="0"/>
      <w:marTop w:val="120"/>
      <w:marBottom w:val="120"/>
      <w:divBdr>
        <w:top w:val="none" w:sz="0" w:space="0" w:color="auto"/>
        <w:left w:val="none" w:sz="0" w:space="0" w:color="auto"/>
        <w:bottom w:val="none" w:sz="0" w:space="0" w:color="auto"/>
        <w:right w:val="none" w:sz="0" w:space="0" w:color="auto"/>
      </w:divBdr>
    </w:div>
    <w:div w:id="1765033160">
      <w:marLeft w:val="0"/>
      <w:marRight w:val="0"/>
      <w:marTop w:val="120"/>
      <w:marBottom w:val="120"/>
      <w:divBdr>
        <w:top w:val="none" w:sz="0" w:space="0" w:color="auto"/>
        <w:left w:val="none" w:sz="0" w:space="0" w:color="auto"/>
        <w:bottom w:val="none" w:sz="0" w:space="0" w:color="auto"/>
        <w:right w:val="none" w:sz="0" w:space="0" w:color="auto"/>
      </w:divBdr>
    </w:div>
    <w:div w:id="1773745867">
      <w:marLeft w:val="0"/>
      <w:marRight w:val="0"/>
      <w:marTop w:val="120"/>
      <w:marBottom w:val="0"/>
      <w:divBdr>
        <w:top w:val="none" w:sz="0" w:space="0" w:color="auto"/>
        <w:left w:val="none" w:sz="0" w:space="0" w:color="auto"/>
        <w:bottom w:val="none" w:sz="0" w:space="0" w:color="auto"/>
        <w:right w:val="none" w:sz="0" w:space="0" w:color="auto"/>
      </w:divBdr>
    </w:div>
    <w:div w:id="1777869863">
      <w:marLeft w:val="0"/>
      <w:marRight w:val="0"/>
      <w:marTop w:val="0"/>
      <w:marBottom w:val="0"/>
      <w:divBdr>
        <w:top w:val="none" w:sz="0" w:space="0" w:color="auto"/>
        <w:left w:val="none" w:sz="0" w:space="0" w:color="auto"/>
        <w:bottom w:val="none" w:sz="0" w:space="0" w:color="auto"/>
        <w:right w:val="none" w:sz="0" w:space="0" w:color="auto"/>
      </w:divBdr>
      <w:divsChild>
        <w:div w:id="1619869026">
          <w:marLeft w:val="0"/>
          <w:marRight w:val="0"/>
          <w:marTop w:val="0"/>
          <w:marBottom w:val="0"/>
          <w:divBdr>
            <w:top w:val="none" w:sz="0" w:space="0" w:color="auto"/>
            <w:left w:val="none" w:sz="0" w:space="0" w:color="auto"/>
            <w:bottom w:val="none" w:sz="0" w:space="0" w:color="auto"/>
            <w:right w:val="none" w:sz="0" w:space="0" w:color="auto"/>
          </w:divBdr>
        </w:div>
      </w:divsChild>
    </w:div>
    <w:div w:id="1778986421">
      <w:marLeft w:val="0"/>
      <w:marRight w:val="0"/>
      <w:marTop w:val="0"/>
      <w:marBottom w:val="0"/>
      <w:divBdr>
        <w:top w:val="none" w:sz="0" w:space="0" w:color="auto"/>
        <w:left w:val="none" w:sz="0" w:space="0" w:color="auto"/>
        <w:bottom w:val="none" w:sz="0" w:space="0" w:color="auto"/>
        <w:right w:val="none" w:sz="0" w:space="0" w:color="auto"/>
      </w:divBdr>
      <w:divsChild>
        <w:div w:id="1622808036">
          <w:marLeft w:val="0"/>
          <w:marRight w:val="0"/>
          <w:marTop w:val="0"/>
          <w:marBottom w:val="0"/>
          <w:divBdr>
            <w:top w:val="none" w:sz="0" w:space="0" w:color="auto"/>
            <w:left w:val="none" w:sz="0" w:space="0" w:color="auto"/>
            <w:bottom w:val="none" w:sz="0" w:space="0" w:color="auto"/>
            <w:right w:val="none" w:sz="0" w:space="0" w:color="auto"/>
          </w:divBdr>
        </w:div>
      </w:divsChild>
    </w:div>
    <w:div w:id="1787771977">
      <w:marLeft w:val="0"/>
      <w:marRight w:val="0"/>
      <w:marTop w:val="0"/>
      <w:marBottom w:val="0"/>
      <w:divBdr>
        <w:top w:val="none" w:sz="0" w:space="0" w:color="auto"/>
        <w:left w:val="none" w:sz="0" w:space="0" w:color="auto"/>
        <w:bottom w:val="none" w:sz="0" w:space="0" w:color="auto"/>
        <w:right w:val="none" w:sz="0" w:space="0" w:color="auto"/>
      </w:divBdr>
    </w:div>
    <w:div w:id="1788044334">
      <w:marLeft w:val="0"/>
      <w:marRight w:val="0"/>
      <w:marTop w:val="120"/>
      <w:marBottom w:val="120"/>
      <w:divBdr>
        <w:top w:val="none" w:sz="0" w:space="0" w:color="auto"/>
        <w:left w:val="none" w:sz="0" w:space="0" w:color="auto"/>
        <w:bottom w:val="none" w:sz="0" w:space="0" w:color="auto"/>
        <w:right w:val="none" w:sz="0" w:space="0" w:color="auto"/>
      </w:divBdr>
    </w:div>
    <w:div w:id="1789398308">
      <w:marLeft w:val="0"/>
      <w:marRight w:val="0"/>
      <w:marTop w:val="0"/>
      <w:marBottom w:val="120"/>
      <w:divBdr>
        <w:top w:val="none" w:sz="0" w:space="0" w:color="auto"/>
        <w:left w:val="none" w:sz="0" w:space="0" w:color="auto"/>
        <w:bottom w:val="none" w:sz="0" w:space="0" w:color="auto"/>
        <w:right w:val="none" w:sz="0" w:space="0" w:color="auto"/>
      </w:divBdr>
    </w:div>
    <w:div w:id="1792481744">
      <w:marLeft w:val="0"/>
      <w:marRight w:val="0"/>
      <w:marTop w:val="0"/>
      <w:marBottom w:val="0"/>
      <w:divBdr>
        <w:top w:val="none" w:sz="0" w:space="0" w:color="auto"/>
        <w:left w:val="none" w:sz="0" w:space="0" w:color="auto"/>
        <w:bottom w:val="none" w:sz="0" w:space="0" w:color="auto"/>
        <w:right w:val="none" w:sz="0" w:space="0" w:color="auto"/>
      </w:divBdr>
    </w:div>
    <w:div w:id="1796094617">
      <w:marLeft w:val="0"/>
      <w:marRight w:val="0"/>
      <w:marTop w:val="120"/>
      <w:marBottom w:val="0"/>
      <w:divBdr>
        <w:top w:val="none" w:sz="0" w:space="0" w:color="auto"/>
        <w:left w:val="none" w:sz="0" w:space="0" w:color="auto"/>
        <w:bottom w:val="none" w:sz="0" w:space="0" w:color="auto"/>
        <w:right w:val="none" w:sz="0" w:space="0" w:color="auto"/>
      </w:divBdr>
    </w:div>
    <w:div w:id="1799492938">
      <w:marLeft w:val="0"/>
      <w:marRight w:val="0"/>
      <w:marTop w:val="120"/>
      <w:marBottom w:val="0"/>
      <w:divBdr>
        <w:top w:val="none" w:sz="0" w:space="0" w:color="auto"/>
        <w:left w:val="none" w:sz="0" w:space="0" w:color="auto"/>
        <w:bottom w:val="none" w:sz="0" w:space="0" w:color="auto"/>
        <w:right w:val="none" w:sz="0" w:space="0" w:color="auto"/>
      </w:divBdr>
    </w:div>
    <w:div w:id="1799494226">
      <w:marLeft w:val="0"/>
      <w:marRight w:val="0"/>
      <w:marTop w:val="0"/>
      <w:marBottom w:val="120"/>
      <w:divBdr>
        <w:top w:val="none" w:sz="0" w:space="0" w:color="auto"/>
        <w:left w:val="none" w:sz="0" w:space="0" w:color="auto"/>
        <w:bottom w:val="none" w:sz="0" w:space="0" w:color="auto"/>
        <w:right w:val="none" w:sz="0" w:space="0" w:color="auto"/>
      </w:divBdr>
    </w:div>
    <w:div w:id="1803496249">
      <w:marLeft w:val="0"/>
      <w:marRight w:val="0"/>
      <w:marTop w:val="0"/>
      <w:marBottom w:val="0"/>
      <w:divBdr>
        <w:top w:val="none" w:sz="0" w:space="0" w:color="auto"/>
        <w:left w:val="none" w:sz="0" w:space="0" w:color="auto"/>
        <w:bottom w:val="none" w:sz="0" w:space="0" w:color="auto"/>
        <w:right w:val="none" w:sz="0" w:space="0" w:color="auto"/>
      </w:divBdr>
      <w:divsChild>
        <w:div w:id="500123909">
          <w:marLeft w:val="0"/>
          <w:marRight w:val="0"/>
          <w:marTop w:val="0"/>
          <w:marBottom w:val="0"/>
          <w:divBdr>
            <w:top w:val="none" w:sz="0" w:space="0" w:color="auto"/>
            <w:left w:val="none" w:sz="0" w:space="0" w:color="auto"/>
            <w:bottom w:val="none" w:sz="0" w:space="0" w:color="auto"/>
            <w:right w:val="none" w:sz="0" w:space="0" w:color="auto"/>
          </w:divBdr>
        </w:div>
      </w:divsChild>
    </w:div>
    <w:div w:id="1808861264">
      <w:marLeft w:val="0"/>
      <w:marRight w:val="0"/>
      <w:marTop w:val="0"/>
      <w:marBottom w:val="120"/>
      <w:divBdr>
        <w:top w:val="none" w:sz="0" w:space="0" w:color="auto"/>
        <w:left w:val="none" w:sz="0" w:space="0" w:color="auto"/>
        <w:bottom w:val="none" w:sz="0" w:space="0" w:color="auto"/>
        <w:right w:val="none" w:sz="0" w:space="0" w:color="auto"/>
      </w:divBdr>
      <w:divsChild>
        <w:div w:id="1307709148">
          <w:marLeft w:val="0"/>
          <w:marRight w:val="0"/>
          <w:marTop w:val="0"/>
          <w:marBottom w:val="0"/>
          <w:divBdr>
            <w:top w:val="none" w:sz="0" w:space="0" w:color="auto"/>
            <w:left w:val="none" w:sz="0" w:space="0" w:color="auto"/>
            <w:bottom w:val="none" w:sz="0" w:space="0" w:color="auto"/>
            <w:right w:val="none" w:sz="0" w:space="0" w:color="auto"/>
          </w:divBdr>
        </w:div>
        <w:div w:id="595091159">
          <w:marLeft w:val="0"/>
          <w:marRight w:val="0"/>
          <w:marTop w:val="0"/>
          <w:marBottom w:val="0"/>
          <w:divBdr>
            <w:top w:val="none" w:sz="0" w:space="0" w:color="auto"/>
            <w:left w:val="none" w:sz="0" w:space="0" w:color="auto"/>
            <w:bottom w:val="none" w:sz="0" w:space="0" w:color="auto"/>
            <w:right w:val="none" w:sz="0" w:space="0" w:color="auto"/>
          </w:divBdr>
        </w:div>
        <w:div w:id="137191993">
          <w:marLeft w:val="0"/>
          <w:marRight w:val="0"/>
          <w:marTop w:val="0"/>
          <w:marBottom w:val="0"/>
          <w:divBdr>
            <w:top w:val="none" w:sz="0" w:space="0" w:color="auto"/>
            <w:left w:val="none" w:sz="0" w:space="0" w:color="auto"/>
            <w:bottom w:val="none" w:sz="0" w:space="0" w:color="auto"/>
            <w:right w:val="none" w:sz="0" w:space="0" w:color="auto"/>
          </w:divBdr>
        </w:div>
        <w:div w:id="1107627353">
          <w:marLeft w:val="0"/>
          <w:marRight w:val="0"/>
          <w:marTop w:val="0"/>
          <w:marBottom w:val="0"/>
          <w:divBdr>
            <w:top w:val="none" w:sz="0" w:space="0" w:color="auto"/>
            <w:left w:val="none" w:sz="0" w:space="0" w:color="auto"/>
            <w:bottom w:val="none" w:sz="0" w:space="0" w:color="auto"/>
            <w:right w:val="none" w:sz="0" w:space="0" w:color="auto"/>
          </w:divBdr>
        </w:div>
        <w:div w:id="611595813">
          <w:marLeft w:val="0"/>
          <w:marRight w:val="0"/>
          <w:marTop w:val="0"/>
          <w:marBottom w:val="0"/>
          <w:divBdr>
            <w:top w:val="none" w:sz="0" w:space="0" w:color="auto"/>
            <w:left w:val="none" w:sz="0" w:space="0" w:color="auto"/>
            <w:bottom w:val="none" w:sz="0" w:space="0" w:color="auto"/>
            <w:right w:val="none" w:sz="0" w:space="0" w:color="auto"/>
          </w:divBdr>
        </w:div>
        <w:div w:id="1075857652">
          <w:marLeft w:val="0"/>
          <w:marRight w:val="0"/>
          <w:marTop w:val="0"/>
          <w:marBottom w:val="0"/>
          <w:divBdr>
            <w:top w:val="none" w:sz="0" w:space="0" w:color="auto"/>
            <w:left w:val="none" w:sz="0" w:space="0" w:color="auto"/>
            <w:bottom w:val="none" w:sz="0" w:space="0" w:color="auto"/>
            <w:right w:val="none" w:sz="0" w:space="0" w:color="auto"/>
          </w:divBdr>
        </w:div>
        <w:div w:id="1634749515">
          <w:marLeft w:val="0"/>
          <w:marRight w:val="0"/>
          <w:marTop w:val="0"/>
          <w:marBottom w:val="0"/>
          <w:divBdr>
            <w:top w:val="none" w:sz="0" w:space="0" w:color="auto"/>
            <w:left w:val="none" w:sz="0" w:space="0" w:color="auto"/>
            <w:bottom w:val="none" w:sz="0" w:space="0" w:color="auto"/>
            <w:right w:val="none" w:sz="0" w:space="0" w:color="auto"/>
          </w:divBdr>
        </w:div>
        <w:div w:id="2112435453">
          <w:marLeft w:val="0"/>
          <w:marRight w:val="0"/>
          <w:marTop w:val="0"/>
          <w:marBottom w:val="0"/>
          <w:divBdr>
            <w:top w:val="none" w:sz="0" w:space="0" w:color="auto"/>
            <w:left w:val="none" w:sz="0" w:space="0" w:color="auto"/>
            <w:bottom w:val="none" w:sz="0" w:space="0" w:color="auto"/>
            <w:right w:val="none" w:sz="0" w:space="0" w:color="auto"/>
          </w:divBdr>
        </w:div>
        <w:div w:id="1697081164">
          <w:marLeft w:val="0"/>
          <w:marRight w:val="0"/>
          <w:marTop w:val="0"/>
          <w:marBottom w:val="0"/>
          <w:divBdr>
            <w:top w:val="none" w:sz="0" w:space="0" w:color="auto"/>
            <w:left w:val="none" w:sz="0" w:space="0" w:color="auto"/>
            <w:bottom w:val="none" w:sz="0" w:space="0" w:color="auto"/>
            <w:right w:val="none" w:sz="0" w:space="0" w:color="auto"/>
          </w:divBdr>
        </w:div>
        <w:div w:id="1895123381">
          <w:marLeft w:val="0"/>
          <w:marRight w:val="0"/>
          <w:marTop w:val="0"/>
          <w:marBottom w:val="0"/>
          <w:divBdr>
            <w:top w:val="none" w:sz="0" w:space="0" w:color="auto"/>
            <w:left w:val="none" w:sz="0" w:space="0" w:color="auto"/>
            <w:bottom w:val="none" w:sz="0" w:space="0" w:color="auto"/>
            <w:right w:val="none" w:sz="0" w:space="0" w:color="auto"/>
          </w:divBdr>
        </w:div>
        <w:div w:id="896629738">
          <w:marLeft w:val="0"/>
          <w:marRight w:val="0"/>
          <w:marTop w:val="0"/>
          <w:marBottom w:val="0"/>
          <w:divBdr>
            <w:top w:val="none" w:sz="0" w:space="0" w:color="auto"/>
            <w:left w:val="none" w:sz="0" w:space="0" w:color="auto"/>
            <w:bottom w:val="none" w:sz="0" w:space="0" w:color="auto"/>
            <w:right w:val="none" w:sz="0" w:space="0" w:color="auto"/>
          </w:divBdr>
        </w:div>
        <w:div w:id="1838034975">
          <w:marLeft w:val="0"/>
          <w:marRight w:val="0"/>
          <w:marTop w:val="0"/>
          <w:marBottom w:val="0"/>
          <w:divBdr>
            <w:top w:val="none" w:sz="0" w:space="0" w:color="auto"/>
            <w:left w:val="none" w:sz="0" w:space="0" w:color="auto"/>
            <w:bottom w:val="none" w:sz="0" w:space="0" w:color="auto"/>
            <w:right w:val="none" w:sz="0" w:space="0" w:color="auto"/>
          </w:divBdr>
        </w:div>
        <w:div w:id="433475888">
          <w:marLeft w:val="0"/>
          <w:marRight w:val="0"/>
          <w:marTop w:val="0"/>
          <w:marBottom w:val="0"/>
          <w:divBdr>
            <w:top w:val="none" w:sz="0" w:space="0" w:color="auto"/>
            <w:left w:val="none" w:sz="0" w:space="0" w:color="auto"/>
            <w:bottom w:val="none" w:sz="0" w:space="0" w:color="auto"/>
            <w:right w:val="none" w:sz="0" w:space="0" w:color="auto"/>
          </w:divBdr>
        </w:div>
        <w:div w:id="994914593">
          <w:marLeft w:val="0"/>
          <w:marRight w:val="0"/>
          <w:marTop w:val="0"/>
          <w:marBottom w:val="0"/>
          <w:divBdr>
            <w:top w:val="none" w:sz="0" w:space="0" w:color="auto"/>
            <w:left w:val="none" w:sz="0" w:space="0" w:color="auto"/>
            <w:bottom w:val="none" w:sz="0" w:space="0" w:color="auto"/>
            <w:right w:val="none" w:sz="0" w:space="0" w:color="auto"/>
          </w:divBdr>
        </w:div>
        <w:div w:id="1472944469">
          <w:marLeft w:val="0"/>
          <w:marRight w:val="0"/>
          <w:marTop w:val="0"/>
          <w:marBottom w:val="0"/>
          <w:divBdr>
            <w:top w:val="none" w:sz="0" w:space="0" w:color="auto"/>
            <w:left w:val="none" w:sz="0" w:space="0" w:color="auto"/>
            <w:bottom w:val="none" w:sz="0" w:space="0" w:color="auto"/>
            <w:right w:val="none" w:sz="0" w:space="0" w:color="auto"/>
          </w:divBdr>
        </w:div>
        <w:div w:id="632558180">
          <w:marLeft w:val="0"/>
          <w:marRight w:val="0"/>
          <w:marTop w:val="0"/>
          <w:marBottom w:val="0"/>
          <w:divBdr>
            <w:top w:val="none" w:sz="0" w:space="0" w:color="auto"/>
            <w:left w:val="none" w:sz="0" w:space="0" w:color="auto"/>
            <w:bottom w:val="none" w:sz="0" w:space="0" w:color="auto"/>
            <w:right w:val="none" w:sz="0" w:space="0" w:color="auto"/>
          </w:divBdr>
        </w:div>
        <w:div w:id="638262428">
          <w:marLeft w:val="0"/>
          <w:marRight w:val="0"/>
          <w:marTop w:val="0"/>
          <w:marBottom w:val="0"/>
          <w:divBdr>
            <w:top w:val="none" w:sz="0" w:space="0" w:color="auto"/>
            <w:left w:val="none" w:sz="0" w:space="0" w:color="auto"/>
            <w:bottom w:val="none" w:sz="0" w:space="0" w:color="auto"/>
            <w:right w:val="none" w:sz="0" w:space="0" w:color="auto"/>
          </w:divBdr>
        </w:div>
        <w:div w:id="611279818">
          <w:marLeft w:val="0"/>
          <w:marRight w:val="0"/>
          <w:marTop w:val="0"/>
          <w:marBottom w:val="0"/>
          <w:divBdr>
            <w:top w:val="none" w:sz="0" w:space="0" w:color="auto"/>
            <w:left w:val="none" w:sz="0" w:space="0" w:color="auto"/>
            <w:bottom w:val="none" w:sz="0" w:space="0" w:color="auto"/>
            <w:right w:val="none" w:sz="0" w:space="0" w:color="auto"/>
          </w:divBdr>
        </w:div>
        <w:div w:id="1835221000">
          <w:marLeft w:val="0"/>
          <w:marRight w:val="0"/>
          <w:marTop w:val="0"/>
          <w:marBottom w:val="0"/>
          <w:divBdr>
            <w:top w:val="none" w:sz="0" w:space="0" w:color="auto"/>
            <w:left w:val="none" w:sz="0" w:space="0" w:color="auto"/>
            <w:bottom w:val="none" w:sz="0" w:space="0" w:color="auto"/>
            <w:right w:val="none" w:sz="0" w:space="0" w:color="auto"/>
          </w:divBdr>
        </w:div>
        <w:div w:id="452289604">
          <w:marLeft w:val="0"/>
          <w:marRight w:val="0"/>
          <w:marTop w:val="0"/>
          <w:marBottom w:val="0"/>
          <w:divBdr>
            <w:top w:val="none" w:sz="0" w:space="0" w:color="auto"/>
            <w:left w:val="none" w:sz="0" w:space="0" w:color="auto"/>
            <w:bottom w:val="none" w:sz="0" w:space="0" w:color="auto"/>
            <w:right w:val="none" w:sz="0" w:space="0" w:color="auto"/>
          </w:divBdr>
        </w:div>
        <w:div w:id="565723547">
          <w:marLeft w:val="0"/>
          <w:marRight w:val="0"/>
          <w:marTop w:val="0"/>
          <w:marBottom w:val="0"/>
          <w:divBdr>
            <w:top w:val="none" w:sz="0" w:space="0" w:color="auto"/>
            <w:left w:val="none" w:sz="0" w:space="0" w:color="auto"/>
            <w:bottom w:val="none" w:sz="0" w:space="0" w:color="auto"/>
            <w:right w:val="none" w:sz="0" w:space="0" w:color="auto"/>
          </w:divBdr>
        </w:div>
      </w:divsChild>
    </w:div>
    <w:div w:id="1809282285">
      <w:marLeft w:val="0"/>
      <w:marRight w:val="0"/>
      <w:marTop w:val="0"/>
      <w:marBottom w:val="0"/>
      <w:divBdr>
        <w:top w:val="none" w:sz="0" w:space="0" w:color="auto"/>
        <w:left w:val="none" w:sz="0" w:space="0" w:color="auto"/>
        <w:bottom w:val="none" w:sz="0" w:space="0" w:color="auto"/>
        <w:right w:val="none" w:sz="0" w:space="0" w:color="auto"/>
      </w:divBdr>
    </w:div>
    <w:div w:id="1810589191">
      <w:marLeft w:val="0"/>
      <w:marRight w:val="0"/>
      <w:marTop w:val="120"/>
      <w:marBottom w:val="0"/>
      <w:divBdr>
        <w:top w:val="none" w:sz="0" w:space="0" w:color="auto"/>
        <w:left w:val="none" w:sz="0" w:space="0" w:color="auto"/>
        <w:bottom w:val="none" w:sz="0" w:space="0" w:color="auto"/>
        <w:right w:val="none" w:sz="0" w:space="0" w:color="auto"/>
      </w:divBdr>
    </w:div>
    <w:div w:id="1814055279">
      <w:marLeft w:val="0"/>
      <w:marRight w:val="0"/>
      <w:marTop w:val="120"/>
      <w:marBottom w:val="120"/>
      <w:divBdr>
        <w:top w:val="none" w:sz="0" w:space="0" w:color="auto"/>
        <w:left w:val="none" w:sz="0" w:space="0" w:color="auto"/>
        <w:bottom w:val="none" w:sz="0" w:space="0" w:color="auto"/>
        <w:right w:val="none" w:sz="0" w:space="0" w:color="auto"/>
      </w:divBdr>
    </w:div>
    <w:div w:id="1814134279">
      <w:marLeft w:val="0"/>
      <w:marRight w:val="0"/>
      <w:marTop w:val="0"/>
      <w:marBottom w:val="0"/>
      <w:divBdr>
        <w:top w:val="none" w:sz="0" w:space="0" w:color="auto"/>
        <w:left w:val="none" w:sz="0" w:space="0" w:color="auto"/>
        <w:bottom w:val="none" w:sz="0" w:space="0" w:color="auto"/>
        <w:right w:val="none" w:sz="0" w:space="0" w:color="auto"/>
      </w:divBdr>
    </w:div>
    <w:div w:id="1820026493">
      <w:marLeft w:val="0"/>
      <w:marRight w:val="0"/>
      <w:marTop w:val="120"/>
      <w:marBottom w:val="0"/>
      <w:divBdr>
        <w:top w:val="none" w:sz="0" w:space="0" w:color="auto"/>
        <w:left w:val="none" w:sz="0" w:space="0" w:color="auto"/>
        <w:bottom w:val="none" w:sz="0" w:space="0" w:color="auto"/>
        <w:right w:val="none" w:sz="0" w:space="0" w:color="auto"/>
      </w:divBdr>
    </w:div>
    <w:div w:id="1823959052">
      <w:marLeft w:val="0"/>
      <w:marRight w:val="0"/>
      <w:marTop w:val="0"/>
      <w:marBottom w:val="0"/>
      <w:divBdr>
        <w:top w:val="none" w:sz="0" w:space="0" w:color="auto"/>
        <w:left w:val="none" w:sz="0" w:space="0" w:color="auto"/>
        <w:bottom w:val="none" w:sz="0" w:space="0" w:color="auto"/>
        <w:right w:val="none" w:sz="0" w:space="0" w:color="auto"/>
      </w:divBdr>
      <w:divsChild>
        <w:div w:id="80223487">
          <w:marLeft w:val="0"/>
          <w:marRight w:val="0"/>
          <w:marTop w:val="0"/>
          <w:marBottom w:val="0"/>
          <w:divBdr>
            <w:top w:val="none" w:sz="0" w:space="0" w:color="auto"/>
            <w:left w:val="none" w:sz="0" w:space="0" w:color="auto"/>
            <w:bottom w:val="none" w:sz="0" w:space="0" w:color="auto"/>
            <w:right w:val="none" w:sz="0" w:space="0" w:color="auto"/>
          </w:divBdr>
        </w:div>
      </w:divsChild>
    </w:div>
    <w:div w:id="1824615650">
      <w:marLeft w:val="0"/>
      <w:marRight w:val="0"/>
      <w:marTop w:val="0"/>
      <w:marBottom w:val="0"/>
      <w:divBdr>
        <w:top w:val="none" w:sz="0" w:space="0" w:color="auto"/>
        <w:left w:val="none" w:sz="0" w:space="0" w:color="auto"/>
        <w:bottom w:val="none" w:sz="0" w:space="0" w:color="auto"/>
        <w:right w:val="none" w:sz="0" w:space="0" w:color="auto"/>
      </w:divBdr>
      <w:divsChild>
        <w:div w:id="405307147">
          <w:marLeft w:val="0"/>
          <w:marRight w:val="0"/>
          <w:marTop w:val="0"/>
          <w:marBottom w:val="0"/>
          <w:divBdr>
            <w:top w:val="none" w:sz="0" w:space="0" w:color="auto"/>
            <w:left w:val="none" w:sz="0" w:space="0" w:color="auto"/>
            <w:bottom w:val="none" w:sz="0" w:space="0" w:color="auto"/>
            <w:right w:val="none" w:sz="0" w:space="0" w:color="auto"/>
          </w:divBdr>
        </w:div>
      </w:divsChild>
    </w:div>
    <w:div w:id="1826824469">
      <w:marLeft w:val="0"/>
      <w:marRight w:val="0"/>
      <w:marTop w:val="120"/>
      <w:marBottom w:val="120"/>
      <w:divBdr>
        <w:top w:val="none" w:sz="0" w:space="0" w:color="auto"/>
        <w:left w:val="none" w:sz="0" w:space="0" w:color="auto"/>
        <w:bottom w:val="none" w:sz="0" w:space="0" w:color="auto"/>
        <w:right w:val="none" w:sz="0" w:space="0" w:color="auto"/>
      </w:divBdr>
    </w:div>
    <w:div w:id="1826968800">
      <w:marLeft w:val="0"/>
      <w:marRight w:val="0"/>
      <w:marTop w:val="120"/>
      <w:marBottom w:val="120"/>
      <w:divBdr>
        <w:top w:val="none" w:sz="0" w:space="0" w:color="auto"/>
        <w:left w:val="none" w:sz="0" w:space="0" w:color="auto"/>
        <w:bottom w:val="none" w:sz="0" w:space="0" w:color="auto"/>
        <w:right w:val="none" w:sz="0" w:space="0" w:color="auto"/>
      </w:divBdr>
    </w:div>
    <w:div w:id="1827549312">
      <w:marLeft w:val="0"/>
      <w:marRight w:val="0"/>
      <w:marTop w:val="120"/>
      <w:marBottom w:val="0"/>
      <w:divBdr>
        <w:top w:val="none" w:sz="0" w:space="0" w:color="auto"/>
        <w:left w:val="none" w:sz="0" w:space="0" w:color="auto"/>
        <w:bottom w:val="none" w:sz="0" w:space="0" w:color="auto"/>
        <w:right w:val="none" w:sz="0" w:space="0" w:color="auto"/>
      </w:divBdr>
    </w:div>
    <w:div w:id="1828521797">
      <w:marLeft w:val="0"/>
      <w:marRight w:val="0"/>
      <w:marTop w:val="120"/>
      <w:marBottom w:val="0"/>
      <w:divBdr>
        <w:top w:val="none" w:sz="0" w:space="0" w:color="auto"/>
        <w:left w:val="none" w:sz="0" w:space="0" w:color="auto"/>
        <w:bottom w:val="none" w:sz="0" w:space="0" w:color="auto"/>
        <w:right w:val="none" w:sz="0" w:space="0" w:color="auto"/>
      </w:divBdr>
    </w:div>
    <w:div w:id="1832335194">
      <w:marLeft w:val="0"/>
      <w:marRight w:val="0"/>
      <w:marTop w:val="0"/>
      <w:marBottom w:val="0"/>
      <w:divBdr>
        <w:top w:val="none" w:sz="0" w:space="0" w:color="auto"/>
        <w:left w:val="none" w:sz="0" w:space="0" w:color="auto"/>
        <w:bottom w:val="none" w:sz="0" w:space="0" w:color="auto"/>
        <w:right w:val="none" w:sz="0" w:space="0" w:color="auto"/>
      </w:divBdr>
    </w:div>
    <w:div w:id="1835559691">
      <w:marLeft w:val="0"/>
      <w:marRight w:val="0"/>
      <w:marTop w:val="120"/>
      <w:marBottom w:val="0"/>
      <w:divBdr>
        <w:top w:val="none" w:sz="0" w:space="0" w:color="auto"/>
        <w:left w:val="none" w:sz="0" w:space="0" w:color="auto"/>
        <w:bottom w:val="none" w:sz="0" w:space="0" w:color="auto"/>
        <w:right w:val="none" w:sz="0" w:space="0" w:color="auto"/>
      </w:divBdr>
    </w:div>
    <w:div w:id="1838573731">
      <w:marLeft w:val="0"/>
      <w:marRight w:val="0"/>
      <w:marTop w:val="0"/>
      <w:marBottom w:val="0"/>
      <w:divBdr>
        <w:top w:val="none" w:sz="0" w:space="0" w:color="auto"/>
        <w:left w:val="none" w:sz="0" w:space="0" w:color="auto"/>
        <w:bottom w:val="none" w:sz="0" w:space="0" w:color="auto"/>
        <w:right w:val="none" w:sz="0" w:space="0" w:color="auto"/>
      </w:divBdr>
    </w:div>
    <w:div w:id="1839929594">
      <w:marLeft w:val="0"/>
      <w:marRight w:val="0"/>
      <w:marTop w:val="120"/>
      <w:marBottom w:val="120"/>
      <w:divBdr>
        <w:top w:val="none" w:sz="0" w:space="0" w:color="auto"/>
        <w:left w:val="none" w:sz="0" w:space="0" w:color="auto"/>
        <w:bottom w:val="none" w:sz="0" w:space="0" w:color="auto"/>
        <w:right w:val="none" w:sz="0" w:space="0" w:color="auto"/>
      </w:divBdr>
    </w:div>
    <w:div w:id="1844856524">
      <w:marLeft w:val="0"/>
      <w:marRight w:val="0"/>
      <w:marTop w:val="0"/>
      <w:marBottom w:val="120"/>
      <w:divBdr>
        <w:top w:val="none" w:sz="0" w:space="0" w:color="auto"/>
        <w:left w:val="none" w:sz="0" w:space="0" w:color="auto"/>
        <w:bottom w:val="none" w:sz="0" w:space="0" w:color="auto"/>
        <w:right w:val="none" w:sz="0" w:space="0" w:color="auto"/>
      </w:divBdr>
    </w:div>
    <w:div w:id="1846818991">
      <w:marLeft w:val="0"/>
      <w:marRight w:val="0"/>
      <w:marTop w:val="120"/>
      <w:marBottom w:val="0"/>
      <w:divBdr>
        <w:top w:val="none" w:sz="0" w:space="0" w:color="auto"/>
        <w:left w:val="none" w:sz="0" w:space="0" w:color="auto"/>
        <w:bottom w:val="none" w:sz="0" w:space="0" w:color="auto"/>
        <w:right w:val="none" w:sz="0" w:space="0" w:color="auto"/>
      </w:divBdr>
    </w:div>
    <w:div w:id="1848667087">
      <w:marLeft w:val="0"/>
      <w:marRight w:val="0"/>
      <w:marTop w:val="120"/>
      <w:marBottom w:val="0"/>
      <w:divBdr>
        <w:top w:val="none" w:sz="0" w:space="0" w:color="auto"/>
        <w:left w:val="none" w:sz="0" w:space="0" w:color="auto"/>
        <w:bottom w:val="none" w:sz="0" w:space="0" w:color="auto"/>
        <w:right w:val="none" w:sz="0" w:space="0" w:color="auto"/>
      </w:divBdr>
    </w:div>
    <w:div w:id="1848904207">
      <w:marLeft w:val="0"/>
      <w:marRight w:val="0"/>
      <w:marTop w:val="0"/>
      <w:marBottom w:val="0"/>
      <w:divBdr>
        <w:top w:val="none" w:sz="0" w:space="0" w:color="auto"/>
        <w:left w:val="none" w:sz="0" w:space="0" w:color="auto"/>
        <w:bottom w:val="none" w:sz="0" w:space="0" w:color="auto"/>
        <w:right w:val="none" w:sz="0" w:space="0" w:color="auto"/>
      </w:divBdr>
    </w:div>
    <w:div w:id="1849444912">
      <w:marLeft w:val="0"/>
      <w:marRight w:val="0"/>
      <w:marTop w:val="0"/>
      <w:marBottom w:val="0"/>
      <w:divBdr>
        <w:top w:val="none" w:sz="0" w:space="0" w:color="auto"/>
        <w:left w:val="none" w:sz="0" w:space="0" w:color="auto"/>
        <w:bottom w:val="none" w:sz="0" w:space="0" w:color="auto"/>
        <w:right w:val="none" w:sz="0" w:space="0" w:color="auto"/>
      </w:divBdr>
      <w:divsChild>
        <w:div w:id="1634677122">
          <w:marLeft w:val="0"/>
          <w:marRight w:val="0"/>
          <w:marTop w:val="180"/>
          <w:marBottom w:val="0"/>
          <w:divBdr>
            <w:top w:val="none" w:sz="0" w:space="0" w:color="auto"/>
            <w:left w:val="none" w:sz="0" w:space="0" w:color="auto"/>
            <w:bottom w:val="none" w:sz="0" w:space="0" w:color="auto"/>
            <w:right w:val="none" w:sz="0" w:space="0" w:color="auto"/>
          </w:divBdr>
        </w:div>
      </w:divsChild>
    </w:div>
    <w:div w:id="1851874179">
      <w:marLeft w:val="0"/>
      <w:marRight w:val="0"/>
      <w:marTop w:val="120"/>
      <w:marBottom w:val="0"/>
      <w:divBdr>
        <w:top w:val="none" w:sz="0" w:space="0" w:color="auto"/>
        <w:left w:val="none" w:sz="0" w:space="0" w:color="auto"/>
        <w:bottom w:val="none" w:sz="0" w:space="0" w:color="auto"/>
        <w:right w:val="none" w:sz="0" w:space="0" w:color="auto"/>
      </w:divBdr>
    </w:div>
    <w:div w:id="1855537260">
      <w:marLeft w:val="0"/>
      <w:marRight w:val="0"/>
      <w:marTop w:val="120"/>
      <w:marBottom w:val="0"/>
      <w:divBdr>
        <w:top w:val="none" w:sz="0" w:space="0" w:color="auto"/>
        <w:left w:val="none" w:sz="0" w:space="0" w:color="auto"/>
        <w:bottom w:val="none" w:sz="0" w:space="0" w:color="auto"/>
        <w:right w:val="none" w:sz="0" w:space="0" w:color="auto"/>
      </w:divBdr>
    </w:div>
    <w:div w:id="1855680305">
      <w:marLeft w:val="0"/>
      <w:marRight w:val="0"/>
      <w:marTop w:val="120"/>
      <w:marBottom w:val="0"/>
      <w:divBdr>
        <w:top w:val="none" w:sz="0" w:space="0" w:color="auto"/>
        <w:left w:val="none" w:sz="0" w:space="0" w:color="auto"/>
        <w:bottom w:val="none" w:sz="0" w:space="0" w:color="auto"/>
        <w:right w:val="none" w:sz="0" w:space="0" w:color="auto"/>
      </w:divBdr>
    </w:div>
    <w:div w:id="1857496089">
      <w:marLeft w:val="0"/>
      <w:marRight w:val="0"/>
      <w:marTop w:val="120"/>
      <w:marBottom w:val="0"/>
      <w:divBdr>
        <w:top w:val="none" w:sz="0" w:space="0" w:color="auto"/>
        <w:left w:val="none" w:sz="0" w:space="0" w:color="auto"/>
        <w:bottom w:val="none" w:sz="0" w:space="0" w:color="auto"/>
        <w:right w:val="none" w:sz="0" w:space="0" w:color="auto"/>
      </w:divBdr>
    </w:div>
    <w:div w:id="1863131591">
      <w:marLeft w:val="0"/>
      <w:marRight w:val="0"/>
      <w:marTop w:val="120"/>
      <w:marBottom w:val="0"/>
      <w:divBdr>
        <w:top w:val="none" w:sz="0" w:space="0" w:color="auto"/>
        <w:left w:val="none" w:sz="0" w:space="0" w:color="auto"/>
        <w:bottom w:val="none" w:sz="0" w:space="0" w:color="auto"/>
        <w:right w:val="none" w:sz="0" w:space="0" w:color="auto"/>
      </w:divBdr>
    </w:div>
    <w:div w:id="1863588527">
      <w:marLeft w:val="0"/>
      <w:marRight w:val="0"/>
      <w:marTop w:val="120"/>
      <w:marBottom w:val="0"/>
      <w:divBdr>
        <w:top w:val="none" w:sz="0" w:space="0" w:color="auto"/>
        <w:left w:val="none" w:sz="0" w:space="0" w:color="auto"/>
        <w:bottom w:val="none" w:sz="0" w:space="0" w:color="auto"/>
        <w:right w:val="none" w:sz="0" w:space="0" w:color="auto"/>
      </w:divBdr>
    </w:div>
    <w:div w:id="1863780936">
      <w:marLeft w:val="0"/>
      <w:marRight w:val="0"/>
      <w:marTop w:val="0"/>
      <w:marBottom w:val="0"/>
      <w:divBdr>
        <w:top w:val="none" w:sz="0" w:space="0" w:color="auto"/>
        <w:left w:val="none" w:sz="0" w:space="0" w:color="auto"/>
        <w:bottom w:val="none" w:sz="0" w:space="0" w:color="auto"/>
        <w:right w:val="none" w:sz="0" w:space="0" w:color="auto"/>
      </w:divBdr>
    </w:div>
    <w:div w:id="1867402048">
      <w:marLeft w:val="0"/>
      <w:marRight w:val="0"/>
      <w:marTop w:val="120"/>
      <w:marBottom w:val="0"/>
      <w:divBdr>
        <w:top w:val="none" w:sz="0" w:space="0" w:color="auto"/>
        <w:left w:val="none" w:sz="0" w:space="0" w:color="auto"/>
        <w:bottom w:val="none" w:sz="0" w:space="0" w:color="auto"/>
        <w:right w:val="none" w:sz="0" w:space="0" w:color="auto"/>
      </w:divBdr>
    </w:div>
    <w:div w:id="1872959541">
      <w:marLeft w:val="0"/>
      <w:marRight w:val="0"/>
      <w:marTop w:val="0"/>
      <w:marBottom w:val="120"/>
      <w:divBdr>
        <w:top w:val="none" w:sz="0" w:space="0" w:color="auto"/>
        <w:left w:val="none" w:sz="0" w:space="0" w:color="auto"/>
        <w:bottom w:val="none" w:sz="0" w:space="0" w:color="auto"/>
        <w:right w:val="none" w:sz="0" w:space="0" w:color="auto"/>
      </w:divBdr>
    </w:div>
    <w:div w:id="1873493935">
      <w:marLeft w:val="0"/>
      <w:marRight w:val="0"/>
      <w:marTop w:val="120"/>
      <w:marBottom w:val="120"/>
      <w:divBdr>
        <w:top w:val="none" w:sz="0" w:space="0" w:color="auto"/>
        <w:left w:val="none" w:sz="0" w:space="0" w:color="auto"/>
        <w:bottom w:val="none" w:sz="0" w:space="0" w:color="auto"/>
        <w:right w:val="none" w:sz="0" w:space="0" w:color="auto"/>
      </w:divBdr>
    </w:div>
    <w:div w:id="1883402146">
      <w:marLeft w:val="0"/>
      <w:marRight w:val="0"/>
      <w:marTop w:val="0"/>
      <w:marBottom w:val="0"/>
      <w:divBdr>
        <w:top w:val="none" w:sz="0" w:space="0" w:color="auto"/>
        <w:left w:val="none" w:sz="0" w:space="0" w:color="auto"/>
        <w:bottom w:val="none" w:sz="0" w:space="0" w:color="auto"/>
        <w:right w:val="none" w:sz="0" w:space="0" w:color="auto"/>
      </w:divBdr>
    </w:div>
    <w:div w:id="1888881218">
      <w:marLeft w:val="0"/>
      <w:marRight w:val="0"/>
      <w:marTop w:val="0"/>
      <w:marBottom w:val="0"/>
      <w:divBdr>
        <w:top w:val="none" w:sz="0" w:space="0" w:color="auto"/>
        <w:left w:val="none" w:sz="0" w:space="0" w:color="auto"/>
        <w:bottom w:val="none" w:sz="0" w:space="0" w:color="auto"/>
        <w:right w:val="none" w:sz="0" w:space="0" w:color="auto"/>
      </w:divBdr>
      <w:divsChild>
        <w:div w:id="967591840">
          <w:marLeft w:val="0"/>
          <w:marRight w:val="0"/>
          <w:marTop w:val="0"/>
          <w:marBottom w:val="0"/>
          <w:divBdr>
            <w:top w:val="none" w:sz="0" w:space="0" w:color="auto"/>
            <w:left w:val="none" w:sz="0" w:space="0" w:color="auto"/>
            <w:bottom w:val="none" w:sz="0" w:space="0" w:color="auto"/>
            <w:right w:val="none" w:sz="0" w:space="0" w:color="auto"/>
          </w:divBdr>
        </w:div>
      </w:divsChild>
    </w:div>
    <w:div w:id="1892226659">
      <w:marLeft w:val="0"/>
      <w:marRight w:val="0"/>
      <w:marTop w:val="120"/>
      <w:marBottom w:val="120"/>
      <w:divBdr>
        <w:top w:val="none" w:sz="0" w:space="0" w:color="auto"/>
        <w:left w:val="none" w:sz="0" w:space="0" w:color="auto"/>
        <w:bottom w:val="none" w:sz="0" w:space="0" w:color="auto"/>
        <w:right w:val="none" w:sz="0" w:space="0" w:color="auto"/>
      </w:divBdr>
      <w:divsChild>
        <w:div w:id="523135177">
          <w:marLeft w:val="0"/>
          <w:marRight w:val="0"/>
          <w:marTop w:val="0"/>
          <w:marBottom w:val="0"/>
          <w:divBdr>
            <w:top w:val="none" w:sz="0" w:space="0" w:color="auto"/>
            <w:left w:val="none" w:sz="0" w:space="0" w:color="auto"/>
            <w:bottom w:val="none" w:sz="0" w:space="0" w:color="auto"/>
            <w:right w:val="none" w:sz="0" w:space="0" w:color="auto"/>
          </w:divBdr>
        </w:div>
      </w:divsChild>
    </w:div>
    <w:div w:id="1895235595">
      <w:marLeft w:val="0"/>
      <w:marRight w:val="0"/>
      <w:marTop w:val="120"/>
      <w:marBottom w:val="0"/>
      <w:divBdr>
        <w:top w:val="none" w:sz="0" w:space="0" w:color="auto"/>
        <w:left w:val="none" w:sz="0" w:space="0" w:color="auto"/>
        <w:bottom w:val="none" w:sz="0" w:space="0" w:color="auto"/>
        <w:right w:val="none" w:sz="0" w:space="0" w:color="auto"/>
      </w:divBdr>
    </w:div>
    <w:div w:id="1900089084">
      <w:marLeft w:val="0"/>
      <w:marRight w:val="0"/>
      <w:marTop w:val="0"/>
      <w:marBottom w:val="0"/>
      <w:divBdr>
        <w:top w:val="none" w:sz="0" w:space="0" w:color="auto"/>
        <w:left w:val="none" w:sz="0" w:space="0" w:color="auto"/>
        <w:bottom w:val="none" w:sz="0" w:space="0" w:color="auto"/>
        <w:right w:val="none" w:sz="0" w:space="0" w:color="auto"/>
      </w:divBdr>
    </w:div>
    <w:div w:id="1900289511">
      <w:marLeft w:val="0"/>
      <w:marRight w:val="0"/>
      <w:marTop w:val="0"/>
      <w:marBottom w:val="0"/>
      <w:divBdr>
        <w:top w:val="none" w:sz="0" w:space="0" w:color="auto"/>
        <w:left w:val="none" w:sz="0" w:space="0" w:color="auto"/>
        <w:bottom w:val="none" w:sz="0" w:space="0" w:color="auto"/>
        <w:right w:val="none" w:sz="0" w:space="0" w:color="auto"/>
      </w:divBdr>
    </w:div>
    <w:div w:id="1901284768">
      <w:marLeft w:val="0"/>
      <w:marRight w:val="0"/>
      <w:marTop w:val="120"/>
      <w:marBottom w:val="0"/>
      <w:divBdr>
        <w:top w:val="none" w:sz="0" w:space="0" w:color="auto"/>
        <w:left w:val="none" w:sz="0" w:space="0" w:color="auto"/>
        <w:bottom w:val="none" w:sz="0" w:space="0" w:color="auto"/>
        <w:right w:val="none" w:sz="0" w:space="0" w:color="auto"/>
      </w:divBdr>
    </w:div>
    <w:div w:id="1904829550">
      <w:marLeft w:val="0"/>
      <w:marRight w:val="0"/>
      <w:marTop w:val="120"/>
      <w:marBottom w:val="0"/>
      <w:divBdr>
        <w:top w:val="none" w:sz="0" w:space="0" w:color="auto"/>
        <w:left w:val="none" w:sz="0" w:space="0" w:color="auto"/>
        <w:bottom w:val="none" w:sz="0" w:space="0" w:color="auto"/>
        <w:right w:val="none" w:sz="0" w:space="0" w:color="auto"/>
      </w:divBdr>
    </w:div>
    <w:div w:id="1908105793">
      <w:marLeft w:val="0"/>
      <w:marRight w:val="0"/>
      <w:marTop w:val="0"/>
      <w:marBottom w:val="0"/>
      <w:divBdr>
        <w:top w:val="none" w:sz="0" w:space="0" w:color="auto"/>
        <w:left w:val="none" w:sz="0" w:space="0" w:color="auto"/>
        <w:bottom w:val="none" w:sz="0" w:space="0" w:color="auto"/>
        <w:right w:val="none" w:sz="0" w:space="0" w:color="auto"/>
      </w:divBdr>
    </w:div>
    <w:div w:id="1910920232">
      <w:marLeft w:val="0"/>
      <w:marRight w:val="0"/>
      <w:marTop w:val="0"/>
      <w:marBottom w:val="0"/>
      <w:divBdr>
        <w:top w:val="none" w:sz="0" w:space="0" w:color="auto"/>
        <w:left w:val="none" w:sz="0" w:space="0" w:color="auto"/>
        <w:bottom w:val="none" w:sz="0" w:space="0" w:color="auto"/>
        <w:right w:val="none" w:sz="0" w:space="0" w:color="auto"/>
      </w:divBdr>
    </w:div>
    <w:div w:id="1914772998">
      <w:marLeft w:val="0"/>
      <w:marRight w:val="0"/>
      <w:marTop w:val="0"/>
      <w:marBottom w:val="120"/>
      <w:divBdr>
        <w:top w:val="none" w:sz="0" w:space="0" w:color="auto"/>
        <w:left w:val="none" w:sz="0" w:space="0" w:color="auto"/>
        <w:bottom w:val="none" w:sz="0" w:space="0" w:color="auto"/>
        <w:right w:val="none" w:sz="0" w:space="0" w:color="auto"/>
      </w:divBdr>
      <w:divsChild>
        <w:div w:id="1308975069">
          <w:marLeft w:val="0"/>
          <w:marRight w:val="0"/>
          <w:marTop w:val="0"/>
          <w:marBottom w:val="0"/>
          <w:divBdr>
            <w:top w:val="none" w:sz="0" w:space="0" w:color="auto"/>
            <w:left w:val="none" w:sz="0" w:space="0" w:color="auto"/>
            <w:bottom w:val="none" w:sz="0" w:space="0" w:color="auto"/>
            <w:right w:val="none" w:sz="0" w:space="0" w:color="auto"/>
          </w:divBdr>
        </w:div>
      </w:divsChild>
    </w:div>
    <w:div w:id="1918634205">
      <w:marLeft w:val="0"/>
      <w:marRight w:val="0"/>
      <w:marTop w:val="0"/>
      <w:marBottom w:val="0"/>
      <w:divBdr>
        <w:top w:val="none" w:sz="0" w:space="0" w:color="auto"/>
        <w:left w:val="none" w:sz="0" w:space="0" w:color="auto"/>
        <w:bottom w:val="none" w:sz="0" w:space="0" w:color="auto"/>
        <w:right w:val="none" w:sz="0" w:space="0" w:color="auto"/>
      </w:divBdr>
    </w:div>
    <w:div w:id="1921712371">
      <w:marLeft w:val="0"/>
      <w:marRight w:val="0"/>
      <w:marTop w:val="0"/>
      <w:marBottom w:val="0"/>
      <w:divBdr>
        <w:top w:val="none" w:sz="0" w:space="0" w:color="auto"/>
        <w:left w:val="none" w:sz="0" w:space="0" w:color="auto"/>
        <w:bottom w:val="none" w:sz="0" w:space="0" w:color="auto"/>
        <w:right w:val="none" w:sz="0" w:space="0" w:color="auto"/>
      </w:divBdr>
    </w:div>
    <w:div w:id="1924609695">
      <w:marLeft w:val="0"/>
      <w:marRight w:val="0"/>
      <w:marTop w:val="0"/>
      <w:marBottom w:val="0"/>
      <w:divBdr>
        <w:top w:val="none" w:sz="0" w:space="0" w:color="auto"/>
        <w:left w:val="none" w:sz="0" w:space="0" w:color="auto"/>
        <w:bottom w:val="none" w:sz="0" w:space="0" w:color="auto"/>
        <w:right w:val="none" w:sz="0" w:space="0" w:color="auto"/>
      </w:divBdr>
    </w:div>
    <w:div w:id="1925409072">
      <w:marLeft w:val="0"/>
      <w:marRight w:val="0"/>
      <w:marTop w:val="0"/>
      <w:marBottom w:val="0"/>
      <w:divBdr>
        <w:top w:val="none" w:sz="0" w:space="0" w:color="auto"/>
        <w:left w:val="none" w:sz="0" w:space="0" w:color="auto"/>
        <w:bottom w:val="none" w:sz="0" w:space="0" w:color="auto"/>
        <w:right w:val="none" w:sz="0" w:space="0" w:color="auto"/>
      </w:divBdr>
    </w:div>
    <w:div w:id="1925918961">
      <w:marLeft w:val="0"/>
      <w:marRight w:val="0"/>
      <w:marTop w:val="120"/>
      <w:marBottom w:val="0"/>
      <w:divBdr>
        <w:top w:val="none" w:sz="0" w:space="0" w:color="auto"/>
        <w:left w:val="none" w:sz="0" w:space="0" w:color="auto"/>
        <w:bottom w:val="none" w:sz="0" w:space="0" w:color="auto"/>
        <w:right w:val="none" w:sz="0" w:space="0" w:color="auto"/>
      </w:divBdr>
    </w:div>
    <w:div w:id="1929456473">
      <w:marLeft w:val="0"/>
      <w:marRight w:val="0"/>
      <w:marTop w:val="120"/>
      <w:marBottom w:val="0"/>
      <w:divBdr>
        <w:top w:val="none" w:sz="0" w:space="0" w:color="auto"/>
        <w:left w:val="none" w:sz="0" w:space="0" w:color="auto"/>
        <w:bottom w:val="none" w:sz="0" w:space="0" w:color="auto"/>
        <w:right w:val="none" w:sz="0" w:space="0" w:color="auto"/>
      </w:divBdr>
    </w:div>
    <w:div w:id="1933128598">
      <w:marLeft w:val="0"/>
      <w:marRight w:val="0"/>
      <w:marTop w:val="0"/>
      <w:marBottom w:val="0"/>
      <w:divBdr>
        <w:top w:val="none" w:sz="0" w:space="0" w:color="auto"/>
        <w:left w:val="none" w:sz="0" w:space="0" w:color="auto"/>
        <w:bottom w:val="none" w:sz="0" w:space="0" w:color="auto"/>
        <w:right w:val="none" w:sz="0" w:space="0" w:color="auto"/>
      </w:divBdr>
    </w:div>
    <w:div w:id="1936091506">
      <w:marLeft w:val="0"/>
      <w:marRight w:val="0"/>
      <w:marTop w:val="120"/>
      <w:marBottom w:val="120"/>
      <w:divBdr>
        <w:top w:val="none" w:sz="0" w:space="0" w:color="auto"/>
        <w:left w:val="none" w:sz="0" w:space="0" w:color="auto"/>
        <w:bottom w:val="none" w:sz="0" w:space="0" w:color="auto"/>
        <w:right w:val="none" w:sz="0" w:space="0" w:color="auto"/>
      </w:divBdr>
    </w:div>
    <w:div w:id="1941062345">
      <w:marLeft w:val="0"/>
      <w:marRight w:val="0"/>
      <w:marTop w:val="120"/>
      <w:marBottom w:val="0"/>
      <w:divBdr>
        <w:top w:val="none" w:sz="0" w:space="0" w:color="auto"/>
        <w:left w:val="none" w:sz="0" w:space="0" w:color="auto"/>
        <w:bottom w:val="none" w:sz="0" w:space="0" w:color="auto"/>
        <w:right w:val="none" w:sz="0" w:space="0" w:color="auto"/>
      </w:divBdr>
    </w:div>
    <w:div w:id="1944067191">
      <w:marLeft w:val="0"/>
      <w:marRight w:val="0"/>
      <w:marTop w:val="120"/>
      <w:marBottom w:val="0"/>
      <w:divBdr>
        <w:top w:val="none" w:sz="0" w:space="0" w:color="auto"/>
        <w:left w:val="none" w:sz="0" w:space="0" w:color="auto"/>
        <w:bottom w:val="none" w:sz="0" w:space="0" w:color="auto"/>
        <w:right w:val="none" w:sz="0" w:space="0" w:color="auto"/>
      </w:divBdr>
    </w:div>
    <w:div w:id="1947999464">
      <w:marLeft w:val="0"/>
      <w:marRight w:val="0"/>
      <w:marTop w:val="120"/>
      <w:marBottom w:val="0"/>
      <w:divBdr>
        <w:top w:val="none" w:sz="0" w:space="0" w:color="auto"/>
        <w:left w:val="none" w:sz="0" w:space="0" w:color="auto"/>
        <w:bottom w:val="none" w:sz="0" w:space="0" w:color="auto"/>
        <w:right w:val="none" w:sz="0" w:space="0" w:color="auto"/>
      </w:divBdr>
    </w:div>
    <w:div w:id="1949581882">
      <w:marLeft w:val="0"/>
      <w:marRight w:val="0"/>
      <w:marTop w:val="120"/>
      <w:marBottom w:val="120"/>
      <w:divBdr>
        <w:top w:val="none" w:sz="0" w:space="0" w:color="auto"/>
        <w:left w:val="none" w:sz="0" w:space="0" w:color="auto"/>
        <w:bottom w:val="none" w:sz="0" w:space="0" w:color="auto"/>
        <w:right w:val="none" w:sz="0" w:space="0" w:color="auto"/>
      </w:divBdr>
    </w:div>
    <w:div w:id="1957178800">
      <w:marLeft w:val="0"/>
      <w:marRight w:val="0"/>
      <w:marTop w:val="120"/>
      <w:marBottom w:val="0"/>
      <w:divBdr>
        <w:top w:val="none" w:sz="0" w:space="0" w:color="auto"/>
        <w:left w:val="none" w:sz="0" w:space="0" w:color="auto"/>
        <w:bottom w:val="none" w:sz="0" w:space="0" w:color="auto"/>
        <w:right w:val="none" w:sz="0" w:space="0" w:color="auto"/>
      </w:divBdr>
    </w:div>
    <w:div w:id="1959725319">
      <w:marLeft w:val="0"/>
      <w:marRight w:val="0"/>
      <w:marTop w:val="120"/>
      <w:marBottom w:val="0"/>
      <w:divBdr>
        <w:top w:val="none" w:sz="0" w:space="0" w:color="auto"/>
        <w:left w:val="none" w:sz="0" w:space="0" w:color="auto"/>
        <w:bottom w:val="none" w:sz="0" w:space="0" w:color="auto"/>
        <w:right w:val="none" w:sz="0" w:space="0" w:color="auto"/>
      </w:divBdr>
    </w:div>
    <w:div w:id="1963919813">
      <w:marLeft w:val="0"/>
      <w:marRight w:val="0"/>
      <w:marTop w:val="120"/>
      <w:marBottom w:val="0"/>
      <w:divBdr>
        <w:top w:val="none" w:sz="0" w:space="0" w:color="auto"/>
        <w:left w:val="none" w:sz="0" w:space="0" w:color="auto"/>
        <w:bottom w:val="none" w:sz="0" w:space="0" w:color="auto"/>
        <w:right w:val="none" w:sz="0" w:space="0" w:color="auto"/>
      </w:divBdr>
    </w:div>
    <w:div w:id="1968585595">
      <w:marLeft w:val="0"/>
      <w:marRight w:val="0"/>
      <w:marTop w:val="0"/>
      <w:marBottom w:val="0"/>
      <w:divBdr>
        <w:top w:val="none" w:sz="0" w:space="0" w:color="auto"/>
        <w:left w:val="none" w:sz="0" w:space="0" w:color="auto"/>
        <w:bottom w:val="none" w:sz="0" w:space="0" w:color="auto"/>
        <w:right w:val="none" w:sz="0" w:space="0" w:color="auto"/>
      </w:divBdr>
    </w:div>
    <w:div w:id="1979071731">
      <w:marLeft w:val="0"/>
      <w:marRight w:val="0"/>
      <w:marTop w:val="0"/>
      <w:marBottom w:val="120"/>
      <w:divBdr>
        <w:top w:val="none" w:sz="0" w:space="0" w:color="auto"/>
        <w:left w:val="none" w:sz="0" w:space="0" w:color="auto"/>
        <w:bottom w:val="none" w:sz="0" w:space="0" w:color="auto"/>
        <w:right w:val="none" w:sz="0" w:space="0" w:color="auto"/>
      </w:divBdr>
    </w:div>
    <w:div w:id="1982685141">
      <w:marLeft w:val="0"/>
      <w:marRight w:val="0"/>
      <w:marTop w:val="0"/>
      <w:marBottom w:val="0"/>
      <w:divBdr>
        <w:top w:val="none" w:sz="0" w:space="0" w:color="auto"/>
        <w:left w:val="none" w:sz="0" w:space="0" w:color="auto"/>
        <w:bottom w:val="none" w:sz="0" w:space="0" w:color="auto"/>
        <w:right w:val="none" w:sz="0" w:space="0" w:color="auto"/>
      </w:divBdr>
      <w:divsChild>
        <w:div w:id="2001343476">
          <w:marLeft w:val="0"/>
          <w:marRight w:val="0"/>
          <w:marTop w:val="0"/>
          <w:marBottom w:val="0"/>
          <w:divBdr>
            <w:top w:val="none" w:sz="0" w:space="0" w:color="auto"/>
            <w:left w:val="none" w:sz="0" w:space="0" w:color="auto"/>
            <w:bottom w:val="none" w:sz="0" w:space="0" w:color="auto"/>
            <w:right w:val="none" w:sz="0" w:space="0" w:color="auto"/>
          </w:divBdr>
        </w:div>
      </w:divsChild>
    </w:div>
    <w:div w:id="1983776483">
      <w:marLeft w:val="0"/>
      <w:marRight w:val="0"/>
      <w:marTop w:val="0"/>
      <w:marBottom w:val="0"/>
      <w:divBdr>
        <w:top w:val="none" w:sz="0" w:space="0" w:color="auto"/>
        <w:left w:val="none" w:sz="0" w:space="0" w:color="auto"/>
        <w:bottom w:val="none" w:sz="0" w:space="0" w:color="auto"/>
        <w:right w:val="none" w:sz="0" w:space="0" w:color="auto"/>
      </w:divBdr>
      <w:divsChild>
        <w:div w:id="1336610149">
          <w:marLeft w:val="0"/>
          <w:marRight w:val="0"/>
          <w:marTop w:val="0"/>
          <w:marBottom w:val="0"/>
          <w:divBdr>
            <w:top w:val="none" w:sz="0" w:space="0" w:color="auto"/>
            <w:left w:val="none" w:sz="0" w:space="0" w:color="auto"/>
            <w:bottom w:val="none" w:sz="0" w:space="0" w:color="auto"/>
            <w:right w:val="none" w:sz="0" w:space="0" w:color="auto"/>
          </w:divBdr>
        </w:div>
      </w:divsChild>
    </w:div>
    <w:div w:id="1985234517">
      <w:marLeft w:val="0"/>
      <w:marRight w:val="0"/>
      <w:marTop w:val="0"/>
      <w:marBottom w:val="0"/>
      <w:divBdr>
        <w:top w:val="none" w:sz="0" w:space="0" w:color="auto"/>
        <w:left w:val="none" w:sz="0" w:space="0" w:color="auto"/>
        <w:bottom w:val="none" w:sz="0" w:space="0" w:color="auto"/>
        <w:right w:val="none" w:sz="0" w:space="0" w:color="auto"/>
      </w:divBdr>
    </w:div>
    <w:div w:id="1987516426">
      <w:marLeft w:val="0"/>
      <w:marRight w:val="0"/>
      <w:marTop w:val="0"/>
      <w:marBottom w:val="0"/>
      <w:divBdr>
        <w:top w:val="none" w:sz="0" w:space="0" w:color="auto"/>
        <w:left w:val="none" w:sz="0" w:space="0" w:color="auto"/>
        <w:bottom w:val="none" w:sz="0" w:space="0" w:color="auto"/>
        <w:right w:val="none" w:sz="0" w:space="0" w:color="auto"/>
      </w:divBdr>
    </w:div>
    <w:div w:id="1994525100">
      <w:marLeft w:val="0"/>
      <w:marRight w:val="0"/>
      <w:marTop w:val="120"/>
      <w:marBottom w:val="120"/>
      <w:divBdr>
        <w:top w:val="none" w:sz="0" w:space="0" w:color="auto"/>
        <w:left w:val="none" w:sz="0" w:space="0" w:color="auto"/>
        <w:bottom w:val="none" w:sz="0" w:space="0" w:color="auto"/>
        <w:right w:val="none" w:sz="0" w:space="0" w:color="auto"/>
      </w:divBdr>
    </w:div>
    <w:div w:id="1997607997">
      <w:marLeft w:val="0"/>
      <w:marRight w:val="0"/>
      <w:marTop w:val="0"/>
      <w:marBottom w:val="0"/>
      <w:divBdr>
        <w:top w:val="none" w:sz="0" w:space="0" w:color="auto"/>
        <w:left w:val="none" w:sz="0" w:space="0" w:color="auto"/>
        <w:bottom w:val="none" w:sz="0" w:space="0" w:color="auto"/>
        <w:right w:val="none" w:sz="0" w:space="0" w:color="auto"/>
      </w:divBdr>
      <w:divsChild>
        <w:div w:id="1238638317">
          <w:marLeft w:val="0"/>
          <w:marRight w:val="0"/>
          <w:marTop w:val="0"/>
          <w:marBottom w:val="0"/>
          <w:divBdr>
            <w:top w:val="none" w:sz="0" w:space="0" w:color="auto"/>
            <w:left w:val="none" w:sz="0" w:space="0" w:color="auto"/>
            <w:bottom w:val="none" w:sz="0" w:space="0" w:color="auto"/>
            <w:right w:val="none" w:sz="0" w:space="0" w:color="auto"/>
          </w:divBdr>
        </w:div>
      </w:divsChild>
    </w:div>
    <w:div w:id="2000033685">
      <w:marLeft w:val="0"/>
      <w:marRight w:val="0"/>
      <w:marTop w:val="120"/>
      <w:marBottom w:val="0"/>
      <w:divBdr>
        <w:top w:val="none" w:sz="0" w:space="0" w:color="auto"/>
        <w:left w:val="none" w:sz="0" w:space="0" w:color="auto"/>
        <w:bottom w:val="none" w:sz="0" w:space="0" w:color="auto"/>
        <w:right w:val="none" w:sz="0" w:space="0" w:color="auto"/>
      </w:divBdr>
    </w:div>
    <w:div w:id="2002610693">
      <w:marLeft w:val="0"/>
      <w:marRight w:val="0"/>
      <w:marTop w:val="120"/>
      <w:marBottom w:val="0"/>
      <w:divBdr>
        <w:top w:val="none" w:sz="0" w:space="0" w:color="auto"/>
        <w:left w:val="none" w:sz="0" w:space="0" w:color="auto"/>
        <w:bottom w:val="none" w:sz="0" w:space="0" w:color="auto"/>
        <w:right w:val="none" w:sz="0" w:space="0" w:color="auto"/>
      </w:divBdr>
    </w:div>
    <w:div w:id="2003115287">
      <w:marLeft w:val="0"/>
      <w:marRight w:val="0"/>
      <w:marTop w:val="0"/>
      <w:marBottom w:val="0"/>
      <w:divBdr>
        <w:top w:val="none" w:sz="0" w:space="0" w:color="auto"/>
        <w:left w:val="none" w:sz="0" w:space="0" w:color="auto"/>
        <w:bottom w:val="none" w:sz="0" w:space="0" w:color="auto"/>
        <w:right w:val="none" w:sz="0" w:space="0" w:color="auto"/>
      </w:divBdr>
      <w:divsChild>
        <w:div w:id="417944628">
          <w:marLeft w:val="0"/>
          <w:marRight w:val="0"/>
          <w:marTop w:val="0"/>
          <w:marBottom w:val="0"/>
          <w:divBdr>
            <w:top w:val="none" w:sz="0" w:space="0" w:color="auto"/>
            <w:left w:val="none" w:sz="0" w:space="0" w:color="auto"/>
            <w:bottom w:val="none" w:sz="0" w:space="0" w:color="auto"/>
            <w:right w:val="none" w:sz="0" w:space="0" w:color="auto"/>
          </w:divBdr>
        </w:div>
      </w:divsChild>
    </w:div>
    <w:div w:id="2004778137">
      <w:marLeft w:val="0"/>
      <w:marRight w:val="0"/>
      <w:marTop w:val="0"/>
      <w:marBottom w:val="120"/>
      <w:divBdr>
        <w:top w:val="none" w:sz="0" w:space="0" w:color="auto"/>
        <w:left w:val="none" w:sz="0" w:space="0" w:color="auto"/>
        <w:bottom w:val="none" w:sz="0" w:space="0" w:color="auto"/>
        <w:right w:val="none" w:sz="0" w:space="0" w:color="auto"/>
      </w:divBdr>
      <w:divsChild>
        <w:div w:id="1274020605">
          <w:marLeft w:val="0"/>
          <w:marRight w:val="0"/>
          <w:marTop w:val="120"/>
          <w:marBottom w:val="0"/>
          <w:divBdr>
            <w:top w:val="none" w:sz="0" w:space="0" w:color="auto"/>
            <w:left w:val="none" w:sz="0" w:space="0" w:color="auto"/>
            <w:bottom w:val="none" w:sz="0" w:space="0" w:color="auto"/>
            <w:right w:val="none" w:sz="0" w:space="0" w:color="auto"/>
          </w:divBdr>
        </w:div>
      </w:divsChild>
    </w:div>
    <w:div w:id="2005892262">
      <w:marLeft w:val="0"/>
      <w:marRight w:val="0"/>
      <w:marTop w:val="120"/>
      <w:marBottom w:val="0"/>
      <w:divBdr>
        <w:top w:val="none" w:sz="0" w:space="0" w:color="auto"/>
        <w:left w:val="none" w:sz="0" w:space="0" w:color="auto"/>
        <w:bottom w:val="none" w:sz="0" w:space="0" w:color="auto"/>
        <w:right w:val="none" w:sz="0" w:space="0" w:color="auto"/>
      </w:divBdr>
    </w:div>
    <w:div w:id="2008822254">
      <w:marLeft w:val="0"/>
      <w:marRight w:val="0"/>
      <w:marTop w:val="0"/>
      <w:marBottom w:val="0"/>
      <w:divBdr>
        <w:top w:val="none" w:sz="0" w:space="0" w:color="auto"/>
        <w:left w:val="none" w:sz="0" w:space="0" w:color="auto"/>
        <w:bottom w:val="none" w:sz="0" w:space="0" w:color="auto"/>
        <w:right w:val="none" w:sz="0" w:space="0" w:color="auto"/>
      </w:divBdr>
    </w:div>
    <w:div w:id="2008824424">
      <w:marLeft w:val="0"/>
      <w:marRight w:val="0"/>
      <w:marTop w:val="120"/>
      <w:marBottom w:val="0"/>
      <w:divBdr>
        <w:top w:val="none" w:sz="0" w:space="0" w:color="auto"/>
        <w:left w:val="none" w:sz="0" w:space="0" w:color="auto"/>
        <w:bottom w:val="none" w:sz="0" w:space="0" w:color="auto"/>
        <w:right w:val="none" w:sz="0" w:space="0" w:color="auto"/>
      </w:divBdr>
    </w:div>
    <w:div w:id="2011519868">
      <w:marLeft w:val="0"/>
      <w:marRight w:val="0"/>
      <w:marTop w:val="0"/>
      <w:marBottom w:val="0"/>
      <w:divBdr>
        <w:top w:val="none" w:sz="0" w:space="0" w:color="auto"/>
        <w:left w:val="none" w:sz="0" w:space="0" w:color="auto"/>
        <w:bottom w:val="none" w:sz="0" w:space="0" w:color="auto"/>
        <w:right w:val="none" w:sz="0" w:space="0" w:color="auto"/>
      </w:divBdr>
    </w:div>
    <w:div w:id="2018195333">
      <w:marLeft w:val="0"/>
      <w:marRight w:val="0"/>
      <w:marTop w:val="120"/>
      <w:marBottom w:val="120"/>
      <w:divBdr>
        <w:top w:val="none" w:sz="0" w:space="0" w:color="auto"/>
        <w:left w:val="none" w:sz="0" w:space="0" w:color="auto"/>
        <w:bottom w:val="none" w:sz="0" w:space="0" w:color="auto"/>
        <w:right w:val="none" w:sz="0" w:space="0" w:color="auto"/>
      </w:divBdr>
    </w:div>
    <w:div w:id="2019961519">
      <w:marLeft w:val="0"/>
      <w:marRight w:val="0"/>
      <w:marTop w:val="0"/>
      <w:marBottom w:val="0"/>
      <w:divBdr>
        <w:top w:val="none" w:sz="0" w:space="0" w:color="auto"/>
        <w:left w:val="none" w:sz="0" w:space="0" w:color="auto"/>
        <w:bottom w:val="none" w:sz="0" w:space="0" w:color="auto"/>
        <w:right w:val="none" w:sz="0" w:space="0" w:color="auto"/>
      </w:divBdr>
    </w:div>
    <w:div w:id="2020546108">
      <w:marLeft w:val="0"/>
      <w:marRight w:val="0"/>
      <w:marTop w:val="120"/>
      <w:marBottom w:val="0"/>
      <w:divBdr>
        <w:top w:val="none" w:sz="0" w:space="0" w:color="auto"/>
        <w:left w:val="none" w:sz="0" w:space="0" w:color="auto"/>
        <w:bottom w:val="none" w:sz="0" w:space="0" w:color="auto"/>
        <w:right w:val="none" w:sz="0" w:space="0" w:color="auto"/>
      </w:divBdr>
    </w:div>
    <w:div w:id="2022975530">
      <w:marLeft w:val="0"/>
      <w:marRight w:val="0"/>
      <w:marTop w:val="120"/>
      <w:marBottom w:val="0"/>
      <w:divBdr>
        <w:top w:val="none" w:sz="0" w:space="0" w:color="auto"/>
        <w:left w:val="none" w:sz="0" w:space="0" w:color="auto"/>
        <w:bottom w:val="none" w:sz="0" w:space="0" w:color="auto"/>
        <w:right w:val="none" w:sz="0" w:space="0" w:color="auto"/>
      </w:divBdr>
    </w:div>
    <w:div w:id="2024697218">
      <w:marLeft w:val="0"/>
      <w:marRight w:val="0"/>
      <w:marTop w:val="120"/>
      <w:marBottom w:val="120"/>
      <w:divBdr>
        <w:top w:val="none" w:sz="0" w:space="0" w:color="auto"/>
        <w:left w:val="none" w:sz="0" w:space="0" w:color="auto"/>
        <w:bottom w:val="none" w:sz="0" w:space="0" w:color="auto"/>
        <w:right w:val="none" w:sz="0" w:space="0" w:color="auto"/>
      </w:divBdr>
    </w:div>
    <w:div w:id="2024820680">
      <w:marLeft w:val="0"/>
      <w:marRight w:val="0"/>
      <w:marTop w:val="0"/>
      <w:marBottom w:val="0"/>
      <w:divBdr>
        <w:top w:val="none" w:sz="0" w:space="0" w:color="auto"/>
        <w:left w:val="none" w:sz="0" w:space="0" w:color="auto"/>
        <w:bottom w:val="none" w:sz="0" w:space="0" w:color="auto"/>
        <w:right w:val="none" w:sz="0" w:space="0" w:color="auto"/>
      </w:divBdr>
    </w:div>
    <w:div w:id="2027099155">
      <w:marLeft w:val="0"/>
      <w:marRight w:val="0"/>
      <w:marTop w:val="120"/>
      <w:marBottom w:val="0"/>
      <w:divBdr>
        <w:top w:val="none" w:sz="0" w:space="0" w:color="auto"/>
        <w:left w:val="none" w:sz="0" w:space="0" w:color="auto"/>
        <w:bottom w:val="none" w:sz="0" w:space="0" w:color="auto"/>
        <w:right w:val="none" w:sz="0" w:space="0" w:color="auto"/>
      </w:divBdr>
    </w:div>
    <w:div w:id="2028679577">
      <w:marLeft w:val="0"/>
      <w:marRight w:val="0"/>
      <w:marTop w:val="120"/>
      <w:marBottom w:val="0"/>
      <w:divBdr>
        <w:top w:val="none" w:sz="0" w:space="0" w:color="auto"/>
        <w:left w:val="none" w:sz="0" w:space="0" w:color="auto"/>
        <w:bottom w:val="none" w:sz="0" w:space="0" w:color="auto"/>
        <w:right w:val="none" w:sz="0" w:space="0" w:color="auto"/>
      </w:divBdr>
    </w:div>
    <w:div w:id="2031831327">
      <w:marLeft w:val="0"/>
      <w:marRight w:val="0"/>
      <w:marTop w:val="120"/>
      <w:marBottom w:val="0"/>
      <w:divBdr>
        <w:top w:val="none" w:sz="0" w:space="0" w:color="auto"/>
        <w:left w:val="none" w:sz="0" w:space="0" w:color="auto"/>
        <w:bottom w:val="none" w:sz="0" w:space="0" w:color="auto"/>
        <w:right w:val="none" w:sz="0" w:space="0" w:color="auto"/>
      </w:divBdr>
    </w:div>
    <w:div w:id="2031906206">
      <w:marLeft w:val="0"/>
      <w:marRight w:val="0"/>
      <w:marTop w:val="120"/>
      <w:marBottom w:val="0"/>
      <w:divBdr>
        <w:top w:val="none" w:sz="0" w:space="0" w:color="auto"/>
        <w:left w:val="none" w:sz="0" w:space="0" w:color="auto"/>
        <w:bottom w:val="none" w:sz="0" w:space="0" w:color="auto"/>
        <w:right w:val="none" w:sz="0" w:space="0" w:color="auto"/>
      </w:divBdr>
    </w:div>
    <w:div w:id="2035038434">
      <w:marLeft w:val="0"/>
      <w:marRight w:val="0"/>
      <w:marTop w:val="120"/>
      <w:marBottom w:val="120"/>
      <w:divBdr>
        <w:top w:val="none" w:sz="0" w:space="0" w:color="auto"/>
        <w:left w:val="none" w:sz="0" w:space="0" w:color="auto"/>
        <w:bottom w:val="none" w:sz="0" w:space="0" w:color="auto"/>
        <w:right w:val="none" w:sz="0" w:space="0" w:color="auto"/>
      </w:divBdr>
    </w:div>
    <w:div w:id="2040083066">
      <w:marLeft w:val="0"/>
      <w:marRight w:val="0"/>
      <w:marTop w:val="120"/>
      <w:marBottom w:val="0"/>
      <w:divBdr>
        <w:top w:val="none" w:sz="0" w:space="0" w:color="auto"/>
        <w:left w:val="none" w:sz="0" w:space="0" w:color="auto"/>
        <w:bottom w:val="none" w:sz="0" w:space="0" w:color="auto"/>
        <w:right w:val="none" w:sz="0" w:space="0" w:color="auto"/>
      </w:divBdr>
    </w:div>
    <w:div w:id="2041514442">
      <w:marLeft w:val="0"/>
      <w:marRight w:val="0"/>
      <w:marTop w:val="120"/>
      <w:marBottom w:val="0"/>
      <w:divBdr>
        <w:top w:val="none" w:sz="0" w:space="0" w:color="auto"/>
        <w:left w:val="none" w:sz="0" w:space="0" w:color="auto"/>
        <w:bottom w:val="none" w:sz="0" w:space="0" w:color="auto"/>
        <w:right w:val="none" w:sz="0" w:space="0" w:color="auto"/>
      </w:divBdr>
    </w:div>
    <w:div w:id="2042440178">
      <w:marLeft w:val="0"/>
      <w:marRight w:val="0"/>
      <w:marTop w:val="120"/>
      <w:marBottom w:val="0"/>
      <w:divBdr>
        <w:top w:val="none" w:sz="0" w:space="0" w:color="auto"/>
        <w:left w:val="none" w:sz="0" w:space="0" w:color="auto"/>
        <w:bottom w:val="none" w:sz="0" w:space="0" w:color="auto"/>
        <w:right w:val="none" w:sz="0" w:space="0" w:color="auto"/>
      </w:divBdr>
    </w:div>
    <w:div w:id="2043287856">
      <w:marLeft w:val="0"/>
      <w:marRight w:val="0"/>
      <w:marTop w:val="120"/>
      <w:marBottom w:val="0"/>
      <w:divBdr>
        <w:top w:val="none" w:sz="0" w:space="0" w:color="auto"/>
        <w:left w:val="none" w:sz="0" w:space="0" w:color="auto"/>
        <w:bottom w:val="none" w:sz="0" w:space="0" w:color="auto"/>
        <w:right w:val="none" w:sz="0" w:space="0" w:color="auto"/>
      </w:divBdr>
    </w:div>
    <w:div w:id="2044209933">
      <w:marLeft w:val="0"/>
      <w:marRight w:val="0"/>
      <w:marTop w:val="120"/>
      <w:marBottom w:val="0"/>
      <w:divBdr>
        <w:top w:val="none" w:sz="0" w:space="0" w:color="auto"/>
        <w:left w:val="none" w:sz="0" w:space="0" w:color="auto"/>
        <w:bottom w:val="none" w:sz="0" w:space="0" w:color="auto"/>
        <w:right w:val="none" w:sz="0" w:space="0" w:color="auto"/>
      </w:divBdr>
    </w:div>
    <w:div w:id="2053339409">
      <w:marLeft w:val="0"/>
      <w:marRight w:val="0"/>
      <w:marTop w:val="120"/>
      <w:marBottom w:val="0"/>
      <w:divBdr>
        <w:top w:val="none" w:sz="0" w:space="0" w:color="auto"/>
        <w:left w:val="none" w:sz="0" w:space="0" w:color="auto"/>
        <w:bottom w:val="none" w:sz="0" w:space="0" w:color="auto"/>
        <w:right w:val="none" w:sz="0" w:space="0" w:color="auto"/>
      </w:divBdr>
    </w:div>
    <w:div w:id="2054888151">
      <w:marLeft w:val="0"/>
      <w:marRight w:val="0"/>
      <w:marTop w:val="0"/>
      <w:marBottom w:val="0"/>
      <w:divBdr>
        <w:top w:val="none" w:sz="0" w:space="0" w:color="auto"/>
        <w:left w:val="none" w:sz="0" w:space="0" w:color="auto"/>
        <w:bottom w:val="none" w:sz="0" w:space="0" w:color="auto"/>
        <w:right w:val="none" w:sz="0" w:space="0" w:color="auto"/>
      </w:divBdr>
    </w:div>
    <w:div w:id="2055153337">
      <w:marLeft w:val="0"/>
      <w:marRight w:val="0"/>
      <w:marTop w:val="120"/>
      <w:marBottom w:val="0"/>
      <w:divBdr>
        <w:top w:val="none" w:sz="0" w:space="0" w:color="auto"/>
        <w:left w:val="none" w:sz="0" w:space="0" w:color="auto"/>
        <w:bottom w:val="none" w:sz="0" w:space="0" w:color="auto"/>
        <w:right w:val="none" w:sz="0" w:space="0" w:color="auto"/>
      </w:divBdr>
    </w:div>
    <w:div w:id="2063554101">
      <w:marLeft w:val="0"/>
      <w:marRight w:val="0"/>
      <w:marTop w:val="120"/>
      <w:marBottom w:val="0"/>
      <w:divBdr>
        <w:top w:val="none" w:sz="0" w:space="0" w:color="auto"/>
        <w:left w:val="none" w:sz="0" w:space="0" w:color="auto"/>
        <w:bottom w:val="none" w:sz="0" w:space="0" w:color="auto"/>
        <w:right w:val="none" w:sz="0" w:space="0" w:color="auto"/>
      </w:divBdr>
    </w:div>
    <w:div w:id="2067024610">
      <w:marLeft w:val="0"/>
      <w:marRight w:val="0"/>
      <w:marTop w:val="0"/>
      <w:marBottom w:val="0"/>
      <w:divBdr>
        <w:top w:val="none" w:sz="0" w:space="0" w:color="auto"/>
        <w:left w:val="none" w:sz="0" w:space="0" w:color="auto"/>
        <w:bottom w:val="none" w:sz="0" w:space="0" w:color="auto"/>
        <w:right w:val="none" w:sz="0" w:space="0" w:color="auto"/>
      </w:divBdr>
      <w:divsChild>
        <w:div w:id="947666488">
          <w:marLeft w:val="0"/>
          <w:marRight w:val="0"/>
          <w:marTop w:val="0"/>
          <w:marBottom w:val="0"/>
          <w:divBdr>
            <w:top w:val="none" w:sz="0" w:space="0" w:color="auto"/>
            <w:left w:val="none" w:sz="0" w:space="0" w:color="auto"/>
            <w:bottom w:val="none" w:sz="0" w:space="0" w:color="auto"/>
            <w:right w:val="none" w:sz="0" w:space="0" w:color="auto"/>
          </w:divBdr>
        </w:div>
      </w:divsChild>
    </w:div>
    <w:div w:id="2067339352">
      <w:marLeft w:val="0"/>
      <w:marRight w:val="0"/>
      <w:marTop w:val="120"/>
      <w:marBottom w:val="0"/>
      <w:divBdr>
        <w:top w:val="none" w:sz="0" w:space="0" w:color="auto"/>
        <w:left w:val="none" w:sz="0" w:space="0" w:color="auto"/>
        <w:bottom w:val="none" w:sz="0" w:space="0" w:color="auto"/>
        <w:right w:val="none" w:sz="0" w:space="0" w:color="auto"/>
      </w:divBdr>
    </w:div>
    <w:div w:id="2068987169">
      <w:marLeft w:val="0"/>
      <w:marRight w:val="0"/>
      <w:marTop w:val="0"/>
      <w:marBottom w:val="0"/>
      <w:divBdr>
        <w:top w:val="none" w:sz="0" w:space="0" w:color="auto"/>
        <w:left w:val="none" w:sz="0" w:space="0" w:color="auto"/>
        <w:bottom w:val="none" w:sz="0" w:space="0" w:color="auto"/>
        <w:right w:val="none" w:sz="0" w:space="0" w:color="auto"/>
      </w:divBdr>
    </w:div>
    <w:div w:id="2071228514">
      <w:marLeft w:val="0"/>
      <w:marRight w:val="0"/>
      <w:marTop w:val="0"/>
      <w:marBottom w:val="0"/>
      <w:divBdr>
        <w:top w:val="none" w:sz="0" w:space="0" w:color="auto"/>
        <w:left w:val="none" w:sz="0" w:space="0" w:color="auto"/>
        <w:bottom w:val="none" w:sz="0" w:space="0" w:color="auto"/>
        <w:right w:val="none" w:sz="0" w:space="0" w:color="auto"/>
      </w:divBdr>
      <w:divsChild>
        <w:div w:id="73937006">
          <w:marLeft w:val="0"/>
          <w:marRight w:val="0"/>
          <w:marTop w:val="0"/>
          <w:marBottom w:val="0"/>
          <w:divBdr>
            <w:top w:val="none" w:sz="0" w:space="0" w:color="auto"/>
            <w:left w:val="none" w:sz="0" w:space="0" w:color="auto"/>
            <w:bottom w:val="none" w:sz="0" w:space="0" w:color="auto"/>
            <w:right w:val="none" w:sz="0" w:space="0" w:color="auto"/>
          </w:divBdr>
        </w:div>
      </w:divsChild>
    </w:div>
    <w:div w:id="2075855616">
      <w:marLeft w:val="0"/>
      <w:marRight w:val="0"/>
      <w:marTop w:val="120"/>
      <w:marBottom w:val="0"/>
      <w:divBdr>
        <w:top w:val="none" w:sz="0" w:space="0" w:color="auto"/>
        <w:left w:val="none" w:sz="0" w:space="0" w:color="auto"/>
        <w:bottom w:val="none" w:sz="0" w:space="0" w:color="auto"/>
        <w:right w:val="none" w:sz="0" w:space="0" w:color="auto"/>
      </w:divBdr>
    </w:div>
    <w:div w:id="2080864035">
      <w:marLeft w:val="0"/>
      <w:marRight w:val="0"/>
      <w:marTop w:val="120"/>
      <w:marBottom w:val="0"/>
      <w:divBdr>
        <w:top w:val="none" w:sz="0" w:space="0" w:color="auto"/>
        <w:left w:val="none" w:sz="0" w:space="0" w:color="auto"/>
        <w:bottom w:val="none" w:sz="0" w:space="0" w:color="auto"/>
        <w:right w:val="none" w:sz="0" w:space="0" w:color="auto"/>
      </w:divBdr>
    </w:div>
    <w:div w:id="2082484995">
      <w:marLeft w:val="0"/>
      <w:marRight w:val="0"/>
      <w:marTop w:val="0"/>
      <w:marBottom w:val="0"/>
      <w:divBdr>
        <w:top w:val="none" w:sz="0" w:space="0" w:color="auto"/>
        <w:left w:val="none" w:sz="0" w:space="0" w:color="auto"/>
        <w:bottom w:val="none" w:sz="0" w:space="0" w:color="auto"/>
        <w:right w:val="none" w:sz="0" w:space="0" w:color="auto"/>
      </w:divBdr>
    </w:div>
    <w:div w:id="2082869578">
      <w:marLeft w:val="0"/>
      <w:marRight w:val="0"/>
      <w:marTop w:val="120"/>
      <w:marBottom w:val="0"/>
      <w:divBdr>
        <w:top w:val="none" w:sz="0" w:space="0" w:color="auto"/>
        <w:left w:val="none" w:sz="0" w:space="0" w:color="auto"/>
        <w:bottom w:val="none" w:sz="0" w:space="0" w:color="auto"/>
        <w:right w:val="none" w:sz="0" w:space="0" w:color="auto"/>
      </w:divBdr>
    </w:div>
    <w:div w:id="2095083681">
      <w:marLeft w:val="0"/>
      <w:marRight w:val="0"/>
      <w:marTop w:val="120"/>
      <w:marBottom w:val="0"/>
      <w:divBdr>
        <w:top w:val="none" w:sz="0" w:space="0" w:color="auto"/>
        <w:left w:val="none" w:sz="0" w:space="0" w:color="auto"/>
        <w:bottom w:val="none" w:sz="0" w:space="0" w:color="auto"/>
        <w:right w:val="none" w:sz="0" w:space="0" w:color="auto"/>
      </w:divBdr>
    </w:div>
    <w:div w:id="2107000474">
      <w:marLeft w:val="0"/>
      <w:marRight w:val="0"/>
      <w:marTop w:val="240"/>
      <w:marBottom w:val="0"/>
      <w:divBdr>
        <w:top w:val="none" w:sz="0" w:space="0" w:color="auto"/>
        <w:left w:val="none" w:sz="0" w:space="0" w:color="auto"/>
        <w:bottom w:val="none" w:sz="0" w:space="0" w:color="auto"/>
        <w:right w:val="none" w:sz="0" w:space="0" w:color="auto"/>
      </w:divBdr>
    </w:div>
    <w:div w:id="2107458541">
      <w:marLeft w:val="0"/>
      <w:marRight w:val="0"/>
      <w:marTop w:val="120"/>
      <w:marBottom w:val="0"/>
      <w:divBdr>
        <w:top w:val="none" w:sz="0" w:space="0" w:color="auto"/>
        <w:left w:val="none" w:sz="0" w:space="0" w:color="auto"/>
        <w:bottom w:val="none" w:sz="0" w:space="0" w:color="auto"/>
        <w:right w:val="none" w:sz="0" w:space="0" w:color="auto"/>
      </w:divBdr>
    </w:div>
    <w:div w:id="2111701482">
      <w:marLeft w:val="0"/>
      <w:marRight w:val="0"/>
      <w:marTop w:val="0"/>
      <w:marBottom w:val="0"/>
      <w:divBdr>
        <w:top w:val="none" w:sz="0" w:space="0" w:color="auto"/>
        <w:left w:val="none" w:sz="0" w:space="0" w:color="auto"/>
        <w:bottom w:val="none" w:sz="0" w:space="0" w:color="auto"/>
        <w:right w:val="none" w:sz="0" w:space="0" w:color="auto"/>
      </w:divBdr>
    </w:div>
    <w:div w:id="2114395297">
      <w:marLeft w:val="0"/>
      <w:marRight w:val="0"/>
      <w:marTop w:val="0"/>
      <w:marBottom w:val="120"/>
      <w:divBdr>
        <w:top w:val="none" w:sz="0" w:space="0" w:color="auto"/>
        <w:left w:val="none" w:sz="0" w:space="0" w:color="auto"/>
        <w:bottom w:val="none" w:sz="0" w:space="0" w:color="auto"/>
        <w:right w:val="none" w:sz="0" w:space="0" w:color="auto"/>
      </w:divBdr>
    </w:div>
    <w:div w:id="2116319024">
      <w:marLeft w:val="0"/>
      <w:marRight w:val="0"/>
      <w:marTop w:val="120"/>
      <w:marBottom w:val="0"/>
      <w:divBdr>
        <w:top w:val="none" w:sz="0" w:space="0" w:color="auto"/>
        <w:left w:val="none" w:sz="0" w:space="0" w:color="auto"/>
        <w:bottom w:val="none" w:sz="0" w:space="0" w:color="auto"/>
        <w:right w:val="none" w:sz="0" w:space="0" w:color="auto"/>
      </w:divBdr>
    </w:div>
    <w:div w:id="2117434795">
      <w:marLeft w:val="0"/>
      <w:marRight w:val="0"/>
      <w:marTop w:val="120"/>
      <w:marBottom w:val="120"/>
      <w:divBdr>
        <w:top w:val="none" w:sz="0" w:space="0" w:color="auto"/>
        <w:left w:val="none" w:sz="0" w:space="0" w:color="auto"/>
        <w:bottom w:val="none" w:sz="0" w:space="0" w:color="auto"/>
        <w:right w:val="none" w:sz="0" w:space="0" w:color="auto"/>
      </w:divBdr>
    </w:div>
    <w:div w:id="2121026365">
      <w:marLeft w:val="0"/>
      <w:marRight w:val="0"/>
      <w:marTop w:val="240"/>
      <w:marBottom w:val="120"/>
      <w:divBdr>
        <w:top w:val="none" w:sz="0" w:space="0" w:color="auto"/>
        <w:left w:val="none" w:sz="0" w:space="0" w:color="auto"/>
        <w:bottom w:val="none" w:sz="0" w:space="0" w:color="auto"/>
        <w:right w:val="none" w:sz="0" w:space="0" w:color="auto"/>
      </w:divBdr>
    </w:div>
    <w:div w:id="2124113233">
      <w:marLeft w:val="0"/>
      <w:marRight w:val="0"/>
      <w:marTop w:val="0"/>
      <w:marBottom w:val="0"/>
      <w:divBdr>
        <w:top w:val="none" w:sz="0" w:space="0" w:color="auto"/>
        <w:left w:val="none" w:sz="0" w:space="0" w:color="auto"/>
        <w:bottom w:val="none" w:sz="0" w:space="0" w:color="auto"/>
        <w:right w:val="none" w:sz="0" w:space="0" w:color="auto"/>
      </w:divBdr>
      <w:divsChild>
        <w:div w:id="509611239">
          <w:marLeft w:val="0"/>
          <w:marRight w:val="0"/>
          <w:marTop w:val="0"/>
          <w:marBottom w:val="0"/>
          <w:divBdr>
            <w:top w:val="none" w:sz="0" w:space="0" w:color="auto"/>
            <w:left w:val="none" w:sz="0" w:space="0" w:color="auto"/>
            <w:bottom w:val="none" w:sz="0" w:space="0" w:color="auto"/>
            <w:right w:val="none" w:sz="0" w:space="0" w:color="auto"/>
          </w:divBdr>
        </w:div>
      </w:divsChild>
    </w:div>
    <w:div w:id="2130539086">
      <w:marLeft w:val="0"/>
      <w:marRight w:val="0"/>
      <w:marTop w:val="0"/>
      <w:marBottom w:val="0"/>
      <w:divBdr>
        <w:top w:val="none" w:sz="0" w:space="0" w:color="auto"/>
        <w:left w:val="none" w:sz="0" w:space="0" w:color="auto"/>
        <w:bottom w:val="none" w:sz="0" w:space="0" w:color="auto"/>
        <w:right w:val="none" w:sz="0" w:space="0" w:color="auto"/>
      </w:divBdr>
    </w:div>
    <w:div w:id="2131514537">
      <w:marLeft w:val="0"/>
      <w:marRight w:val="0"/>
      <w:marTop w:val="120"/>
      <w:marBottom w:val="120"/>
      <w:divBdr>
        <w:top w:val="none" w:sz="0" w:space="0" w:color="auto"/>
        <w:left w:val="none" w:sz="0" w:space="0" w:color="auto"/>
        <w:bottom w:val="none" w:sz="0" w:space="0" w:color="auto"/>
        <w:right w:val="none" w:sz="0" w:space="0" w:color="auto"/>
      </w:divBdr>
    </w:div>
    <w:div w:id="2137285011">
      <w:marLeft w:val="0"/>
      <w:marRight w:val="0"/>
      <w:marTop w:val="120"/>
      <w:marBottom w:val="0"/>
      <w:divBdr>
        <w:top w:val="none" w:sz="0" w:space="0" w:color="auto"/>
        <w:left w:val="none" w:sz="0" w:space="0" w:color="auto"/>
        <w:bottom w:val="none" w:sz="0" w:space="0" w:color="auto"/>
        <w:right w:val="none" w:sz="0" w:space="0" w:color="auto"/>
      </w:divBdr>
    </w:div>
    <w:div w:id="2137485830">
      <w:marLeft w:val="0"/>
      <w:marRight w:val="0"/>
      <w:marTop w:val="120"/>
      <w:marBottom w:val="0"/>
      <w:divBdr>
        <w:top w:val="none" w:sz="0" w:space="0" w:color="auto"/>
        <w:left w:val="none" w:sz="0" w:space="0" w:color="auto"/>
        <w:bottom w:val="none" w:sz="0" w:space="0" w:color="auto"/>
        <w:right w:val="none" w:sz="0" w:space="0" w:color="auto"/>
      </w:divBdr>
    </w:div>
    <w:div w:id="2143033768">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804328/000119312515195451/d931327dex44.htm" TargetMode="External"/><Relationship Id="rId13" Type="http://schemas.openxmlformats.org/officeDocument/2006/relationships/hyperlink" Target="http://www.sec.gov/Archives/edgar/data/804328/000119312515195451/d931327dex410.htm" TargetMode="External"/><Relationship Id="rId18" Type="http://schemas.openxmlformats.org/officeDocument/2006/relationships/hyperlink" Target="http://www.sec.gov/Archives/edgar/data/804328/000119312517189502/d383851dex410.htm" TargetMode="External"/><Relationship Id="rId26" Type="http://schemas.openxmlformats.org/officeDocument/2006/relationships/hyperlink" Target="qcom032920ex322.htm" TargetMode="External"/><Relationship Id="rId3" Type="http://schemas.openxmlformats.org/officeDocument/2006/relationships/webSettings" Target="webSettings.xml"/><Relationship Id="rId21" Type="http://schemas.openxmlformats.org/officeDocument/2006/relationships/hyperlink" Target="qcom03292020ex107.htm" TargetMode="External"/><Relationship Id="rId7" Type="http://schemas.openxmlformats.org/officeDocument/2006/relationships/hyperlink" Target="http://www.sec.gov/Archives/edgar/data/804328/000119312515195451/d931327dex42.htm" TargetMode="External"/><Relationship Id="rId12" Type="http://schemas.openxmlformats.org/officeDocument/2006/relationships/hyperlink" Target="http://www.sec.gov/Archives/edgar/data/804328/000119312515195451/d931327dex49.htm" TargetMode="External"/><Relationship Id="rId17" Type="http://schemas.openxmlformats.org/officeDocument/2006/relationships/hyperlink" Target="http://www.sec.gov/Archives/edgar/data/804328/000119312517189502/d383851dex49.htm" TargetMode="External"/><Relationship Id="rId25" Type="http://schemas.openxmlformats.org/officeDocument/2006/relationships/hyperlink" Target="qcom032920ex321.htm" TargetMode="External"/><Relationship Id="rId2" Type="http://schemas.openxmlformats.org/officeDocument/2006/relationships/settings" Target="settings.xml"/><Relationship Id="rId16" Type="http://schemas.openxmlformats.org/officeDocument/2006/relationships/hyperlink" Target="http://www.sec.gov/Archives/edgar/data/804328/000119312517189502/d383851dex48.htm" TargetMode="External"/><Relationship Id="rId20" Type="http://schemas.openxmlformats.org/officeDocument/2006/relationships/hyperlink" Target="qcom03292020ex107.htm" TargetMode="External"/><Relationship Id="rId1" Type="http://schemas.openxmlformats.org/officeDocument/2006/relationships/styles" Target="styles.xml"/><Relationship Id="rId6" Type="http://schemas.openxmlformats.org/officeDocument/2006/relationships/hyperlink" Target="http://www.sec.gov/Archives/edgar/data/804328/000119312515195451/d931327dex41.htm" TargetMode="External"/><Relationship Id="rId11" Type="http://schemas.openxmlformats.org/officeDocument/2006/relationships/hyperlink" Target="http://www.sec.gov/Archives/edgar/data/804328/000119312515195451/d931327dex48.htm" TargetMode="External"/><Relationship Id="rId24" Type="http://schemas.openxmlformats.org/officeDocument/2006/relationships/hyperlink" Target="qcom032920ex312.htm" TargetMode="External"/><Relationship Id="rId5" Type="http://schemas.openxmlformats.org/officeDocument/2006/relationships/hyperlink" Target="http://www.sec.gov/Archives/edgar/data/804328/000172894918000063/qcom07162018ex31.htm" TargetMode="External"/><Relationship Id="rId15" Type="http://schemas.openxmlformats.org/officeDocument/2006/relationships/hyperlink" Target="http://www.sec.gov/Archives/edgar/data/804328/000119312517189502/d383851dex45.htm" TargetMode="External"/><Relationship Id="rId23" Type="http://schemas.openxmlformats.org/officeDocument/2006/relationships/hyperlink" Target="qcom032920ex311.htm" TargetMode="External"/><Relationship Id="rId28" Type="http://schemas.openxmlformats.org/officeDocument/2006/relationships/theme" Target="theme/theme1.xml"/><Relationship Id="rId10" Type="http://schemas.openxmlformats.org/officeDocument/2006/relationships/hyperlink" Target="http://www.sec.gov/Archives/edgar/data/804328/000119312515195451/d931327dex47.htm" TargetMode="External"/><Relationship Id="rId19" Type="http://schemas.openxmlformats.org/officeDocument/2006/relationships/hyperlink" Target="http://www.sec.gov/Archives/edgar/data/804328/000119312517189502/d383851dex411.htm" TargetMode="External"/><Relationship Id="rId4" Type="http://schemas.openxmlformats.org/officeDocument/2006/relationships/hyperlink" Target="http://www.sec.gov/Archives/edgar/data/804328/000172894918000029/qcom04182018ex31.htm" TargetMode="External"/><Relationship Id="rId9" Type="http://schemas.openxmlformats.org/officeDocument/2006/relationships/hyperlink" Target="http://www.sec.gov/Archives/edgar/data/804328/000119312515195451/d931327dex46.htm" TargetMode="External"/><Relationship Id="rId14" Type="http://schemas.openxmlformats.org/officeDocument/2006/relationships/hyperlink" Target="http://www.sec.gov/Archives/edgar/data/804328/000119312517189502/d383851dex42.htm" TargetMode="External"/><Relationship Id="rId22" Type="http://schemas.openxmlformats.org/officeDocument/2006/relationships/hyperlink" Target="qcom03292020ex107.htm"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41537</Words>
  <Characters>236762</Characters>
  <Application>Microsoft Office Word</Application>
  <DocSecurity>0</DocSecurity>
  <Lines>1973</Lines>
  <Paragraphs>555</Paragraphs>
  <ScaleCrop>false</ScaleCrop>
  <Company/>
  <LinksUpToDate>false</LinksUpToDate>
  <CharactersWithSpaces>277744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qcom-20200329</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