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86A01">
      <w:pPr>
        <w:divId w:val="2143233941"/>
        <w:rPr>
          <w:rFonts w:eastAsia="Times New Roman"/>
          <w:vanish/>
        </w:rPr>
      </w:pPr>
      <w:r>
        <w:rPr>
          <w:rFonts w:eastAsia="Times New Roman"/>
          <w:vanish/>
        </w:rPr>
        <w:t>QUALCOMM INC/DE00008043282021Q2FALSE--09-26P0Y6M0DP1Y0M0DP1Y0M0DP1Y0M0DP1Y0M0DP1Y0M0D00008043282020-09-282021-03-28xbrli:shares00008043282021-04-26iso4217:USD00008043282021-03-2800008043282020-09-27iso4217:USDxbrli:shares00008043282020-12-28</w:t>
      </w:r>
      <w:r>
        <w:rPr>
          <w:rFonts w:eastAsia="Times New Roman"/>
          <w:vanish/>
        </w:rPr>
        <w:t>2021-03-2800008043282019-12-302020-03-2900008043282019-09-302020-03-2900008043282019-09-2900008043282020-03-2900008043282020-12-2700008043282019-12-290000804328us-gaap:CommonStockIncludingAdditionalPaidInCapitalMember2020-12-270000804328us-gaap:CommonStock</w:t>
      </w:r>
      <w:r>
        <w:rPr>
          <w:rFonts w:eastAsia="Times New Roman"/>
          <w:vanish/>
        </w:rPr>
        <w:t>IncludingAdditionalPaidInCapitalMember2019-12-290000804328us-gaap:CommonStockIncludingAdditionalPaidInCapitalMember2020-09-270000804328us-gaap:CommonStockIncludingAdditionalPaidInCapitalMember2019-09-290000804328us-gaap:CommonStockIncludingAdditionalPaidIn</w:t>
      </w:r>
      <w:r>
        <w:rPr>
          <w:rFonts w:eastAsia="Times New Roman"/>
          <w:vanish/>
        </w:rPr>
        <w:t>CapitalMember2020-12-282021-03-280000804328us-gaap:CommonStockIncludingAdditionalPaidInCapitalMember2019-12-302020-03-290000804328us-gaap:CommonStockIncludingAdditionalPaidInCapitalMember2020-09-282021-03-280000804328us-gaap:CommonStockIncludingAdditionalP</w:t>
      </w:r>
      <w:r>
        <w:rPr>
          <w:rFonts w:eastAsia="Times New Roman"/>
          <w:vanish/>
        </w:rPr>
        <w:t>aidInCapitalMember2019-09-302020-03-290000804328us-gaap:CommonStockIncludingAdditionalPaidInCapitalMember2021-03-280000804328us-gaap:CommonStockIncludingAdditionalPaidInCapitalMember2020-03-290000804328us-gaap:RetainedEarningsMember2020-12-270000804328us-g</w:t>
      </w:r>
      <w:r>
        <w:rPr>
          <w:rFonts w:eastAsia="Times New Roman"/>
          <w:vanish/>
        </w:rPr>
        <w:t>aap:RetainedEarningsMember2019-12-290000804328us-gaap:RetainedEarningsMember2020-09-270000804328us-gaap:RetainedEarningsMember2019-09-290000804328us-gaap:RetainedEarningsMember2020-12-282021-03-280000804328us-gaap:RetainedEarningsMember2019-12-302020-03-29</w:t>
      </w:r>
      <w:r>
        <w:rPr>
          <w:rFonts w:eastAsia="Times New Roman"/>
          <w:vanish/>
        </w:rPr>
        <w:t>0000804328us-gaap:RetainedEarningsMember2020-09-282021-03-280000804328us-gaap:RetainedEarningsMember2019-09-302020-03-290000804328us-gaap:RetainedEarningsMember2021-03-280000804328us-gaap:RetainedEarningsMember2020-03-290000804328us-gaap:AccumulatedOtherCo</w:t>
      </w:r>
      <w:r>
        <w:rPr>
          <w:rFonts w:eastAsia="Times New Roman"/>
          <w:vanish/>
        </w:rPr>
        <w:t>mprehensiveIncomeMember2020-12-270000804328us-gaap:AccumulatedOtherComprehensiveIncomeMember2019-12-290000804328us-gaap:AccumulatedOtherComprehensiveIncomeMember2020-09-270000804328us-gaap:AccumulatedOtherComprehensiveIncomeMember2019-09-290000804328us-gaa</w:t>
      </w:r>
      <w:r>
        <w:rPr>
          <w:rFonts w:eastAsia="Times New Roman"/>
          <w:vanish/>
        </w:rPr>
        <w:t>p:AccumulatedOtherComprehensiveIncomeMember2020-12-282021-03-280000804328us-gaap:AccumulatedOtherComprehensiveIncomeMember2019-12-302020-03-290000804328us-gaap:AccumulatedOtherComprehensiveIncomeMember2020-09-282021-03-280000804328us-gaap:AccumulatedOtherC</w:t>
      </w:r>
      <w:r>
        <w:rPr>
          <w:rFonts w:eastAsia="Times New Roman"/>
          <w:vanish/>
        </w:rPr>
        <w:t>omprehensiveIncomeMember2019-09-302020-03-290000804328us-gaap:AccumulatedOtherComprehensiveIncomeMember2021-03-280000804328us-gaap:AccumulatedOtherComprehensiveIncomeMember2020-03-290000804328us-gaap:RevolvingCreditFacilityMember2020-12-080000804328us-gaap</w:t>
      </w:r>
      <w:r>
        <w:rPr>
          <w:rFonts w:eastAsia="Times New Roman"/>
          <w:vanish/>
        </w:rPr>
        <w:t>:RevolvingCreditFacilityMember2021-03-280000804328us-gaap:RevolvingCreditFacilityMember2020-09-282021-03-280000804328us-gaap:InterestRateSwapMember2021-03-280000804328us-gaap:SubsequentEventMemberus-gaap:InterestRateSwapMember2021-03-290000804328qcom:QctMe</w:t>
      </w:r>
      <w:r>
        <w:rPr>
          <w:rFonts w:eastAsia="Times New Roman"/>
          <w:vanish/>
        </w:rPr>
        <w:t>mberqcom:MobileHandsetsMember2020-12-282021-03-280000804328qcom:QctMemberqcom:MobileHandsetsMember2019-12-302020-03-290000804328qcom:QctMemberqcom:MobileHandsetsMember2020-09-282021-03-280000804328qcom:QctMemberqcom:MobileHandsetsMember2019-09-302020-03-29</w:t>
      </w:r>
      <w:r>
        <w:rPr>
          <w:rFonts w:eastAsia="Times New Roman"/>
          <w:vanish/>
        </w:rPr>
        <w:t>0000804328qcom:RFFEMemberqcom:QctMember2020-12-282021-03-280000804328qcom:RFFEMemberqcom:QctMember2019-12-302020-03-290000804328qcom:RFFEMemberqcom:QctMember2020-09-282021-03-280000804328qcom:RFFEMemberqcom:QctMember2019-09-302020-03-290000804328qcom:Autom</w:t>
      </w:r>
      <w:r>
        <w:rPr>
          <w:rFonts w:eastAsia="Times New Roman"/>
          <w:vanish/>
        </w:rPr>
        <w:t>otiveMemberqcom:QctMember2020-12-282021-03-280000804328qcom:AutomotiveMemberqcom:QctMember2019-12-302020-03-290000804328qcom:AutomotiveMemberqcom:QctMember2020-09-282021-03-280000804328qcom:AutomotiveMemberqcom:QctMember2019-09-302020-03-290000804328qcom:I</w:t>
      </w:r>
      <w:r>
        <w:rPr>
          <w:rFonts w:eastAsia="Times New Roman"/>
          <w:vanish/>
        </w:rPr>
        <w:t>oTMemberqcom:QctMember2020-12-282021-03-280000804328qcom:IoTMemberqcom:QctMember2019-12-302020-03-290000804328qcom:IoTMemberqcom:QctMember2020-09-282021-03-280000804328qcom:IoTMemberqcom:QctMember2019-09-302020-03-290000804328qcom:QctMember2020-12-282021-0</w:t>
      </w:r>
      <w:r>
        <w:rPr>
          <w:rFonts w:eastAsia="Times New Roman"/>
          <w:vanish/>
        </w:rPr>
        <w:t>3-280000804328qcom:QctMember2019-12-302020-03-290000804328qcom:QctMember2020-09-282021-03-280000804328qcom:QctMember2019-09-302020-03-2900008043282021-03-292021-03-2800008043282021-09-272021-03-2800008043282022-09-262021-03-2800008043282023-09-252021-03-28</w:t>
      </w:r>
      <w:r>
        <w:rPr>
          <w:rFonts w:eastAsia="Times New Roman"/>
          <w:vanish/>
        </w:rPr>
        <w:t>00008043282024-09-302021-03-2800008043282025-09-292021-03-28xbrli:pure0000804328us-gaap:SalesMemberqcom:CustomerOneMemberus-gaap:CustomerConcentrationRiskMember2020-12-282021-03-280000804328us-gaap:SalesMemberqcom:CustomerOneMemberus-gaap:CustomerConcentra</w:t>
      </w:r>
      <w:r>
        <w:rPr>
          <w:rFonts w:eastAsia="Times New Roman"/>
          <w:vanish/>
        </w:rPr>
        <w:t>tionRiskMember2020-09-282021-03-280000804328us-gaap:SalesMemberqcom:CustomerOneMemberus-gaap:CustomerConcentrationRiskMember2019-09-302020-03-290000804328us-gaap:SalesMemberqcom:CustomertwoMemberus-gaap:CustomerConcentrationRiskMember2020-12-282021-03-2800</w:t>
      </w:r>
      <w:r>
        <w:rPr>
          <w:rFonts w:eastAsia="Times New Roman"/>
          <w:vanish/>
        </w:rPr>
        <w:t>00804328us-gaap:SalesMemberqcom:CustomertwoMemberus-gaap:CustomerConcentrationRiskMember2019-12-302020-03-290000804328us-gaap:SalesMemberqcom:CustomertwoMemberus-gaap:CustomerConcentrationRiskMember2020-09-282021-03-280000804328us-gaap:SalesMemberqcom:Cust</w:t>
      </w:r>
      <w:r>
        <w:rPr>
          <w:rFonts w:eastAsia="Times New Roman"/>
          <w:vanish/>
        </w:rPr>
        <w:t>omertwoMemberus-gaap:CustomerConcentrationRiskMember2019-09-302020-03-290000804328qcom:CustomerThreeMemberus-gaap:SalesMemberus-gaap:CustomerConcentrationRiskMember2020-12-282021-03-280000804328qcom:CustomerThreeMemberus-gaap:SalesMemberus-gaap:CustomerCon</w:t>
      </w:r>
      <w:r>
        <w:rPr>
          <w:rFonts w:eastAsia="Times New Roman"/>
          <w:vanish/>
        </w:rPr>
        <w:t>centrationRiskMember2019-12-302020-03-290000804328qcom:CustomerThreeMemberus-gaap:SalesMemberus-gaap:CustomerConcentrationRiskMember2020-09-282021-03-280000804328qcom:CustomerThreeMemberus-gaap:SalesMemberus-gaap:CustomerConcentrationRiskMember2019-09-3020</w:t>
      </w:r>
      <w:r>
        <w:rPr>
          <w:rFonts w:eastAsia="Times New Roman"/>
          <w:vanish/>
        </w:rPr>
        <w:t>20-03-290000804328us-gaap:SalesMemberqcom:CustomerFourMemberus-gaap:CustomerConcentrationRiskMember2020-12-282021-03-280000804328us-gaap:SalesMemberqcom:CustomerFourMemberus-gaap:CustomerConcentrationRiskMember2020-09-282021-03-280000804328qcom:HuaweiMembe</w:t>
      </w:r>
      <w:r>
        <w:rPr>
          <w:rFonts w:eastAsia="Times New Roman"/>
          <w:vanish/>
        </w:rPr>
        <w:t>r2021-03-280000804328qcom:HuaweiMember2020-09-270000804328us-gaap:SubsequentEventMemberqcom:HuaweiMember2021-03-292021-06-270000804328srt:ScenarioForecastMember2020-09-282021-09-260000804328srt:ScenarioForecastMemberqcom:FDIIEffectiveTaxRateMember2020-09-2</w:t>
      </w:r>
      <w:r>
        <w:rPr>
          <w:rFonts w:eastAsia="Times New Roman"/>
          <w:vanish/>
        </w:rPr>
        <w:t>82021-09-260000804328us-gaap:InternalRevenueServiceIRSMember2020-12-282021-03-280000804328us-gaap:InternalRevenueServiceIRSMember2019-12-302020-03-290000804328qcom:A30BStockRepurchaseProgramAnnouncedJuly262018Member2018-07-260000804328qcom:OpenMarketRepurc</w:t>
      </w:r>
      <w:r>
        <w:rPr>
          <w:rFonts w:eastAsia="Times New Roman"/>
          <w:vanish/>
        </w:rPr>
        <w:t>hasesMember2020-09-282021-03-280000804328qcom:OpenMarketRepurchasesMember2019-09-302020-03-290000804328qcom:A30BStockRepurchaseProgramAnnouncedJuly262018Member2021-03-2800008043282021-03-100000804328us-gaap:SubsequentEventMember2021-04-142021-04-1400008043</w:t>
      </w:r>
      <w:r>
        <w:rPr>
          <w:rFonts w:eastAsia="Times New Roman"/>
          <w:vanish/>
        </w:rPr>
        <w:t>28us-gaap:SubsequentEventMember2021-06-242021-06-240000804328us-gaap:SubsequentEventMember2021-06-032021-06-03iso4217:KRW0000804328currency:KRWqcom:KFTCMember2017-03-302017-03-300000804328qcom:KFTCMember2017-03-302017-03-30iso4217:EUR0000804328currency:EUR</w:t>
      </w:r>
      <w:r>
        <w:rPr>
          <w:rFonts w:eastAsia="Times New Roman"/>
          <w:vanish/>
        </w:rPr>
        <w:t>qcom:IceraComplainttoECMember2019-07-182019-07-180000804328qcom:IceraComplainttoECMember2019-07-012019-09-290000804328qcom:IceraComplainttoECMember2021-03-280000804328qcom:ECMembercurrency:EUR2018-01-242018-01-240000804328qcom:ECMember2017-09-252017-12-240</w:t>
      </w:r>
      <w:r>
        <w:rPr>
          <w:rFonts w:eastAsia="Times New Roman"/>
          <w:vanish/>
        </w:rPr>
        <w:t>000804328qcom:ECMember2021-03-280000804328qcom:QtlMember2020-12-282021-03-280000804328qcom:QtlMember2019-12-302020-03-290000804328qcom:QtlMember2020-09-282021-03-280000804328qcom:QtlMember2019-09-302020-03-290000804328qcom:QsiMember2020-12-282021-03-280000</w:t>
      </w:r>
      <w:r>
        <w:rPr>
          <w:rFonts w:eastAsia="Times New Roman"/>
          <w:vanish/>
        </w:rPr>
        <w:t>804328qcom:QsiMember2019-12-302020-03-290000804328qcom:QsiMember2020-09-282021-03-280000804328qcom:QsiMember2019-09-302020-03-290000804328us-gaap:MaterialReconcilingItemsMember2020-12-282021-03-280000804328us-gaap:MaterialReconcilingItemsMember2019-12-3020</w:t>
      </w:r>
      <w:r>
        <w:rPr>
          <w:rFonts w:eastAsia="Times New Roman"/>
          <w:vanish/>
        </w:rPr>
        <w:t>20-03-290000804328us-gaap:MaterialReconcilingItemsMember2020-09-282021-03-280000804328us-gaap:MaterialReconcilingItemsMember2019-09-302020-03-290000804328us-gaap:AllOtherSegmentsMember2020-12-282021-03-280000804328us-gaap:AllOtherSegmentsMember2019-12-3020</w:t>
      </w:r>
      <w:r>
        <w:rPr>
          <w:rFonts w:eastAsia="Times New Roman"/>
          <w:vanish/>
        </w:rPr>
        <w:t>20-03-290000804328us-gaap:AllOtherSegmentsMember2020-09-282021-03-280000804328us-gaap:AllOtherSegmentsMember2019-09-302020-03-290000804328us-gaap:MaterialReconcilingItemsMemberus-gaap:AllOtherSegmentsMember2020-12-282021-03-280000804328us-gaap:MaterialReco</w:t>
      </w:r>
      <w:r>
        <w:rPr>
          <w:rFonts w:eastAsia="Times New Roman"/>
          <w:vanish/>
        </w:rPr>
        <w:t>ncilingItemsMemberus-gaap:AllOtherSegmentsMember2019-12-302020-03-290000804328us-gaap:MaterialReconcilingItemsMemberus-gaap:AllOtherSegmentsMember2020-09-282021-03-280000804328us-gaap:MaterialReconcilingItemsMemberus-gaap:AllOtherSegmentsMember2019-09-3020</w:t>
      </w:r>
      <w:r>
        <w:rPr>
          <w:rFonts w:eastAsia="Times New Roman"/>
          <w:vanish/>
        </w:rPr>
        <w:t>20-03-290000804328qcom:NUVIAMember2021-03-162021-03-160000804328qcom:NUVIAMember2021-03-160000804328us-gaap:FairValueInputsLevel1Memberus-gaap:FairValueMeasurementsRecurringMember2021-03-280000804328us-gaap:FairValueInputsLevel2Memberus-gaap:FairValueMeasu</w:t>
      </w:r>
      <w:r>
        <w:rPr>
          <w:rFonts w:eastAsia="Times New Roman"/>
          <w:vanish/>
        </w:rPr>
        <w:t>rementsRecurringMember2021-03-280000804328us-gaap:FairValueInputsLevel3Memberus-gaap:FairValueMeasurementsRecurringMember2021-03-280000804328us-gaap:FairValueMeasurementsRecurringMember2021-03-280000804328us-gaap:USTreasuryAndGovernmentMemberus-gaap:FairVa</w:t>
      </w:r>
      <w:r>
        <w:rPr>
          <w:rFonts w:eastAsia="Times New Roman"/>
          <w:vanish/>
        </w:rPr>
        <w:t>lueInputsLevel1Memberus-gaap:FairValueMeasurementsRecurringMember2021-03-280000804328us-gaap:USTreasuryAndGovernmentMemberus-gaap:FairValueInputsLevel2Memberus-gaap:FairValueMeasurementsRecurringMember2021-03-280000804328us-gaap:USTreasuryAndGovernmentMemb</w:t>
      </w:r>
      <w:r>
        <w:rPr>
          <w:rFonts w:eastAsia="Times New Roman"/>
          <w:vanish/>
        </w:rPr>
        <w:t>erus-gaap:FairValueInputsLevel3Memberus-gaap:FairValueMeasurementsRecurringMember2021-03-280000804328us-gaap:USTreasuryAndGovernmentMemberus-gaap:FairValueMeasurementsRecurringMember2021-03-280000804328us-gaap:FairValueInputsLevel1Memberus-gaap:CorporateDe</w:t>
      </w:r>
      <w:r>
        <w:rPr>
          <w:rFonts w:eastAsia="Times New Roman"/>
          <w:vanish/>
        </w:rPr>
        <w:t>btSecuritiesMemberus-gaap:FairValueMeasurementsRecurringMember2021-03-280000804328us-gaap:FairValueInputsLevel2Memberus-gaap:CorporateDebtSecuritiesMemberus-gaap:FairValueMeasurementsRecurringMember2021-03-280000804328us-gaap:FairValueInputsLevel3Memberus-</w:t>
      </w:r>
      <w:r>
        <w:rPr>
          <w:rFonts w:eastAsia="Times New Roman"/>
          <w:vanish/>
        </w:rPr>
        <w:t>gaap:CorporateDebtSecuritiesMemberus-gaap:FairValueMeasurementsRecurringMember2021-03-280000804328us-gaap:CorporateDebtSecuritiesMemberus-gaap:FairValueMeasurementsRecurringMember2021-03-280000804328us-gaap:FairValueInputsLevel1Memberqcom:Mortgageandassetb</w:t>
      </w:r>
      <w:r>
        <w:rPr>
          <w:rFonts w:eastAsia="Times New Roman"/>
          <w:vanish/>
        </w:rPr>
        <w:t>ackedandauctionratesecuritiesMemberus-gaap:FairValueMeasurementsRecurringMember2021-03-280000804328us-gaap:FairValueInputsLevel2Memberqcom:MortgageandassetbackedandauctionratesecuritiesMemberus-gaap:FairValueMeasurementsRecurringMember2021-03-280000804328u</w:t>
      </w:r>
      <w:r>
        <w:rPr>
          <w:rFonts w:eastAsia="Times New Roman"/>
          <w:vanish/>
        </w:rPr>
        <w:t>s-gaap:FairValueInputsLevel3Memberqcom:MortgageandassetbackedandauctionratesecuritiesMemberus-gaap:FairValueMeasurementsRecurringMember2021-03-280000804328qcom:MortgageandassetbackedandauctionratesecuritiesMemberus-gaap:FairValueMeasurementsRecurringMember</w:t>
      </w:r>
      <w:r>
        <w:rPr>
          <w:rFonts w:eastAsia="Times New Roman"/>
          <w:vanish/>
        </w:rPr>
        <w:t>2021-03-280000804328us-gaap:FairValueInputsLevel1Memberus-gaap:EquitySecuritiesMemberus-gaap:FairValueMeasurementsRecurringMember2021-03-280000804328us-gaap:FairValueInputsLevel2Memberus-gaap:EquitySecuritiesMemberus-gaap:FairValueMeasurementsRecurringMemb</w:t>
      </w:r>
      <w:r>
        <w:rPr>
          <w:rFonts w:eastAsia="Times New Roman"/>
          <w:vanish/>
        </w:rPr>
        <w:t>er2021-03-280000804328us-gaap:EquitySecuritiesMemberus-gaap:FairValueInputsLevel3Memberus-gaap:FairValueMeasurementsRecurringMember2021-03-280000804328us-gaap:EquitySecuritiesMemberus-gaap:FairValueMeasurementsRecurringMember2021-03-280000804328us-gaap:UST</w:t>
      </w:r>
      <w:r>
        <w:rPr>
          <w:rFonts w:eastAsia="Times New Roman"/>
          <w:vanish/>
        </w:rPr>
        <w:t>reasuryAndGovernmentMember2021-03-280000804328us-gaap:USTreasuryAndGovernmentMember2020-09-270000804328us-gaap:CorporateDebtSecuritiesMember2021-03-280000804328us-gaap:CorporateDebtSecuritiesMember2020-09-270000804328qcom:Mortgageandassetbackedandauctionra</w:t>
      </w:r>
      <w:r>
        <w:rPr>
          <w:rFonts w:eastAsia="Times New Roman"/>
          <w:vanish/>
        </w:rPr>
        <w:t>tesecuritiesMember2021-03-280000804328qcom:MortgageandassetbackedandauctionratesecuritiesMember2020-09-270000804328us-gaap:EquitySecuritiesMember2021-03-280000804328us-gaap:EquitySecuritiesMember2020-09-270000804328us-gaap:BankTimeDepositsMember2021-03-280</w:t>
      </w:r>
      <w:r>
        <w:rPr>
          <w:rFonts w:eastAsia="Times New Roman"/>
          <w:vanish/>
        </w:rPr>
        <w:t>000804328us-gaap:BankTimeDepositsMember2020-09-27</w:t>
      </w:r>
    </w:p>
    <w:p w:rsidR="00000000" w:rsidRDefault="00786A01">
      <w:pPr>
        <w:divId w:val="30884358"/>
        <w:rPr>
          <w:rFonts w:eastAsia="Times New Roman"/>
        </w:rPr>
      </w:pPr>
    </w:p>
    <w:tbl>
      <w:tblPr>
        <w:tblW w:w="4947" w:type="pct"/>
        <w:jc w:val="center"/>
        <w:tblCellMar>
          <w:top w:w="15" w:type="dxa"/>
          <w:left w:w="15" w:type="dxa"/>
          <w:bottom w:w="15" w:type="dxa"/>
          <w:right w:w="15" w:type="dxa"/>
        </w:tblCellMar>
        <w:tblLook w:val="04A0" w:firstRow="1" w:lastRow="0" w:firstColumn="1" w:lastColumn="0" w:noHBand="0" w:noVBand="1"/>
      </w:tblPr>
      <w:tblGrid>
        <w:gridCol w:w="68"/>
        <w:gridCol w:w="1539"/>
        <w:gridCol w:w="36"/>
        <w:gridCol w:w="68"/>
        <w:gridCol w:w="1539"/>
        <w:gridCol w:w="36"/>
        <w:gridCol w:w="68"/>
        <w:gridCol w:w="1539"/>
        <w:gridCol w:w="36"/>
        <w:gridCol w:w="68"/>
        <w:gridCol w:w="1540"/>
        <w:gridCol w:w="36"/>
        <w:gridCol w:w="69"/>
        <w:gridCol w:w="1540"/>
        <w:gridCol w:w="36"/>
      </w:tblGrid>
      <w:tr w:rsidR="00000000">
        <w:trPr>
          <w:divId w:val="1987975865"/>
          <w:jc w:val="center"/>
        </w:trPr>
        <w:tc>
          <w:tcPr>
            <w:tcW w:w="50" w:type="pct"/>
            <w:vAlign w:val="center"/>
            <w:hideMark/>
          </w:tcPr>
          <w:p w:rsidR="00000000" w:rsidRDefault="00786A01">
            <w:pPr>
              <w:rPr>
                <w:rFonts w:eastAsia="Times New Roman"/>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987975865"/>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r>
    </w:tbl>
    <w:p w:rsidR="00000000" w:rsidRDefault="00786A01">
      <w:pPr>
        <w:jc w:val="center"/>
        <w:rPr>
          <w:rFonts w:eastAsia="Times New Roman"/>
        </w:rPr>
      </w:pPr>
      <w:r>
        <w:rPr>
          <w:rFonts w:eastAsia="Times New Roman"/>
          <w:b/>
          <w:bCs/>
          <w:color w:val="000000"/>
        </w:rPr>
        <w:t>UNITED STATES</w:t>
      </w:r>
    </w:p>
    <w:p w:rsidR="00000000" w:rsidRDefault="00786A01">
      <w:pPr>
        <w:jc w:val="center"/>
        <w:rPr>
          <w:rFonts w:eastAsia="Times New Roman"/>
        </w:rPr>
      </w:pPr>
      <w:r>
        <w:rPr>
          <w:rFonts w:eastAsia="Times New Roman"/>
          <w:b/>
          <w:bCs/>
          <w:color w:val="000000"/>
        </w:rPr>
        <w:t>SECURITIES AND EXCHANGE COMMISSION</w:t>
      </w:r>
    </w:p>
    <w:p w:rsidR="00000000" w:rsidRDefault="00786A01">
      <w:pPr>
        <w:jc w:val="center"/>
        <w:rPr>
          <w:rFonts w:eastAsia="Times New Roman"/>
        </w:rPr>
      </w:pPr>
      <w:r>
        <w:rPr>
          <w:rFonts w:eastAsia="Times New Roman"/>
          <w:b/>
          <w:bCs/>
          <w:color w:val="000000"/>
          <w:sz w:val="20"/>
          <w:szCs w:val="20"/>
        </w:rPr>
        <w:t>WASHINGTON, D.C. 20549</w:t>
      </w:r>
    </w:p>
    <w:p w:rsidR="00000000" w:rsidRDefault="00786A01">
      <w:pPr>
        <w:jc w:val="center"/>
        <w:rPr>
          <w:rFonts w:eastAsia="Times New Roman"/>
        </w:rPr>
      </w:pPr>
      <w:r>
        <w:rPr>
          <w:rFonts w:eastAsia="Times New Roman"/>
          <w:b/>
          <w:bCs/>
          <w:color w:val="000000"/>
        </w:rPr>
        <w:t>_____________________</w:t>
      </w:r>
    </w:p>
    <w:p w:rsidR="00000000" w:rsidRDefault="00786A01">
      <w:pPr>
        <w:jc w:val="center"/>
        <w:divId w:val="757678694"/>
        <w:rPr>
          <w:rFonts w:eastAsia="Times New Roman"/>
        </w:rPr>
      </w:pPr>
      <w:r>
        <w:rPr>
          <w:rFonts w:eastAsia="Times New Roman"/>
          <w:b/>
          <w:bCs/>
          <w:color w:val="000000"/>
          <w:sz w:val="36"/>
          <w:szCs w:val="36"/>
        </w:rPr>
        <w:t xml:space="preserve">FORM 10-Q </w:t>
      </w:r>
    </w:p>
    <w:p w:rsidR="00000000" w:rsidRDefault="00786A01">
      <w:pPr>
        <w:jc w:val="center"/>
        <w:rPr>
          <w:rFonts w:eastAsia="Times New Roman"/>
        </w:rPr>
      </w:pPr>
      <w:r>
        <w:rPr>
          <w:rFonts w:eastAsia="Times New Roman"/>
          <w:b/>
          <w:bCs/>
          <w:color w:val="000000"/>
        </w:rPr>
        <w:t>_____________________</w:t>
      </w:r>
    </w:p>
    <w:p w:rsidR="00000000" w:rsidRDefault="00786A01">
      <w:pPr>
        <w:divId w:val="1751079328"/>
        <w:rPr>
          <w:rFonts w:eastAsia="Times New Roman"/>
        </w:rPr>
      </w:pPr>
      <w:r>
        <w:rPr>
          <w:rFonts w:eastAsia="Times New Roman"/>
          <w:b/>
          <w:bCs/>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449"/>
        <w:gridCol w:w="36"/>
        <w:gridCol w:w="69"/>
        <w:gridCol w:w="7647"/>
        <w:gridCol w:w="36"/>
      </w:tblGrid>
      <w:tr w:rsidR="00000000">
        <w:trPr>
          <w:divId w:val="545723193"/>
        </w:trPr>
        <w:tc>
          <w:tcPr>
            <w:tcW w:w="50" w:type="pct"/>
            <w:vAlign w:val="center"/>
            <w:hideMark/>
          </w:tcPr>
          <w:p w:rsidR="00000000" w:rsidRDefault="00786A01">
            <w:pPr>
              <w:rPr>
                <w:rFonts w:eastAsia="Times New Roman"/>
              </w:rPr>
            </w:pPr>
          </w:p>
        </w:tc>
        <w:tc>
          <w:tcPr>
            <w:tcW w:w="27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4610"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545723193"/>
        </w:trPr>
        <w:tc>
          <w:tcPr>
            <w:tcW w:w="0" w:type="auto"/>
            <w:gridSpan w:val="3"/>
            <w:tcMar>
              <w:top w:w="30" w:type="dxa"/>
              <w:left w:w="20" w:type="dxa"/>
              <w:bottom w:w="30" w:type="dxa"/>
              <w:right w:w="20" w:type="dxa"/>
            </w:tcMar>
            <w:hideMark/>
          </w:tcPr>
          <w:p w:rsidR="00000000" w:rsidRDefault="00786A01">
            <w:pPr>
              <w:jc w:val="center"/>
              <w:divId w:val="1675064198"/>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20"/>
                <w:szCs w:val="20"/>
              </w:rPr>
              <w:t>QUARTERLY REPORT PURSUANT TO SECTION 13 OR 15(d) OF THE SECURITIES EXCHANGE ACT OF 1934</w:t>
            </w:r>
          </w:p>
        </w:tc>
      </w:tr>
    </w:tbl>
    <w:p w:rsidR="00000000" w:rsidRDefault="00786A01">
      <w:pPr>
        <w:jc w:val="center"/>
        <w:rPr>
          <w:rFonts w:eastAsia="Times New Roman"/>
        </w:rPr>
      </w:pPr>
      <w:r>
        <w:rPr>
          <w:rFonts w:eastAsia="Times New Roman"/>
          <w:b/>
          <w:bCs/>
          <w:color w:val="000000"/>
          <w:sz w:val="20"/>
          <w:szCs w:val="20"/>
        </w:rPr>
        <w:t>For the quarterly period ended March 28, 2021</w:t>
      </w:r>
    </w:p>
    <w:p w:rsidR="00000000" w:rsidRDefault="00786A01">
      <w:pPr>
        <w:jc w:val="center"/>
        <w:divId w:val="1877114273"/>
        <w:rPr>
          <w:rFonts w:eastAsia="Times New Roman"/>
        </w:rPr>
      </w:pPr>
      <w:r>
        <w:rPr>
          <w:rFonts w:eastAsia="Times New Roman"/>
          <w:b/>
          <w:bCs/>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449"/>
        <w:gridCol w:w="36"/>
        <w:gridCol w:w="69"/>
        <w:gridCol w:w="7647"/>
        <w:gridCol w:w="36"/>
      </w:tblGrid>
      <w:tr w:rsidR="00000000">
        <w:trPr>
          <w:divId w:val="2047832925"/>
        </w:trPr>
        <w:tc>
          <w:tcPr>
            <w:tcW w:w="50" w:type="pct"/>
            <w:vAlign w:val="center"/>
            <w:hideMark/>
          </w:tcPr>
          <w:p w:rsidR="00000000" w:rsidRDefault="00786A01">
            <w:pPr>
              <w:jc w:val="center"/>
              <w:rPr>
                <w:rFonts w:eastAsia="Times New Roman"/>
              </w:rPr>
            </w:pPr>
          </w:p>
        </w:tc>
        <w:tc>
          <w:tcPr>
            <w:tcW w:w="27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4610"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2047832925"/>
        </w:trPr>
        <w:tc>
          <w:tcPr>
            <w:tcW w:w="0" w:type="auto"/>
            <w:gridSpan w:val="3"/>
            <w:tcMar>
              <w:top w:w="30" w:type="dxa"/>
              <w:left w:w="20" w:type="dxa"/>
              <w:bottom w:w="30" w:type="dxa"/>
              <w:right w:w="20" w:type="dxa"/>
            </w:tcMar>
            <w:hideMark/>
          </w:tcPr>
          <w:p w:rsidR="00000000" w:rsidRDefault="00786A01">
            <w:pPr>
              <w:jc w:val="center"/>
              <w:divId w:val="738016937"/>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20"/>
                <w:szCs w:val="20"/>
              </w:rPr>
              <w:t>TRANSITION REPORT PURSUANT TO SECTION 13 OR 15(d) OF THE SECURITIES EXCHANGE ACT OF 1934</w:t>
            </w:r>
          </w:p>
        </w:tc>
      </w:tr>
    </w:tbl>
    <w:p w:rsidR="00000000" w:rsidRDefault="00786A01">
      <w:pPr>
        <w:jc w:val="center"/>
        <w:divId w:val="1612667983"/>
        <w:rPr>
          <w:rFonts w:eastAsia="Times New Roman"/>
        </w:rPr>
      </w:pPr>
      <w:r>
        <w:rPr>
          <w:rFonts w:eastAsia="Times New Roman"/>
          <w:b/>
          <w:bCs/>
          <w:color w:val="000000"/>
          <w:sz w:val="20"/>
          <w:szCs w:val="20"/>
        </w:rPr>
        <w:t xml:space="preserve">For the transition period from </w:t>
      </w:r>
      <w:r>
        <w:rPr>
          <w:rFonts w:eastAsia="Times New Roman"/>
          <w:b/>
          <w:bCs/>
          <w:color w:val="000000"/>
          <w:sz w:val="20"/>
          <w:szCs w:val="20"/>
          <w:u w:val="single"/>
        </w:rPr>
        <w:t>                    </w:t>
      </w:r>
      <w:r>
        <w:rPr>
          <w:rFonts w:eastAsia="Times New Roman"/>
          <w:b/>
          <w:bCs/>
          <w:color w:val="000000"/>
          <w:sz w:val="20"/>
          <w:szCs w:val="20"/>
        </w:rPr>
        <w:t xml:space="preserve"> to </w:t>
      </w:r>
      <w:r>
        <w:rPr>
          <w:rFonts w:eastAsia="Times New Roman"/>
          <w:b/>
          <w:bCs/>
          <w:color w:val="000000"/>
          <w:sz w:val="20"/>
          <w:szCs w:val="20"/>
          <w:u w:val="single"/>
        </w:rPr>
        <w:t>                    </w:t>
      </w:r>
      <w:r>
        <w:rPr>
          <w:rFonts w:eastAsia="Times New Roman"/>
          <w:b/>
          <w:bCs/>
          <w:color w:val="000000"/>
          <w:sz w:val="20"/>
          <w:szCs w:val="20"/>
        </w:rPr>
        <w:t xml:space="preserve"> .</w:t>
      </w:r>
    </w:p>
    <w:p w:rsidR="00000000" w:rsidRDefault="00786A01">
      <w:pPr>
        <w:jc w:val="center"/>
        <w:divId w:val="1539976781"/>
        <w:rPr>
          <w:rFonts w:eastAsia="Times New Roman"/>
        </w:rPr>
      </w:pPr>
      <w:r>
        <w:rPr>
          <w:rFonts w:eastAsia="Times New Roman"/>
          <w:b/>
          <w:bCs/>
          <w:color w:val="000000"/>
          <w:sz w:val="20"/>
          <w:szCs w:val="20"/>
        </w:rPr>
        <w:t xml:space="preserve">Commission File Number 0-19528 </w:t>
      </w:r>
    </w:p>
    <w:p w:rsidR="00000000" w:rsidRDefault="00786A01">
      <w:pPr>
        <w:jc w:val="center"/>
        <w:divId w:val="1758164997"/>
        <w:rPr>
          <w:rFonts w:eastAsia="Times New Roman"/>
        </w:rPr>
      </w:pPr>
      <w:r>
        <w:rPr>
          <w:rFonts w:eastAsia="Times New Roman"/>
          <w:b/>
          <w:bCs/>
          <w:color w:val="000000"/>
          <w:sz w:val="56"/>
          <w:szCs w:val="56"/>
        </w:rPr>
        <w:t>QUALCOMM Incorporated</w:t>
      </w:r>
    </w:p>
    <w:p w:rsidR="00000000" w:rsidRDefault="00786A01">
      <w:pPr>
        <w:jc w:val="center"/>
        <w:rPr>
          <w:rFonts w:eastAsia="Times New Roman"/>
        </w:rPr>
      </w:pPr>
      <w:r>
        <w:rPr>
          <w:rFonts w:eastAsia="Times New Roman"/>
          <w:b/>
          <w:bCs/>
          <w:color w:val="000000"/>
          <w:sz w:val="20"/>
          <w:szCs w:val="20"/>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36"/>
        <w:gridCol w:w="149"/>
        <w:gridCol w:w="36"/>
        <w:gridCol w:w="64"/>
        <w:gridCol w:w="2292"/>
        <w:gridCol w:w="36"/>
        <w:gridCol w:w="64"/>
        <w:gridCol w:w="2444"/>
        <w:gridCol w:w="36"/>
        <w:gridCol w:w="65"/>
        <w:gridCol w:w="1897"/>
        <w:gridCol w:w="36"/>
        <w:gridCol w:w="65"/>
        <w:gridCol w:w="1050"/>
        <w:gridCol w:w="36"/>
      </w:tblGrid>
      <w:tr w:rsidR="00000000">
        <w:trPr>
          <w:divId w:val="484054978"/>
        </w:trPr>
        <w:tc>
          <w:tcPr>
            <w:tcW w:w="5" w:type="pct"/>
            <w:vAlign w:val="center"/>
            <w:hideMark/>
          </w:tcPr>
          <w:p w:rsidR="00000000" w:rsidRDefault="00786A01">
            <w:pPr>
              <w:jc w:val="center"/>
              <w:rPr>
                <w:rFonts w:eastAsia="Times New Roman"/>
              </w:rPr>
            </w:pPr>
          </w:p>
        </w:tc>
        <w:tc>
          <w:tcPr>
            <w:tcW w:w="101"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1390"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1481"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115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64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484054978"/>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6"/>
                <w:szCs w:val="16"/>
              </w:rPr>
              <w:t>Delaware</w:t>
            </w:r>
          </w:p>
        </w:tc>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6"/>
                <w:szCs w:val="16"/>
              </w:rPr>
              <w:t>95-3685934</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r>
      <w:tr w:rsidR="00000000">
        <w:trPr>
          <w:divId w:val="484054978"/>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30" w:type="dxa"/>
              <w:left w:w="20" w:type="dxa"/>
              <w:bottom w:w="30" w:type="dxa"/>
              <w:right w:w="20" w:type="dxa"/>
            </w:tcMar>
            <w:hideMark/>
          </w:tcPr>
          <w:p w:rsidR="00000000" w:rsidRDefault="00786A01">
            <w:pPr>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hideMark/>
          </w:tcPr>
          <w:p w:rsidR="00000000" w:rsidRDefault="00786A01">
            <w:pPr>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r>
      <w:tr w:rsidR="00000000">
        <w:trPr>
          <w:divId w:val="484054978"/>
          <w:trHeight w:val="60"/>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484054978"/>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6"/>
                <w:szCs w:val="16"/>
              </w:rPr>
              <w:t>5775 Morehouse Dr., San Diego, California</w:t>
            </w:r>
          </w:p>
        </w:tc>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6"/>
                <w:szCs w:val="16"/>
              </w:rPr>
              <w:t>92121-1714</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r>
      <w:tr w:rsidR="00000000">
        <w:trPr>
          <w:divId w:val="484054978"/>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6"/>
                <w:szCs w:val="16"/>
              </w:rPr>
              <w:t>(Address of Principal Executive Offices)</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6"/>
                <w:szCs w:val="16"/>
              </w:rPr>
              <w:t>(Zip Code)</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r>
    </w:tbl>
    <w:p w:rsidR="00000000" w:rsidRDefault="00786A01">
      <w:pPr>
        <w:jc w:val="center"/>
        <w:divId w:val="82142898"/>
        <w:rPr>
          <w:rFonts w:eastAsia="Times New Roman"/>
        </w:rPr>
      </w:pPr>
      <w:r>
        <w:rPr>
          <w:rFonts w:eastAsia="Times New Roman"/>
          <w:b/>
          <w:bCs/>
          <w:color w:val="000000"/>
          <w:sz w:val="20"/>
          <w:szCs w:val="20"/>
        </w:rPr>
        <w:t xml:space="preserve">(858) 587-1121 </w:t>
      </w:r>
    </w:p>
    <w:p w:rsidR="00000000" w:rsidRDefault="00786A01">
      <w:pPr>
        <w:jc w:val="center"/>
        <w:rPr>
          <w:rFonts w:eastAsia="Times New Roman"/>
        </w:rPr>
      </w:pPr>
      <w:r>
        <w:rPr>
          <w:rFonts w:eastAsia="Times New Roman"/>
          <w:b/>
          <w:bCs/>
          <w:color w:val="000000"/>
          <w:sz w:val="16"/>
          <w:szCs w:val="16"/>
        </w:rPr>
        <w:t>(Registrant’s telephone number, including area code)</w:t>
      </w:r>
    </w:p>
    <w:p w:rsidR="00000000" w:rsidRDefault="00786A01">
      <w:pPr>
        <w:divId w:val="1919443430"/>
        <w:rPr>
          <w:rFonts w:eastAsia="Times New Roman"/>
        </w:rPr>
      </w:pPr>
      <w:r>
        <w:rPr>
          <w:rFonts w:eastAsia="Times New Roman"/>
          <w:color w:val="000000"/>
          <w:sz w:val="20"/>
          <w:szCs w:val="20"/>
        </w:rPr>
        <w:t>Securities registered pursuant to Section 12(b) of the Act:</w:t>
      </w:r>
    </w:p>
    <w:tbl>
      <w:tblPr>
        <w:tblW w:w="4843" w:type="pct"/>
        <w:tblCellMar>
          <w:top w:w="15" w:type="dxa"/>
          <w:left w:w="15" w:type="dxa"/>
          <w:bottom w:w="15" w:type="dxa"/>
          <w:right w:w="15" w:type="dxa"/>
        </w:tblCellMar>
        <w:tblLook w:val="04A0" w:firstRow="1" w:lastRow="0" w:firstColumn="1" w:lastColumn="0" w:noHBand="0" w:noVBand="1"/>
      </w:tblPr>
      <w:tblGrid>
        <w:gridCol w:w="66"/>
        <w:gridCol w:w="3494"/>
        <w:gridCol w:w="37"/>
        <w:gridCol w:w="66"/>
        <w:gridCol w:w="1046"/>
        <w:gridCol w:w="36"/>
        <w:gridCol w:w="67"/>
        <w:gridCol w:w="3197"/>
        <w:gridCol w:w="36"/>
      </w:tblGrid>
      <w:tr w:rsidR="00000000">
        <w:trPr>
          <w:divId w:val="1654750817"/>
        </w:trPr>
        <w:tc>
          <w:tcPr>
            <w:tcW w:w="50" w:type="pct"/>
            <w:vAlign w:val="center"/>
            <w:hideMark/>
          </w:tcPr>
          <w:p w:rsidR="00000000" w:rsidRDefault="00786A01">
            <w:pPr>
              <w:rPr>
                <w:rFonts w:eastAsia="Times New Roman"/>
              </w:rPr>
            </w:pPr>
          </w:p>
        </w:tc>
        <w:tc>
          <w:tcPr>
            <w:tcW w:w="2180"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65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199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654750817"/>
        </w:trPr>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color w:val="000000"/>
                <w:sz w:val="16"/>
                <w:szCs w:val="16"/>
                <w:u w:val="single"/>
              </w:rPr>
              <w:t>Title of each class</w:t>
            </w: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color w:val="000000"/>
                <w:sz w:val="16"/>
                <w:szCs w:val="16"/>
              </w:rPr>
              <w:t> </w:t>
            </w:r>
            <w:r>
              <w:rPr>
                <w:rFonts w:eastAsia="Times New Roman"/>
                <w:color w:val="000000"/>
                <w:sz w:val="16"/>
                <w:szCs w:val="16"/>
                <w:u w:val="single"/>
              </w:rPr>
              <w:t>Trading Symbol(s)</w:t>
            </w: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color w:val="000000"/>
                <w:sz w:val="16"/>
                <w:szCs w:val="16"/>
                <w:u w:val="single"/>
              </w:rPr>
              <w:t>Name of each exchange on which registered</w:t>
            </w:r>
          </w:p>
        </w:tc>
      </w:tr>
      <w:tr w:rsidR="00000000">
        <w:trPr>
          <w:divId w:val="1654750817"/>
        </w:trPr>
        <w:tc>
          <w:tcPr>
            <w:tcW w:w="0" w:type="auto"/>
            <w:gridSpan w:val="3"/>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20"/>
                <w:szCs w:val="20"/>
              </w:rPr>
              <w:t>Common Stock, $0.0001 par value</w:t>
            </w: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color w:val="000000"/>
                <w:sz w:val="20"/>
                <w:szCs w:val="20"/>
              </w:rPr>
              <w:t> QCOM</w:t>
            </w: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color w:val="000000"/>
                <w:sz w:val="20"/>
                <w:szCs w:val="20"/>
              </w:rPr>
              <w:t>Nasdaq Stock Market</w:t>
            </w:r>
          </w:p>
        </w:tc>
      </w:tr>
    </w:tbl>
    <w:p w:rsidR="00000000" w:rsidRDefault="00786A01">
      <w:pPr>
        <w:divId w:val="86317313"/>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786A01">
      <w:pPr>
        <w:divId w:val="975066387"/>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w:t>
      </w:r>
      <w:r>
        <w:rPr>
          <w:rFonts w:eastAsia="Times New Roman"/>
          <w:color w:val="000000"/>
          <w:sz w:val="20"/>
          <w:szCs w:val="20"/>
        </w:rPr>
        <w:t>lation S-T (§ 232.405 of this chapter) during the preceding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786A01">
      <w:pPr>
        <w:divId w:val="1423725542"/>
        <w:rPr>
          <w:rFonts w:eastAsia="Times New Roman"/>
        </w:rPr>
      </w:pPr>
      <w:r>
        <w:rPr>
          <w:rFonts w:eastAsia="Times New Roman"/>
          <w:color w:val="000000"/>
          <w:sz w:val="20"/>
          <w:szCs w:val="20"/>
        </w:rPr>
        <w:t xml:space="preserve">Indicate by check mark whether the registrant is a large accelerated filer, an accelerated </w:t>
      </w:r>
      <w:r>
        <w:rPr>
          <w:rFonts w:eastAsia="Times New Roman"/>
          <w:color w:val="000000"/>
          <w:sz w:val="20"/>
          <w:szCs w:val="20"/>
        </w:rPr>
        <w:t>filer, a non-accelerated filer, a smaller reporting company, or an emerging growth company. See the definitions of “large accelerated filer,” “accelerated filer,” “smaller reporting company,” and “emerging growth company” in Rule 12b-2 of the Exchange Act.</w:t>
      </w:r>
      <w:r>
        <w:rPr>
          <w:rFonts w:eastAsia="Times New Roman"/>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50"/>
        <w:gridCol w:w="1457"/>
        <w:gridCol w:w="36"/>
        <w:gridCol w:w="69"/>
        <w:gridCol w:w="138"/>
        <w:gridCol w:w="36"/>
        <w:gridCol w:w="69"/>
        <w:gridCol w:w="1029"/>
        <w:gridCol w:w="36"/>
        <w:gridCol w:w="37"/>
        <w:gridCol w:w="196"/>
        <w:gridCol w:w="36"/>
        <w:gridCol w:w="53"/>
        <w:gridCol w:w="1366"/>
        <w:gridCol w:w="36"/>
        <w:gridCol w:w="37"/>
        <w:gridCol w:w="196"/>
        <w:gridCol w:w="36"/>
        <w:gridCol w:w="49"/>
        <w:gridCol w:w="1360"/>
        <w:gridCol w:w="36"/>
        <w:gridCol w:w="37"/>
        <w:gridCol w:w="196"/>
        <w:gridCol w:w="36"/>
        <w:gridCol w:w="50"/>
        <w:gridCol w:w="1299"/>
        <w:gridCol w:w="36"/>
        <w:gridCol w:w="37"/>
        <w:gridCol w:w="196"/>
        <w:gridCol w:w="36"/>
      </w:tblGrid>
      <w:tr w:rsidR="00000000">
        <w:trPr>
          <w:divId w:val="1508059354"/>
        </w:trPr>
        <w:tc>
          <w:tcPr>
            <w:tcW w:w="50" w:type="pct"/>
            <w:vAlign w:val="center"/>
            <w:hideMark/>
          </w:tcPr>
          <w:p w:rsidR="00000000" w:rsidRDefault="00786A01">
            <w:pPr>
              <w:rPr>
                <w:rFonts w:eastAsia="Times New Roman"/>
              </w:rPr>
            </w:pPr>
          </w:p>
        </w:tc>
        <w:tc>
          <w:tcPr>
            <w:tcW w:w="900"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101"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668"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116"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8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116"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840"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116"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80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11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508059354"/>
        </w:trPr>
        <w:tc>
          <w:tcPr>
            <w:tcW w:w="0" w:type="auto"/>
            <w:gridSpan w:val="3"/>
            <w:tcMar>
              <w:top w:w="30" w:type="dxa"/>
              <w:left w:w="20" w:type="dxa"/>
              <w:bottom w:w="30" w:type="dxa"/>
              <w:right w:w="20" w:type="dxa"/>
            </w:tcMar>
            <w:vAlign w:val="center"/>
            <w:hideMark/>
          </w:tcPr>
          <w:p w:rsidR="00000000" w:rsidRDefault="00786A01">
            <w:pPr>
              <w:jc w:val="center"/>
              <w:rPr>
                <w:rFonts w:eastAsia="Times New Roman"/>
              </w:rPr>
            </w:pPr>
            <w:r>
              <w:rPr>
                <w:rFonts w:eastAsia="Times New Roman"/>
                <w:color w:val="000000"/>
                <w:sz w:val="20"/>
                <w:szCs w:val="20"/>
              </w:rPr>
              <w:lastRenderedPageBreak/>
              <w:t>Large accelerated filer</w:t>
            </w:r>
          </w:p>
        </w:tc>
        <w:tc>
          <w:tcPr>
            <w:tcW w:w="0" w:type="auto"/>
            <w:gridSpan w:val="3"/>
            <w:tcMar>
              <w:top w:w="30" w:type="dxa"/>
              <w:left w:w="20" w:type="dxa"/>
              <w:bottom w:w="30" w:type="dxa"/>
              <w:right w:w="20" w:type="dxa"/>
            </w:tcMar>
            <w:vAlign w:val="center"/>
            <w:hideMark/>
          </w:tcPr>
          <w:p w:rsidR="00000000" w:rsidRDefault="00786A01">
            <w:pPr>
              <w:jc w:val="center"/>
              <w:divId w:val="1076245004"/>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786A01">
            <w:pPr>
              <w:jc w:val="center"/>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center"/>
            <w:hideMark/>
          </w:tcPr>
          <w:p w:rsidR="00000000" w:rsidRDefault="00786A01">
            <w:pPr>
              <w:jc w:val="center"/>
              <w:divId w:val="2132170295"/>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786A01">
            <w:pPr>
              <w:jc w:val="center"/>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center"/>
            <w:hideMark/>
          </w:tcPr>
          <w:p w:rsidR="00000000" w:rsidRDefault="00786A01">
            <w:pPr>
              <w:jc w:val="center"/>
              <w:divId w:val="518202921"/>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786A01">
            <w:pPr>
              <w:jc w:val="center"/>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center"/>
            <w:hideMark/>
          </w:tcPr>
          <w:p w:rsidR="00000000" w:rsidRDefault="00786A01">
            <w:pPr>
              <w:jc w:val="center"/>
              <w:divId w:val="34178521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786A01">
            <w:pPr>
              <w:jc w:val="center"/>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center"/>
            <w:hideMark/>
          </w:tcPr>
          <w:p w:rsidR="00000000" w:rsidRDefault="00786A01">
            <w:pPr>
              <w:jc w:val="center"/>
              <w:divId w:val="1782333375"/>
              <w:rPr>
                <w:rFonts w:eastAsia="Times New Roman"/>
              </w:rPr>
            </w:pPr>
            <w:r>
              <w:rPr>
                <w:rFonts w:ascii="Segoe UI Symbol" w:eastAsia="Times New Roman" w:hAnsi="Segoe UI Symbol" w:cs="Segoe UI Symbol"/>
                <w:color w:val="000000"/>
                <w:sz w:val="20"/>
                <w:szCs w:val="20"/>
              </w:rPr>
              <w:t>☐</w:t>
            </w:r>
          </w:p>
        </w:tc>
      </w:tr>
    </w:tbl>
    <w:p w:rsidR="00000000" w:rsidRDefault="00786A01">
      <w:pPr>
        <w:divId w:val="1463616351"/>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r>
        <w:rPr>
          <w:rFonts w:ascii="Wingdings" w:eastAsia="Times New Roman" w:hAnsi="Wingdings"/>
          <w:color w:val="000000"/>
          <w:sz w:val="20"/>
          <w:szCs w:val="20"/>
        </w:rPr>
        <w:t xml:space="preserve"> </w:t>
      </w:r>
    </w:p>
    <w:p w:rsidR="00000000" w:rsidRDefault="00786A01">
      <w:pPr>
        <w:divId w:val="1787194003"/>
        <w:rPr>
          <w:rFonts w:eastAsia="Times New Roman"/>
        </w:rPr>
      </w:pPr>
      <w:r>
        <w:rPr>
          <w:rFonts w:eastAsia="Times New Roman"/>
          <w:color w:val="000000"/>
          <w:sz w:val="20"/>
          <w:szCs w:val="20"/>
        </w:rPr>
        <w:t>In</w:t>
      </w:r>
      <w:r>
        <w:rPr>
          <w:rFonts w:eastAsia="Times New Roman"/>
          <w:color w:val="000000"/>
          <w:sz w:val="20"/>
          <w:szCs w:val="20"/>
        </w:rPr>
        <w:t xml:space="preserve">dicate by check mark whether the registrant is a shell company (as defined in Rule 12b-2 of the Exchange Act). </w:t>
      </w:r>
    </w:p>
    <w:p w:rsidR="00000000" w:rsidRDefault="00786A01">
      <w:pPr>
        <w:divId w:val="521239139"/>
        <w:rPr>
          <w:rFonts w:eastAsia="Times New Roman"/>
        </w:rPr>
      </w:pPr>
      <w:r>
        <w:rPr>
          <w:rFonts w:eastAsia="Times New Roman"/>
          <w:color w:val="000000"/>
          <w:sz w:val="20"/>
          <w:szCs w:val="20"/>
        </w:rPr>
        <w:t xml:space="preserve">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786A01">
      <w:pPr>
        <w:ind w:firstLine="315"/>
        <w:divId w:val="1708799163"/>
        <w:rPr>
          <w:rFonts w:eastAsia="Times New Roman"/>
        </w:rPr>
      </w:pPr>
      <w:r>
        <w:rPr>
          <w:rFonts w:eastAsia="Times New Roman"/>
          <w:color w:val="000000"/>
          <w:sz w:val="20"/>
          <w:szCs w:val="20"/>
        </w:rPr>
        <w:t>The number of shares outstanding of the registrant’s common stock was 1,128 million at April 26, 2021.</w:t>
      </w:r>
    </w:p>
    <w:tbl>
      <w:tblPr>
        <w:tblW w:w="4947" w:type="pct"/>
        <w:jc w:val="center"/>
        <w:tblCellMar>
          <w:top w:w="15" w:type="dxa"/>
          <w:left w:w="15" w:type="dxa"/>
          <w:bottom w:w="15" w:type="dxa"/>
          <w:right w:w="15" w:type="dxa"/>
        </w:tblCellMar>
        <w:tblLook w:val="04A0" w:firstRow="1" w:lastRow="0" w:firstColumn="1" w:lastColumn="0" w:noHBand="0" w:noVBand="1"/>
      </w:tblPr>
      <w:tblGrid>
        <w:gridCol w:w="68"/>
        <w:gridCol w:w="1539"/>
        <w:gridCol w:w="36"/>
        <w:gridCol w:w="68"/>
        <w:gridCol w:w="1539"/>
        <w:gridCol w:w="36"/>
        <w:gridCol w:w="68"/>
        <w:gridCol w:w="1539"/>
        <w:gridCol w:w="36"/>
        <w:gridCol w:w="68"/>
        <w:gridCol w:w="1540"/>
        <w:gridCol w:w="36"/>
        <w:gridCol w:w="69"/>
        <w:gridCol w:w="1540"/>
        <w:gridCol w:w="36"/>
      </w:tblGrid>
      <w:tr w:rsidR="00000000">
        <w:trPr>
          <w:divId w:val="437025412"/>
          <w:jc w:val="center"/>
        </w:trPr>
        <w:tc>
          <w:tcPr>
            <w:tcW w:w="50" w:type="pct"/>
            <w:vAlign w:val="center"/>
            <w:hideMark/>
          </w:tcPr>
          <w:p w:rsidR="00000000" w:rsidRDefault="00786A01">
            <w:pPr>
              <w:ind w:firstLine="315"/>
              <w:rPr>
                <w:rFonts w:eastAsia="Times New Roman"/>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437025412"/>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r>
    </w:tbl>
    <w:p w:rsidR="00000000" w:rsidRDefault="00786A01">
      <w:pPr>
        <w:divId w:val="1490252432"/>
        <w:rPr>
          <w:rFonts w:eastAsia="Times New Roman"/>
        </w:rPr>
      </w:pPr>
    </w:p>
    <w:p w:rsidR="00000000" w:rsidRDefault="00786A01">
      <w:pPr>
        <w:rPr>
          <w:rFonts w:eastAsia="Times New Roman"/>
        </w:rPr>
      </w:pPr>
      <w:r>
        <w:rPr>
          <w:rFonts w:eastAsia="Times New Roman"/>
        </w:rPr>
        <w:pict>
          <v:rect id="_x0000_i1025" style="width:0;height:1.5pt" o:hralign="center" o:hrstd="t" o:hr="t" fillcolor="#a0a0a0" stroked="f"/>
        </w:pict>
      </w:r>
    </w:p>
    <w:p w:rsidR="00000000" w:rsidRDefault="00786A01">
      <w:pPr>
        <w:divId w:val="1945379144"/>
        <w:rPr>
          <w:rFonts w:eastAsia="Times New Roman"/>
        </w:rPr>
      </w:pPr>
    </w:p>
    <w:p w:rsidR="00000000" w:rsidRDefault="00786A01">
      <w:pPr>
        <w:ind w:hanging="270"/>
        <w:jc w:val="center"/>
        <w:rPr>
          <w:rFonts w:eastAsia="Times New Roman"/>
        </w:rPr>
      </w:pPr>
      <w:r>
        <w:rPr>
          <w:rFonts w:eastAsia="Times New Roman"/>
          <w:b/>
          <w:bCs/>
          <w:color w:val="000000"/>
          <w:sz w:val="20"/>
          <w:szCs w:val="20"/>
        </w:rPr>
        <w:t>QUALCOMM Incorporated</w:t>
      </w:r>
    </w:p>
    <w:p w:rsidR="00000000" w:rsidRDefault="00786A01">
      <w:pPr>
        <w:ind w:hanging="270"/>
        <w:jc w:val="center"/>
        <w:rPr>
          <w:rFonts w:eastAsia="Times New Roman"/>
        </w:rPr>
      </w:pPr>
      <w:r>
        <w:rPr>
          <w:rFonts w:eastAsia="Times New Roman"/>
          <w:b/>
          <w:bCs/>
          <w:color w:val="000000"/>
          <w:sz w:val="20"/>
          <w:szCs w:val="20"/>
        </w:rPr>
        <w:t>Form 10-Q</w:t>
      </w:r>
    </w:p>
    <w:p w:rsidR="00000000" w:rsidRDefault="00786A01">
      <w:pPr>
        <w:ind w:hanging="270"/>
        <w:jc w:val="center"/>
        <w:rPr>
          <w:rFonts w:eastAsia="Times New Roman"/>
        </w:rPr>
      </w:pPr>
      <w:r>
        <w:rPr>
          <w:rFonts w:eastAsia="Times New Roman"/>
          <w:b/>
          <w:bCs/>
          <w:color w:val="000000"/>
          <w:sz w:val="20"/>
          <w:szCs w:val="20"/>
        </w:rPr>
        <w:t>For the Quarter Ended March 28, 2021</w:t>
      </w:r>
    </w:p>
    <w:tbl>
      <w:tblPr>
        <w:tblW w:w="4778" w:type="pct"/>
        <w:tblCellMar>
          <w:top w:w="15" w:type="dxa"/>
          <w:left w:w="15" w:type="dxa"/>
          <w:bottom w:w="15" w:type="dxa"/>
          <w:right w:w="15" w:type="dxa"/>
        </w:tblCellMar>
        <w:tblLook w:val="04A0" w:firstRow="1" w:lastRow="0" w:firstColumn="1" w:lastColumn="0" w:noHBand="0" w:noVBand="1"/>
      </w:tblPr>
      <w:tblGrid>
        <w:gridCol w:w="75"/>
        <w:gridCol w:w="1259"/>
        <w:gridCol w:w="36"/>
        <w:gridCol w:w="65"/>
        <w:gridCol w:w="5890"/>
        <w:gridCol w:w="38"/>
        <w:gridCol w:w="65"/>
        <w:gridCol w:w="473"/>
        <w:gridCol w:w="36"/>
      </w:tblGrid>
      <w:tr w:rsidR="00000000">
        <w:trPr>
          <w:divId w:val="499468371"/>
        </w:trPr>
        <w:tc>
          <w:tcPr>
            <w:tcW w:w="50" w:type="pct"/>
            <w:vAlign w:val="center"/>
            <w:hideMark/>
          </w:tcPr>
          <w:p w:rsidR="00000000" w:rsidRDefault="00786A01">
            <w:pPr>
              <w:ind w:hanging="270"/>
              <w:jc w:val="center"/>
              <w:rPr>
                <w:rFonts w:eastAsia="Times New Roman"/>
              </w:rPr>
            </w:pPr>
          </w:p>
        </w:tc>
        <w:tc>
          <w:tcPr>
            <w:tcW w:w="80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3718"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30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499468371"/>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20"/>
                <w:szCs w:val="20"/>
              </w:rPr>
              <w:t>Page</w:t>
            </w:r>
          </w:p>
        </w:tc>
      </w:tr>
      <w:tr w:rsidR="00000000">
        <w:trPr>
          <w:divId w:val="499468371"/>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hideMark/>
          </w:tcPr>
          <w:p w:rsidR="00000000" w:rsidRDefault="00786A01">
            <w:pPr>
              <w:divId w:val="844981013"/>
              <w:rPr>
                <w:rFonts w:eastAsia="Times New Roman"/>
              </w:rPr>
            </w:pPr>
            <w:hyperlink w:anchor="if22612eee2604d939a446ac9d02a2864_10" w:history="1">
              <w:r>
                <w:rPr>
                  <w:rStyle w:val="a3"/>
                  <w:rFonts w:eastAsia="Times New Roman"/>
                  <w:sz w:val="20"/>
                  <w:szCs w:val="20"/>
                </w:rPr>
                <w:t>Risk Factors Summary</w:t>
              </w:r>
            </w:hyperlink>
          </w:p>
        </w:tc>
        <w:tc>
          <w:tcPr>
            <w:tcW w:w="0" w:type="auto"/>
            <w:gridSpan w:val="3"/>
            <w:tcBorders>
              <w:top w:val="single" w:sz="8" w:space="0" w:color="000000"/>
            </w:tcBorders>
            <w:tcMar>
              <w:top w:w="30" w:type="dxa"/>
              <w:left w:w="20" w:type="dxa"/>
              <w:bottom w:w="30" w:type="dxa"/>
              <w:right w:w="20" w:type="dxa"/>
            </w:tcMar>
            <w:hideMark/>
          </w:tcPr>
          <w:p w:rsidR="00000000" w:rsidRDefault="00786A01">
            <w:pPr>
              <w:jc w:val="right"/>
              <w:rPr>
                <w:rFonts w:eastAsia="Times New Roman"/>
              </w:rPr>
            </w:pPr>
            <w:hyperlink w:anchor="if22612eee2604d939a446ac9d02a2864_10" w:history="1">
              <w:r>
                <w:rPr>
                  <w:rStyle w:val="a3"/>
                  <w:rFonts w:eastAsia="Times New Roman"/>
                  <w:sz w:val="20"/>
                  <w:szCs w:val="20"/>
                </w:rPr>
                <w:t>4</w:t>
              </w:r>
            </w:hyperlink>
          </w:p>
        </w:tc>
      </w:tr>
      <w:tr w:rsidR="00000000">
        <w:trPr>
          <w:divId w:val="499468371"/>
          <w:trHeight w:val="300"/>
        </w:trPr>
        <w:tc>
          <w:tcPr>
            <w:tcW w:w="0" w:type="auto"/>
            <w:gridSpan w:val="3"/>
            <w:tcMar>
              <w:top w:w="0" w:type="dxa"/>
              <w:left w:w="20" w:type="dxa"/>
              <w:bottom w:w="0" w:type="dxa"/>
              <w:right w:w="20" w:type="dxa"/>
            </w:tcMar>
            <w:vAlign w:val="center"/>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499468371"/>
        </w:trPr>
        <w:tc>
          <w:tcPr>
            <w:tcW w:w="0" w:type="auto"/>
            <w:gridSpan w:val="6"/>
            <w:tcMar>
              <w:top w:w="30" w:type="dxa"/>
              <w:left w:w="20" w:type="dxa"/>
              <w:bottom w:w="30" w:type="dxa"/>
              <w:right w:w="20" w:type="dxa"/>
            </w:tcMar>
            <w:hideMark/>
          </w:tcPr>
          <w:p w:rsidR="00000000" w:rsidRDefault="00786A01">
            <w:pPr>
              <w:divId w:val="1113861154"/>
              <w:rPr>
                <w:rFonts w:eastAsia="Times New Roman"/>
              </w:rPr>
            </w:pPr>
            <w:hyperlink w:anchor="if22612eee2604d939a446ac9d02a2864_13" w:history="1">
              <w:r>
                <w:rPr>
                  <w:rStyle w:val="a3"/>
                  <w:rFonts w:eastAsia="Times New Roman"/>
                  <w:sz w:val="20"/>
                  <w:szCs w:val="20"/>
                </w:rPr>
                <w:t>PART I. FINANCIAL INFORMATION</w:t>
              </w:r>
            </w:hyperlink>
          </w:p>
        </w:tc>
        <w:tc>
          <w:tcPr>
            <w:tcW w:w="0" w:type="auto"/>
            <w:gridSpan w:val="3"/>
            <w:tcMar>
              <w:top w:w="0" w:type="dxa"/>
              <w:left w:w="20" w:type="dxa"/>
              <w:bottom w:w="0" w:type="dxa"/>
              <w:right w:w="20" w:type="dxa"/>
            </w:tcMar>
            <w:vAlign w:val="center"/>
            <w:hideMark/>
          </w:tcPr>
          <w:p w:rsidR="00000000" w:rsidRDefault="00786A01">
            <w:pPr>
              <w:rPr>
                <w:rFonts w:eastAsia="Times New Roman"/>
              </w:rPr>
            </w:pPr>
          </w:p>
        </w:tc>
      </w:tr>
      <w:tr w:rsidR="00000000">
        <w:trPr>
          <w:divId w:val="499468371"/>
        </w:trPr>
        <w:tc>
          <w:tcPr>
            <w:tcW w:w="0" w:type="auto"/>
            <w:gridSpan w:val="3"/>
            <w:tcMar>
              <w:top w:w="30" w:type="dxa"/>
              <w:left w:w="20" w:type="dxa"/>
              <w:bottom w:w="30" w:type="dxa"/>
              <w:right w:w="20" w:type="dxa"/>
            </w:tcMar>
            <w:hideMark/>
          </w:tcPr>
          <w:p w:rsidR="00000000" w:rsidRDefault="00786A01">
            <w:pPr>
              <w:divId w:val="460654438"/>
              <w:rPr>
                <w:rFonts w:eastAsia="Times New Roman"/>
              </w:rPr>
            </w:pPr>
            <w:hyperlink w:anchor="if22612eee2604d939a446ac9d02a2864_16"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786A01">
            <w:pPr>
              <w:divId w:val="1289436435"/>
              <w:rPr>
                <w:rFonts w:eastAsia="Times New Roman"/>
              </w:rPr>
            </w:pPr>
            <w:hyperlink w:anchor="if22612eee2604d939a446ac9d02a2864_16" w:history="1">
              <w:r>
                <w:rPr>
                  <w:rStyle w:val="a3"/>
                  <w:rFonts w:eastAsia="Times New Roman"/>
                  <w:sz w:val="20"/>
                  <w:szCs w:val="20"/>
                </w:rPr>
                <w:t>Condensed Consolidated Financial Statements (Unaudited)</w:t>
              </w:r>
            </w:hyperlink>
          </w:p>
        </w:tc>
        <w:tc>
          <w:tcPr>
            <w:tcW w:w="0" w:type="auto"/>
            <w:gridSpan w:val="3"/>
            <w:tcMar>
              <w:top w:w="0" w:type="dxa"/>
              <w:left w:w="20" w:type="dxa"/>
              <w:bottom w:w="0" w:type="dxa"/>
              <w:right w:w="20" w:type="dxa"/>
            </w:tcMar>
            <w:vAlign w:val="center"/>
            <w:hideMark/>
          </w:tcPr>
          <w:p w:rsidR="00000000" w:rsidRDefault="00786A01">
            <w:pPr>
              <w:rPr>
                <w:rFonts w:eastAsia="Times New Roman"/>
              </w:rPr>
            </w:pPr>
          </w:p>
        </w:tc>
      </w:tr>
      <w:tr w:rsidR="00000000">
        <w:trPr>
          <w:divId w:val="499468371"/>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30" w:type="dxa"/>
              <w:left w:w="20" w:type="dxa"/>
              <w:bottom w:w="30" w:type="dxa"/>
              <w:right w:w="20" w:type="dxa"/>
            </w:tcMar>
            <w:hideMark/>
          </w:tcPr>
          <w:p w:rsidR="00000000" w:rsidRDefault="00786A01">
            <w:pPr>
              <w:divId w:val="504633116"/>
              <w:rPr>
                <w:rFonts w:eastAsia="Times New Roman"/>
              </w:rPr>
            </w:pPr>
            <w:hyperlink w:anchor="if22612eee2604d939a446ac9d02a2864_19" w:history="1">
              <w:r>
                <w:rPr>
                  <w:rStyle w:val="a3"/>
                  <w:rFonts w:eastAsia="Times New Roman"/>
                  <w:sz w:val="20"/>
                  <w:szCs w:val="20"/>
                </w:rPr>
                <w:t>Cond</w:t>
              </w:r>
              <w:r>
                <w:rPr>
                  <w:rStyle w:val="a3"/>
                  <w:rFonts w:eastAsia="Times New Roman"/>
                  <w:sz w:val="20"/>
                  <w:szCs w:val="20"/>
                </w:rPr>
                <w:t>ensed Consolidated Balance Sheets</w:t>
              </w:r>
            </w:hyperlink>
          </w:p>
        </w:tc>
        <w:tc>
          <w:tcPr>
            <w:tcW w:w="0" w:type="auto"/>
            <w:gridSpan w:val="3"/>
            <w:tcMar>
              <w:top w:w="30" w:type="dxa"/>
              <w:left w:w="20" w:type="dxa"/>
              <w:bottom w:w="30" w:type="dxa"/>
              <w:right w:w="20" w:type="dxa"/>
            </w:tcMar>
            <w:hideMark/>
          </w:tcPr>
          <w:p w:rsidR="00000000" w:rsidRDefault="00786A01">
            <w:pPr>
              <w:jc w:val="right"/>
              <w:rPr>
                <w:rFonts w:eastAsia="Times New Roman"/>
              </w:rPr>
            </w:pPr>
            <w:hyperlink w:anchor="if22612eee2604d939a446ac9d02a2864_19" w:history="1">
              <w:r>
                <w:rPr>
                  <w:rStyle w:val="a3"/>
                  <w:rFonts w:eastAsia="Times New Roman"/>
                  <w:sz w:val="20"/>
                  <w:szCs w:val="20"/>
                </w:rPr>
                <w:t>6</w:t>
              </w:r>
            </w:hyperlink>
          </w:p>
        </w:tc>
      </w:tr>
      <w:tr w:rsidR="00000000">
        <w:trPr>
          <w:divId w:val="499468371"/>
        </w:trPr>
        <w:tc>
          <w:tcPr>
            <w:tcW w:w="0" w:type="auto"/>
            <w:gridSpan w:val="3"/>
            <w:tcMar>
              <w:top w:w="0" w:type="dxa"/>
              <w:left w:w="20" w:type="dxa"/>
              <w:bottom w:w="0" w:type="dxa"/>
              <w:right w:w="20" w:type="dxa"/>
            </w:tcMar>
            <w:vAlign w:val="center"/>
            <w:hideMark/>
          </w:tcPr>
          <w:p w:rsidR="00000000" w:rsidRDefault="00786A01">
            <w:pPr>
              <w:jc w:val="right"/>
              <w:rPr>
                <w:rFonts w:eastAsia="Times New Roman"/>
              </w:rPr>
            </w:pPr>
          </w:p>
        </w:tc>
        <w:tc>
          <w:tcPr>
            <w:tcW w:w="0" w:type="auto"/>
            <w:gridSpan w:val="3"/>
            <w:tcMar>
              <w:top w:w="30" w:type="dxa"/>
              <w:left w:w="20" w:type="dxa"/>
              <w:bottom w:w="30" w:type="dxa"/>
              <w:right w:w="20" w:type="dxa"/>
            </w:tcMar>
            <w:hideMark/>
          </w:tcPr>
          <w:p w:rsidR="00000000" w:rsidRDefault="00786A01">
            <w:pPr>
              <w:divId w:val="353505731"/>
              <w:rPr>
                <w:rFonts w:eastAsia="Times New Roman"/>
              </w:rPr>
            </w:pPr>
            <w:hyperlink w:anchor="if22612eee2604d939a446ac9d02a2864_22" w:history="1">
              <w:r>
                <w:rPr>
                  <w:rStyle w:val="a3"/>
                  <w:rFonts w:eastAsia="Times New Roman"/>
                  <w:sz w:val="20"/>
                  <w:szCs w:val="20"/>
                </w:rPr>
                <w:t>Condensed Consolidated Statements of Operations</w:t>
              </w:r>
            </w:hyperlink>
          </w:p>
        </w:tc>
        <w:tc>
          <w:tcPr>
            <w:tcW w:w="0" w:type="auto"/>
            <w:gridSpan w:val="3"/>
            <w:tcMar>
              <w:top w:w="30" w:type="dxa"/>
              <w:left w:w="20" w:type="dxa"/>
              <w:bottom w:w="30" w:type="dxa"/>
              <w:right w:w="20" w:type="dxa"/>
            </w:tcMar>
            <w:hideMark/>
          </w:tcPr>
          <w:p w:rsidR="00000000" w:rsidRDefault="00786A01">
            <w:pPr>
              <w:jc w:val="right"/>
              <w:rPr>
                <w:rFonts w:eastAsia="Times New Roman"/>
              </w:rPr>
            </w:pPr>
            <w:hyperlink w:anchor="if22612eee2604d939a446ac9d02a2864_22" w:history="1">
              <w:r>
                <w:rPr>
                  <w:rStyle w:val="a3"/>
                  <w:rFonts w:eastAsia="Times New Roman"/>
                  <w:sz w:val="20"/>
                  <w:szCs w:val="20"/>
                </w:rPr>
                <w:t>7</w:t>
              </w:r>
            </w:hyperlink>
          </w:p>
        </w:tc>
      </w:tr>
      <w:tr w:rsidR="00000000">
        <w:trPr>
          <w:divId w:val="499468371"/>
        </w:trPr>
        <w:tc>
          <w:tcPr>
            <w:tcW w:w="0" w:type="auto"/>
            <w:gridSpan w:val="3"/>
            <w:tcMar>
              <w:top w:w="0" w:type="dxa"/>
              <w:left w:w="20" w:type="dxa"/>
              <w:bottom w:w="0" w:type="dxa"/>
              <w:right w:w="20" w:type="dxa"/>
            </w:tcMar>
            <w:vAlign w:val="center"/>
            <w:hideMark/>
          </w:tcPr>
          <w:p w:rsidR="00000000" w:rsidRDefault="00786A01">
            <w:pPr>
              <w:jc w:val="right"/>
              <w:rPr>
                <w:rFonts w:eastAsia="Times New Roman"/>
              </w:rPr>
            </w:pPr>
          </w:p>
        </w:tc>
        <w:tc>
          <w:tcPr>
            <w:tcW w:w="0" w:type="auto"/>
            <w:gridSpan w:val="3"/>
            <w:tcMar>
              <w:top w:w="30" w:type="dxa"/>
              <w:left w:w="20" w:type="dxa"/>
              <w:bottom w:w="30" w:type="dxa"/>
              <w:right w:w="20" w:type="dxa"/>
            </w:tcMar>
            <w:hideMark/>
          </w:tcPr>
          <w:p w:rsidR="00000000" w:rsidRDefault="00786A01">
            <w:pPr>
              <w:divId w:val="1734770670"/>
              <w:rPr>
                <w:rFonts w:eastAsia="Times New Roman"/>
              </w:rPr>
            </w:pPr>
            <w:hyperlink w:anchor="if22612eee2604d939a446ac9d02a2864_25" w:history="1">
              <w:r>
                <w:rPr>
                  <w:rStyle w:val="a3"/>
                  <w:rFonts w:eastAsia="Times New Roman"/>
                  <w:sz w:val="20"/>
                  <w:szCs w:val="20"/>
                </w:rPr>
                <w:t>Condensed Consolidated Statements of Comprehensive Income</w:t>
              </w:r>
            </w:hyperlink>
          </w:p>
        </w:tc>
        <w:tc>
          <w:tcPr>
            <w:tcW w:w="0" w:type="auto"/>
            <w:gridSpan w:val="3"/>
            <w:tcMar>
              <w:top w:w="30" w:type="dxa"/>
              <w:left w:w="20" w:type="dxa"/>
              <w:bottom w:w="30" w:type="dxa"/>
              <w:right w:w="20" w:type="dxa"/>
            </w:tcMar>
            <w:hideMark/>
          </w:tcPr>
          <w:p w:rsidR="00000000" w:rsidRDefault="00786A01">
            <w:pPr>
              <w:jc w:val="right"/>
              <w:rPr>
                <w:rFonts w:eastAsia="Times New Roman"/>
              </w:rPr>
            </w:pPr>
            <w:hyperlink w:anchor="if22612eee2604d939a446ac9d02a2864_25" w:history="1">
              <w:r>
                <w:rPr>
                  <w:rStyle w:val="a3"/>
                  <w:rFonts w:eastAsia="Times New Roman"/>
                  <w:sz w:val="20"/>
                  <w:szCs w:val="20"/>
                </w:rPr>
                <w:t>8</w:t>
              </w:r>
            </w:hyperlink>
          </w:p>
        </w:tc>
      </w:tr>
      <w:tr w:rsidR="00000000">
        <w:trPr>
          <w:divId w:val="499468371"/>
        </w:trPr>
        <w:tc>
          <w:tcPr>
            <w:tcW w:w="0" w:type="auto"/>
            <w:gridSpan w:val="3"/>
            <w:tcMar>
              <w:top w:w="0" w:type="dxa"/>
              <w:left w:w="20" w:type="dxa"/>
              <w:bottom w:w="0" w:type="dxa"/>
              <w:right w:w="20" w:type="dxa"/>
            </w:tcMar>
            <w:vAlign w:val="center"/>
            <w:hideMark/>
          </w:tcPr>
          <w:p w:rsidR="00000000" w:rsidRDefault="00786A01">
            <w:pPr>
              <w:jc w:val="right"/>
              <w:rPr>
                <w:rFonts w:eastAsia="Times New Roman"/>
              </w:rPr>
            </w:pPr>
          </w:p>
        </w:tc>
        <w:tc>
          <w:tcPr>
            <w:tcW w:w="0" w:type="auto"/>
            <w:gridSpan w:val="3"/>
            <w:tcMar>
              <w:top w:w="30" w:type="dxa"/>
              <w:left w:w="20" w:type="dxa"/>
              <w:bottom w:w="30" w:type="dxa"/>
              <w:right w:w="20" w:type="dxa"/>
            </w:tcMar>
            <w:hideMark/>
          </w:tcPr>
          <w:p w:rsidR="00000000" w:rsidRDefault="00786A01">
            <w:pPr>
              <w:divId w:val="96097178"/>
              <w:rPr>
                <w:rFonts w:eastAsia="Times New Roman"/>
              </w:rPr>
            </w:pPr>
            <w:hyperlink w:anchor="if22612eee2604d939a446ac9d02a2864_28" w:history="1">
              <w:r>
                <w:rPr>
                  <w:rStyle w:val="a3"/>
                  <w:rFonts w:eastAsia="Times New Roman"/>
                  <w:sz w:val="20"/>
                  <w:szCs w:val="20"/>
                </w:rPr>
                <w:t>Condensed Consolidated Statements of Cash Flows</w:t>
              </w:r>
            </w:hyperlink>
          </w:p>
        </w:tc>
        <w:tc>
          <w:tcPr>
            <w:tcW w:w="0" w:type="auto"/>
            <w:gridSpan w:val="3"/>
            <w:tcMar>
              <w:top w:w="30" w:type="dxa"/>
              <w:left w:w="20" w:type="dxa"/>
              <w:bottom w:w="30" w:type="dxa"/>
              <w:right w:w="20" w:type="dxa"/>
            </w:tcMar>
            <w:hideMark/>
          </w:tcPr>
          <w:p w:rsidR="00000000" w:rsidRDefault="00786A01">
            <w:pPr>
              <w:jc w:val="right"/>
              <w:rPr>
                <w:rFonts w:eastAsia="Times New Roman"/>
              </w:rPr>
            </w:pPr>
            <w:hyperlink w:anchor="if22612eee2604d939a446ac9d02a2864_28" w:history="1">
              <w:r>
                <w:rPr>
                  <w:rStyle w:val="a3"/>
                  <w:rFonts w:eastAsia="Times New Roman"/>
                  <w:sz w:val="20"/>
                  <w:szCs w:val="20"/>
                </w:rPr>
                <w:t>9</w:t>
              </w:r>
            </w:hyperlink>
          </w:p>
        </w:tc>
      </w:tr>
      <w:tr w:rsidR="00000000">
        <w:trPr>
          <w:divId w:val="499468371"/>
        </w:trPr>
        <w:tc>
          <w:tcPr>
            <w:tcW w:w="0" w:type="auto"/>
            <w:gridSpan w:val="3"/>
            <w:tcMar>
              <w:top w:w="0" w:type="dxa"/>
              <w:left w:w="20" w:type="dxa"/>
              <w:bottom w:w="0" w:type="dxa"/>
              <w:right w:w="20" w:type="dxa"/>
            </w:tcMar>
            <w:vAlign w:val="center"/>
            <w:hideMark/>
          </w:tcPr>
          <w:p w:rsidR="00000000" w:rsidRDefault="00786A01">
            <w:pPr>
              <w:jc w:val="right"/>
              <w:rPr>
                <w:rFonts w:eastAsia="Times New Roman"/>
              </w:rPr>
            </w:pPr>
          </w:p>
        </w:tc>
        <w:tc>
          <w:tcPr>
            <w:tcW w:w="0" w:type="auto"/>
            <w:gridSpan w:val="3"/>
            <w:tcMar>
              <w:top w:w="30" w:type="dxa"/>
              <w:left w:w="20" w:type="dxa"/>
              <w:bottom w:w="30" w:type="dxa"/>
              <w:right w:w="20" w:type="dxa"/>
            </w:tcMar>
            <w:hideMark/>
          </w:tcPr>
          <w:p w:rsidR="00000000" w:rsidRDefault="00786A01">
            <w:pPr>
              <w:divId w:val="1304433744"/>
              <w:rPr>
                <w:rFonts w:eastAsia="Times New Roman"/>
              </w:rPr>
            </w:pPr>
            <w:hyperlink w:anchor="if22612eee2604d939a446ac9d02a2864_31"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hideMark/>
          </w:tcPr>
          <w:p w:rsidR="00000000" w:rsidRDefault="00786A01">
            <w:pPr>
              <w:jc w:val="right"/>
              <w:rPr>
                <w:rFonts w:eastAsia="Times New Roman"/>
              </w:rPr>
            </w:pPr>
            <w:hyperlink w:anchor="if22612eee2604d939a446ac9d02a2864_31" w:history="1">
              <w:r>
                <w:rPr>
                  <w:rStyle w:val="a3"/>
                  <w:rFonts w:eastAsia="Times New Roman"/>
                  <w:sz w:val="20"/>
                  <w:szCs w:val="20"/>
                </w:rPr>
                <w:t>10</w:t>
              </w:r>
            </w:hyperlink>
          </w:p>
        </w:tc>
      </w:tr>
      <w:tr w:rsidR="00000000">
        <w:trPr>
          <w:divId w:val="499468371"/>
        </w:trPr>
        <w:tc>
          <w:tcPr>
            <w:tcW w:w="0" w:type="auto"/>
            <w:gridSpan w:val="3"/>
            <w:tcMar>
              <w:top w:w="0" w:type="dxa"/>
              <w:left w:w="20" w:type="dxa"/>
              <w:bottom w:w="0" w:type="dxa"/>
              <w:right w:w="20" w:type="dxa"/>
            </w:tcMar>
            <w:vAlign w:val="center"/>
            <w:hideMark/>
          </w:tcPr>
          <w:p w:rsidR="00000000" w:rsidRDefault="00786A01">
            <w:pPr>
              <w:jc w:val="right"/>
              <w:rPr>
                <w:rFonts w:eastAsia="Times New Roman"/>
              </w:rPr>
            </w:pPr>
          </w:p>
        </w:tc>
        <w:tc>
          <w:tcPr>
            <w:tcW w:w="0" w:type="auto"/>
            <w:gridSpan w:val="3"/>
            <w:tcMar>
              <w:top w:w="30" w:type="dxa"/>
              <w:left w:w="20" w:type="dxa"/>
              <w:bottom w:w="30" w:type="dxa"/>
              <w:right w:w="20" w:type="dxa"/>
            </w:tcMar>
            <w:hideMark/>
          </w:tcPr>
          <w:p w:rsidR="00000000" w:rsidRDefault="00786A01">
            <w:pPr>
              <w:divId w:val="1501239832"/>
              <w:rPr>
                <w:rFonts w:eastAsia="Times New Roman"/>
              </w:rPr>
            </w:pPr>
            <w:hyperlink w:anchor="if22612eee2604d939a446ac9d02a2864_34" w:history="1">
              <w:r>
                <w:rPr>
                  <w:rStyle w:val="a3"/>
                  <w:rFonts w:eastAsia="Times New Roman"/>
                  <w:sz w:val="20"/>
                  <w:szCs w:val="20"/>
                </w:rPr>
                <w:t>Notes to C</w:t>
              </w:r>
              <w:r>
                <w:rPr>
                  <w:rStyle w:val="a3"/>
                  <w:rFonts w:eastAsia="Times New Roman"/>
                  <w:sz w:val="20"/>
                  <w:szCs w:val="20"/>
                </w:rPr>
                <w:t>ondensed Consolidated Financial Statements</w:t>
              </w:r>
            </w:hyperlink>
          </w:p>
        </w:tc>
        <w:tc>
          <w:tcPr>
            <w:tcW w:w="0" w:type="auto"/>
            <w:gridSpan w:val="3"/>
            <w:tcMar>
              <w:top w:w="30" w:type="dxa"/>
              <w:left w:w="20" w:type="dxa"/>
              <w:bottom w:w="30" w:type="dxa"/>
              <w:right w:w="20" w:type="dxa"/>
            </w:tcMar>
            <w:hideMark/>
          </w:tcPr>
          <w:p w:rsidR="00000000" w:rsidRDefault="00786A01">
            <w:pPr>
              <w:jc w:val="right"/>
              <w:rPr>
                <w:rFonts w:eastAsia="Times New Roman"/>
              </w:rPr>
            </w:pPr>
            <w:hyperlink w:anchor="if22612eee2604d939a446ac9d02a2864_34" w:history="1">
              <w:r>
                <w:rPr>
                  <w:rStyle w:val="a3"/>
                  <w:rFonts w:eastAsia="Times New Roman"/>
                  <w:sz w:val="20"/>
                  <w:szCs w:val="20"/>
                </w:rPr>
                <w:t>11</w:t>
              </w:r>
            </w:hyperlink>
          </w:p>
        </w:tc>
      </w:tr>
      <w:tr w:rsidR="00000000">
        <w:trPr>
          <w:divId w:val="499468371"/>
        </w:trPr>
        <w:tc>
          <w:tcPr>
            <w:tcW w:w="0" w:type="auto"/>
            <w:gridSpan w:val="3"/>
            <w:tcMar>
              <w:top w:w="30" w:type="dxa"/>
              <w:left w:w="20" w:type="dxa"/>
              <w:bottom w:w="30" w:type="dxa"/>
              <w:right w:w="20" w:type="dxa"/>
            </w:tcMar>
            <w:hideMark/>
          </w:tcPr>
          <w:p w:rsidR="00000000" w:rsidRDefault="00786A01">
            <w:pPr>
              <w:divId w:val="239873865"/>
              <w:rPr>
                <w:rFonts w:eastAsia="Times New Roman"/>
              </w:rPr>
            </w:pPr>
            <w:hyperlink w:anchor="if22612eee2604d939a446ac9d02a2864_82"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786A01">
            <w:pPr>
              <w:divId w:val="381485569"/>
              <w:rPr>
                <w:rFonts w:eastAsia="Times New Roman"/>
              </w:rPr>
            </w:pPr>
            <w:hyperlink w:anchor="if22612eee2604d939a446ac9d02a2864_82" w:history="1">
              <w:r>
                <w:rPr>
                  <w:rStyle w:val="a3"/>
                  <w:rFonts w:eastAsia="Times New Roman"/>
                  <w:sz w:val="20"/>
                  <w:szCs w:val="20"/>
                </w:rPr>
                <w:t>Management’s Discu</w:t>
              </w:r>
              <w:r>
                <w:rPr>
                  <w:rStyle w:val="a3"/>
                  <w:rFonts w:eastAsia="Times New Roman"/>
                  <w:sz w:val="20"/>
                  <w:szCs w:val="20"/>
                </w:rPr>
                <w:t>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786A01">
            <w:pPr>
              <w:jc w:val="right"/>
              <w:rPr>
                <w:rFonts w:eastAsia="Times New Roman"/>
              </w:rPr>
            </w:pPr>
            <w:hyperlink w:anchor="if22612eee2604d939a446ac9d02a2864_82" w:history="1">
              <w:r>
                <w:rPr>
                  <w:rStyle w:val="a3"/>
                  <w:rFonts w:eastAsia="Times New Roman"/>
                  <w:sz w:val="20"/>
                  <w:szCs w:val="20"/>
                </w:rPr>
                <w:t>23</w:t>
              </w:r>
            </w:hyperlink>
          </w:p>
        </w:tc>
      </w:tr>
      <w:tr w:rsidR="00000000">
        <w:trPr>
          <w:divId w:val="499468371"/>
        </w:trPr>
        <w:tc>
          <w:tcPr>
            <w:tcW w:w="0" w:type="auto"/>
            <w:gridSpan w:val="3"/>
            <w:tcMar>
              <w:top w:w="30" w:type="dxa"/>
              <w:left w:w="20" w:type="dxa"/>
              <w:bottom w:w="30" w:type="dxa"/>
              <w:right w:w="20" w:type="dxa"/>
            </w:tcMar>
            <w:hideMark/>
          </w:tcPr>
          <w:p w:rsidR="00000000" w:rsidRDefault="00786A01">
            <w:pPr>
              <w:divId w:val="1977488578"/>
              <w:rPr>
                <w:rFonts w:eastAsia="Times New Roman"/>
              </w:rPr>
            </w:pPr>
            <w:hyperlink w:anchor="if22612eee2604d939a446ac9d02a2864_118"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786A01">
            <w:pPr>
              <w:divId w:val="1620843015"/>
              <w:rPr>
                <w:rFonts w:eastAsia="Times New Roman"/>
              </w:rPr>
            </w:pPr>
            <w:hyperlink w:anchor="if22612eee2604d939a446ac9d02a2864_118"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786A01">
            <w:pPr>
              <w:jc w:val="right"/>
              <w:rPr>
                <w:rFonts w:eastAsia="Times New Roman"/>
              </w:rPr>
            </w:pPr>
            <w:hyperlink w:anchor="if22612eee2604d939a446ac9d02a2864_118" w:history="1">
              <w:r>
                <w:rPr>
                  <w:rStyle w:val="a3"/>
                  <w:rFonts w:eastAsia="Times New Roman"/>
                  <w:sz w:val="20"/>
                  <w:szCs w:val="20"/>
                </w:rPr>
                <w:t>52</w:t>
              </w:r>
            </w:hyperlink>
          </w:p>
        </w:tc>
      </w:tr>
      <w:tr w:rsidR="00000000">
        <w:trPr>
          <w:divId w:val="499468371"/>
        </w:trPr>
        <w:tc>
          <w:tcPr>
            <w:tcW w:w="0" w:type="auto"/>
            <w:gridSpan w:val="3"/>
            <w:tcMar>
              <w:top w:w="30" w:type="dxa"/>
              <w:left w:w="20" w:type="dxa"/>
              <w:bottom w:w="30" w:type="dxa"/>
              <w:right w:w="20" w:type="dxa"/>
            </w:tcMar>
            <w:hideMark/>
          </w:tcPr>
          <w:p w:rsidR="00000000" w:rsidRDefault="00786A01">
            <w:pPr>
              <w:divId w:val="329913331"/>
              <w:rPr>
                <w:rFonts w:eastAsia="Times New Roman"/>
              </w:rPr>
            </w:pPr>
            <w:hyperlink w:anchor="if22612eee2604d939a446ac9d02a2864_121"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786A01">
            <w:pPr>
              <w:divId w:val="1873834465"/>
              <w:rPr>
                <w:rFonts w:eastAsia="Times New Roman"/>
              </w:rPr>
            </w:pPr>
            <w:hyperlink w:anchor="if22612eee2604d939a446ac9d02a2864_121"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hideMark/>
          </w:tcPr>
          <w:p w:rsidR="00000000" w:rsidRDefault="00786A01">
            <w:pPr>
              <w:jc w:val="right"/>
              <w:rPr>
                <w:rFonts w:eastAsia="Times New Roman"/>
              </w:rPr>
            </w:pPr>
            <w:hyperlink w:anchor="if22612eee2604d939a446ac9d02a2864_121" w:history="1">
              <w:r>
                <w:rPr>
                  <w:rStyle w:val="a3"/>
                  <w:rFonts w:eastAsia="Times New Roman"/>
                  <w:sz w:val="20"/>
                  <w:szCs w:val="20"/>
                </w:rPr>
                <w:t>52</w:t>
              </w:r>
            </w:hyperlink>
          </w:p>
        </w:tc>
      </w:tr>
      <w:tr w:rsidR="00000000">
        <w:trPr>
          <w:divId w:val="499468371"/>
          <w:trHeight w:val="300"/>
        </w:trPr>
        <w:tc>
          <w:tcPr>
            <w:tcW w:w="0" w:type="auto"/>
            <w:gridSpan w:val="3"/>
            <w:tcMar>
              <w:top w:w="0" w:type="dxa"/>
              <w:left w:w="20" w:type="dxa"/>
              <w:bottom w:w="0" w:type="dxa"/>
              <w:right w:w="20" w:type="dxa"/>
            </w:tcMar>
            <w:vAlign w:val="center"/>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499468371"/>
        </w:trPr>
        <w:tc>
          <w:tcPr>
            <w:tcW w:w="0" w:type="auto"/>
            <w:gridSpan w:val="6"/>
            <w:tcMar>
              <w:top w:w="30" w:type="dxa"/>
              <w:left w:w="20" w:type="dxa"/>
              <w:bottom w:w="30" w:type="dxa"/>
              <w:right w:w="20" w:type="dxa"/>
            </w:tcMar>
            <w:hideMark/>
          </w:tcPr>
          <w:p w:rsidR="00000000" w:rsidRDefault="00786A01">
            <w:pPr>
              <w:divId w:val="1537620353"/>
              <w:rPr>
                <w:rFonts w:eastAsia="Times New Roman"/>
              </w:rPr>
            </w:pPr>
            <w:hyperlink w:anchor="if22612eee2604d939a446ac9d02a2864_124" w:history="1">
              <w:r>
                <w:rPr>
                  <w:rStyle w:val="a3"/>
                  <w:rFonts w:eastAsia="Times New Roman"/>
                  <w:sz w:val="20"/>
                  <w:szCs w:val="20"/>
                </w:rPr>
                <w:t>PART II. OTHER INFORMATION</w:t>
              </w:r>
            </w:hyperlink>
          </w:p>
        </w:tc>
        <w:tc>
          <w:tcPr>
            <w:tcW w:w="0" w:type="auto"/>
            <w:gridSpan w:val="3"/>
            <w:tcMar>
              <w:top w:w="0" w:type="dxa"/>
              <w:left w:w="20" w:type="dxa"/>
              <w:bottom w:w="0" w:type="dxa"/>
              <w:right w:w="20" w:type="dxa"/>
            </w:tcMar>
            <w:vAlign w:val="center"/>
            <w:hideMark/>
          </w:tcPr>
          <w:p w:rsidR="00000000" w:rsidRDefault="00786A01">
            <w:pPr>
              <w:rPr>
                <w:rFonts w:eastAsia="Times New Roman"/>
              </w:rPr>
            </w:pPr>
          </w:p>
        </w:tc>
      </w:tr>
      <w:tr w:rsidR="00000000">
        <w:trPr>
          <w:divId w:val="499468371"/>
        </w:trPr>
        <w:tc>
          <w:tcPr>
            <w:tcW w:w="0" w:type="auto"/>
            <w:gridSpan w:val="3"/>
            <w:tcMar>
              <w:top w:w="30" w:type="dxa"/>
              <w:left w:w="20" w:type="dxa"/>
              <w:bottom w:w="30" w:type="dxa"/>
              <w:right w:w="20" w:type="dxa"/>
            </w:tcMar>
            <w:hideMark/>
          </w:tcPr>
          <w:p w:rsidR="00000000" w:rsidRDefault="00786A01">
            <w:pPr>
              <w:divId w:val="649486291"/>
              <w:rPr>
                <w:rFonts w:eastAsia="Times New Roman"/>
              </w:rPr>
            </w:pPr>
            <w:hyperlink w:anchor="if22612eee2604d939a446ac9d02a2864_127"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786A01">
            <w:pPr>
              <w:divId w:val="1398700193"/>
              <w:rPr>
                <w:rFonts w:eastAsia="Times New Roman"/>
              </w:rPr>
            </w:pPr>
            <w:hyperlink w:anchor="if22612eee2604d939a446ac9d02a2864_127"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hideMark/>
          </w:tcPr>
          <w:p w:rsidR="00000000" w:rsidRDefault="00786A01">
            <w:pPr>
              <w:jc w:val="right"/>
              <w:rPr>
                <w:rFonts w:eastAsia="Times New Roman"/>
              </w:rPr>
            </w:pPr>
            <w:hyperlink w:anchor="if22612eee2604d939a446ac9d02a2864_127" w:history="1">
              <w:r>
                <w:rPr>
                  <w:rStyle w:val="a3"/>
                  <w:rFonts w:eastAsia="Times New Roman"/>
                  <w:sz w:val="20"/>
                  <w:szCs w:val="20"/>
                </w:rPr>
                <w:t>52</w:t>
              </w:r>
            </w:hyperlink>
          </w:p>
        </w:tc>
      </w:tr>
      <w:tr w:rsidR="00000000">
        <w:trPr>
          <w:divId w:val="499468371"/>
        </w:trPr>
        <w:tc>
          <w:tcPr>
            <w:tcW w:w="0" w:type="auto"/>
            <w:gridSpan w:val="3"/>
            <w:tcMar>
              <w:top w:w="30" w:type="dxa"/>
              <w:left w:w="20" w:type="dxa"/>
              <w:bottom w:w="30" w:type="dxa"/>
              <w:right w:w="20" w:type="dxa"/>
            </w:tcMar>
            <w:hideMark/>
          </w:tcPr>
          <w:p w:rsidR="00000000" w:rsidRDefault="00786A01">
            <w:pPr>
              <w:divId w:val="1918897859"/>
              <w:rPr>
                <w:rFonts w:eastAsia="Times New Roman"/>
              </w:rPr>
            </w:pPr>
            <w:hyperlink w:anchor="if22612eee2604d939a446ac9d02a2864_130" w:history="1">
              <w:r>
                <w:rPr>
                  <w:rStyle w:val="a3"/>
                  <w:rFonts w:eastAsia="Times New Roman"/>
                  <w:sz w:val="20"/>
                  <w:szCs w:val="20"/>
                </w:rPr>
                <w:t>Item 1A.</w:t>
              </w:r>
            </w:hyperlink>
          </w:p>
        </w:tc>
        <w:tc>
          <w:tcPr>
            <w:tcW w:w="0" w:type="auto"/>
            <w:gridSpan w:val="3"/>
            <w:tcMar>
              <w:top w:w="30" w:type="dxa"/>
              <w:left w:w="20" w:type="dxa"/>
              <w:bottom w:w="30" w:type="dxa"/>
              <w:right w:w="20" w:type="dxa"/>
            </w:tcMar>
            <w:hideMark/>
          </w:tcPr>
          <w:p w:rsidR="00000000" w:rsidRDefault="00786A01">
            <w:pPr>
              <w:divId w:val="1444571882"/>
              <w:rPr>
                <w:rFonts w:eastAsia="Times New Roman"/>
              </w:rPr>
            </w:pPr>
            <w:hyperlink w:anchor="if22612eee2604d939a446ac9d02a2864_130" w:history="1">
              <w:r>
                <w:rPr>
                  <w:rStyle w:val="a3"/>
                  <w:rFonts w:eastAsia="Times New Roman"/>
                  <w:sz w:val="20"/>
                  <w:szCs w:val="20"/>
                </w:rPr>
                <w:t>Risk Factors</w:t>
              </w:r>
            </w:hyperlink>
          </w:p>
        </w:tc>
        <w:tc>
          <w:tcPr>
            <w:tcW w:w="0" w:type="auto"/>
            <w:gridSpan w:val="3"/>
            <w:tcMar>
              <w:top w:w="30" w:type="dxa"/>
              <w:left w:w="20" w:type="dxa"/>
              <w:bottom w:w="30" w:type="dxa"/>
              <w:right w:w="20" w:type="dxa"/>
            </w:tcMar>
            <w:hideMark/>
          </w:tcPr>
          <w:p w:rsidR="00000000" w:rsidRDefault="00786A01">
            <w:pPr>
              <w:jc w:val="right"/>
              <w:rPr>
                <w:rFonts w:eastAsia="Times New Roman"/>
              </w:rPr>
            </w:pPr>
            <w:hyperlink w:anchor="if22612eee2604d939a446ac9d02a2864_130" w:history="1">
              <w:r>
                <w:rPr>
                  <w:rStyle w:val="a3"/>
                  <w:rFonts w:eastAsia="Times New Roman"/>
                  <w:sz w:val="20"/>
                  <w:szCs w:val="20"/>
                </w:rPr>
                <w:t>53</w:t>
              </w:r>
            </w:hyperlink>
          </w:p>
        </w:tc>
      </w:tr>
      <w:tr w:rsidR="00000000">
        <w:trPr>
          <w:divId w:val="499468371"/>
        </w:trPr>
        <w:tc>
          <w:tcPr>
            <w:tcW w:w="0" w:type="auto"/>
            <w:gridSpan w:val="3"/>
            <w:tcMar>
              <w:top w:w="30" w:type="dxa"/>
              <w:left w:w="20" w:type="dxa"/>
              <w:bottom w:w="30" w:type="dxa"/>
              <w:right w:w="20" w:type="dxa"/>
            </w:tcMar>
            <w:hideMark/>
          </w:tcPr>
          <w:p w:rsidR="00000000" w:rsidRDefault="00786A01">
            <w:pPr>
              <w:divId w:val="1098793702"/>
              <w:rPr>
                <w:rFonts w:eastAsia="Times New Roman"/>
              </w:rPr>
            </w:pPr>
            <w:hyperlink w:anchor="if22612eee2604d939a446ac9d02a2864_133"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786A01">
            <w:pPr>
              <w:divId w:val="11033997"/>
              <w:rPr>
                <w:rFonts w:eastAsia="Times New Roman"/>
              </w:rPr>
            </w:pPr>
            <w:hyperlink w:anchor="if22612eee2604d939a446ac9d02a2864_133"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hideMark/>
          </w:tcPr>
          <w:p w:rsidR="00000000" w:rsidRDefault="00786A01">
            <w:pPr>
              <w:jc w:val="right"/>
              <w:rPr>
                <w:rFonts w:eastAsia="Times New Roman"/>
              </w:rPr>
            </w:pPr>
            <w:hyperlink w:anchor="if22612eee2604d939a446ac9d02a2864_133" w:history="1">
              <w:r>
                <w:rPr>
                  <w:rStyle w:val="a3"/>
                  <w:rFonts w:eastAsia="Times New Roman"/>
                  <w:sz w:val="20"/>
                  <w:szCs w:val="20"/>
                </w:rPr>
                <w:t>53</w:t>
              </w:r>
            </w:hyperlink>
          </w:p>
        </w:tc>
      </w:tr>
      <w:tr w:rsidR="00000000">
        <w:trPr>
          <w:divId w:val="499468371"/>
        </w:trPr>
        <w:tc>
          <w:tcPr>
            <w:tcW w:w="0" w:type="auto"/>
            <w:gridSpan w:val="3"/>
            <w:tcMar>
              <w:top w:w="30" w:type="dxa"/>
              <w:left w:w="20" w:type="dxa"/>
              <w:bottom w:w="30" w:type="dxa"/>
              <w:right w:w="20" w:type="dxa"/>
            </w:tcMar>
            <w:hideMark/>
          </w:tcPr>
          <w:p w:rsidR="00000000" w:rsidRDefault="00786A01">
            <w:pPr>
              <w:divId w:val="308292733"/>
              <w:rPr>
                <w:rFonts w:eastAsia="Times New Roman"/>
              </w:rPr>
            </w:pPr>
            <w:hyperlink w:anchor="if22612eee2604d939a446ac9d02a2864_136"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786A01">
            <w:pPr>
              <w:divId w:val="1157772121"/>
              <w:rPr>
                <w:rFonts w:eastAsia="Times New Roman"/>
              </w:rPr>
            </w:pPr>
            <w:hyperlink w:anchor="if22612eee2604d939a446ac9d02a2864_136"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hideMark/>
          </w:tcPr>
          <w:p w:rsidR="00000000" w:rsidRDefault="00786A01">
            <w:pPr>
              <w:jc w:val="right"/>
              <w:rPr>
                <w:rFonts w:eastAsia="Times New Roman"/>
              </w:rPr>
            </w:pPr>
            <w:hyperlink w:anchor="if22612eee2604d939a446ac9d02a2864_136" w:history="1">
              <w:r>
                <w:rPr>
                  <w:rStyle w:val="a3"/>
                  <w:rFonts w:eastAsia="Times New Roman"/>
                  <w:sz w:val="20"/>
                  <w:szCs w:val="20"/>
                </w:rPr>
                <w:t>53</w:t>
              </w:r>
            </w:hyperlink>
          </w:p>
        </w:tc>
      </w:tr>
      <w:tr w:rsidR="00000000">
        <w:trPr>
          <w:divId w:val="499468371"/>
        </w:trPr>
        <w:tc>
          <w:tcPr>
            <w:tcW w:w="0" w:type="auto"/>
            <w:gridSpan w:val="3"/>
            <w:tcMar>
              <w:top w:w="30" w:type="dxa"/>
              <w:left w:w="20" w:type="dxa"/>
              <w:bottom w:w="30" w:type="dxa"/>
              <w:right w:w="20" w:type="dxa"/>
            </w:tcMar>
            <w:hideMark/>
          </w:tcPr>
          <w:p w:rsidR="00000000" w:rsidRDefault="00786A01">
            <w:pPr>
              <w:divId w:val="2055422261"/>
              <w:rPr>
                <w:rFonts w:eastAsia="Times New Roman"/>
              </w:rPr>
            </w:pPr>
            <w:hyperlink w:anchor="if22612eee2604d939a446ac9d02a2864_139"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786A01">
            <w:pPr>
              <w:divId w:val="802649816"/>
              <w:rPr>
                <w:rFonts w:eastAsia="Times New Roman"/>
              </w:rPr>
            </w:pPr>
            <w:hyperlink w:anchor="if22612eee2604d939a446ac9d02a2864_139"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hideMark/>
          </w:tcPr>
          <w:p w:rsidR="00000000" w:rsidRDefault="00786A01">
            <w:pPr>
              <w:jc w:val="right"/>
              <w:rPr>
                <w:rFonts w:eastAsia="Times New Roman"/>
              </w:rPr>
            </w:pPr>
            <w:hyperlink w:anchor="if22612eee2604d939a446ac9d02a2864_139" w:history="1">
              <w:r>
                <w:rPr>
                  <w:rStyle w:val="a3"/>
                  <w:rFonts w:eastAsia="Times New Roman"/>
                  <w:sz w:val="20"/>
                  <w:szCs w:val="20"/>
                </w:rPr>
                <w:t>53</w:t>
              </w:r>
            </w:hyperlink>
          </w:p>
        </w:tc>
      </w:tr>
      <w:tr w:rsidR="00000000">
        <w:trPr>
          <w:divId w:val="499468371"/>
        </w:trPr>
        <w:tc>
          <w:tcPr>
            <w:tcW w:w="0" w:type="auto"/>
            <w:gridSpan w:val="3"/>
            <w:tcMar>
              <w:top w:w="30" w:type="dxa"/>
              <w:left w:w="20" w:type="dxa"/>
              <w:bottom w:w="30" w:type="dxa"/>
              <w:right w:w="20" w:type="dxa"/>
            </w:tcMar>
            <w:hideMark/>
          </w:tcPr>
          <w:p w:rsidR="00000000" w:rsidRDefault="00786A01">
            <w:pPr>
              <w:divId w:val="1643269753"/>
              <w:rPr>
                <w:rFonts w:eastAsia="Times New Roman"/>
              </w:rPr>
            </w:pPr>
            <w:hyperlink w:anchor="if22612eee2604d939a446ac9d02a2864_142" w:history="1">
              <w:r>
                <w:rPr>
                  <w:rStyle w:val="a3"/>
                  <w:rFonts w:eastAsia="Times New Roman"/>
                  <w:sz w:val="20"/>
                  <w:szCs w:val="20"/>
                </w:rPr>
                <w:t>Item 5.</w:t>
              </w:r>
            </w:hyperlink>
          </w:p>
        </w:tc>
        <w:tc>
          <w:tcPr>
            <w:tcW w:w="0" w:type="auto"/>
            <w:gridSpan w:val="3"/>
            <w:tcMar>
              <w:top w:w="30" w:type="dxa"/>
              <w:left w:w="20" w:type="dxa"/>
              <w:bottom w:w="30" w:type="dxa"/>
              <w:right w:w="20" w:type="dxa"/>
            </w:tcMar>
            <w:hideMark/>
          </w:tcPr>
          <w:p w:rsidR="00000000" w:rsidRDefault="00786A01">
            <w:pPr>
              <w:divId w:val="582227515"/>
              <w:rPr>
                <w:rFonts w:eastAsia="Times New Roman"/>
              </w:rPr>
            </w:pPr>
            <w:hyperlink w:anchor="if22612eee2604d939a446ac9d02a2864_142"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786A01">
            <w:pPr>
              <w:jc w:val="right"/>
              <w:rPr>
                <w:rFonts w:eastAsia="Times New Roman"/>
              </w:rPr>
            </w:pPr>
            <w:hyperlink w:anchor="if22612eee2604d939a446ac9d02a2864_142" w:history="1">
              <w:r>
                <w:rPr>
                  <w:rStyle w:val="a3"/>
                  <w:rFonts w:eastAsia="Times New Roman"/>
                  <w:sz w:val="20"/>
                  <w:szCs w:val="20"/>
                </w:rPr>
                <w:t>53</w:t>
              </w:r>
            </w:hyperlink>
          </w:p>
        </w:tc>
      </w:tr>
      <w:tr w:rsidR="00000000">
        <w:trPr>
          <w:divId w:val="499468371"/>
        </w:trPr>
        <w:tc>
          <w:tcPr>
            <w:tcW w:w="0" w:type="auto"/>
            <w:gridSpan w:val="3"/>
            <w:tcMar>
              <w:top w:w="30" w:type="dxa"/>
              <w:left w:w="20" w:type="dxa"/>
              <w:bottom w:w="30" w:type="dxa"/>
              <w:right w:w="20" w:type="dxa"/>
            </w:tcMar>
            <w:hideMark/>
          </w:tcPr>
          <w:p w:rsidR="00000000" w:rsidRDefault="00786A01">
            <w:pPr>
              <w:divId w:val="1660961095"/>
              <w:rPr>
                <w:rFonts w:eastAsia="Times New Roman"/>
              </w:rPr>
            </w:pPr>
            <w:hyperlink w:anchor="if22612eee2604d939a446ac9d02a2864_145" w:history="1">
              <w:r>
                <w:rPr>
                  <w:rStyle w:val="a3"/>
                  <w:rFonts w:eastAsia="Times New Roman"/>
                  <w:sz w:val="20"/>
                  <w:szCs w:val="20"/>
                </w:rPr>
                <w:t>Item 6.</w:t>
              </w:r>
            </w:hyperlink>
          </w:p>
        </w:tc>
        <w:tc>
          <w:tcPr>
            <w:tcW w:w="0" w:type="auto"/>
            <w:gridSpan w:val="3"/>
            <w:tcMar>
              <w:top w:w="30" w:type="dxa"/>
              <w:left w:w="20" w:type="dxa"/>
              <w:bottom w:w="30" w:type="dxa"/>
              <w:right w:w="20" w:type="dxa"/>
            </w:tcMar>
            <w:hideMark/>
          </w:tcPr>
          <w:p w:rsidR="00000000" w:rsidRDefault="00786A01">
            <w:pPr>
              <w:divId w:val="1701011791"/>
              <w:rPr>
                <w:rFonts w:eastAsia="Times New Roman"/>
              </w:rPr>
            </w:pPr>
            <w:hyperlink w:anchor="if22612eee2604d939a446ac9d02a2864_145" w:history="1">
              <w:r>
                <w:rPr>
                  <w:rStyle w:val="a3"/>
                  <w:rFonts w:eastAsia="Times New Roman"/>
                  <w:sz w:val="20"/>
                  <w:szCs w:val="20"/>
                </w:rPr>
                <w:t>Exhibits</w:t>
              </w:r>
            </w:hyperlink>
          </w:p>
        </w:tc>
        <w:tc>
          <w:tcPr>
            <w:tcW w:w="0" w:type="auto"/>
            <w:gridSpan w:val="3"/>
            <w:tcMar>
              <w:top w:w="30" w:type="dxa"/>
              <w:left w:w="20" w:type="dxa"/>
              <w:bottom w:w="30" w:type="dxa"/>
              <w:right w:w="20" w:type="dxa"/>
            </w:tcMar>
            <w:hideMark/>
          </w:tcPr>
          <w:p w:rsidR="00000000" w:rsidRDefault="00786A01">
            <w:pPr>
              <w:jc w:val="right"/>
              <w:rPr>
                <w:rFonts w:eastAsia="Times New Roman"/>
              </w:rPr>
            </w:pPr>
            <w:hyperlink w:anchor="if22612eee2604d939a446ac9d02a2864_145" w:history="1">
              <w:r>
                <w:rPr>
                  <w:rStyle w:val="a3"/>
                  <w:rFonts w:eastAsia="Times New Roman"/>
                  <w:sz w:val="20"/>
                  <w:szCs w:val="20"/>
                </w:rPr>
                <w:t>54</w:t>
              </w:r>
            </w:hyperlink>
          </w:p>
        </w:tc>
      </w:tr>
      <w:tr w:rsidR="00000000">
        <w:trPr>
          <w:divId w:val="499468371"/>
          <w:trHeight w:val="300"/>
        </w:trPr>
        <w:tc>
          <w:tcPr>
            <w:tcW w:w="0" w:type="auto"/>
            <w:gridSpan w:val="3"/>
            <w:tcMar>
              <w:top w:w="0" w:type="dxa"/>
              <w:left w:w="20" w:type="dxa"/>
              <w:bottom w:w="0" w:type="dxa"/>
              <w:right w:w="20" w:type="dxa"/>
            </w:tcMar>
            <w:vAlign w:val="center"/>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499468371"/>
        </w:trPr>
        <w:tc>
          <w:tcPr>
            <w:tcW w:w="0" w:type="auto"/>
            <w:gridSpan w:val="3"/>
            <w:tcMar>
              <w:top w:w="30" w:type="dxa"/>
              <w:left w:w="20" w:type="dxa"/>
              <w:bottom w:w="30" w:type="dxa"/>
              <w:right w:w="20" w:type="dxa"/>
            </w:tcMar>
            <w:hideMark/>
          </w:tcPr>
          <w:p w:rsidR="00000000" w:rsidRDefault="00786A01">
            <w:pPr>
              <w:divId w:val="1127774343"/>
              <w:rPr>
                <w:rFonts w:eastAsia="Times New Roman"/>
              </w:rPr>
            </w:pPr>
            <w:hyperlink w:anchor="if22612eee2604d939a446ac9d02a2864_148"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786A01">
            <w:pPr>
              <w:rPr>
                <w:rFonts w:eastAsia="Times New Roman"/>
              </w:rPr>
            </w:pPr>
          </w:p>
        </w:tc>
        <w:tc>
          <w:tcPr>
            <w:tcW w:w="0" w:type="auto"/>
            <w:gridSpan w:val="3"/>
            <w:tcMar>
              <w:top w:w="30" w:type="dxa"/>
              <w:left w:w="20" w:type="dxa"/>
              <w:bottom w:w="30" w:type="dxa"/>
              <w:right w:w="20" w:type="dxa"/>
            </w:tcMar>
            <w:hideMark/>
          </w:tcPr>
          <w:p w:rsidR="00000000" w:rsidRDefault="00786A01">
            <w:pPr>
              <w:jc w:val="right"/>
              <w:rPr>
                <w:rFonts w:eastAsia="Times New Roman"/>
              </w:rPr>
            </w:pPr>
            <w:hyperlink w:anchor="if22612eee2604d939a446ac9d02a2864_148" w:history="1">
              <w:r>
                <w:rPr>
                  <w:rStyle w:val="a3"/>
                  <w:rFonts w:eastAsia="Times New Roman"/>
                  <w:sz w:val="20"/>
                  <w:szCs w:val="20"/>
                </w:rPr>
                <w:t>56</w:t>
              </w:r>
            </w:hyperlink>
          </w:p>
        </w:tc>
      </w:tr>
      <w:tr w:rsidR="00000000">
        <w:trPr>
          <w:divId w:val="499468371"/>
        </w:trPr>
        <w:tc>
          <w:tcPr>
            <w:tcW w:w="0" w:type="auto"/>
            <w:gridSpan w:val="3"/>
            <w:vAlign w:val="center"/>
            <w:hideMark/>
          </w:tcPr>
          <w:p w:rsidR="00000000" w:rsidRDefault="00786A01">
            <w:pPr>
              <w:jc w:val="right"/>
              <w:rPr>
                <w:rFonts w:eastAsia="Times New Roman"/>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49946837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499468371"/>
        </w:trPr>
        <w:tc>
          <w:tcPr>
            <w:tcW w:w="0" w:type="auto"/>
            <w:gridSpan w:val="3"/>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499468371"/>
        </w:trPr>
        <w:tc>
          <w:tcPr>
            <w:tcW w:w="0" w:type="auto"/>
            <w:gridSpan w:val="3"/>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499468371"/>
        </w:trPr>
        <w:tc>
          <w:tcPr>
            <w:tcW w:w="0" w:type="auto"/>
            <w:gridSpan w:val="3"/>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499468371"/>
        </w:trPr>
        <w:tc>
          <w:tcPr>
            <w:tcW w:w="0" w:type="auto"/>
            <w:gridSpan w:val="3"/>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499468371"/>
        </w:trPr>
        <w:tc>
          <w:tcPr>
            <w:tcW w:w="0" w:type="auto"/>
            <w:gridSpan w:val="3"/>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499468371"/>
        </w:trPr>
        <w:tc>
          <w:tcPr>
            <w:tcW w:w="0" w:type="auto"/>
            <w:gridSpan w:val="3"/>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499468371"/>
        </w:trPr>
        <w:tc>
          <w:tcPr>
            <w:tcW w:w="0" w:type="auto"/>
            <w:gridSpan w:val="3"/>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499468371"/>
        </w:trPr>
        <w:tc>
          <w:tcPr>
            <w:tcW w:w="0" w:type="auto"/>
            <w:gridSpan w:val="3"/>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499468371"/>
        </w:trPr>
        <w:tc>
          <w:tcPr>
            <w:tcW w:w="0" w:type="auto"/>
            <w:gridSpan w:val="3"/>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499468371"/>
        </w:trPr>
        <w:tc>
          <w:tcPr>
            <w:tcW w:w="0" w:type="auto"/>
            <w:gridSpan w:val="3"/>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499468371"/>
        </w:trPr>
        <w:tc>
          <w:tcPr>
            <w:tcW w:w="0" w:type="auto"/>
            <w:gridSpan w:val="3"/>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499468371"/>
        </w:trPr>
        <w:tc>
          <w:tcPr>
            <w:tcW w:w="0" w:type="auto"/>
            <w:gridSpan w:val="3"/>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bl>
    <w:p w:rsidR="00000000" w:rsidRDefault="00786A01">
      <w:pPr>
        <w:jc w:val="center"/>
        <w:divId w:val="1125268377"/>
        <w:rPr>
          <w:rFonts w:eastAsia="Times New Roman"/>
        </w:rPr>
      </w:pPr>
      <w:r>
        <w:rPr>
          <w:rFonts w:eastAsia="Times New Roman"/>
          <w:color w:val="000000"/>
          <w:sz w:val="20"/>
          <w:szCs w:val="20"/>
        </w:rPr>
        <w:t>3</w:t>
      </w:r>
    </w:p>
    <w:p w:rsidR="00000000" w:rsidRDefault="00786A01">
      <w:pPr>
        <w:rPr>
          <w:rFonts w:eastAsia="Times New Roman"/>
        </w:rPr>
      </w:pPr>
      <w:r>
        <w:rPr>
          <w:rFonts w:eastAsia="Times New Roman"/>
        </w:rPr>
        <w:pict>
          <v:rect id="_x0000_i1026" style="width:0;height:1.5pt" o:hralign="center" o:hrstd="t" o:hr="t" fillcolor="#a0a0a0" stroked="f"/>
        </w:pict>
      </w:r>
    </w:p>
    <w:p w:rsidR="00000000" w:rsidRDefault="00786A01">
      <w:pPr>
        <w:divId w:val="1809007975"/>
        <w:rPr>
          <w:rFonts w:eastAsia="Times New Roman"/>
        </w:rPr>
      </w:pPr>
    </w:p>
    <w:p w:rsidR="00000000" w:rsidRDefault="00786A01">
      <w:pPr>
        <w:divId w:val="789399430"/>
        <w:rPr>
          <w:rFonts w:eastAsia="Times New Roman"/>
        </w:rPr>
      </w:pPr>
      <w:r>
        <w:rPr>
          <w:rFonts w:eastAsia="Times New Roman"/>
          <w:b/>
          <w:bCs/>
          <w:color w:val="000000"/>
          <w:sz w:val="20"/>
          <w:szCs w:val="20"/>
        </w:rPr>
        <w:lastRenderedPageBreak/>
        <w:t xml:space="preserve">Risk Factors Summary: </w:t>
      </w:r>
    </w:p>
    <w:p w:rsidR="00000000" w:rsidRDefault="00786A01">
      <w:pPr>
        <w:ind w:firstLine="360"/>
        <w:divId w:val="2143037753"/>
        <w:rPr>
          <w:rFonts w:eastAsia="Times New Roman"/>
        </w:rPr>
      </w:pPr>
      <w:r>
        <w:rPr>
          <w:rFonts w:eastAsia="Times New Roman"/>
          <w:color w:val="000000"/>
          <w:sz w:val="20"/>
          <w:szCs w:val="20"/>
        </w:rPr>
        <w:t xml:space="preserve">Our business is subject to numerous risks and uncertainties, including those described in the section labeled “Risk Factors” in “Part I, Item 2, Management’s Discussion and Analysis of Financial </w:t>
      </w:r>
      <w:r>
        <w:rPr>
          <w:rFonts w:eastAsia="Times New Roman"/>
          <w:color w:val="000000"/>
          <w:sz w:val="20"/>
          <w:szCs w:val="20"/>
        </w:rPr>
        <w:t xml:space="preserve">Condition and Results of Operations” of this Quarterly Report. These risks include, but are not limited to, the following: </w:t>
      </w:r>
    </w:p>
    <w:p w:rsidR="00000000" w:rsidRDefault="00786A01">
      <w:pPr>
        <w:divId w:val="202406880"/>
        <w:rPr>
          <w:rFonts w:eastAsia="Times New Roman"/>
        </w:rPr>
      </w:pPr>
      <w:r>
        <w:rPr>
          <w:rFonts w:eastAsia="Times New Roman"/>
          <w:b/>
          <w:bCs/>
          <w:color w:val="000000"/>
          <w:sz w:val="20"/>
          <w:szCs w:val="20"/>
        </w:rPr>
        <w:t>RISKS RELATED TO THE CORONAVIRUS (COVID-19) PANDEMIC</w:t>
      </w:r>
    </w:p>
    <w:p w:rsidR="00000000" w:rsidRDefault="00786A01">
      <w:pPr>
        <w:ind w:hanging="360"/>
        <w:divId w:val="2006932324"/>
        <w:rPr>
          <w:rFonts w:eastAsia="Times New Roman"/>
        </w:rPr>
      </w:pPr>
      <w:r>
        <w:rPr>
          <w:rFonts w:eastAsia="Times New Roman"/>
          <w:i/>
          <w:iCs/>
          <w:color w:val="000000"/>
          <w:sz w:val="20"/>
          <w:szCs w:val="20"/>
        </w:rPr>
        <w:t xml:space="preserve">•The coronavirus (COVID-19) pandemic has had an adverse effect on our business </w:t>
      </w:r>
      <w:r>
        <w:rPr>
          <w:rFonts w:eastAsia="Times New Roman"/>
          <w:i/>
          <w:iCs/>
          <w:color w:val="000000"/>
          <w:sz w:val="20"/>
          <w:szCs w:val="20"/>
        </w:rPr>
        <w:t>and results of operations, and may continue to impact us in the future.</w:t>
      </w:r>
    </w:p>
    <w:p w:rsidR="00000000" w:rsidRDefault="00786A01">
      <w:pPr>
        <w:divId w:val="578518736"/>
        <w:rPr>
          <w:rFonts w:eastAsia="Times New Roman"/>
        </w:rPr>
      </w:pPr>
      <w:r>
        <w:rPr>
          <w:rFonts w:eastAsia="Times New Roman"/>
          <w:b/>
          <w:bCs/>
          <w:color w:val="000000"/>
          <w:sz w:val="20"/>
          <w:szCs w:val="20"/>
        </w:rPr>
        <w:t>RISKS RELATED TO INDUSTRY DYNAMICS AND COMPETITION</w:t>
      </w:r>
    </w:p>
    <w:p w:rsidR="00000000" w:rsidRDefault="00786A01">
      <w:pPr>
        <w:ind w:hanging="360"/>
        <w:divId w:val="654265797"/>
        <w:rPr>
          <w:rFonts w:eastAsia="Times New Roman"/>
        </w:rPr>
      </w:pPr>
      <w:r>
        <w:rPr>
          <w:rFonts w:eastAsia="Times New Roman"/>
          <w:i/>
          <w:iCs/>
          <w:color w:val="000000"/>
          <w:sz w:val="20"/>
          <w:szCs w:val="20"/>
        </w:rPr>
        <w:t>•Our revenues depend on our customers’ and licensees’ sales of products and services based on CDMA, OFDMA and other communications te</w:t>
      </w:r>
      <w:r>
        <w:rPr>
          <w:rFonts w:eastAsia="Times New Roman"/>
          <w:i/>
          <w:iCs/>
          <w:color w:val="000000"/>
          <w:sz w:val="20"/>
          <w:szCs w:val="20"/>
        </w:rPr>
        <w:t>chnologies, including 5G, and customer demand for our products based on these technologies.</w:t>
      </w:r>
    </w:p>
    <w:p w:rsidR="00000000" w:rsidRDefault="00786A01">
      <w:pPr>
        <w:ind w:hanging="360"/>
        <w:divId w:val="215821598"/>
        <w:rPr>
          <w:rFonts w:eastAsia="Times New Roman"/>
        </w:rPr>
      </w:pPr>
      <w:r>
        <w:rPr>
          <w:rFonts w:eastAsia="Times New Roman"/>
          <w:i/>
          <w:iCs/>
          <w:color w:val="000000"/>
          <w:sz w:val="20"/>
          <w:szCs w:val="20"/>
        </w:rPr>
        <w:t>•</w:t>
      </w:r>
      <w:r>
        <w:rPr>
          <w:rFonts w:eastAsia="Times New Roman"/>
          <w:i/>
          <w:iCs/>
          <w:color w:val="000000"/>
          <w:sz w:val="20"/>
          <w:szCs w:val="20"/>
        </w:rPr>
        <w:t>Our industry is subject to intense competition in an environment of rapid technological change. Our success depends in part on our ability to adapt to such change and compete effectively; and such change and competition could result in decreased demand for</w:t>
      </w:r>
      <w:r>
        <w:rPr>
          <w:rFonts w:eastAsia="Times New Roman"/>
          <w:i/>
          <w:iCs/>
          <w:color w:val="000000"/>
          <w:sz w:val="20"/>
          <w:szCs w:val="20"/>
        </w:rPr>
        <w:t xml:space="preserve"> our products and technologies or declining average selling prices for our products or those of our customers or licensees.</w:t>
      </w:r>
    </w:p>
    <w:p w:rsidR="00000000" w:rsidRDefault="00786A01">
      <w:pPr>
        <w:divId w:val="1634171150"/>
        <w:rPr>
          <w:rFonts w:eastAsia="Times New Roman"/>
        </w:rPr>
      </w:pPr>
      <w:r>
        <w:rPr>
          <w:rFonts w:eastAsia="Times New Roman"/>
          <w:b/>
          <w:bCs/>
          <w:color w:val="000000"/>
          <w:sz w:val="20"/>
          <w:szCs w:val="20"/>
        </w:rPr>
        <w:t>RISKS RELATED TO OUR OPERATING BUSINESSES</w:t>
      </w:r>
    </w:p>
    <w:p w:rsidR="00000000" w:rsidRDefault="00786A01">
      <w:pPr>
        <w:ind w:hanging="360"/>
        <w:divId w:val="1287271043"/>
        <w:rPr>
          <w:rFonts w:eastAsia="Times New Roman"/>
        </w:rPr>
      </w:pPr>
      <w:r>
        <w:rPr>
          <w:rFonts w:eastAsia="Times New Roman"/>
          <w:i/>
          <w:iCs/>
          <w:color w:val="000000"/>
          <w:sz w:val="20"/>
          <w:szCs w:val="20"/>
        </w:rPr>
        <w:t>•We derive a significant portion of our revenues from a small number of customers and lice</w:t>
      </w:r>
      <w:r>
        <w:rPr>
          <w:rFonts w:eastAsia="Times New Roman"/>
          <w:i/>
          <w:iCs/>
          <w:color w:val="000000"/>
          <w:sz w:val="20"/>
          <w:szCs w:val="20"/>
        </w:rPr>
        <w:t>nsees, and particularly from their sale of premium tier devices. If revenues derived from these customers or licensees decrease or the timing of such revenues fluctuates, our business and results of operations could be negatively affected.</w:t>
      </w:r>
    </w:p>
    <w:p w:rsidR="00000000" w:rsidRDefault="00786A01">
      <w:pPr>
        <w:ind w:hanging="360"/>
        <w:divId w:val="1683582960"/>
        <w:rPr>
          <w:rFonts w:eastAsia="Times New Roman"/>
        </w:rPr>
      </w:pPr>
      <w:r>
        <w:rPr>
          <w:rFonts w:eastAsia="Times New Roman"/>
          <w:i/>
          <w:iCs/>
          <w:color w:val="000000"/>
          <w:sz w:val="20"/>
          <w:szCs w:val="20"/>
        </w:rPr>
        <w:t>•Our business, p</w:t>
      </w:r>
      <w:r>
        <w:rPr>
          <w:rFonts w:eastAsia="Times New Roman"/>
          <w:i/>
          <w:iCs/>
          <w:color w:val="000000"/>
          <w:sz w:val="20"/>
          <w:szCs w:val="20"/>
        </w:rPr>
        <w:t>articularly our semiconductor business, may suffer as a result of our customers vertically integrating (i.e., developing their own integrated circuit products).</w:t>
      </w:r>
    </w:p>
    <w:p w:rsidR="00000000" w:rsidRDefault="00786A01">
      <w:pPr>
        <w:ind w:hanging="360"/>
        <w:divId w:val="2008943116"/>
        <w:rPr>
          <w:rFonts w:eastAsia="Times New Roman"/>
        </w:rPr>
      </w:pPr>
      <w:r>
        <w:rPr>
          <w:rFonts w:eastAsia="Times New Roman"/>
          <w:i/>
          <w:iCs/>
          <w:color w:val="000000"/>
          <w:sz w:val="20"/>
          <w:szCs w:val="20"/>
        </w:rPr>
        <w:t>•A significant portion of our business is concentrated in China, and the risks of such concentr</w:t>
      </w:r>
      <w:r>
        <w:rPr>
          <w:rFonts w:eastAsia="Times New Roman"/>
          <w:i/>
          <w:iCs/>
          <w:color w:val="000000"/>
          <w:sz w:val="20"/>
          <w:szCs w:val="20"/>
        </w:rPr>
        <w:t>ation are exacerbated by U.S./China trade and national security tensions.</w:t>
      </w:r>
    </w:p>
    <w:p w:rsidR="00000000" w:rsidRDefault="00786A01">
      <w:pPr>
        <w:divId w:val="1851523078"/>
        <w:rPr>
          <w:rFonts w:eastAsia="Times New Roman"/>
        </w:rPr>
      </w:pPr>
      <w:r>
        <w:rPr>
          <w:rFonts w:eastAsia="Times New Roman"/>
          <w:b/>
          <w:bCs/>
          <w:color w:val="000000"/>
          <w:sz w:val="20"/>
          <w:szCs w:val="20"/>
        </w:rPr>
        <w:t xml:space="preserve">RISKS SPECIFIC TO OUR LICENSING BUSINESS </w:t>
      </w:r>
    </w:p>
    <w:p w:rsidR="00000000" w:rsidRDefault="00786A01">
      <w:pPr>
        <w:ind w:hanging="360"/>
        <w:divId w:val="1808353151"/>
        <w:rPr>
          <w:rFonts w:eastAsia="Times New Roman"/>
        </w:rPr>
      </w:pPr>
      <w:r>
        <w:rPr>
          <w:rFonts w:eastAsia="Times New Roman"/>
          <w:i/>
          <w:iCs/>
          <w:color w:val="000000"/>
          <w:sz w:val="20"/>
          <w:szCs w:val="20"/>
        </w:rPr>
        <w:t>•Efforts by some OEMs to avoid paying fair and reasonable royalties for the use of our intellectual property may require the investment of s</w:t>
      </w:r>
      <w:r>
        <w:rPr>
          <w:rFonts w:eastAsia="Times New Roman"/>
          <w:i/>
          <w:iCs/>
          <w:color w:val="000000"/>
          <w:sz w:val="20"/>
          <w:szCs w:val="20"/>
        </w:rPr>
        <w:t xml:space="preserve">ubstantial management time and financial resources and may result in legal decisions or actions by governments, courts, regulators or agencies, Standards Development Organizations (SDOs) or other industry organizations that harm our business. </w:t>
      </w:r>
    </w:p>
    <w:p w:rsidR="00000000" w:rsidRDefault="00786A01">
      <w:pPr>
        <w:ind w:hanging="360"/>
        <w:divId w:val="1680303488"/>
        <w:rPr>
          <w:rFonts w:eastAsia="Times New Roman"/>
        </w:rPr>
      </w:pPr>
      <w:r>
        <w:rPr>
          <w:rFonts w:eastAsia="Times New Roman"/>
          <w:i/>
          <w:iCs/>
          <w:color w:val="000000"/>
          <w:sz w:val="20"/>
          <w:szCs w:val="20"/>
        </w:rPr>
        <w:t xml:space="preserve">•Changes in </w:t>
      </w:r>
      <w:r>
        <w:rPr>
          <w:rFonts w:eastAsia="Times New Roman"/>
          <w:i/>
          <w:iCs/>
          <w:color w:val="000000"/>
          <w:sz w:val="20"/>
          <w:szCs w:val="20"/>
        </w:rPr>
        <w:t>our patent licensing practices, whether due to governmental investigations or private legal proceedings challenging those practices, or otherwise, could adversely impact our business and results of operations.</w:t>
      </w:r>
    </w:p>
    <w:p w:rsidR="00000000" w:rsidRDefault="00786A01">
      <w:pPr>
        <w:ind w:hanging="360"/>
        <w:divId w:val="122506428"/>
        <w:rPr>
          <w:rFonts w:eastAsia="Times New Roman"/>
        </w:rPr>
      </w:pPr>
      <w:r>
        <w:rPr>
          <w:rFonts w:eastAsia="Times New Roman"/>
          <w:i/>
          <w:iCs/>
          <w:color w:val="000000"/>
          <w:sz w:val="20"/>
          <w:szCs w:val="20"/>
        </w:rPr>
        <w:t>•The continued and future success of our licen</w:t>
      </w:r>
      <w:r>
        <w:rPr>
          <w:rFonts w:eastAsia="Times New Roman"/>
          <w:i/>
          <w:iCs/>
          <w:color w:val="000000"/>
          <w:sz w:val="20"/>
          <w:szCs w:val="20"/>
        </w:rPr>
        <w:t>sing programs requires us to continue to evolve our patent portfolio and to renew or renegotiate license agreements that are expiring or to cover additional future patents.</w:t>
      </w:r>
    </w:p>
    <w:p w:rsidR="00000000" w:rsidRDefault="00786A01">
      <w:pPr>
        <w:divId w:val="1938557617"/>
        <w:rPr>
          <w:rFonts w:eastAsia="Times New Roman"/>
        </w:rPr>
      </w:pPr>
      <w:r>
        <w:rPr>
          <w:rFonts w:eastAsia="Times New Roman"/>
          <w:b/>
          <w:bCs/>
          <w:color w:val="000000"/>
          <w:sz w:val="20"/>
          <w:szCs w:val="20"/>
        </w:rPr>
        <w:t xml:space="preserve">RISKS RELATED TO REGULATORY AND LEGAL CHALLENGES </w:t>
      </w:r>
    </w:p>
    <w:p w:rsidR="00000000" w:rsidRDefault="00786A01">
      <w:pPr>
        <w:ind w:hanging="360"/>
        <w:divId w:val="712004492"/>
        <w:rPr>
          <w:rFonts w:eastAsia="Times New Roman"/>
        </w:rPr>
      </w:pPr>
      <w:r>
        <w:rPr>
          <w:rFonts w:eastAsia="Times New Roman"/>
          <w:i/>
          <w:iCs/>
          <w:color w:val="000000"/>
          <w:sz w:val="20"/>
          <w:szCs w:val="20"/>
        </w:rPr>
        <w:t>•Our business may suffer as a res</w:t>
      </w:r>
      <w:r>
        <w:rPr>
          <w:rFonts w:eastAsia="Times New Roman"/>
          <w:i/>
          <w:iCs/>
          <w:color w:val="000000"/>
          <w:sz w:val="20"/>
          <w:szCs w:val="20"/>
        </w:rPr>
        <w:t>ult of adverse rulings in government investigations or proceedings.</w:t>
      </w:r>
    </w:p>
    <w:p w:rsidR="00000000" w:rsidRDefault="00786A01">
      <w:pPr>
        <w:divId w:val="989746038"/>
        <w:rPr>
          <w:rFonts w:eastAsia="Times New Roman"/>
        </w:rPr>
      </w:pPr>
      <w:r>
        <w:rPr>
          <w:rFonts w:eastAsia="Times New Roman"/>
          <w:b/>
          <w:bCs/>
          <w:color w:val="000000"/>
          <w:sz w:val="20"/>
          <w:szCs w:val="20"/>
        </w:rPr>
        <w:t xml:space="preserve">RISKS RELATED TO SUPPLY AND MANUFACTURING </w:t>
      </w:r>
    </w:p>
    <w:p w:rsidR="00000000" w:rsidRDefault="00786A01">
      <w:pPr>
        <w:ind w:hanging="360"/>
        <w:divId w:val="1785417412"/>
        <w:rPr>
          <w:rFonts w:eastAsia="Times New Roman"/>
        </w:rPr>
      </w:pPr>
      <w:r>
        <w:rPr>
          <w:rFonts w:eastAsia="Times New Roman"/>
          <w:i/>
          <w:iCs/>
          <w:color w:val="000000"/>
          <w:sz w:val="20"/>
          <w:szCs w:val="20"/>
        </w:rPr>
        <w:t>•We depend on a limited number of third-party suppliers for the procurement, manufacture and testing of our products manufactured in a fabless pr</w:t>
      </w:r>
      <w:r>
        <w:rPr>
          <w:rFonts w:eastAsia="Times New Roman"/>
          <w:i/>
          <w:iCs/>
          <w:color w:val="000000"/>
          <w:sz w:val="20"/>
          <w:szCs w:val="20"/>
        </w:rPr>
        <w:t>oduction model. If we fail to execute supply strategies that provide supply assurance, technology leadership and reasonable margins, our business and results of operations may be harmed. We are also subject to order and shipment uncertainties that could ne</w:t>
      </w:r>
      <w:r>
        <w:rPr>
          <w:rFonts w:eastAsia="Times New Roman"/>
          <w:i/>
          <w:iCs/>
          <w:color w:val="000000"/>
          <w:sz w:val="20"/>
          <w:szCs w:val="20"/>
        </w:rPr>
        <w:t>gatively impact our results of operations.</w:t>
      </w:r>
    </w:p>
    <w:p w:rsidR="00000000" w:rsidRDefault="00786A01">
      <w:pPr>
        <w:ind w:hanging="360"/>
        <w:divId w:val="1559705405"/>
        <w:rPr>
          <w:rFonts w:eastAsia="Times New Roman"/>
        </w:rPr>
      </w:pPr>
      <w:r>
        <w:rPr>
          <w:rFonts w:eastAsia="Times New Roman"/>
          <w:i/>
          <w:iCs/>
          <w:color w:val="000000"/>
          <w:sz w:val="20"/>
          <w:szCs w:val="20"/>
        </w:rPr>
        <w:t>•There are numerous risks associated with the operation and control of our manufacturing facilities, including a higher portion of fixed costs relative to a fabless model, environmental compliance and liability, i</w:t>
      </w:r>
      <w:r>
        <w:rPr>
          <w:rFonts w:eastAsia="Times New Roman"/>
          <w:i/>
          <w:iCs/>
          <w:color w:val="000000"/>
          <w:sz w:val="20"/>
          <w:szCs w:val="20"/>
        </w:rPr>
        <w:t>mpacts related to climate change, exposure to natural disasters, timely supply of equipment and materials, and various manufacturing issues.</w:t>
      </w:r>
    </w:p>
    <w:p w:rsidR="00000000" w:rsidRDefault="00786A01">
      <w:pPr>
        <w:jc w:val="center"/>
        <w:divId w:val="638073932"/>
        <w:rPr>
          <w:rFonts w:eastAsia="Times New Roman"/>
        </w:rPr>
      </w:pPr>
      <w:r>
        <w:rPr>
          <w:rFonts w:eastAsia="Times New Roman"/>
          <w:color w:val="000000"/>
          <w:sz w:val="20"/>
          <w:szCs w:val="20"/>
        </w:rPr>
        <w:t>4</w:t>
      </w:r>
    </w:p>
    <w:p w:rsidR="00000000" w:rsidRDefault="00786A01">
      <w:pPr>
        <w:rPr>
          <w:rFonts w:eastAsia="Times New Roman"/>
        </w:rPr>
      </w:pPr>
      <w:r>
        <w:rPr>
          <w:rFonts w:eastAsia="Times New Roman"/>
        </w:rPr>
        <w:pict>
          <v:rect id="_x0000_i1027" style="width:0;height:1.5pt" o:hralign="center" o:hrstd="t" o:hr="t" fillcolor="#a0a0a0" stroked="f"/>
        </w:pict>
      </w:r>
    </w:p>
    <w:p w:rsidR="00000000" w:rsidRDefault="00786A01">
      <w:pPr>
        <w:divId w:val="155465322"/>
        <w:rPr>
          <w:rFonts w:eastAsia="Times New Roman"/>
        </w:rPr>
      </w:pPr>
    </w:p>
    <w:p w:rsidR="00000000" w:rsidRDefault="00786A01">
      <w:pPr>
        <w:divId w:val="1508788975"/>
        <w:rPr>
          <w:rFonts w:eastAsia="Times New Roman"/>
        </w:rPr>
      </w:pPr>
      <w:r>
        <w:rPr>
          <w:rFonts w:eastAsia="Times New Roman"/>
          <w:b/>
          <w:bCs/>
          <w:color w:val="000000"/>
          <w:sz w:val="20"/>
          <w:szCs w:val="20"/>
        </w:rPr>
        <w:t>RISKS RELATED TO NEW AND ADJACENT INITIATIVES</w:t>
      </w:r>
    </w:p>
    <w:p w:rsidR="00000000" w:rsidRDefault="00786A01">
      <w:pPr>
        <w:ind w:hanging="360"/>
        <w:divId w:val="1167017737"/>
        <w:rPr>
          <w:rFonts w:eastAsia="Times New Roman"/>
        </w:rPr>
      </w:pPr>
      <w:r>
        <w:rPr>
          <w:rFonts w:eastAsia="Times New Roman"/>
          <w:i/>
          <w:iCs/>
          <w:color w:val="000000"/>
          <w:sz w:val="20"/>
          <w:szCs w:val="20"/>
        </w:rPr>
        <w:t>•Our growth depends in part on our ability to extend our technologies and products into new and expanded product areas, and adjacent industry segments and applications beyond mobile. Our research, development a</w:t>
      </w:r>
      <w:r>
        <w:rPr>
          <w:rFonts w:eastAsia="Times New Roman"/>
          <w:i/>
          <w:iCs/>
          <w:color w:val="000000"/>
          <w:sz w:val="20"/>
          <w:szCs w:val="20"/>
        </w:rPr>
        <w:t>nd other investments in these new and expanded product areas, industry segments and applications, and related technologies and products, as well as in our existing technologies and products, and new technologies, may not generate operating income or contri</w:t>
      </w:r>
      <w:r>
        <w:rPr>
          <w:rFonts w:eastAsia="Times New Roman"/>
          <w:i/>
          <w:iCs/>
          <w:color w:val="000000"/>
          <w:sz w:val="20"/>
          <w:szCs w:val="20"/>
        </w:rPr>
        <w:t>bute to future results of operations that meet our expectations.</w:t>
      </w:r>
    </w:p>
    <w:p w:rsidR="00000000" w:rsidRDefault="00786A01">
      <w:pPr>
        <w:ind w:hanging="360"/>
        <w:divId w:val="1049916925"/>
        <w:rPr>
          <w:rFonts w:eastAsia="Times New Roman"/>
        </w:rPr>
      </w:pPr>
      <w:r>
        <w:rPr>
          <w:rFonts w:eastAsia="Times New Roman"/>
          <w:i/>
          <w:iCs/>
          <w:color w:val="000000"/>
          <w:sz w:val="20"/>
          <w:szCs w:val="20"/>
        </w:rPr>
        <w:t>•We may engage in strategic acquisitions and other transactions or make investments, or be unable to consummate planned strategic acquisitions, which could adversely affect our results of ope</w:t>
      </w:r>
      <w:r>
        <w:rPr>
          <w:rFonts w:eastAsia="Times New Roman"/>
          <w:i/>
          <w:iCs/>
          <w:color w:val="000000"/>
          <w:sz w:val="20"/>
          <w:szCs w:val="20"/>
        </w:rPr>
        <w:t>rations or fail to enhance stockholder value.</w:t>
      </w:r>
    </w:p>
    <w:p w:rsidR="00000000" w:rsidRDefault="00786A01">
      <w:pPr>
        <w:divId w:val="286357745"/>
        <w:rPr>
          <w:rFonts w:eastAsia="Times New Roman"/>
        </w:rPr>
      </w:pPr>
      <w:r>
        <w:rPr>
          <w:rFonts w:eastAsia="Times New Roman"/>
          <w:b/>
          <w:bCs/>
          <w:color w:val="000000"/>
          <w:sz w:val="20"/>
          <w:szCs w:val="20"/>
        </w:rPr>
        <w:t xml:space="preserve">RISKS RELATED TO CYBERSECURITY OR MISAPPROPRIATION OF OUR CRITICAL INFORMATION </w:t>
      </w:r>
    </w:p>
    <w:p w:rsidR="00000000" w:rsidRDefault="00786A01">
      <w:pPr>
        <w:ind w:hanging="360"/>
        <w:divId w:val="1485200519"/>
        <w:rPr>
          <w:rFonts w:eastAsia="Times New Roman"/>
        </w:rPr>
      </w:pPr>
      <w:r>
        <w:rPr>
          <w:rFonts w:eastAsia="Times New Roman"/>
          <w:i/>
          <w:iCs/>
          <w:color w:val="000000"/>
          <w:sz w:val="20"/>
          <w:szCs w:val="20"/>
        </w:rPr>
        <w:t>•Our business and operations could suffer in the event of security breaches of our information technology systems, or other misapp</w:t>
      </w:r>
      <w:r>
        <w:rPr>
          <w:rFonts w:eastAsia="Times New Roman"/>
          <w:i/>
          <w:iCs/>
          <w:color w:val="000000"/>
          <w:sz w:val="20"/>
          <w:szCs w:val="20"/>
        </w:rPr>
        <w:t>ropriation of our technology, intellectual property or other proprietary or confidential information.</w:t>
      </w:r>
    </w:p>
    <w:p w:rsidR="00000000" w:rsidRDefault="00786A01">
      <w:pPr>
        <w:divId w:val="1298027159"/>
        <w:rPr>
          <w:rFonts w:eastAsia="Times New Roman"/>
        </w:rPr>
      </w:pPr>
      <w:r>
        <w:rPr>
          <w:rFonts w:eastAsia="Times New Roman"/>
          <w:b/>
          <w:bCs/>
          <w:color w:val="000000"/>
          <w:sz w:val="20"/>
          <w:szCs w:val="20"/>
        </w:rPr>
        <w:t xml:space="preserve">RISKS RELATED TO INTELLECTUAL PROPERTY </w:t>
      </w:r>
    </w:p>
    <w:p w:rsidR="00000000" w:rsidRDefault="00786A01">
      <w:pPr>
        <w:ind w:hanging="360"/>
        <w:divId w:val="2052266569"/>
        <w:rPr>
          <w:rFonts w:eastAsia="Times New Roman"/>
        </w:rPr>
      </w:pPr>
      <w:r>
        <w:rPr>
          <w:rFonts w:eastAsia="Times New Roman"/>
          <w:i/>
          <w:iCs/>
          <w:color w:val="000000"/>
          <w:sz w:val="20"/>
          <w:szCs w:val="20"/>
        </w:rPr>
        <w:t>•The enforcement and protection of our intellectual property may be expensive, could fail to prevent misappropriat</w:t>
      </w:r>
      <w:r>
        <w:rPr>
          <w:rFonts w:eastAsia="Times New Roman"/>
          <w:i/>
          <w:iCs/>
          <w:color w:val="000000"/>
          <w:sz w:val="20"/>
          <w:szCs w:val="20"/>
        </w:rPr>
        <w:t>ion or unauthorized use of our intellectual property, could result in the loss of our ability to enforce one or more patents, and could be adversely affected by changes in patent laws, by laws in certain foreign jurisdictions that may not effectively prote</w:t>
      </w:r>
      <w:r>
        <w:rPr>
          <w:rFonts w:eastAsia="Times New Roman"/>
          <w:i/>
          <w:iCs/>
          <w:color w:val="000000"/>
          <w:sz w:val="20"/>
          <w:szCs w:val="20"/>
        </w:rPr>
        <w:t>ct our intellectual property and by ineffective enforcement of laws in such jurisdictions.</w:t>
      </w:r>
    </w:p>
    <w:p w:rsidR="00000000" w:rsidRDefault="00786A01">
      <w:pPr>
        <w:ind w:hanging="360"/>
        <w:divId w:val="1666398235"/>
        <w:rPr>
          <w:rFonts w:eastAsia="Times New Roman"/>
        </w:rPr>
      </w:pPr>
      <w:r>
        <w:rPr>
          <w:rFonts w:eastAsia="Times New Roman"/>
          <w:i/>
          <w:iCs/>
          <w:color w:val="000000"/>
          <w:sz w:val="20"/>
          <w:szCs w:val="20"/>
        </w:rPr>
        <w:t>•Claims by other companies that we infringe their intellectual property could adversely affect our business.</w:t>
      </w:r>
    </w:p>
    <w:p w:rsidR="00000000" w:rsidRDefault="00786A01">
      <w:pPr>
        <w:ind w:hanging="360"/>
        <w:divId w:val="1903249971"/>
        <w:rPr>
          <w:rFonts w:eastAsia="Times New Roman"/>
        </w:rPr>
      </w:pPr>
      <w:r>
        <w:rPr>
          <w:rFonts w:eastAsia="Times New Roman"/>
          <w:i/>
          <w:iCs/>
          <w:color w:val="000000"/>
          <w:sz w:val="20"/>
          <w:szCs w:val="20"/>
        </w:rPr>
        <w:t>•Our use of open source software may harm our business.</w:t>
      </w:r>
    </w:p>
    <w:p w:rsidR="00000000" w:rsidRDefault="00786A01">
      <w:pPr>
        <w:divId w:val="793600820"/>
        <w:rPr>
          <w:rFonts w:eastAsia="Times New Roman"/>
        </w:rPr>
      </w:pPr>
      <w:r>
        <w:rPr>
          <w:rFonts w:eastAsia="Times New Roman"/>
          <w:b/>
          <w:bCs/>
          <w:color w:val="000000"/>
          <w:sz w:val="20"/>
          <w:szCs w:val="20"/>
        </w:rPr>
        <w:t xml:space="preserve">RISKS RELATED TO HUMAN CAPITAL MANAGEMENT </w:t>
      </w:r>
    </w:p>
    <w:p w:rsidR="00000000" w:rsidRDefault="00786A01">
      <w:pPr>
        <w:ind w:hanging="360"/>
        <w:divId w:val="1719208591"/>
        <w:rPr>
          <w:rFonts w:eastAsia="Times New Roman"/>
        </w:rPr>
      </w:pPr>
      <w:r>
        <w:rPr>
          <w:rFonts w:eastAsia="Times New Roman"/>
          <w:i/>
          <w:iCs/>
          <w:color w:val="000000"/>
          <w:sz w:val="20"/>
          <w:szCs w:val="20"/>
        </w:rPr>
        <w:t>•We may not be able to attract and retain qualified employees.</w:t>
      </w:r>
    </w:p>
    <w:p w:rsidR="00000000" w:rsidRDefault="00786A01">
      <w:pPr>
        <w:divId w:val="769737820"/>
        <w:rPr>
          <w:rFonts w:eastAsia="Times New Roman"/>
        </w:rPr>
      </w:pPr>
      <w:r>
        <w:rPr>
          <w:rFonts w:eastAsia="Times New Roman"/>
          <w:b/>
          <w:bCs/>
          <w:color w:val="000000"/>
          <w:sz w:val="20"/>
          <w:szCs w:val="20"/>
        </w:rPr>
        <w:t xml:space="preserve">RISKS RELATED TO PRODUCT DEFECTS OR SECURITY VULNERABILITIES </w:t>
      </w:r>
    </w:p>
    <w:p w:rsidR="00000000" w:rsidRDefault="00786A01">
      <w:pPr>
        <w:ind w:hanging="360"/>
        <w:divId w:val="377702079"/>
        <w:rPr>
          <w:rFonts w:eastAsia="Times New Roman"/>
        </w:rPr>
      </w:pPr>
      <w:r>
        <w:rPr>
          <w:rFonts w:eastAsia="Times New Roman"/>
          <w:i/>
          <w:iCs/>
          <w:color w:val="000000"/>
          <w:sz w:val="20"/>
          <w:szCs w:val="20"/>
        </w:rPr>
        <w:t>•</w:t>
      </w:r>
      <w:r>
        <w:rPr>
          <w:rFonts w:eastAsia="Times New Roman"/>
          <w:i/>
          <w:iCs/>
          <w:color w:val="000000"/>
          <w:sz w:val="20"/>
          <w:szCs w:val="20"/>
        </w:rPr>
        <w:t>Failures in our products, or in the products of our customers or licensees, including those resulting from security vulnerabilities, defects or errors, could harm our business.</w:t>
      </w:r>
    </w:p>
    <w:p w:rsidR="00000000" w:rsidRDefault="00786A01">
      <w:pPr>
        <w:divId w:val="529032942"/>
        <w:rPr>
          <w:rFonts w:eastAsia="Times New Roman"/>
        </w:rPr>
      </w:pPr>
      <w:r>
        <w:rPr>
          <w:rFonts w:eastAsia="Times New Roman"/>
          <w:b/>
          <w:bCs/>
          <w:color w:val="000000"/>
          <w:sz w:val="20"/>
          <w:szCs w:val="20"/>
        </w:rPr>
        <w:t xml:space="preserve">GENERAL RISK FACTORS </w:t>
      </w:r>
    </w:p>
    <w:p w:rsidR="00000000" w:rsidRDefault="00786A01">
      <w:pPr>
        <w:ind w:hanging="360"/>
        <w:divId w:val="1469469181"/>
        <w:rPr>
          <w:rFonts w:eastAsia="Times New Roman"/>
        </w:rPr>
      </w:pPr>
      <w:r>
        <w:rPr>
          <w:rFonts w:eastAsia="Times New Roman"/>
          <w:i/>
          <w:iCs/>
          <w:color w:val="000000"/>
          <w:sz w:val="20"/>
          <w:szCs w:val="20"/>
        </w:rPr>
        <w:t>•We operate in the highly cyclical semiconductor industry</w:t>
      </w:r>
      <w:r>
        <w:rPr>
          <w:rFonts w:eastAsia="Times New Roman"/>
          <w:i/>
          <w:iCs/>
          <w:color w:val="000000"/>
          <w:sz w:val="20"/>
          <w:szCs w:val="20"/>
        </w:rPr>
        <w:t>, which is subject to significant downturns. We are also susceptible to declines in global, regional and local economic conditions generally. Our stock price and financial results are subject to substantial quarterly and annual fluctuations due to these dy</w:t>
      </w:r>
      <w:r>
        <w:rPr>
          <w:rFonts w:eastAsia="Times New Roman"/>
          <w:i/>
          <w:iCs/>
          <w:color w:val="000000"/>
          <w:sz w:val="20"/>
          <w:szCs w:val="20"/>
        </w:rPr>
        <w:t>namics, among others.</w:t>
      </w:r>
    </w:p>
    <w:p w:rsidR="00000000" w:rsidRDefault="00786A01">
      <w:pPr>
        <w:ind w:hanging="360"/>
        <w:divId w:val="1683437346"/>
        <w:rPr>
          <w:rFonts w:eastAsia="Times New Roman"/>
        </w:rPr>
      </w:pPr>
      <w:r>
        <w:rPr>
          <w:rFonts w:eastAsia="Times New Roman"/>
          <w:i/>
          <w:iCs/>
          <w:color w:val="000000"/>
          <w:sz w:val="20"/>
          <w:szCs w:val="20"/>
        </w:rPr>
        <w:t>•Our business may suffer due to the impact of, or our failure to comply with, the various existing, new or amended laws, regulations, policies or standards to which we are subject.</w:t>
      </w:r>
    </w:p>
    <w:p w:rsidR="00000000" w:rsidRDefault="00786A01">
      <w:pPr>
        <w:ind w:hanging="360"/>
        <w:divId w:val="680468879"/>
        <w:rPr>
          <w:rFonts w:eastAsia="Times New Roman"/>
        </w:rPr>
      </w:pPr>
      <w:r>
        <w:rPr>
          <w:rFonts w:eastAsia="Times New Roman"/>
          <w:i/>
          <w:iCs/>
          <w:color w:val="000000"/>
          <w:sz w:val="20"/>
          <w:szCs w:val="20"/>
        </w:rPr>
        <w:t>•There are risks associated with our debt.</w:t>
      </w:r>
    </w:p>
    <w:p w:rsidR="00000000" w:rsidRDefault="00786A01">
      <w:pPr>
        <w:ind w:hanging="360"/>
        <w:divId w:val="233782605"/>
        <w:rPr>
          <w:rFonts w:eastAsia="Times New Roman"/>
        </w:rPr>
      </w:pPr>
      <w:r>
        <w:rPr>
          <w:rFonts w:eastAsia="Times New Roman"/>
          <w:i/>
          <w:iCs/>
          <w:color w:val="000000"/>
          <w:sz w:val="20"/>
          <w:szCs w:val="20"/>
        </w:rPr>
        <w:t>•Tax liabi</w:t>
      </w:r>
      <w:r>
        <w:rPr>
          <w:rFonts w:eastAsia="Times New Roman"/>
          <w:i/>
          <w:iCs/>
          <w:color w:val="000000"/>
          <w:sz w:val="20"/>
          <w:szCs w:val="20"/>
        </w:rPr>
        <w:t>lities could adversely affect our results of operations.</w:t>
      </w:r>
    </w:p>
    <w:p w:rsidR="00000000" w:rsidRDefault="00786A01">
      <w:pPr>
        <w:jc w:val="center"/>
        <w:divId w:val="1320160461"/>
        <w:rPr>
          <w:rFonts w:eastAsia="Times New Roman"/>
        </w:rPr>
      </w:pPr>
      <w:r>
        <w:rPr>
          <w:rFonts w:eastAsia="Times New Roman"/>
          <w:color w:val="000000"/>
          <w:sz w:val="20"/>
          <w:szCs w:val="20"/>
        </w:rPr>
        <w:t>5</w:t>
      </w:r>
    </w:p>
    <w:p w:rsidR="00000000" w:rsidRDefault="00786A01">
      <w:pPr>
        <w:rPr>
          <w:rFonts w:eastAsia="Times New Roman"/>
        </w:rPr>
      </w:pPr>
      <w:r>
        <w:rPr>
          <w:rFonts w:eastAsia="Times New Roman"/>
        </w:rPr>
        <w:pict>
          <v:rect id="_x0000_i1028" style="width:0;height:1.5pt" o:hralign="center" o:hrstd="t" o:hr="t" fillcolor="#a0a0a0" stroked="f"/>
        </w:pict>
      </w:r>
    </w:p>
    <w:p w:rsidR="00000000" w:rsidRDefault="00786A01">
      <w:pPr>
        <w:divId w:val="357238108"/>
        <w:rPr>
          <w:rFonts w:eastAsia="Times New Roman"/>
        </w:rPr>
      </w:pPr>
    </w:p>
    <w:p w:rsidR="00000000" w:rsidRDefault="00786A01">
      <w:pPr>
        <w:divId w:val="2073040075"/>
        <w:rPr>
          <w:rFonts w:eastAsia="Times New Roman"/>
        </w:rPr>
      </w:pPr>
      <w:r>
        <w:rPr>
          <w:rFonts w:eastAsia="Times New Roman"/>
          <w:b/>
          <w:bCs/>
          <w:color w:val="000000"/>
          <w:sz w:val="20"/>
          <w:szCs w:val="20"/>
        </w:rPr>
        <w:t>PART I. FINANCIAL INFORMATION</w:t>
      </w:r>
    </w:p>
    <w:p w:rsidR="00000000" w:rsidRDefault="00786A01">
      <w:pPr>
        <w:divId w:val="1199511823"/>
        <w:rPr>
          <w:rFonts w:eastAsia="Times New Roman"/>
        </w:rPr>
      </w:pPr>
    </w:p>
    <w:p w:rsidR="00000000" w:rsidRDefault="00786A01">
      <w:pPr>
        <w:divId w:val="1645431078"/>
        <w:rPr>
          <w:rFonts w:eastAsia="Times New Roman"/>
        </w:rPr>
      </w:pPr>
      <w:r>
        <w:rPr>
          <w:rFonts w:eastAsia="Times New Roman"/>
          <w:b/>
          <w:bCs/>
          <w:color w:val="000000"/>
          <w:sz w:val="20"/>
          <w:szCs w:val="20"/>
        </w:rPr>
        <w:t>ITEM 1. CONDENSED CONSOLIDATED FINANCIAL STATEMENTS (UNAUDITED)</w:t>
      </w:r>
    </w:p>
    <w:p w:rsidR="00000000" w:rsidRDefault="00786A01">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55"/>
        <w:gridCol w:w="38"/>
        <w:gridCol w:w="68"/>
        <w:gridCol w:w="1555"/>
        <w:gridCol w:w="37"/>
        <w:gridCol w:w="68"/>
        <w:gridCol w:w="1556"/>
        <w:gridCol w:w="37"/>
        <w:gridCol w:w="69"/>
        <w:gridCol w:w="1556"/>
        <w:gridCol w:w="37"/>
        <w:gridCol w:w="69"/>
        <w:gridCol w:w="1556"/>
        <w:gridCol w:w="37"/>
      </w:tblGrid>
      <w:tr w:rsidR="00000000">
        <w:trPr>
          <w:divId w:val="423497019"/>
          <w:jc w:val="center"/>
        </w:trPr>
        <w:tc>
          <w:tcPr>
            <w:tcW w:w="50" w:type="pct"/>
            <w:vAlign w:val="center"/>
            <w:hideMark/>
          </w:tcPr>
          <w:p w:rsidR="00000000" w:rsidRDefault="00786A01">
            <w:pPr>
              <w:jc w:val="center"/>
              <w:rPr>
                <w:rFonts w:eastAsia="Times New Roman"/>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423497019"/>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QUALCOMM Incorporated</w:t>
            </w:r>
          </w:p>
        </w:tc>
      </w:tr>
      <w:tr w:rsidR="00000000">
        <w:trPr>
          <w:divId w:val="423497019"/>
          <w:jc w:val="center"/>
        </w:trPr>
        <w:tc>
          <w:tcPr>
            <w:tcW w:w="0" w:type="auto"/>
            <w:gridSpan w:val="3"/>
            <w:vAlign w:val="center"/>
            <w:hideMark/>
          </w:tcPr>
          <w:p w:rsidR="00000000" w:rsidRDefault="00786A01">
            <w:pPr>
              <w:jc w:val="cente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423497019"/>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CONDENSED CONSOLIDATED BALANCE SHEETS</w:t>
            </w:r>
          </w:p>
        </w:tc>
      </w:tr>
      <w:tr w:rsidR="00000000">
        <w:trPr>
          <w:divId w:val="423497019"/>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(In millions, except par value amounts)</w:t>
            </w:r>
          </w:p>
        </w:tc>
      </w:tr>
      <w:tr w:rsidR="00000000">
        <w:trPr>
          <w:divId w:val="423497019"/>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lastRenderedPageBreak/>
              <w:t>(Unaudited)</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43"/>
        <w:gridCol w:w="6099"/>
        <w:gridCol w:w="40"/>
        <w:gridCol w:w="110"/>
        <w:gridCol w:w="870"/>
        <w:gridCol w:w="36"/>
        <w:gridCol w:w="36"/>
        <w:gridCol w:w="36"/>
        <w:gridCol w:w="36"/>
        <w:gridCol w:w="111"/>
        <w:gridCol w:w="840"/>
        <w:gridCol w:w="36"/>
      </w:tblGrid>
      <w:tr w:rsidR="00000000">
        <w:trPr>
          <w:jc w:val="center"/>
        </w:trPr>
        <w:tc>
          <w:tcPr>
            <w:tcW w:w="50" w:type="pct"/>
            <w:vAlign w:val="center"/>
            <w:hideMark/>
          </w:tcPr>
          <w:p w:rsidR="00000000" w:rsidRDefault="00786A01">
            <w:pPr>
              <w:jc w:val="center"/>
              <w:rPr>
                <w:rFonts w:eastAsia="Times New Roman"/>
              </w:rPr>
            </w:pPr>
          </w:p>
        </w:tc>
        <w:tc>
          <w:tcPr>
            <w:tcW w:w="3700"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8"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8"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September 27,</w:t>
            </w:r>
            <w:r>
              <w:rPr>
                <w:rFonts w:eastAsia="Times New Roman"/>
                <w:b/>
                <w:bCs/>
                <w:color w:val="000000"/>
                <w:sz w:val="18"/>
                <w:szCs w:val="18"/>
              </w:rPr>
              <w:br/>
              <w:t>2020</w:t>
            </w:r>
          </w:p>
        </w:tc>
      </w:tr>
      <w:tr w:rsidR="00000000">
        <w:trPr>
          <w:jc w:val="center"/>
        </w:trPr>
        <w:tc>
          <w:tcPr>
            <w:tcW w:w="0" w:type="auto"/>
            <w:gridSpan w:val="12"/>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ASSETS</w:t>
            </w:r>
          </w:p>
        </w:tc>
      </w:tr>
      <w:tr w:rsidR="00000000">
        <w:trPr>
          <w:jc w:val="center"/>
        </w:trPr>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Current assets:</w:t>
            </w:r>
          </w:p>
        </w:tc>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86A01">
            <w:pPr>
              <w:rPr>
                <w:rFonts w:eastAsia="Times New Roman"/>
              </w:rPr>
            </w:pPr>
          </w:p>
        </w:tc>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6,000 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6,707 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Marketable securities</w:t>
            </w: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5,526 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4,507 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Accounts receivable, net</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3,346 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4,003 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Inventories</w:t>
            </w: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2,668 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2,598 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 current assets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759 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704 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18,299 </w:t>
            </w:r>
          </w:p>
        </w:tc>
        <w:tc>
          <w:tcPr>
            <w:tcW w:w="0" w:type="auto"/>
            <w:tcBorders>
              <w:top w:val="single" w:sz="8" w:space="0" w:color="000000"/>
            </w:tcBorders>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18,519 </w:t>
            </w:r>
          </w:p>
        </w:tc>
        <w:tc>
          <w:tcPr>
            <w:tcW w:w="0" w:type="auto"/>
            <w:tcBorders>
              <w:top w:val="single" w:sz="8" w:space="0" w:color="000000"/>
            </w:tcBorders>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Deferred tax assets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1,325 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1,351 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Property, plant and equipment, net</w:t>
            </w: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4,186 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3,711 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Goodwill</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7,220 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6,323 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 intangible assets, net</w:t>
            </w: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1,662 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1,653 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 assets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4,476 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4,037 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37,168 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35,594 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jc w:val="center"/>
        </w:trPr>
        <w:tc>
          <w:tcPr>
            <w:tcW w:w="0" w:type="auto"/>
            <w:gridSpan w:val="12"/>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LIABILITIES AND STOCKHOLDERS’ EQUITY</w:t>
            </w:r>
          </w:p>
        </w:tc>
      </w:tr>
      <w:tr w:rsidR="00000000">
        <w:trPr>
          <w:jc w:val="center"/>
        </w:trPr>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Current liabilities:</w:t>
            </w:r>
          </w:p>
        </w:tc>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86A01">
            <w:pPr>
              <w:rPr>
                <w:rFonts w:eastAsia="Times New Roman"/>
              </w:rPr>
            </w:pPr>
          </w:p>
        </w:tc>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Trade accounts payable</w:t>
            </w: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2,548 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2,248 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Payroll and other benefits related liabilities</w:t>
            </w: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994 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1,053 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Unearned revenues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586 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568 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Short-term debt</w:t>
            </w: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500 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500 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 current liabilities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4,442 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4,303 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9,070 </w:t>
            </w:r>
          </w:p>
        </w:tc>
        <w:tc>
          <w:tcPr>
            <w:tcW w:w="0" w:type="auto"/>
            <w:tcBorders>
              <w:top w:val="single" w:sz="8" w:space="0" w:color="000000"/>
            </w:tcBorders>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8,672 </w:t>
            </w:r>
          </w:p>
        </w:tc>
        <w:tc>
          <w:tcPr>
            <w:tcW w:w="0" w:type="auto"/>
            <w:tcBorders>
              <w:top w:val="single" w:sz="8" w:space="0" w:color="000000"/>
            </w:tcBorders>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Unearned revenues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563 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761 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Income taxes payable</w:t>
            </w: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1,715 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1,872 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Long-term debt</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15,235 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15,226 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 liabilities</w:t>
            </w: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3,161 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2,986 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29,744 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29,517 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Commitments and contingencies (Note 5)</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Stockholders’ equity:</w:t>
            </w:r>
          </w:p>
        </w:tc>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r>
      <w:tr w:rsidR="00000000">
        <w:trPr>
          <w:jc w:val="center"/>
        </w:trPr>
        <w:tc>
          <w:tcPr>
            <w:tcW w:w="0" w:type="auto"/>
            <w:gridSpan w:val="3"/>
            <w:vAlign w:val="center"/>
            <w:hideMark/>
          </w:tcPr>
          <w:p w:rsidR="00000000" w:rsidRDefault="00786A01">
            <w:pPr>
              <w:rPr>
                <w:rFonts w:eastAsia="Times New Roman"/>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86A01">
            <w:pPr>
              <w:divId w:val="749544387"/>
              <w:rPr>
                <w:rFonts w:eastAsia="Times New Roman"/>
              </w:rPr>
            </w:pPr>
            <w:r>
              <w:rPr>
                <w:rFonts w:eastAsia="Times New Roman"/>
                <w:color w:val="000000"/>
                <w:sz w:val="18"/>
                <w:szCs w:val="18"/>
              </w:rPr>
              <w:t>Preferred stock, $0.0001 par value; 8 shares authorized; no</w:t>
            </w:r>
            <w:r>
              <w:rPr>
                <w:rFonts w:eastAsia="Times New Roman"/>
                <w:color w:val="000000"/>
                <w:sz w:val="18"/>
                <w:szCs w:val="18"/>
              </w:rPr>
              <w:t>ne outstanding</w:t>
            </w: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divId w:val="2008828788"/>
              <w:rPr>
                <w:rFonts w:eastAsia="Times New Roman"/>
              </w:rPr>
            </w:pPr>
            <w:r>
              <w:rPr>
                <w:rFonts w:eastAsia="Times New Roman"/>
                <w:color w:val="000000"/>
                <w:sz w:val="18"/>
                <w:szCs w:val="18"/>
              </w:rPr>
              <w:t>Common stock and paid-in capital, $0.0001 par value; 6,000 shares authorized; 1,129 and 1,131 shares issued and outstanding, respectively</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586 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Retained earnings</w:t>
            </w: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7,143 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5,284 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Accumulated other comprehensive income</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281 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207 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7,424 </w:t>
            </w:r>
          </w:p>
        </w:tc>
        <w:tc>
          <w:tcPr>
            <w:tcW w:w="0" w:type="auto"/>
            <w:tcBorders>
              <w:top w:val="single" w:sz="8" w:space="0" w:color="000000"/>
            </w:tcBorders>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6,077 </w:t>
            </w:r>
          </w:p>
        </w:tc>
        <w:tc>
          <w:tcPr>
            <w:tcW w:w="0" w:type="auto"/>
            <w:tcBorders>
              <w:top w:val="single" w:sz="8" w:space="0" w:color="000000"/>
            </w:tcBorders>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605"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37,168 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35,594 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bl>
    <w:p w:rsidR="00000000" w:rsidRDefault="00786A01">
      <w:pPr>
        <w:jc w:val="center"/>
        <w:divId w:val="250819883"/>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37"/>
        <w:gridCol w:w="37"/>
        <w:gridCol w:w="68"/>
        <w:gridCol w:w="1560"/>
        <w:gridCol w:w="37"/>
        <w:gridCol w:w="69"/>
        <w:gridCol w:w="1561"/>
        <w:gridCol w:w="36"/>
        <w:gridCol w:w="69"/>
        <w:gridCol w:w="1561"/>
        <w:gridCol w:w="36"/>
        <w:gridCol w:w="69"/>
        <w:gridCol w:w="1562"/>
        <w:gridCol w:w="36"/>
      </w:tblGrid>
      <w:tr w:rsidR="00000000">
        <w:trPr>
          <w:divId w:val="250819883"/>
          <w:jc w:val="center"/>
        </w:trPr>
        <w:tc>
          <w:tcPr>
            <w:tcW w:w="50" w:type="pct"/>
            <w:vAlign w:val="center"/>
            <w:hideMark/>
          </w:tcPr>
          <w:p w:rsidR="00000000" w:rsidRDefault="00786A01">
            <w:pPr>
              <w:jc w:val="center"/>
              <w:rPr>
                <w:rFonts w:eastAsia="Times New Roman"/>
              </w:rPr>
            </w:pPr>
          </w:p>
        </w:tc>
        <w:tc>
          <w:tcPr>
            <w:tcW w:w="93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8"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250819883"/>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color w:val="000000"/>
                <w:sz w:val="18"/>
                <w:szCs w:val="18"/>
              </w:rPr>
              <w:t>See accompanying notes.</w:t>
            </w:r>
          </w:p>
        </w:tc>
      </w:tr>
      <w:tr w:rsidR="00000000">
        <w:trPr>
          <w:divId w:val="250819883"/>
          <w:jc w:val="center"/>
        </w:trPr>
        <w:tc>
          <w:tcPr>
            <w:tcW w:w="0" w:type="auto"/>
            <w:gridSpan w:val="3"/>
            <w:vAlign w:val="center"/>
            <w:hideMark/>
          </w:tcPr>
          <w:p w:rsidR="00000000" w:rsidRDefault="00786A01">
            <w:pPr>
              <w:jc w:val="cente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bl>
    <w:p w:rsidR="00000000" w:rsidRDefault="00786A01">
      <w:pPr>
        <w:jc w:val="center"/>
        <w:divId w:val="1171801162"/>
        <w:rPr>
          <w:rFonts w:eastAsia="Times New Roman"/>
        </w:rPr>
      </w:pPr>
      <w:r>
        <w:rPr>
          <w:rFonts w:eastAsia="Times New Roman"/>
          <w:color w:val="000000"/>
          <w:sz w:val="20"/>
          <w:szCs w:val="20"/>
        </w:rPr>
        <w:t>6</w:t>
      </w:r>
    </w:p>
    <w:p w:rsidR="00000000" w:rsidRDefault="00786A01">
      <w:pPr>
        <w:rPr>
          <w:rFonts w:eastAsia="Times New Roman"/>
        </w:rPr>
      </w:pPr>
      <w:r>
        <w:rPr>
          <w:rFonts w:eastAsia="Times New Roman"/>
        </w:rPr>
        <w:pict>
          <v:rect id="_x0000_i1029" style="width:0;height:1.5pt" o:hralign="center" o:hrstd="t" o:hr="t" fillcolor="#a0a0a0" stroked="f"/>
        </w:pict>
      </w:r>
    </w:p>
    <w:p w:rsidR="00000000" w:rsidRDefault="00786A01">
      <w:pPr>
        <w:divId w:val="24242086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55"/>
        <w:gridCol w:w="38"/>
        <w:gridCol w:w="68"/>
        <w:gridCol w:w="1555"/>
        <w:gridCol w:w="37"/>
        <w:gridCol w:w="68"/>
        <w:gridCol w:w="1556"/>
        <w:gridCol w:w="37"/>
        <w:gridCol w:w="69"/>
        <w:gridCol w:w="1556"/>
        <w:gridCol w:w="37"/>
        <w:gridCol w:w="69"/>
        <w:gridCol w:w="1556"/>
        <w:gridCol w:w="37"/>
      </w:tblGrid>
      <w:tr w:rsidR="00000000">
        <w:trPr>
          <w:divId w:val="1764837411"/>
          <w:jc w:val="center"/>
        </w:trPr>
        <w:tc>
          <w:tcPr>
            <w:tcW w:w="50" w:type="pct"/>
            <w:vAlign w:val="center"/>
            <w:hideMark/>
          </w:tcPr>
          <w:p w:rsidR="00000000" w:rsidRDefault="00786A01">
            <w:pPr>
              <w:rPr>
                <w:rFonts w:eastAsia="Times New Roman"/>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764837411"/>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QUALCOMM Incorporated</w:t>
            </w:r>
          </w:p>
        </w:tc>
      </w:tr>
      <w:tr w:rsidR="00000000">
        <w:trPr>
          <w:divId w:val="1764837411"/>
          <w:jc w:val="center"/>
        </w:trPr>
        <w:tc>
          <w:tcPr>
            <w:tcW w:w="0" w:type="auto"/>
            <w:gridSpan w:val="3"/>
            <w:vAlign w:val="center"/>
            <w:hideMark/>
          </w:tcPr>
          <w:p w:rsidR="00000000" w:rsidRDefault="00786A01">
            <w:pPr>
              <w:jc w:val="cente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1764837411"/>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CONDENSED CONSOLIDATED STATEMENTS OF OPERATIONS</w:t>
            </w:r>
          </w:p>
        </w:tc>
      </w:tr>
      <w:tr w:rsidR="00000000">
        <w:trPr>
          <w:divId w:val="1764837411"/>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(In millions, except per share data)</w:t>
            </w:r>
          </w:p>
        </w:tc>
      </w:tr>
      <w:tr w:rsidR="00000000">
        <w:trPr>
          <w:divId w:val="1764837411"/>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lastRenderedPageBreak/>
              <w:t>(Unaudited)</w:t>
            </w:r>
          </w:p>
        </w:tc>
      </w:tr>
    </w:tbl>
    <w:tbl>
      <w:tblPr>
        <w:tblW w:w="4985" w:type="pct"/>
        <w:tblCellMar>
          <w:top w:w="15" w:type="dxa"/>
          <w:left w:w="15" w:type="dxa"/>
          <w:bottom w:w="15" w:type="dxa"/>
          <w:right w:w="15" w:type="dxa"/>
        </w:tblCellMar>
        <w:tblLook w:val="04A0" w:firstRow="1" w:lastRow="0" w:firstColumn="1" w:lastColumn="0" w:noHBand="0" w:noVBand="1"/>
      </w:tblPr>
      <w:tblGrid>
        <w:gridCol w:w="41"/>
        <w:gridCol w:w="3951"/>
        <w:gridCol w:w="39"/>
        <w:gridCol w:w="110"/>
        <w:gridCol w:w="863"/>
        <w:gridCol w:w="36"/>
        <w:gridCol w:w="36"/>
        <w:gridCol w:w="36"/>
        <w:gridCol w:w="36"/>
        <w:gridCol w:w="110"/>
        <w:gridCol w:w="826"/>
        <w:gridCol w:w="36"/>
        <w:gridCol w:w="36"/>
        <w:gridCol w:w="36"/>
        <w:gridCol w:w="36"/>
        <w:gridCol w:w="110"/>
        <w:gridCol w:w="826"/>
        <w:gridCol w:w="36"/>
        <w:gridCol w:w="36"/>
        <w:gridCol w:w="36"/>
        <w:gridCol w:w="36"/>
        <w:gridCol w:w="110"/>
        <w:gridCol w:w="827"/>
        <w:gridCol w:w="36"/>
      </w:tblGrid>
      <w:tr w:rsidR="00000000">
        <w:tc>
          <w:tcPr>
            <w:tcW w:w="50" w:type="pct"/>
            <w:vAlign w:val="center"/>
            <w:hideMark/>
          </w:tcPr>
          <w:p w:rsidR="00000000" w:rsidRDefault="00786A01">
            <w:pPr>
              <w:jc w:val="center"/>
              <w:rPr>
                <w:rFonts w:eastAsia="Times New Roman"/>
              </w:rPr>
            </w:pPr>
          </w:p>
        </w:tc>
        <w:tc>
          <w:tcPr>
            <w:tcW w:w="241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r>
      <w:tr w:rsidR="00000000">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Revenues: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Equipment and services</w:t>
            </w: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6,239 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4,050 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12,681 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7,583 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Licensing</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1,696 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1,166 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3,489 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2,709 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CCEEFF"/>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7,935 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Costs and expenses: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Cost of revenues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3,432 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2,297 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6,921 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4,410 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Research and development</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1,780 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1,468 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3,433 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2,873 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Selling, 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557 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483 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1,124 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1,011 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CCEEFF"/>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 costs and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5,769 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4,225 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11,478 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8,271 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c>
          <w:tcPr>
            <w:tcW w:w="0" w:type="auto"/>
            <w:gridSpan w:val="3"/>
            <w:shd w:val="clear" w:color="auto" w:fill="FFFFFF"/>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2,166 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4,692 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2,021 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(141)</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(146)</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(283)</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(294)</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Investment and other income (expense), net</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104 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(247)</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323 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(182)</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CCEEFF"/>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Income tax expense</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(367)</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(130)</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(515)</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(152)</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c>
          <w:tcPr>
            <w:tcW w:w="0" w:type="auto"/>
            <w:gridSpan w:val="3"/>
            <w:shd w:val="clear" w:color="auto" w:fill="CCEEFF"/>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4,217 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trHeight w:val="300"/>
        </w:trPr>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Basic earnings per share</w:t>
            </w: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1.55 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0.41 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3.72 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1.22 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Diluted earnings per share</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0.41 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3.66 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Shares used in per share calculations: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Basic</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1,133 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1,139 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1,134 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1,142 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1,151 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1,151 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1,154 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1,155 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bl>
    <w:p w:rsidR="00000000" w:rsidRDefault="00786A01">
      <w:pPr>
        <w:jc w:val="center"/>
        <w:divId w:val="449472314"/>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37"/>
        <w:gridCol w:w="37"/>
        <w:gridCol w:w="68"/>
        <w:gridCol w:w="1560"/>
        <w:gridCol w:w="37"/>
        <w:gridCol w:w="69"/>
        <w:gridCol w:w="1561"/>
        <w:gridCol w:w="36"/>
        <w:gridCol w:w="69"/>
        <w:gridCol w:w="1561"/>
        <w:gridCol w:w="36"/>
        <w:gridCol w:w="69"/>
        <w:gridCol w:w="1562"/>
        <w:gridCol w:w="36"/>
      </w:tblGrid>
      <w:tr w:rsidR="00000000">
        <w:trPr>
          <w:divId w:val="449472314"/>
          <w:jc w:val="center"/>
        </w:trPr>
        <w:tc>
          <w:tcPr>
            <w:tcW w:w="50" w:type="pct"/>
            <w:vAlign w:val="center"/>
            <w:hideMark/>
          </w:tcPr>
          <w:p w:rsidR="00000000" w:rsidRDefault="00786A01">
            <w:pPr>
              <w:rPr>
                <w:rFonts w:eastAsia="Times New Roman"/>
              </w:rPr>
            </w:pPr>
          </w:p>
        </w:tc>
        <w:tc>
          <w:tcPr>
            <w:tcW w:w="93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8"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449472314"/>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color w:val="000000"/>
                <w:sz w:val="18"/>
                <w:szCs w:val="18"/>
              </w:rPr>
              <w:t>See accompanying notes.</w:t>
            </w:r>
          </w:p>
        </w:tc>
      </w:tr>
      <w:tr w:rsidR="00000000">
        <w:trPr>
          <w:divId w:val="449472314"/>
          <w:jc w:val="center"/>
        </w:trPr>
        <w:tc>
          <w:tcPr>
            <w:tcW w:w="0" w:type="auto"/>
            <w:gridSpan w:val="3"/>
            <w:vAlign w:val="center"/>
            <w:hideMark/>
          </w:tcPr>
          <w:p w:rsidR="00000000" w:rsidRDefault="00786A01">
            <w:pPr>
              <w:jc w:val="cente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bl>
    <w:p w:rsidR="00000000" w:rsidRDefault="00786A01">
      <w:pPr>
        <w:jc w:val="center"/>
        <w:divId w:val="1091049665"/>
        <w:rPr>
          <w:rFonts w:eastAsia="Times New Roman"/>
        </w:rPr>
      </w:pPr>
      <w:r>
        <w:rPr>
          <w:rFonts w:eastAsia="Times New Roman"/>
          <w:color w:val="000000"/>
          <w:sz w:val="20"/>
          <w:szCs w:val="20"/>
        </w:rPr>
        <w:t>7</w:t>
      </w:r>
    </w:p>
    <w:p w:rsidR="00000000" w:rsidRDefault="00786A01">
      <w:pPr>
        <w:rPr>
          <w:rFonts w:eastAsia="Times New Roman"/>
        </w:rPr>
      </w:pPr>
      <w:r>
        <w:rPr>
          <w:rFonts w:eastAsia="Times New Roman"/>
        </w:rPr>
        <w:pict>
          <v:rect id="_x0000_i1030" style="width:0;height:1.5pt" o:hralign="center" o:hrstd="t" o:hr="t" fillcolor="#a0a0a0" stroked="f"/>
        </w:pict>
      </w:r>
    </w:p>
    <w:p w:rsidR="00000000" w:rsidRDefault="00786A01">
      <w:pPr>
        <w:divId w:val="28685831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37"/>
        <w:gridCol w:w="38"/>
        <w:gridCol w:w="68"/>
        <w:gridCol w:w="1560"/>
        <w:gridCol w:w="38"/>
        <w:gridCol w:w="68"/>
        <w:gridCol w:w="1560"/>
        <w:gridCol w:w="37"/>
        <w:gridCol w:w="68"/>
        <w:gridCol w:w="1560"/>
        <w:gridCol w:w="37"/>
        <w:gridCol w:w="68"/>
        <w:gridCol w:w="1562"/>
        <w:gridCol w:w="37"/>
      </w:tblGrid>
      <w:tr w:rsidR="00000000">
        <w:trPr>
          <w:divId w:val="327943439"/>
          <w:jc w:val="center"/>
        </w:trPr>
        <w:tc>
          <w:tcPr>
            <w:tcW w:w="50" w:type="pct"/>
            <w:vAlign w:val="center"/>
            <w:hideMark/>
          </w:tcPr>
          <w:p w:rsidR="00000000" w:rsidRDefault="00786A01">
            <w:pPr>
              <w:rPr>
                <w:rFonts w:eastAsia="Times New Roman"/>
              </w:rPr>
            </w:pPr>
          </w:p>
        </w:tc>
        <w:tc>
          <w:tcPr>
            <w:tcW w:w="93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8"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327943439"/>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QUALCOMM Incorporated</w:t>
            </w:r>
          </w:p>
        </w:tc>
      </w:tr>
      <w:tr w:rsidR="00000000">
        <w:trPr>
          <w:divId w:val="327943439"/>
          <w:jc w:val="center"/>
        </w:trPr>
        <w:tc>
          <w:tcPr>
            <w:tcW w:w="0" w:type="auto"/>
            <w:gridSpan w:val="3"/>
            <w:vAlign w:val="center"/>
            <w:hideMark/>
          </w:tcPr>
          <w:p w:rsidR="00000000" w:rsidRDefault="00786A01">
            <w:pPr>
              <w:jc w:val="cente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327943439"/>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CONDENSED CONSOLIDATED STATEMENTS OF COMPREHENSIVE INCOME</w:t>
            </w:r>
          </w:p>
        </w:tc>
      </w:tr>
      <w:tr w:rsidR="00000000">
        <w:trPr>
          <w:divId w:val="327943439"/>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(In millions)</w:t>
            </w:r>
          </w:p>
        </w:tc>
      </w:tr>
      <w:tr w:rsidR="00000000">
        <w:trPr>
          <w:divId w:val="327943439"/>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(Unaudited)</w:t>
            </w: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3999"/>
        <w:gridCol w:w="144"/>
        <w:gridCol w:w="144"/>
        <w:gridCol w:w="909"/>
        <w:gridCol w:w="144"/>
        <w:gridCol w:w="144"/>
        <w:gridCol w:w="144"/>
        <w:gridCol w:w="144"/>
        <w:gridCol w:w="144"/>
        <w:gridCol w:w="909"/>
        <w:gridCol w:w="144"/>
        <w:gridCol w:w="144"/>
        <w:gridCol w:w="144"/>
        <w:gridCol w:w="144"/>
        <w:gridCol w:w="144"/>
        <w:gridCol w:w="909"/>
        <w:gridCol w:w="144"/>
        <w:gridCol w:w="144"/>
        <w:gridCol w:w="144"/>
        <w:gridCol w:w="144"/>
        <w:gridCol w:w="144"/>
        <w:gridCol w:w="909"/>
        <w:gridCol w:w="144"/>
      </w:tblGrid>
      <w:tr w:rsidR="00000000">
        <w:tc>
          <w:tcPr>
            <w:tcW w:w="50" w:type="pct"/>
            <w:vAlign w:val="center"/>
            <w:hideMark/>
          </w:tcPr>
          <w:p w:rsidR="00000000" w:rsidRDefault="00786A01">
            <w:pPr>
              <w:jc w:val="center"/>
              <w:rPr>
                <w:rFonts w:eastAsia="Times New Roman"/>
              </w:rPr>
            </w:pPr>
          </w:p>
        </w:tc>
        <w:tc>
          <w:tcPr>
            <w:tcW w:w="241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786A01">
            <w:pPr>
              <w:divId w:val="666713686"/>
              <w:rPr>
                <w:rFonts w:eastAsia="Times New Roman"/>
              </w:rPr>
            </w:pPr>
            <w:r>
              <w:rPr>
                <w:rFonts w:eastAsia="Times New Roman"/>
                <w:color w:val="000000"/>
                <w:sz w:val="18"/>
                <w:szCs w:val="18"/>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4,217 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 comprehensive (loss) income, net of income taxes: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Foreign currency translation (losses) gains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(33)</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54 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unrealized losses on available-for-sale securities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unrealized gains (losses) on 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(31)</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(28)</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 (losses) gains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Certain reclassifications included in net income</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 other comprehensive (loss)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Comprehensive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4,291 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bl>
    <w:p w:rsidR="00000000" w:rsidRDefault="00786A01">
      <w:pPr>
        <w:jc w:val="center"/>
        <w:divId w:val="1641113193"/>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37"/>
        <w:gridCol w:w="37"/>
        <w:gridCol w:w="68"/>
        <w:gridCol w:w="1560"/>
        <w:gridCol w:w="37"/>
        <w:gridCol w:w="69"/>
        <w:gridCol w:w="1561"/>
        <w:gridCol w:w="36"/>
        <w:gridCol w:w="69"/>
        <w:gridCol w:w="1561"/>
        <w:gridCol w:w="36"/>
        <w:gridCol w:w="69"/>
        <w:gridCol w:w="1562"/>
        <w:gridCol w:w="36"/>
      </w:tblGrid>
      <w:tr w:rsidR="00000000">
        <w:trPr>
          <w:divId w:val="1641113193"/>
          <w:jc w:val="center"/>
        </w:trPr>
        <w:tc>
          <w:tcPr>
            <w:tcW w:w="50" w:type="pct"/>
            <w:vAlign w:val="center"/>
            <w:hideMark/>
          </w:tcPr>
          <w:p w:rsidR="00000000" w:rsidRDefault="00786A01">
            <w:pPr>
              <w:rPr>
                <w:rFonts w:eastAsia="Times New Roman"/>
              </w:rPr>
            </w:pPr>
          </w:p>
        </w:tc>
        <w:tc>
          <w:tcPr>
            <w:tcW w:w="93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8"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641113193"/>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color w:val="000000"/>
                <w:sz w:val="18"/>
                <w:szCs w:val="18"/>
              </w:rPr>
              <w:t>See accompanying notes.</w:t>
            </w:r>
          </w:p>
        </w:tc>
      </w:tr>
      <w:tr w:rsidR="00000000">
        <w:trPr>
          <w:divId w:val="1641113193"/>
          <w:jc w:val="center"/>
        </w:trPr>
        <w:tc>
          <w:tcPr>
            <w:tcW w:w="0" w:type="auto"/>
            <w:gridSpan w:val="3"/>
            <w:vAlign w:val="center"/>
            <w:hideMark/>
          </w:tcPr>
          <w:p w:rsidR="00000000" w:rsidRDefault="00786A01">
            <w:pPr>
              <w:jc w:val="cente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bl>
    <w:p w:rsidR="00000000" w:rsidRDefault="00786A01">
      <w:pPr>
        <w:jc w:val="center"/>
        <w:divId w:val="1647706460"/>
        <w:rPr>
          <w:rFonts w:eastAsia="Times New Roman"/>
        </w:rPr>
      </w:pPr>
      <w:r>
        <w:rPr>
          <w:rFonts w:eastAsia="Times New Roman"/>
          <w:color w:val="000000"/>
          <w:sz w:val="20"/>
          <w:szCs w:val="20"/>
        </w:rPr>
        <w:t>8</w:t>
      </w:r>
    </w:p>
    <w:p w:rsidR="00000000" w:rsidRDefault="00786A01">
      <w:pPr>
        <w:rPr>
          <w:rFonts w:eastAsia="Times New Roman"/>
        </w:rPr>
      </w:pPr>
      <w:r>
        <w:rPr>
          <w:rFonts w:eastAsia="Times New Roman"/>
        </w:rPr>
        <w:pict>
          <v:rect id="_x0000_i1031" style="width:0;height:1.5pt" o:hralign="center" o:hrstd="t" o:hr="t" fillcolor="#a0a0a0" stroked="f"/>
        </w:pict>
      </w:r>
    </w:p>
    <w:p w:rsidR="00000000" w:rsidRDefault="00786A01">
      <w:pPr>
        <w:divId w:val="7421025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37"/>
        <w:gridCol w:w="38"/>
        <w:gridCol w:w="68"/>
        <w:gridCol w:w="1560"/>
        <w:gridCol w:w="38"/>
        <w:gridCol w:w="68"/>
        <w:gridCol w:w="1560"/>
        <w:gridCol w:w="37"/>
        <w:gridCol w:w="68"/>
        <w:gridCol w:w="1560"/>
        <w:gridCol w:w="37"/>
        <w:gridCol w:w="68"/>
        <w:gridCol w:w="1562"/>
        <w:gridCol w:w="37"/>
      </w:tblGrid>
      <w:tr w:rsidR="00000000">
        <w:trPr>
          <w:divId w:val="1803304542"/>
          <w:jc w:val="center"/>
        </w:trPr>
        <w:tc>
          <w:tcPr>
            <w:tcW w:w="50" w:type="pct"/>
            <w:vAlign w:val="center"/>
            <w:hideMark/>
          </w:tcPr>
          <w:p w:rsidR="00000000" w:rsidRDefault="00786A01">
            <w:pPr>
              <w:rPr>
                <w:rFonts w:eastAsia="Times New Roman"/>
              </w:rPr>
            </w:pPr>
          </w:p>
        </w:tc>
        <w:tc>
          <w:tcPr>
            <w:tcW w:w="93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8"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803304542"/>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QUALCOMM Incorporated</w:t>
            </w:r>
          </w:p>
        </w:tc>
      </w:tr>
      <w:tr w:rsidR="00000000">
        <w:trPr>
          <w:divId w:val="1803304542"/>
          <w:jc w:val="center"/>
        </w:trPr>
        <w:tc>
          <w:tcPr>
            <w:tcW w:w="0" w:type="auto"/>
            <w:gridSpan w:val="3"/>
            <w:vAlign w:val="center"/>
            <w:hideMark/>
          </w:tcPr>
          <w:p w:rsidR="00000000" w:rsidRDefault="00786A01">
            <w:pPr>
              <w:jc w:val="cente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1803304542"/>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CONDENSED CONSOLIDATED STATEMENTS OF CASH FLOWS</w:t>
            </w:r>
          </w:p>
        </w:tc>
      </w:tr>
      <w:tr w:rsidR="00000000">
        <w:trPr>
          <w:divId w:val="1803304542"/>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(In millions)</w:t>
            </w:r>
          </w:p>
        </w:tc>
      </w:tr>
      <w:tr w:rsidR="00000000">
        <w:trPr>
          <w:divId w:val="1803304542"/>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(Unaudited)</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6136"/>
        <w:gridCol w:w="144"/>
        <w:gridCol w:w="144"/>
        <w:gridCol w:w="908"/>
        <w:gridCol w:w="144"/>
        <w:gridCol w:w="144"/>
        <w:gridCol w:w="144"/>
        <w:gridCol w:w="144"/>
        <w:gridCol w:w="144"/>
        <w:gridCol w:w="908"/>
        <w:gridCol w:w="144"/>
      </w:tblGrid>
      <w:tr w:rsidR="00000000">
        <w:trPr>
          <w:jc w:val="center"/>
        </w:trPr>
        <w:tc>
          <w:tcPr>
            <w:tcW w:w="50" w:type="pct"/>
            <w:vAlign w:val="center"/>
            <w:hideMark/>
          </w:tcPr>
          <w:p w:rsidR="00000000" w:rsidRDefault="00786A01">
            <w:pPr>
              <w:jc w:val="center"/>
              <w:rPr>
                <w:rFonts w:eastAsia="Times New Roman"/>
              </w:rPr>
            </w:pPr>
          </w:p>
        </w:tc>
        <w:tc>
          <w:tcPr>
            <w:tcW w:w="3700"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8"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8"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rPr>
          <w:jc w:val="center"/>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r>
      <w:tr w:rsidR="00000000">
        <w:trPr>
          <w:jc w:val="center"/>
        </w:trPr>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Operating Activities: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 xml:space="preserve">Net income </w:t>
            </w: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4,217 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1,393 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Adjustments to reconcile net income to net cash provided by operating activities:</w:t>
            </w:r>
          </w:p>
        </w:tc>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Depreciation and amortization expense</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751 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691 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Income tax provision less than income tax payments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(235)</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(350)</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Share-based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814 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603 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gains on marketable securities and other investments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(301)</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(49)</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Impairment losses on other investments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337 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 items, net</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(48)</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(75)</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Changes in assets and liabilities:</w:t>
            </w:r>
          </w:p>
        </w:tc>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Accounts receivable, net</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658 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(607)</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Inventories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(60)</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(297)</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 assets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(60)</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(71)</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Trade accounts payable</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291 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755 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Payroll, benefits and other liabilities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148 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Unearned revenues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(105)</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(153)</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6,086 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2,201 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Capital expenditures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(952)</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(641)</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Purchases of debt and equity marketable securities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(4,192)</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(1,312)</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Proceeds from sales and maturities of debt and equity 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3,147 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256 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Acquisitions and other investments, net of cash acquired</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(1,236)</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(128)</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Proceeds from other investments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167 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 items, net</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32 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cash used by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(3,034)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Proceeds from short-term debt</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1,579 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1,116 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Repayment of short-term debt</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(1,579)</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(1,116)</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Proceeds from 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174 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174 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Repurchases and retirements of common stock</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(1,965)</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(2,340)</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Dividends paid</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(1,473)</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(1,415)</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Payments of tax withholdings related to vesting of share-based awards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(501)</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(235)</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 items, net</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(52)</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cash used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(3,788)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(3,868)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Effect of exchange rate changes on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Net decrease in total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(3,436)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Total cash and cash equivalents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6,707 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11,839 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Total cash and cash equivalents at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8,403 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bl>
    <w:p w:rsidR="00000000" w:rsidRDefault="00786A01">
      <w:pPr>
        <w:jc w:val="center"/>
        <w:divId w:val="859899700"/>
        <w:rPr>
          <w:rFonts w:eastAsia="Times New Roman"/>
        </w:rPr>
      </w:pPr>
      <w:r>
        <w:rPr>
          <w:rFonts w:eastAsia="Times New Roman"/>
          <w:color w:val="000000"/>
          <w:sz w:val="18"/>
          <w:szCs w:val="18"/>
        </w:rPr>
        <w:t>See accompanying notes.</w:t>
      </w:r>
    </w:p>
    <w:p w:rsidR="00000000" w:rsidRDefault="00786A01">
      <w:pPr>
        <w:jc w:val="center"/>
        <w:divId w:val="1320226685"/>
        <w:rPr>
          <w:rFonts w:eastAsia="Times New Roman"/>
        </w:rPr>
      </w:pPr>
      <w:r>
        <w:rPr>
          <w:rFonts w:eastAsia="Times New Roman"/>
          <w:color w:val="000000"/>
          <w:sz w:val="20"/>
          <w:szCs w:val="20"/>
        </w:rPr>
        <w:t>9</w:t>
      </w:r>
    </w:p>
    <w:p w:rsidR="00000000" w:rsidRDefault="00786A01">
      <w:pPr>
        <w:rPr>
          <w:rFonts w:eastAsia="Times New Roman"/>
        </w:rPr>
      </w:pPr>
      <w:r>
        <w:rPr>
          <w:rFonts w:eastAsia="Times New Roman"/>
        </w:rPr>
        <w:pict>
          <v:rect id="_x0000_i1032" style="width:0;height:1.5pt" o:hralign="center" o:hrstd="t" o:hr="t" fillcolor="#a0a0a0" stroked="f"/>
        </w:pict>
      </w:r>
    </w:p>
    <w:p w:rsidR="00000000" w:rsidRDefault="00786A01">
      <w:pPr>
        <w:divId w:val="1537041675"/>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537"/>
        <w:gridCol w:w="38"/>
        <w:gridCol w:w="68"/>
        <w:gridCol w:w="1560"/>
        <w:gridCol w:w="38"/>
        <w:gridCol w:w="68"/>
        <w:gridCol w:w="1560"/>
        <w:gridCol w:w="37"/>
        <w:gridCol w:w="68"/>
        <w:gridCol w:w="1560"/>
        <w:gridCol w:w="37"/>
        <w:gridCol w:w="68"/>
        <w:gridCol w:w="1562"/>
        <w:gridCol w:w="37"/>
      </w:tblGrid>
      <w:tr w:rsidR="00000000">
        <w:trPr>
          <w:divId w:val="3869425"/>
          <w:jc w:val="center"/>
        </w:trPr>
        <w:tc>
          <w:tcPr>
            <w:tcW w:w="50" w:type="pct"/>
            <w:vAlign w:val="center"/>
            <w:hideMark/>
          </w:tcPr>
          <w:p w:rsidR="00000000" w:rsidRDefault="00786A01">
            <w:pPr>
              <w:rPr>
                <w:rFonts w:eastAsia="Times New Roman"/>
              </w:rPr>
            </w:pPr>
          </w:p>
        </w:tc>
        <w:tc>
          <w:tcPr>
            <w:tcW w:w="93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948"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3869425"/>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QUALCOMM Incorporated</w:t>
            </w:r>
          </w:p>
        </w:tc>
      </w:tr>
      <w:tr w:rsidR="00000000">
        <w:trPr>
          <w:divId w:val="3869425"/>
          <w:jc w:val="center"/>
        </w:trPr>
        <w:tc>
          <w:tcPr>
            <w:tcW w:w="0" w:type="auto"/>
            <w:gridSpan w:val="3"/>
            <w:vAlign w:val="center"/>
            <w:hideMark/>
          </w:tcPr>
          <w:p w:rsidR="00000000" w:rsidRDefault="00786A01">
            <w:pPr>
              <w:jc w:val="cente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3869425"/>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CONDENSED CONSOLIDATED STATEMENTS OF STOCKHOLDERS’ EQUITY</w:t>
            </w:r>
          </w:p>
        </w:tc>
      </w:tr>
      <w:tr w:rsidR="00000000">
        <w:trPr>
          <w:divId w:val="3869425"/>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(In millions, except per share data)</w:t>
            </w:r>
          </w:p>
        </w:tc>
      </w:tr>
      <w:tr w:rsidR="00000000">
        <w:trPr>
          <w:divId w:val="3869425"/>
          <w:jc w:val="center"/>
        </w:trPr>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(Unaudited)</w:t>
            </w:r>
          </w:p>
        </w:tc>
      </w:tr>
    </w:tbl>
    <w:tbl>
      <w:tblPr>
        <w:tblW w:w="4985" w:type="pct"/>
        <w:jc w:val="center"/>
        <w:tblCellMar>
          <w:top w:w="15" w:type="dxa"/>
          <w:left w:w="15" w:type="dxa"/>
          <w:bottom w:w="15" w:type="dxa"/>
          <w:right w:w="15" w:type="dxa"/>
        </w:tblCellMar>
        <w:tblLook w:val="04A0" w:firstRow="1" w:lastRow="0" w:firstColumn="1" w:lastColumn="0" w:noHBand="0" w:noVBand="1"/>
      </w:tblPr>
      <w:tblGrid>
        <w:gridCol w:w="144"/>
        <w:gridCol w:w="3999"/>
        <w:gridCol w:w="144"/>
        <w:gridCol w:w="144"/>
        <w:gridCol w:w="909"/>
        <w:gridCol w:w="144"/>
        <w:gridCol w:w="144"/>
        <w:gridCol w:w="144"/>
        <w:gridCol w:w="144"/>
        <w:gridCol w:w="144"/>
        <w:gridCol w:w="909"/>
        <w:gridCol w:w="144"/>
        <w:gridCol w:w="144"/>
        <w:gridCol w:w="144"/>
        <w:gridCol w:w="144"/>
        <w:gridCol w:w="144"/>
        <w:gridCol w:w="909"/>
        <w:gridCol w:w="144"/>
        <w:gridCol w:w="144"/>
        <w:gridCol w:w="144"/>
        <w:gridCol w:w="144"/>
        <w:gridCol w:w="144"/>
        <w:gridCol w:w="909"/>
        <w:gridCol w:w="144"/>
      </w:tblGrid>
      <w:tr w:rsidR="00000000">
        <w:trPr>
          <w:jc w:val="center"/>
        </w:trPr>
        <w:tc>
          <w:tcPr>
            <w:tcW w:w="50" w:type="pct"/>
            <w:vAlign w:val="center"/>
            <w:hideMark/>
          </w:tcPr>
          <w:p w:rsidR="00000000" w:rsidRDefault="00786A01">
            <w:pPr>
              <w:jc w:val="center"/>
              <w:rPr>
                <w:rFonts w:eastAsia="Times New Roman"/>
              </w:rPr>
            </w:pPr>
          </w:p>
        </w:tc>
        <w:tc>
          <w:tcPr>
            <w:tcW w:w="241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rPr>
          <w:jc w:val="center"/>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divId w:val="1345740643"/>
              <w:rPr>
                <w:rFonts w:eastAsia="Times New Roman"/>
              </w:rPr>
            </w:pPr>
            <w:r>
              <w:rPr>
                <w:rFonts w:eastAsia="Times New Roman"/>
                <w:b/>
                <w:bCs/>
                <w:color w:val="000000"/>
                <w:sz w:val="18"/>
                <w:szCs w:val="18"/>
              </w:rPr>
              <w:t>Total stockholders’ equity, beginning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7,380 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4,513 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6,077 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4,909 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Common stock and paid-in capital:</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jc w:val="center"/>
        </w:trPr>
        <w:tc>
          <w:tcPr>
            <w:tcW w:w="0" w:type="auto"/>
            <w:gridSpan w:val="3"/>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Balance at beginning of period</w:t>
            </w:r>
          </w:p>
        </w:tc>
        <w:tc>
          <w:tcPr>
            <w:tcW w:w="0" w:type="auto"/>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586 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343 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Common stock issued under employee benefit plans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174 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174 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6A01">
            <w:pPr>
              <w:divId w:val="1801261107"/>
              <w:rPr>
                <w:rFonts w:eastAsia="Times New Roman"/>
              </w:rPr>
            </w:pPr>
            <w:r>
              <w:rPr>
                <w:rFonts w:eastAsia="Times New Roman"/>
                <w:color w:val="000000"/>
                <w:sz w:val="18"/>
                <w:szCs w:val="18"/>
              </w:rPr>
              <w:t>Repurchases and retirements of common stock</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(685)</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(451)</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(1,129)</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(932)</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divId w:val="2065447903"/>
              <w:rPr>
                <w:rFonts w:eastAsia="Times New Roman"/>
              </w:rPr>
            </w:pPr>
            <w:r>
              <w:rPr>
                <w:rFonts w:eastAsia="Times New Roman"/>
                <w:color w:val="000000"/>
                <w:sz w:val="18"/>
                <w:szCs w:val="18"/>
              </w:rPr>
              <w:t>Share-based compensation</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441 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331 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860 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650 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6A01">
            <w:pPr>
              <w:divId w:val="1941251468"/>
              <w:rPr>
                <w:rFonts w:eastAsia="Times New Roman"/>
              </w:rPr>
            </w:pPr>
            <w:r>
              <w:rPr>
                <w:rFonts w:eastAsia="Times New Roman"/>
                <w:color w:val="000000"/>
                <w:sz w:val="18"/>
                <w:szCs w:val="18"/>
              </w:rPr>
              <w:t>Tax withholdings related to vesting of share-based payments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(52)</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(31)</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(501)</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(235)</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Stock awards assumed in acquisition</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6A01">
            <w:pPr>
              <w:divId w:val="1893426297"/>
              <w:rPr>
                <w:rFonts w:eastAsia="Times New Roman"/>
              </w:rPr>
            </w:pPr>
            <w:r>
              <w:rPr>
                <w:rFonts w:eastAsia="Times New Roman"/>
                <w:color w:val="000000"/>
                <w:sz w:val="18"/>
                <w:szCs w:val="18"/>
              </w:rPr>
              <w:t>Balance at 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divId w:val="510067622"/>
              <w:rPr>
                <w:rFonts w:eastAsia="Times New Roman"/>
              </w:rPr>
            </w:pPr>
            <w:r>
              <w:rPr>
                <w:rFonts w:eastAsia="Times New Roman"/>
                <w:color w:val="000000"/>
                <w:sz w:val="18"/>
                <w:szCs w:val="18"/>
              </w:rPr>
              <w:t>Balance at beginning of period</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6,974 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4,376 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5,284 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4,466 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1,762 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468 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4,217 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1,393 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Repurchases and retirements of common stock</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(836)</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(1,127)</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(836)</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(1,408)</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Dividends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(757)</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(727)</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(1,522)</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(1,461)</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divId w:val="186987982"/>
              <w:rPr>
                <w:rFonts w:eastAsia="Times New Roman"/>
              </w:rPr>
            </w:pPr>
            <w:r>
              <w:rPr>
                <w:rFonts w:eastAsia="Times New Roman"/>
                <w:color w:val="000000"/>
                <w:sz w:val="18"/>
                <w:szCs w:val="18"/>
              </w:rPr>
              <w:t>Balance at 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7,143 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2,990 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7,143 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2,990 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Accumulated 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6A01">
            <w:pPr>
              <w:divId w:val="1191455996"/>
              <w:rPr>
                <w:rFonts w:eastAsia="Times New Roman"/>
              </w:rPr>
            </w:pPr>
            <w:r>
              <w:rPr>
                <w:rFonts w:eastAsia="Times New Roman"/>
                <w:color w:val="000000"/>
                <w:sz w:val="18"/>
                <w:szCs w:val="18"/>
              </w:rPr>
              <w:t>Balance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293 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137 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207 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 comprehensive (loss) income</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(82)</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74 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(45)</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6A01">
            <w:pPr>
              <w:divId w:val="1745948810"/>
              <w:rPr>
                <w:rFonts w:eastAsia="Times New Roman"/>
              </w:rPr>
            </w:pPr>
            <w:r>
              <w:rPr>
                <w:rFonts w:eastAsia="Times New Roman"/>
                <w:color w:val="000000"/>
                <w:sz w:val="18"/>
                <w:szCs w:val="18"/>
              </w:rPr>
              <w:t>Balance at 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Total stockholders’ equity, ending balance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7,424 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3,045 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7,424 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3,045 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Dividends per share announced</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0.65 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0.62 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1.24 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bl>
    <w:p w:rsidR="00000000" w:rsidRDefault="00786A01">
      <w:pPr>
        <w:jc w:val="center"/>
        <w:divId w:val="142546947"/>
        <w:rPr>
          <w:rFonts w:eastAsia="Times New Roman"/>
        </w:rPr>
      </w:pPr>
      <w:r>
        <w:rPr>
          <w:rFonts w:eastAsia="Times New Roman"/>
          <w:color w:val="000000"/>
          <w:sz w:val="18"/>
          <w:szCs w:val="18"/>
        </w:rPr>
        <w:t>See accompanying notes.</w:t>
      </w:r>
    </w:p>
    <w:p w:rsidR="00000000" w:rsidRDefault="00786A01">
      <w:pPr>
        <w:jc w:val="center"/>
        <w:divId w:val="1103956002"/>
        <w:rPr>
          <w:rFonts w:eastAsia="Times New Roman"/>
        </w:rPr>
      </w:pPr>
      <w:r>
        <w:rPr>
          <w:rFonts w:eastAsia="Times New Roman"/>
          <w:color w:val="000000"/>
          <w:sz w:val="20"/>
          <w:szCs w:val="20"/>
        </w:rPr>
        <w:t>10</w:t>
      </w:r>
    </w:p>
    <w:p w:rsidR="00000000" w:rsidRDefault="00786A01">
      <w:pPr>
        <w:rPr>
          <w:rFonts w:eastAsia="Times New Roman"/>
        </w:rPr>
      </w:pPr>
      <w:r>
        <w:rPr>
          <w:rFonts w:eastAsia="Times New Roman"/>
        </w:rPr>
        <w:pict>
          <v:rect id="_x0000_i1033" style="width:0;height:1.5pt" o:hralign="center" o:hrstd="t" o:hr="t" fillcolor="#a0a0a0" stroked="f"/>
        </w:pict>
      </w:r>
    </w:p>
    <w:p w:rsidR="00000000" w:rsidRDefault="00786A01">
      <w:pPr>
        <w:jc w:val="center"/>
        <w:divId w:val="2076470499"/>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2076470499"/>
          <w:jc w:val="center"/>
        </w:trPr>
        <w:tc>
          <w:tcPr>
            <w:tcW w:w="50" w:type="pct"/>
            <w:vAlign w:val="center"/>
            <w:hideMark/>
          </w:tcPr>
          <w:p w:rsidR="00000000" w:rsidRDefault="00786A01">
            <w:pPr>
              <w:jc w:val="center"/>
              <w:rPr>
                <w:rFonts w:eastAsia="Times New Roman"/>
              </w:rPr>
            </w:pPr>
          </w:p>
        </w:tc>
        <w:tc>
          <w:tcPr>
            <w:tcW w:w="933"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8"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r>
      <w:tr w:rsidR="00000000">
        <w:trPr>
          <w:divId w:val="2076470499"/>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QUALCOMM Incorporated</w:t>
            </w:r>
          </w:p>
        </w:tc>
      </w:tr>
      <w:tr w:rsidR="00000000">
        <w:trPr>
          <w:divId w:val="2076470499"/>
          <w:jc w:val="center"/>
        </w:trPr>
        <w:tc>
          <w:tcPr>
            <w:tcW w:w="0" w:type="auto"/>
            <w:gridSpan w:val="3"/>
            <w:vAlign w:val="center"/>
            <w:hideMark/>
          </w:tcPr>
          <w:p w:rsidR="00000000" w:rsidRDefault="00786A01">
            <w:pPr>
              <w:spacing w:after="100"/>
              <w:jc w:val="center"/>
              <w:rPr>
                <w:rFonts w:eastAsia="Times New Roman"/>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r>
      <w:tr w:rsidR="00000000">
        <w:trPr>
          <w:divId w:val="2076470499"/>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2076470499"/>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(Unaudited)</w:t>
            </w:r>
          </w:p>
        </w:tc>
      </w:tr>
    </w:tbl>
    <w:p w:rsidR="00000000" w:rsidRDefault="00786A01">
      <w:pPr>
        <w:divId w:val="1994796770"/>
        <w:rPr>
          <w:rFonts w:eastAsia="Times New Roman"/>
        </w:rPr>
      </w:pPr>
    </w:p>
    <w:p w:rsidR="00000000" w:rsidRDefault="00786A01">
      <w:pPr>
        <w:divId w:val="523439516"/>
        <w:rPr>
          <w:rFonts w:eastAsia="Times New Roman"/>
        </w:rPr>
      </w:pPr>
      <w:r>
        <w:rPr>
          <w:rFonts w:eastAsia="Times New Roman"/>
          <w:b/>
          <w:bCs/>
          <w:color w:val="000000"/>
          <w:sz w:val="20"/>
          <w:szCs w:val="20"/>
        </w:rPr>
        <w:t xml:space="preserve">Note 1. </w:t>
      </w:r>
      <w:r>
        <w:rPr>
          <w:rFonts w:eastAsia="Times New Roman"/>
          <w:b/>
          <w:bCs/>
          <w:color w:val="000000"/>
          <w:sz w:val="20"/>
          <w:szCs w:val="20"/>
        </w:rPr>
        <w:t>Basis of Presentation and Significant Accounting Policies Update</w:t>
      </w:r>
    </w:p>
    <w:p w:rsidR="00000000" w:rsidRDefault="00786A01">
      <w:pPr>
        <w:ind w:firstLine="360"/>
        <w:divId w:val="936908424"/>
        <w:rPr>
          <w:rFonts w:eastAsia="Times New Roman"/>
        </w:rPr>
      </w:pPr>
      <w:r>
        <w:rPr>
          <w:rFonts w:eastAsia="Times New Roman"/>
          <w:b/>
          <w:bCs/>
          <w:i/>
          <w:iCs/>
          <w:color w:val="000000"/>
          <w:sz w:val="20"/>
          <w:szCs w:val="20"/>
        </w:rPr>
        <w:t xml:space="preserve">Financial Statement Preparation. </w:t>
      </w:r>
      <w:r>
        <w:rPr>
          <w:rFonts w:eastAsia="Times New Roman"/>
          <w:color w:val="000000"/>
          <w:sz w:val="20"/>
          <w:szCs w:val="20"/>
        </w:rPr>
        <w:t xml:space="preserve">These condensed consolidated financial statements have been prepared in accordance with accounting principles generally accepted in the United States of America (GAAP) for interim financial information and the instructions to Rule 10-01 of Regulation S-X. </w:t>
      </w:r>
      <w:r>
        <w:rPr>
          <w:rFonts w:eastAsia="Times New Roman"/>
          <w:color w:val="000000"/>
          <w:sz w:val="20"/>
          <w:szCs w:val="20"/>
        </w:rPr>
        <w:t>Accordingly, they do not include all of the information and notes required by GAAP for complete financial statements. In the opinion of management, the interim financial information includes all normal recurring adjustments necessary for a fair statement o</w:t>
      </w:r>
      <w:r>
        <w:rPr>
          <w:rFonts w:eastAsia="Times New Roman"/>
          <w:color w:val="000000"/>
          <w:sz w:val="20"/>
          <w:szCs w:val="20"/>
        </w:rPr>
        <w:t>f the results for the interim periods. These condensed consolidated financial statements are unaudited and should be read in conjunction with our Annual Report on Form 10-K for our fiscal year ended September 27, 2020. Operating results for interim periods</w:t>
      </w:r>
      <w:r>
        <w:rPr>
          <w:rFonts w:eastAsia="Times New Roman"/>
          <w:color w:val="000000"/>
          <w:sz w:val="20"/>
          <w:szCs w:val="20"/>
        </w:rPr>
        <w:t xml:space="preserve"> are not necessarily indicative of operating results for an entire fiscal year. We operate and report using a 52-53 week fiscal year ending on the last Sunday in September. Each of the three and six months ended March 28, 2021 and March 29, 2020 included 1</w:t>
      </w:r>
      <w:r>
        <w:rPr>
          <w:rFonts w:eastAsia="Times New Roman"/>
          <w:color w:val="000000"/>
          <w:sz w:val="20"/>
          <w:szCs w:val="20"/>
        </w:rPr>
        <w:t>3 weeks and 26 weeks, respectively.</w:t>
      </w:r>
    </w:p>
    <w:p w:rsidR="00000000" w:rsidRDefault="00786A01">
      <w:pPr>
        <w:ind w:firstLine="360"/>
        <w:divId w:val="1901551111"/>
        <w:rPr>
          <w:rFonts w:eastAsia="Times New Roman"/>
        </w:rPr>
      </w:pPr>
      <w:r>
        <w:rPr>
          <w:rFonts w:eastAsia="Times New Roman"/>
          <w:color w:val="000000"/>
          <w:sz w:val="20"/>
          <w:szCs w:val="20"/>
        </w:rPr>
        <w:t>The preparation of financial statements in conformity with GAAP requires management to make estimates and assumptions that affect the reported amounts and the disclosure of contingent amounts in our condensed consolidate</w:t>
      </w:r>
      <w:r>
        <w:rPr>
          <w:rFonts w:eastAsia="Times New Roman"/>
          <w:color w:val="000000"/>
          <w:sz w:val="20"/>
          <w:szCs w:val="20"/>
        </w:rPr>
        <w:t>d financial statements and the accompanying notes. Actual results could differ from those estimates. Certain prior year amounts have been reclassified to conform to the current year presentation.</w:t>
      </w:r>
    </w:p>
    <w:p w:rsidR="00000000" w:rsidRDefault="00786A01">
      <w:pPr>
        <w:ind w:firstLine="360"/>
        <w:divId w:val="1681198091"/>
        <w:rPr>
          <w:rFonts w:eastAsia="Times New Roman"/>
        </w:rPr>
      </w:pPr>
      <w:r>
        <w:rPr>
          <w:rFonts w:eastAsia="Times New Roman"/>
          <w:b/>
          <w:bCs/>
          <w:i/>
          <w:iCs/>
          <w:color w:val="000000"/>
          <w:sz w:val="20"/>
          <w:szCs w:val="20"/>
        </w:rPr>
        <w:t>Recently Adopted Accounting Guidance.</w:t>
      </w:r>
    </w:p>
    <w:p w:rsidR="00000000" w:rsidRDefault="00786A01">
      <w:pPr>
        <w:ind w:firstLine="360"/>
        <w:divId w:val="396051467"/>
        <w:rPr>
          <w:rFonts w:eastAsia="Times New Roman"/>
        </w:rPr>
      </w:pPr>
      <w:r>
        <w:rPr>
          <w:rFonts w:eastAsia="Times New Roman"/>
          <w:i/>
          <w:iCs/>
          <w:color w:val="000000"/>
          <w:sz w:val="20"/>
          <w:szCs w:val="20"/>
        </w:rPr>
        <w:t xml:space="preserve">Financial Assets: </w:t>
      </w:r>
      <w:r>
        <w:rPr>
          <w:rFonts w:eastAsia="Times New Roman"/>
          <w:color w:val="000000"/>
          <w:sz w:val="20"/>
          <w:szCs w:val="20"/>
        </w:rPr>
        <w:t>In J</w:t>
      </w:r>
      <w:r>
        <w:rPr>
          <w:rFonts w:eastAsia="Times New Roman"/>
          <w:color w:val="000000"/>
          <w:sz w:val="20"/>
          <w:szCs w:val="20"/>
        </w:rPr>
        <w:t>une 2016, the Financial Accounting Standards Board (FASB) issued new accounting guidance that changes the accounting for recognizing impairments of financial assets. Under the new accounting guidance, credit losses for financial assets held at amortized co</w:t>
      </w:r>
      <w:r>
        <w:rPr>
          <w:rFonts w:eastAsia="Times New Roman"/>
          <w:color w:val="000000"/>
          <w:sz w:val="20"/>
          <w:szCs w:val="20"/>
        </w:rPr>
        <w:t>st (such as accounts receivable) are estimated based on expected losses rather than the previous incurred loss impairment model. The new accounting guidance also eliminated the concept of other-than-temporary impairment with credit losses related to availa</w:t>
      </w:r>
      <w:r>
        <w:rPr>
          <w:rFonts w:eastAsia="Times New Roman"/>
          <w:color w:val="000000"/>
          <w:sz w:val="20"/>
          <w:szCs w:val="20"/>
        </w:rPr>
        <w:t>ble-for-sale debt securities recorded through an allowance for credit losses rather than as a reduction in the amortized cost basis of the securities. We adopted the new accounting guidance in the first quarter of fiscal 2021 under the modified retrospecti</w:t>
      </w:r>
      <w:r>
        <w:rPr>
          <w:rFonts w:eastAsia="Times New Roman"/>
          <w:color w:val="000000"/>
          <w:sz w:val="20"/>
          <w:szCs w:val="20"/>
        </w:rPr>
        <w:t>ve transition method, except for certain available-for-sale debt securities where the prospective transition method was required, and as a result, prior period results have not been restated. The impact upon adoption was not material to our condensed conso</w:t>
      </w:r>
      <w:r>
        <w:rPr>
          <w:rFonts w:eastAsia="Times New Roman"/>
          <w:color w:val="000000"/>
          <w:sz w:val="20"/>
          <w:szCs w:val="20"/>
        </w:rPr>
        <w:t>lidated financial statements. The future impact of such accounting guidance will largely depend on the future composition and credit quality of our investment portfolio and accounts receivable, as well as future economic conditions.</w:t>
      </w:r>
    </w:p>
    <w:p w:rsidR="00000000" w:rsidRDefault="00786A01">
      <w:pPr>
        <w:ind w:firstLine="360"/>
        <w:divId w:val="1827741016"/>
        <w:rPr>
          <w:rFonts w:eastAsia="Times New Roman"/>
        </w:rPr>
      </w:pPr>
      <w:r>
        <w:rPr>
          <w:rFonts w:eastAsia="Times New Roman"/>
          <w:b/>
          <w:bCs/>
          <w:i/>
          <w:iCs/>
          <w:color w:val="000000"/>
          <w:sz w:val="20"/>
          <w:szCs w:val="20"/>
        </w:rPr>
        <w:t>Accounting Policy Updat</w:t>
      </w:r>
      <w:r>
        <w:rPr>
          <w:rFonts w:eastAsia="Times New Roman"/>
          <w:b/>
          <w:bCs/>
          <w:i/>
          <w:iCs/>
          <w:color w:val="000000"/>
          <w:sz w:val="20"/>
          <w:szCs w:val="20"/>
        </w:rPr>
        <w:t>e.</w:t>
      </w:r>
    </w:p>
    <w:p w:rsidR="00000000" w:rsidRDefault="00786A01">
      <w:pPr>
        <w:ind w:firstLine="360"/>
        <w:divId w:val="1229460489"/>
        <w:rPr>
          <w:rFonts w:eastAsia="Times New Roman"/>
        </w:rPr>
      </w:pPr>
      <w:r>
        <w:rPr>
          <w:rFonts w:eastAsia="Times New Roman"/>
          <w:i/>
          <w:iCs/>
          <w:color w:val="000000"/>
          <w:sz w:val="20"/>
          <w:szCs w:val="20"/>
        </w:rPr>
        <w:t xml:space="preserve">Marketable Securities: </w:t>
      </w:r>
      <w:r>
        <w:rPr>
          <w:rFonts w:eastAsia="Times New Roman"/>
          <w:color w:val="000000"/>
          <w:sz w:val="20"/>
          <w:szCs w:val="20"/>
        </w:rPr>
        <w:t>As a result of the adoption of the new accounting guidance described above, we revised our accounting policy beginning in fiscal 2021 as follows.</w:t>
      </w:r>
    </w:p>
    <w:p w:rsidR="00000000" w:rsidRDefault="00786A01">
      <w:pPr>
        <w:ind w:firstLine="360"/>
        <w:divId w:val="618032424"/>
        <w:rPr>
          <w:rFonts w:eastAsia="Times New Roman"/>
        </w:rPr>
      </w:pPr>
      <w:r>
        <w:rPr>
          <w:rFonts w:eastAsia="Times New Roman"/>
          <w:color w:val="000000"/>
          <w:sz w:val="20"/>
          <w:szCs w:val="20"/>
        </w:rPr>
        <w:t xml:space="preserve">Marketable securities include marketable equity securities, available-for-sale debt </w:t>
      </w:r>
      <w:r>
        <w:rPr>
          <w:rFonts w:eastAsia="Times New Roman"/>
          <w:color w:val="000000"/>
          <w:sz w:val="20"/>
          <w:szCs w:val="20"/>
        </w:rPr>
        <w:t xml:space="preserve">securities and, from time-to-time, certain time deposits. We classify marketable securities as current or noncurrent based on the nature of the securities and their availability for use in current operations. Marketable securities are stated at fair value </w:t>
      </w:r>
      <w:r>
        <w:rPr>
          <w:rFonts w:eastAsia="Times New Roman"/>
          <w:color w:val="000000"/>
          <w:sz w:val="20"/>
          <w:szCs w:val="20"/>
        </w:rPr>
        <w:t>with all realized and unrealized gains and losses on investments in marketable equity securities and realized gains and losses on available-for-sale debt securities recognized in investment and other income (expense), net. Debt securities are classified as</w:t>
      </w:r>
      <w:r>
        <w:rPr>
          <w:rFonts w:eastAsia="Times New Roman"/>
          <w:color w:val="000000"/>
          <w:sz w:val="20"/>
          <w:szCs w:val="20"/>
        </w:rPr>
        <w:t xml:space="preserve"> available for sale or held to maturity at the time of purchase and reevaluated at each balance sheet date. The realized and unrealized gains and losses on marketable securities are determined using the specific identification method.</w:t>
      </w:r>
    </w:p>
    <w:p w:rsidR="00000000" w:rsidRDefault="00786A01">
      <w:pPr>
        <w:ind w:firstLine="360"/>
        <w:divId w:val="1255045476"/>
        <w:rPr>
          <w:rFonts w:eastAsia="Times New Roman"/>
        </w:rPr>
      </w:pPr>
      <w:r>
        <w:rPr>
          <w:rFonts w:eastAsia="Times New Roman"/>
          <w:color w:val="000000"/>
          <w:sz w:val="20"/>
          <w:szCs w:val="20"/>
        </w:rPr>
        <w:t>If a debt security ha</w:t>
      </w:r>
      <w:r>
        <w:rPr>
          <w:rFonts w:eastAsia="Times New Roman"/>
          <w:color w:val="000000"/>
          <w:sz w:val="20"/>
          <w:szCs w:val="20"/>
        </w:rPr>
        <w:t>s an unrealized loss and we either intend to sell the security or it is more likely than not that we will be required to sell the security before its anticipated recovery, we record an impairment charge to investment and other income (expense), net for the</w:t>
      </w:r>
      <w:r>
        <w:rPr>
          <w:rFonts w:eastAsia="Times New Roman"/>
          <w:color w:val="000000"/>
          <w:sz w:val="20"/>
          <w:szCs w:val="20"/>
        </w:rPr>
        <w:t xml:space="preserve"> entire amount of the unrealized loss and adjust the amortized cost basis of the security. For the remaining debt securities, if an unrealized loss exists, we separate the impairment into the portion of the loss related to credit factors and the portion of</w:t>
      </w:r>
      <w:r>
        <w:rPr>
          <w:rFonts w:eastAsia="Times New Roman"/>
          <w:color w:val="000000"/>
          <w:sz w:val="20"/>
          <w:szCs w:val="20"/>
        </w:rPr>
        <w:t xml:space="preserve"> the loss that is not related to credit factors. Unrealized gains or unrealized losses that are not related to credit factors on available-for-sale debt securities are recorded as a component of accumulated other comprehensive income, net of income taxes. </w:t>
      </w:r>
      <w:r>
        <w:rPr>
          <w:rFonts w:eastAsia="Times New Roman"/>
          <w:color w:val="000000"/>
          <w:sz w:val="20"/>
          <w:szCs w:val="20"/>
        </w:rPr>
        <w:t>Unrealized losses that are related to credit loss factors on available-for-sale debt securities and subsequent adjustments to the credit loss are recorded as an allowance for credit losses, which is included in investment and other income, net. In evaluati</w:t>
      </w:r>
      <w:r>
        <w:rPr>
          <w:rFonts w:eastAsia="Times New Roman"/>
          <w:color w:val="000000"/>
          <w:sz w:val="20"/>
          <w:szCs w:val="20"/>
        </w:rPr>
        <w:t>ng whether a credit loss exists, we consider a variety of factors, including the significance of the decline in value as compared to the cost basis; underlying factors contributing to a decline in the prices of securities in a single asset class; the secur</w:t>
      </w:r>
      <w:r>
        <w:rPr>
          <w:rFonts w:eastAsia="Times New Roman"/>
          <w:color w:val="000000"/>
          <w:sz w:val="20"/>
          <w:szCs w:val="20"/>
        </w:rPr>
        <w:t>ity’s relative performance versus its peers, sector or asset class; the market and economy in general; views of external investment managers; news or financial information that has been released specific to the investee; and the outlook for the overall ind</w:t>
      </w:r>
      <w:r>
        <w:rPr>
          <w:rFonts w:eastAsia="Times New Roman"/>
          <w:color w:val="000000"/>
          <w:sz w:val="20"/>
          <w:szCs w:val="20"/>
        </w:rPr>
        <w:t>ustry in which the investee operates.</w:t>
      </w:r>
    </w:p>
    <w:p w:rsidR="00000000" w:rsidRDefault="00786A01">
      <w:pPr>
        <w:jc w:val="center"/>
        <w:divId w:val="779642127"/>
        <w:rPr>
          <w:rFonts w:eastAsia="Times New Roman"/>
        </w:rPr>
      </w:pPr>
      <w:r>
        <w:rPr>
          <w:rFonts w:eastAsia="Times New Roman"/>
          <w:color w:val="000000"/>
          <w:sz w:val="20"/>
          <w:szCs w:val="20"/>
        </w:rPr>
        <w:t>11</w:t>
      </w:r>
    </w:p>
    <w:p w:rsidR="00000000" w:rsidRDefault="00786A01">
      <w:pPr>
        <w:rPr>
          <w:rFonts w:eastAsia="Times New Roman"/>
        </w:rPr>
      </w:pPr>
      <w:r>
        <w:rPr>
          <w:rFonts w:eastAsia="Times New Roman"/>
        </w:rPr>
        <w:pict>
          <v:rect id="_x0000_i1034" style="width:0;height:1.5pt" o:hralign="center" o:hrstd="t" o:hr="t" fillcolor="#a0a0a0" stroked="f"/>
        </w:pict>
      </w:r>
    </w:p>
    <w:p w:rsidR="00000000" w:rsidRDefault="00786A01">
      <w:pPr>
        <w:jc w:val="center"/>
        <w:divId w:val="881282728"/>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881282728"/>
          <w:jc w:val="center"/>
        </w:trPr>
        <w:tc>
          <w:tcPr>
            <w:tcW w:w="50" w:type="pct"/>
            <w:vAlign w:val="center"/>
            <w:hideMark/>
          </w:tcPr>
          <w:p w:rsidR="00000000" w:rsidRDefault="00786A01">
            <w:pPr>
              <w:jc w:val="center"/>
              <w:rPr>
                <w:rFonts w:eastAsia="Times New Roman"/>
              </w:rPr>
            </w:pPr>
          </w:p>
        </w:tc>
        <w:tc>
          <w:tcPr>
            <w:tcW w:w="933"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8"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r>
      <w:tr w:rsidR="00000000">
        <w:trPr>
          <w:divId w:val="881282728"/>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QUALCOMM Incorporated</w:t>
            </w:r>
          </w:p>
        </w:tc>
      </w:tr>
      <w:tr w:rsidR="00000000">
        <w:trPr>
          <w:divId w:val="881282728"/>
          <w:jc w:val="center"/>
        </w:trPr>
        <w:tc>
          <w:tcPr>
            <w:tcW w:w="0" w:type="auto"/>
            <w:gridSpan w:val="3"/>
            <w:vAlign w:val="center"/>
            <w:hideMark/>
          </w:tcPr>
          <w:p w:rsidR="00000000" w:rsidRDefault="00786A01">
            <w:pPr>
              <w:spacing w:after="100"/>
              <w:jc w:val="center"/>
              <w:rPr>
                <w:rFonts w:eastAsia="Times New Roman"/>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r>
      <w:tr w:rsidR="00000000">
        <w:trPr>
          <w:divId w:val="881282728"/>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881282728"/>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(Unaudited)</w:t>
            </w:r>
          </w:p>
        </w:tc>
      </w:tr>
    </w:tbl>
    <w:p w:rsidR="00000000" w:rsidRDefault="00786A01">
      <w:pPr>
        <w:divId w:val="311259425"/>
        <w:rPr>
          <w:rFonts w:eastAsia="Times New Roman"/>
        </w:rPr>
      </w:pPr>
      <w:r>
        <w:rPr>
          <w:rFonts w:eastAsia="Times New Roman"/>
          <w:b/>
          <w:bCs/>
          <w:color w:val="000000"/>
          <w:sz w:val="20"/>
          <w:szCs w:val="20"/>
        </w:rPr>
        <w:t>Note 2. Composition of Certain Financial Statement Items</w:t>
      </w:r>
    </w:p>
    <w:tbl>
      <w:tblPr>
        <w:tblW w:w="4992" w:type="pct"/>
        <w:jc w:val="center"/>
        <w:tblCellMar>
          <w:top w:w="15" w:type="dxa"/>
          <w:left w:w="15" w:type="dxa"/>
          <w:bottom w:w="15" w:type="dxa"/>
          <w:right w:w="15" w:type="dxa"/>
        </w:tblCellMar>
        <w:tblLook w:val="04A0" w:firstRow="1" w:lastRow="0" w:firstColumn="1" w:lastColumn="0" w:noHBand="0" w:noVBand="1"/>
      </w:tblPr>
      <w:tblGrid>
        <w:gridCol w:w="44"/>
        <w:gridCol w:w="6099"/>
        <w:gridCol w:w="36"/>
        <w:gridCol w:w="110"/>
        <w:gridCol w:w="871"/>
        <w:gridCol w:w="36"/>
        <w:gridCol w:w="36"/>
        <w:gridCol w:w="36"/>
        <w:gridCol w:w="36"/>
        <w:gridCol w:w="111"/>
        <w:gridCol w:w="842"/>
        <w:gridCol w:w="36"/>
      </w:tblGrid>
      <w:tr w:rsidR="00000000">
        <w:trPr>
          <w:divId w:val="1941713738"/>
          <w:jc w:val="center"/>
        </w:trPr>
        <w:tc>
          <w:tcPr>
            <w:tcW w:w="50" w:type="pct"/>
            <w:vAlign w:val="center"/>
            <w:hideMark/>
          </w:tcPr>
          <w:p w:rsidR="00000000" w:rsidRDefault="00786A01">
            <w:pPr>
              <w:rPr>
                <w:rFonts w:eastAsia="Times New Roman"/>
              </w:rPr>
            </w:pPr>
          </w:p>
        </w:tc>
        <w:tc>
          <w:tcPr>
            <w:tcW w:w="3700"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8"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8"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941713738"/>
          <w:jc w:val="center"/>
        </w:trPr>
        <w:tc>
          <w:tcPr>
            <w:tcW w:w="0" w:type="auto"/>
            <w:gridSpan w:val="3"/>
            <w:tcMar>
              <w:top w:w="30" w:type="dxa"/>
              <w:left w:w="380" w:type="dxa"/>
              <w:bottom w:w="30" w:type="dxa"/>
              <w:right w:w="20" w:type="dxa"/>
            </w:tcMar>
            <w:vAlign w:val="bottom"/>
            <w:hideMark/>
          </w:tcPr>
          <w:p w:rsidR="00000000" w:rsidRDefault="00786A01">
            <w:pPr>
              <w:rPr>
                <w:rFonts w:eastAsia="Times New Roman"/>
              </w:rPr>
            </w:pPr>
            <w:r>
              <w:rPr>
                <w:rFonts w:eastAsia="Times New Roman"/>
                <w:b/>
                <w:bCs/>
                <w:i/>
                <w:iCs/>
                <w:color w:val="000000"/>
                <w:sz w:val="20"/>
                <w:szCs w:val="20"/>
              </w:rPr>
              <w:t>Inventories (in millions)</w:t>
            </w:r>
          </w:p>
        </w:tc>
        <w:tc>
          <w:tcPr>
            <w:tcW w:w="0" w:type="auto"/>
            <w:gridSpan w:val="3"/>
            <w:tcMar>
              <w:top w:w="0" w:type="dxa"/>
              <w:left w:w="20" w:type="dxa"/>
              <w:bottom w:w="0" w:type="dxa"/>
              <w:right w:w="20" w:type="dxa"/>
            </w:tcMar>
            <w:vAlign w:val="center"/>
            <w:hideMark/>
          </w:tcPr>
          <w:p w:rsidR="00000000" w:rsidRDefault="00786A01">
            <w:pPr>
              <w:rPr>
                <w:rFonts w:eastAsia="Times New Roman"/>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41713738"/>
          <w:jc w:val="center"/>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September 27,</w:t>
            </w:r>
            <w:r>
              <w:rPr>
                <w:rFonts w:eastAsia="Times New Roman"/>
                <w:b/>
                <w:bCs/>
                <w:color w:val="000000"/>
                <w:sz w:val="18"/>
                <w:szCs w:val="18"/>
              </w:rPr>
              <w:br/>
              <w:t>2020</w:t>
            </w:r>
          </w:p>
        </w:tc>
      </w:tr>
      <w:tr w:rsidR="00000000">
        <w:trPr>
          <w:divId w:val="1941713738"/>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Raw materials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941713738"/>
          <w:jc w:val="center"/>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Work-in-process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1,207 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1,155 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941713738"/>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Finished goods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1,294 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1,349 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941713738"/>
          <w:jc w:val="center"/>
        </w:trPr>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2,668 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2,598 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bl>
    <w:p w:rsidR="00000000" w:rsidRDefault="00786A01">
      <w:pPr>
        <w:ind w:firstLine="360"/>
        <w:divId w:val="1212306565"/>
        <w:rPr>
          <w:rFonts w:eastAsia="Times New Roman"/>
        </w:rPr>
      </w:pPr>
      <w:r>
        <w:rPr>
          <w:rFonts w:eastAsia="Times New Roman"/>
          <w:b/>
          <w:bCs/>
          <w:i/>
          <w:iCs/>
          <w:color w:val="000000"/>
          <w:sz w:val="20"/>
          <w:szCs w:val="20"/>
        </w:rPr>
        <w:t xml:space="preserve">Revolving Credit Facility. </w:t>
      </w:r>
      <w:r>
        <w:rPr>
          <w:rFonts w:eastAsia="Times New Roman"/>
          <w:color w:val="000000"/>
          <w:sz w:val="20"/>
          <w:szCs w:val="20"/>
        </w:rPr>
        <w:t>On December </w:t>
      </w:r>
      <w:r>
        <w:rPr>
          <w:rFonts w:eastAsia="Times New Roman"/>
          <w:color w:val="000000"/>
          <w:sz w:val="20"/>
          <w:szCs w:val="20"/>
        </w:rPr>
        <w:t>8, 2020, we entered into a Revolving Credit Facility replacing our prior Amended and Restated Revolving Credit Facility. There were no outstanding borrowings under the Amended and Restated Revolving Credit Facility at the time of termination. The Revolving</w:t>
      </w:r>
      <w:r>
        <w:rPr>
          <w:rFonts w:eastAsia="Times New Roman"/>
          <w:color w:val="000000"/>
          <w:sz w:val="20"/>
          <w:szCs w:val="20"/>
        </w:rPr>
        <w:t xml:space="preserve"> Credit Facility provides for unsecured revolving facility loans, swing line loans and letters of credit in an aggregate amount of up to $4.5 billion, which expires on December 8, 2025. At March 28, 2021, no amounts were outstanding under the Revolving Cre</w:t>
      </w:r>
      <w:r>
        <w:rPr>
          <w:rFonts w:eastAsia="Times New Roman"/>
          <w:color w:val="000000"/>
          <w:sz w:val="20"/>
          <w:szCs w:val="20"/>
        </w:rPr>
        <w:t>dit Facility. The Revolving Credit Facility requires that we comply with certain financial covenants, including that we maintain an interest coverage ratio, as defined in the agreement. At March 28, 2021, we were in compliance with the applicable covenants</w:t>
      </w:r>
      <w:r>
        <w:rPr>
          <w:rFonts w:eastAsia="Times New Roman"/>
          <w:color w:val="000000"/>
          <w:sz w:val="20"/>
          <w:szCs w:val="20"/>
        </w:rPr>
        <w:t xml:space="preserve"> under the Revolving Credit Facility. </w:t>
      </w:r>
    </w:p>
    <w:p w:rsidR="00000000" w:rsidRDefault="00786A01">
      <w:pPr>
        <w:ind w:firstLine="360"/>
        <w:divId w:val="215554900"/>
        <w:rPr>
          <w:rFonts w:eastAsia="Times New Roman"/>
        </w:rPr>
      </w:pPr>
      <w:r>
        <w:rPr>
          <w:rFonts w:eastAsia="Times New Roman"/>
          <w:b/>
          <w:bCs/>
          <w:i/>
          <w:iCs/>
          <w:color w:val="000000"/>
          <w:sz w:val="20"/>
          <w:szCs w:val="20"/>
        </w:rPr>
        <w:t xml:space="preserve">Interest Rate Swaps. </w:t>
      </w:r>
      <w:r>
        <w:rPr>
          <w:rFonts w:eastAsia="Times New Roman"/>
          <w:color w:val="000000"/>
          <w:sz w:val="20"/>
          <w:szCs w:val="20"/>
        </w:rPr>
        <w:t>Beginning in the second quarter of 2021, we entered into forward-starting interest rate swaps to hedge the variability of forecasted interest payments on anticipated debt issuances through 2025. At March 28, 2021, the notional amount of the forward-startin</w:t>
      </w:r>
      <w:r>
        <w:rPr>
          <w:rFonts w:eastAsia="Times New Roman"/>
          <w:color w:val="000000"/>
          <w:sz w:val="20"/>
          <w:szCs w:val="20"/>
        </w:rPr>
        <w:t>g interest rate swaps outstanding, which are denominated in U.S. dollars, was $1.2 billion. The fair values of the forward-starting interest rate swaps recorded in other noncurrent assets and other noncurrent liabilities were $23 million and negligible, re</w:t>
      </w:r>
      <w:r>
        <w:rPr>
          <w:rFonts w:eastAsia="Times New Roman"/>
          <w:color w:val="000000"/>
          <w:sz w:val="20"/>
          <w:szCs w:val="20"/>
        </w:rPr>
        <w:t xml:space="preserve">spectively, at March 28, 2021. Since March 28, 2021, we entered into additional forward-starting interest rate swaps with an aggregate notional amount of $1.1 billion. </w:t>
      </w:r>
    </w:p>
    <w:p w:rsidR="00000000" w:rsidRDefault="00786A01">
      <w:pPr>
        <w:ind w:firstLine="360"/>
        <w:divId w:val="13071778"/>
        <w:rPr>
          <w:rFonts w:eastAsia="Times New Roman"/>
        </w:rPr>
      </w:pPr>
      <w:r>
        <w:rPr>
          <w:rFonts w:eastAsia="Times New Roman"/>
          <w:b/>
          <w:bCs/>
          <w:i/>
          <w:iCs/>
          <w:color w:val="000000"/>
          <w:sz w:val="20"/>
          <w:szCs w:val="20"/>
        </w:rPr>
        <w:t xml:space="preserve">Revenues. </w:t>
      </w:r>
      <w:r>
        <w:rPr>
          <w:rFonts w:eastAsia="Times New Roman"/>
          <w:color w:val="000000"/>
          <w:sz w:val="20"/>
          <w:szCs w:val="20"/>
        </w:rPr>
        <w:t>We disaggregate our revenues by segment (Note 6) and type of products and ser</w:t>
      </w:r>
      <w:r>
        <w:rPr>
          <w:rFonts w:eastAsia="Times New Roman"/>
          <w:color w:val="000000"/>
          <w:sz w:val="20"/>
          <w:szCs w:val="20"/>
        </w:rPr>
        <w:t>vices (as presented on our condensed consolidated statement of operations), and for our QCT (Qualcomm CDMA Technologies) segment by revenue stream, which is based on industry segment and application in which our products are sold (as presented below). In c</w:t>
      </w:r>
      <w:r>
        <w:rPr>
          <w:rFonts w:eastAsia="Times New Roman"/>
          <w:color w:val="000000"/>
          <w:sz w:val="20"/>
          <w:szCs w:val="20"/>
        </w:rPr>
        <w:t xml:space="preserve">ertain cases, the determination of QCT revenues by industry segment and application requires the use of certain assumptions. Substantially all of QCT’s revenues consist of equipment revenues that are recognized at a point in time, and substantially all of </w:t>
      </w:r>
      <w:r>
        <w:rPr>
          <w:rFonts w:eastAsia="Times New Roman"/>
          <w:color w:val="000000"/>
          <w:sz w:val="20"/>
          <w:szCs w:val="20"/>
        </w:rPr>
        <w:t>QTL’s (Qualcomm Technology Licensing) revenues represent licensing revenues that are recognized over time and are principally from royalties generated through our licensees’ sales of mobile handsets. QCT revenue streams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3270"/>
        <w:gridCol w:w="38"/>
        <w:gridCol w:w="36"/>
        <w:gridCol w:w="36"/>
        <w:gridCol w:w="36"/>
        <w:gridCol w:w="36"/>
        <w:gridCol w:w="560"/>
        <w:gridCol w:w="46"/>
        <w:gridCol w:w="560"/>
        <w:gridCol w:w="46"/>
        <w:gridCol w:w="110"/>
        <w:gridCol w:w="706"/>
        <w:gridCol w:w="36"/>
        <w:gridCol w:w="36"/>
        <w:gridCol w:w="36"/>
        <w:gridCol w:w="36"/>
        <w:gridCol w:w="110"/>
        <w:gridCol w:w="654"/>
        <w:gridCol w:w="36"/>
        <w:gridCol w:w="36"/>
        <w:gridCol w:w="36"/>
        <w:gridCol w:w="36"/>
        <w:gridCol w:w="110"/>
        <w:gridCol w:w="654"/>
        <w:gridCol w:w="36"/>
        <w:gridCol w:w="36"/>
        <w:gridCol w:w="36"/>
        <w:gridCol w:w="36"/>
        <w:gridCol w:w="110"/>
        <w:gridCol w:w="656"/>
        <w:gridCol w:w="36"/>
      </w:tblGrid>
      <w:tr w:rsidR="00000000">
        <w:trPr>
          <w:divId w:val="1640384282"/>
        </w:trPr>
        <w:tc>
          <w:tcPr>
            <w:tcW w:w="50" w:type="pct"/>
            <w:vAlign w:val="center"/>
            <w:hideMark/>
          </w:tcPr>
          <w:p w:rsidR="00000000" w:rsidRDefault="00786A01">
            <w:pPr>
              <w:ind w:firstLine="360"/>
              <w:rPr>
                <w:rFonts w:eastAsia="Times New Roman"/>
              </w:rPr>
            </w:pPr>
          </w:p>
        </w:tc>
        <w:tc>
          <w:tcPr>
            <w:tcW w:w="241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640384282"/>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rPr>
          <w:divId w:val="1640384282"/>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1640384282"/>
        </w:trPr>
        <w:tc>
          <w:tcPr>
            <w:tcW w:w="0" w:type="auto"/>
            <w:gridSpan w:val="3"/>
            <w:vAlign w:val="center"/>
            <w:hideMark/>
          </w:tcPr>
          <w:p w:rsidR="00000000" w:rsidRDefault="00786A01">
            <w:pPr>
              <w:jc w:val="cente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640384282"/>
        </w:trPr>
        <w:tc>
          <w:tcPr>
            <w:tcW w:w="0" w:type="auto"/>
            <w:gridSpan w:val="3"/>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640384282"/>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Handsets (1)</w:t>
            </w:r>
          </w:p>
        </w:tc>
        <w:tc>
          <w:tcPr>
            <w:tcW w:w="0" w:type="auto"/>
            <w:vAlign w:val="center"/>
            <w:hideMark/>
          </w:tcPr>
          <w:p w:rsidR="00000000" w:rsidRDefault="00786A01">
            <w:pP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8,281 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5,004 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640384282"/>
        </w:trPr>
        <w:tc>
          <w:tcPr>
            <w:tcW w:w="0" w:type="auto"/>
            <w:gridSpan w:val="3"/>
            <w:vAlign w:val="center"/>
            <w:hideMark/>
          </w:tcPr>
          <w:p w:rsidR="00000000" w:rsidRDefault="00786A01">
            <w:pPr>
              <w:jc w:val="right"/>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640384282"/>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xml:space="preserve">RFFE (2) </w:t>
            </w:r>
          </w:p>
        </w:tc>
        <w:tc>
          <w:tcPr>
            <w:tcW w:w="0" w:type="auto"/>
            <w:vAlign w:val="center"/>
            <w:hideMark/>
          </w:tcPr>
          <w:p w:rsidR="00000000" w:rsidRDefault="00786A01">
            <w:pP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903 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650 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1,964 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1,063 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640384282"/>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Automotive (3)</w:t>
            </w:r>
          </w:p>
        </w:tc>
        <w:tc>
          <w:tcPr>
            <w:tcW w:w="0" w:type="auto"/>
            <w:vAlign w:val="center"/>
            <w:hideMark/>
          </w:tcPr>
          <w:p w:rsidR="00000000" w:rsidRDefault="00786A01">
            <w:pP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240 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452 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318 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640384282"/>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IoT (Internet of Things) (4)</w:t>
            </w:r>
          </w:p>
        </w:tc>
        <w:tc>
          <w:tcPr>
            <w:tcW w:w="0" w:type="auto"/>
            <w:vAlign w:val="center"/>
            <w:hideMark/>
          </w:tcPr>
          <w:p w:rsidR="00000000" w:rsidRDefault="00786A01">
            <w:pP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1,073 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627 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2,117 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1,334 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640384282"/>
        </w:trPr>
        <w:tc>
          <w:tcPr>
            <w:tcW w:w="0" w:type="auto"/>
            <w:gridSpan w:val="3"/>
            <w:shd w:val="clear" w:color="auto" w:fill="CCEEFF"/>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 QCT revenues</w:t>
            </w:r>
          </w:p>
        </w:tc>
        <w:tc>
          <w:tcPr>
            <w:tcW w:w="0" w:type="auto"/>
            <w:vAlign w:val="center"/>
            <w:hideMark/>
          </w:tcPr>
          <w:p w:rsidR="00000000" w:rsidRDefault="00786A01">
            <w:pP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6,281 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12,814 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7,719 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bl>
    <w:p w:rsidR="00000000" w:rsidRDefault="00786A01">
      <w:pPr>
        <w:divId w:val="1545555055"/>
        <w:rPr>
          <w:rFonts w:eastAsia="Times New Roman"/>
        </w:rPr>
      </w:pPr>
      <w:r>
        <w:rPr>
          <w:rFonts w:eastAsia="Times New Roman"/>
          <w:color w:val="000000"/>
          <w:sz w:val="18"/>
          <w:szCs w:val="18"/>
        </w:rPr>
        <w:t>(1) Includes revenues from products sold for use in mobi</w:t>
      </w:r>
      <w:r>
        <w:rPr>
          <w:rFonts w:eastAsia="Times New Roman"/>
          <w:color w:val="000000"/>
          <w:sz w:val="18"/>
          <w:szCs w:val="18"/>
        </w:rPr>
        <w:t xml:space="preserve">le handsets, excluding RFFE (radio frequency front-end) components. </w:t>
      </w:r>
    </w:p>
    <w:p w:rsidR="00000000" w:rsidRDefault="00786A01">
      <w:pPr>
        <w:divId w:val="1310667636"/>
        <w:rPr>
          <w:rFonts w:eastAsia="Times New Roman"/>
        </w:rPr>
      </w:pPr>
      <w:r>
        <w:rPr>
          <w:rFonts w:eastAsia="Times New Roman"/>
          <w:color w:val="000000"/>
          <w:sz w:val="18"/>
          <w:szCs w:val="18"/>
        </w:rPr>
        <w:t>(2) Includes all revenues from sales of 4G, 5G sub-6 and 5G millimeter wave RFFE products (a substantial portion of which are sold for use in handsets).</w:t>
      </w:r>
    </w:p>
    <w:p w:rsidR="00000000" w:rsidRDefault="00786A01">
      <w:pPr>
        <w:divId w:val="82730037"/>
        <w:rPr>
          <w:rFonts w:eastAsia="Times New Roman"/>
        </w:rPr>
      </w:pPr>
      <w:r>
        <w:rPr>
          <w:rFonts w:eastAsia="Times New Roman"/>
          <w:color w:val="000000"/>
          <w:sz w:val="18"/>
          <w:szCs w:val="18"/>
        </w:rPr>
        <w:t>(3) Includes revenues from product</w:t>
      </w:r>
      <w:r>
        <w:rPr>
          <w:rFonts w:eastAsia="Times New Roman"/>
          <w:color w:val="000000"/>
          <w:sz w:val="18"/>
          <w:szCs w:val="18"/>
        </w:rPr>
        <w:t>s sold for use in automobiles, including telematics, connectivity and digital cockpit.</w:t>
      </w:r>
    </w:p>
    <w:p w:rsidR="00000000" w:rsidRDefault="00786A01">
      <w:pPr>
        <w:divId w:val="330186523"/>
        <w:rPr>
          <w:rFonts w:eastAsia="Times New Roman"/>
        </w:rPr>
      </w:pPr>
      <w:r>
        <w:rPr>
          <w:rFonts w:eastAsia="Times New Roman"/>
          <w:color w:val="000000"/>
          <w:sz w:val="18"/>
          <w:szCs w:val="18"/>
        </w:rPr>
        <w:t>(4) Primarily includes products sold for use in cellular and non-cellular connected devices within the following industry segments and applications: consumer, computing,</w:t>
      </w:r>
      <w:r>
        <w:rPr>
          <w:rFonts w:eastAsia="Times New Roman"/>
          <w:color w:val="000000"/>
          <w:sz w:val="18"/>
          <w:szCs w:val="18"/>
        </w:rPr>
        <w:t xml:space="preserve"> industrial, fixed wireless broadband, voice and music and wireless networking.</w:t>
      </w:r>
    </w:p>
    <w:p w:rsidR="00000000" w:rsidRDefault="00786A01">
      <w:pPr>
        <w:ind w:firstLine="360"/>
        <w:divId w:val="2042627282"/>
        <w:rPr>
          <w:rFonts w:eastAsia="Times New Roman"/>
        </w:rPr>
      </w:pPr>
      <w:r>
        <w:rPr>
          <w:rFonts w:eastAsia="Times New Roman"/>
          <w:color w:val="000000"/>
          <w:sz w:val="20"/>
          <w:szCs w:val="20"/>
        </w:rPr>
        <w:t xml:space="preserve">Revenues recognized from performance obligations satisfied (or partially satisfied) in previous periods were $122 million and $150 million for the three months ended March 28, </w:t>
      </w:r>
      <w:r>
        <w:rPr>
          <w:rFonts w:eastAsia="Times New Roman"/>
          <w:color w:val="000000"/>
          <w:sz w:val="20"/>
          <w:szCs w:val="20"/>
        </w:rPr>
        <w:t xml:space="preserve">2021 and March 29, 2020, respectively, and $176 million and $178 million for the six months ended March 28, 2021 and March 29, 2020, respectively, and primarily related to QTL royalty revenues recognized related to devices sold in prior periods (including </w:t>
      </w:r>
      <w:r>
        <w:rPr>
          <w:rFonts w:eastAsia="Times New Roman"/>
          <w:color w:val="000000"/>
          <w:sz w:val="20"/>
          <w:szCs w:val="20"/>
        </w:rPr>
        <w:t>adjustments to prior period royalty estimates, in part based on actual reporting of royalties by our licensees) and certain QCT customer incentives.</w:t>
      </w:r>
    </w:p>
    <w:p w:rsidR="00000000" w:rsidRDefault="00786A01">
      <w:pPr>
        <w:jc w:val="center"/>
        <w:divId w:val="44065564"/>
        <w:rPr>
          <w:rFonts w:eastAsia="Times New Roman"/>
        </w:rPr>
      </w:pPr>
      <w:r>
        <w:rPr>
          <w:rFonts w:eastAsia="Times New Roman"/>
          <w:color w:val="000000"/>
          <w:sz w:val="20"/>
          <w:szCs w:val="20"/>
        </w:rPr>
        <w:t>12</w:t>
      </w:r>
    </w:p>
    <w:p w:rsidR="00000000" w:rsidRDefault="00786A01">
      <w:pPr>
        <w:rPr>
          <w:rFonts w:eastAsia="Times New Roman"/>
        </w:rPr>
      </w:pPr>
      <w:r>
        <w:rPr>
          <w:rFonts w:eastAsia="Times New Roman"/>
        </w:rPr>
        <w:pict>
          <v:rect id="_x0000_i1035" style="width:0;height:1.5pt" o:hralign="center" o:hrstd="t" o:hr="t" fillcolor="#a0a0a0" stroked="f"/>
        </w:pict>
      </w:r>
    </w:p>
    <w:p w:rsidR="00000000" w:rsidRDefault="00786A01">
      <w:pPr>
        <w:jc w:val="center"/>
        <w:divId w:val="460613337"/>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460613337"/>
          <w:jc w:val="center"/>
        </w:trPr>
        <w:tc>
          <w:tcPr>
            <w:tcW w:w="50" w:type="pct"/>
            <w:vAlign w:val="center"/>
            <w:hideMark/>
          </w:tcPr>
          <w:p w:rsidR="00000000" w:rsidRDefault="00786A01">
            <w:pPr>
              <w:jc w:val="center"/>
              <w:rPr>
                <w:rFonts w:eastAsia="Times New Roman"/>
              </w:rPr>
            </w:pPr>
          </w:p>
        </w:tc>
        <w:tc>
          <w:tcPr>
            <w:tcW w:w="933"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8"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r>
      <w:tr w:rsidR="00000000">
        <w:trPr>
          <w:divId w:val="460613337"/>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QUALCOMM Incorporated</w:t>
            </w:r>
          </w:p>
        </w:tc>
      </w:tr>
      <w:tr w:rsidR="00000000">
        <w:trPr>
          <w:divId w:val="460613337"/>
          <w:jc w:val="center"/>
        </w:trPr>
        <w:tc>
          <w:tcPr>
            <w:tcW w:w="0" w:type="auto"/>
            <w:gridSpan w:val="3"/>
            <w:vAlign w:val="center"/>
            <w:hideMark/>
          </w:tcPr>
          <w:p w:rsidR="00000000" w:rsidRDefault="00786A01">
            <w:pPr>
              <w:spacing w:after="100"/>
              <w:jc w:val="center"/>
              <w:rPr>
                <w:rFonts w:eastAsia="Times New Roman"/>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r>
      <w:tr w:rsidR="00000000">
        <w:trPr>
          <w:divId w:val="460613337"/>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460613337"/>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(Unaudited)</w:t>
            </w:r>
          </w:p>
        </w:tc>
      </w:tr>
    </w:tbl>
    <w:p w:rsidR="00000000" w:rsidRDefault="00786A01">
      <w:pPr>
        <w:ind w:firstLine="360"/>
        <w:divId w:val="833956178"/>
        <w:rPr>
          <w:rFonts w:eastAsia="Times New Roman"/>
        </w:rPr>
      </w:pPr>
      <w:r>
        <w:rPr>
          <w:rFonts w:eastAsia="Times New Roman"/>
          <w:color w:val="000000"/>
          <w:sz w:val="20"/>
          <w:szCs w:val="20"/>
        </w:rPr>
        <w:t>Unearned revenues (which are considered contract liabilities) consist primarily of license fees for intellectual property with continuing performance obligations. In the six months ended March 28, 2021 and March 29, 2020, we recognized revenues of $314 mil</w:t>
      </w:r>
      <w:r>
        <w:rPr>
          <w:rFonts w:eastAsia="Times New Roman"/>
          <w:color w:val="000000"/>
          <w:sz w:val="20"/>
          <w:szCs w:val="20"/>
        </w:rPr>
        <w:t xml:space="preserve">lion and $307 million, respectively, that were recorded as unearned revenues at September 27, 2020 and September 29, 2019, respectively. </w:t>
      </w:r>
    </w:p>
    <w:p w:rsidR="00000000" w:rsidRDefault="00786A01">
      <w:pPr>
        <w:ind w:firstLine="360"/>
        <w:divId w:val="1306736102"/>
        <w:rPr>
          <w:rFonts w:eastAsia="Times New Roman"/>
        </w:rPr>
      </w:pPr>
      <w:r>
        <w:rPr>
          <w:rFonts w:eastAsia="Times New Roman"/>
          <w:color w:val="000000"/>
          <w:sz w:val="20"/>
          <w:szCs w:val="20"/>
        </w:rPr>
        <w:t>Remaining performance obligations, substantially all of which are included in unearned revenues, represent the aggrega</w:t>
      </w:r>
      <w:r>
        <w:rPr>
          <w:rFonts w:eastAsia="Times New Roman"/>
          <w:color w:val="000000"/>
          <w:sz w:val="20"/>
          <w:szCs w:val="20"/>
        </w:rPr>
        <w:t>te amount of the transaction price of certain customer contracts yet to be recognized as revenues as of the end of the reporting period and exclude revenues related to (a) contracts that have an original expected duration of one year or less and (b) sales-</w:t>
      </w:r>
      <w:r>
        <w:rPr>
          <w:rFonts w:eastAsia="Times New Roman"/>
          <w:color w:val="000000"/>
          <w:sz w:val="20"/>
          <w:szCs w:val="20"/>
        </w:rPr>
        <w:t>based royalties (i.e., future royalty revenues) pursuant to our license agreements. Our remaining performance obligations are primarily comprised of certain customer contracts for which QTL received license fees upfront. At March 28, 2021, we had $1.2 bill</w:t>
      </w:r>
      <w:r>
        <w:rPr>
          <w:rFonts w:eastAsia="Times New Roman"/>
          <w:color w:val="000000"/>
          <w:sz w:val="20"/>
          <w:szCs w:val="20"/>
        </w:rPr>
        <w:t>ion of remaining performance obligations, of which $272 million, $535 million, $258 million, $75 million and $26 million was expected to be recognized as revenues for the remainder of fiscal 2021 and each of the subsequent four years from fiscal 2022 throu</w:t>
      </w:r>
      <w:r>
        <w:rPr>
          <w:rFonts w:eastAsia="Times New Roman"/>
          <w:color w:val="000000"/>
          <w:sz w:val="20"/>
          <w:szCs w:val="20"/>
        </w:rPr>
        <w:t>gh 2025, respectively, and no amounts thereafter.</w:t>
      </w:r>
    </w:p>
    <w:p w:rsidR="00000000" w:rsidRDefault="00786A01">
      <w:pPr>
        <w:ind w:firstLine="360"/>
        <w:divId w:val="1183670151"/>
        <w:rPr>
          <w:rFonts w:eastAsia="Times New Roman"/>
        </w:rPr>
      </w:pPr>
      <w:r>
        <w:rPr>
          <w:rFonts w:eastAsia="Times New Roman"/>
          <w:b/>
          <w:bCs/>
          <w:i/>
          <w:iCs/>
          <w:color w:val="000000"/>
          <w:sz w:val="20"/>
          <w:szCs w:val="20"/>
        </w:rPr>
        <w:t>Concentrations.</w:t>
      </w:r>
      <w:r>
        <w:rPr>
          <w:rFonts w:eastAsia="Times New Roman"/>
          <w:color w:val="000000"/>
          <w:sz w:val="20"/>
          <w:szCs w:val="20"/>
        </w:rPr>
        <w:t xml:space="preserve"> A significant portion of our revenues are concentrated with a small number of customers/licensees of our QCT and QTL segments. The comparability of customer/licensee concentrations for the i</w:t>
      </w:r>
      <w:r>
        <w:rPr>
          <w:rFonts w:eastAsia="Times New Roman"/>
          <w:color w:val="000000"/>
          <w:sz w:val="20"/>
          <w:szCs w:val="20"/>
        </w:rPr>
        <w:t>nterim periods presented are impacted by the timing of customer/licensees device launches and/or innovation cycles and other seasonal trends, among other fluctuations in demand. Revenues from each customer/licensee that were 10% or greater of total revenue</w:t>
      </w:r>
      <w:r>
        <w:rPr>
          <w:rFonts w:eastAsia="Times New Roman"/>
          <w:color w:val="000000"/>
          <w:sz w:val="20"/>
          <w:szCs w:val="20"/>
        </w:rPr>
        <w:t>s were as follows:</w:t>
      </w:r>
    </w:p>
    <w:tbl>
      <w:tblPr>
        <w:tblW w:w="4985" w:type="pct"/>
        <w:tblCellMar>
          <w:top w:w="15" w:type="dxa"/>
          <w:left w:w="15" w:type="dxa"/>
          <w:bottom w:w="15" w:type="dxa"/>
          <w:right w:w="15" w:type="dxa"/>
        </w:tblCellMar>
        <w:tblLook w:val="04A0" w:firstRow="1" w:lastRow="0" w:firstColumn="1" w:lastColumn="0" w:noHBand="0" w:noVBand="1"/>
      </w:tblPr>
      <w:tblGrid>
        <w:gridCol w:w="37"/>
        <w:gridCol w:w="3739"/>
        <w:gridCol w:w="36"/>
        <w:gridCol w:w="47"/>
        <w:gridCol w:w="770"/>
        <w:gridCol w:w="172"/>
        <w:gridCol w:w="37"/>
        <w:gridCol w:w="36"/>
        <w:gridCol w:w="36"/>
        <w:gridCol w:w="47"/>
        <w:gridCol w:w="711"/>
        <w:gridCol w:w="171"/>
        <w:gridCol w:w="36"/>
        <w:gridCol w:w="36"/>
        <w:gridCol w:w="36"/>
        <w:gridCol w:w="47"/>
        <w:gridCol w:w="714"/>
        <w:gridCol w:w="172"/>
        <w:gridCol w:w="37"/>
        <w:gridCol w:w="36"/>
        <w:gridCol w:w="36"/>
        <w:gridCol w:w="47"/>
        <w:gridCol w:w="714"/>
        <w:gridCol w:w="171"/>
        <w:gridCol w:w="36"/>
        <w:gridCol w:w="36"/>
        <w:gridCol w:w="36"/>
        <w:gridCol w:w="36"/>
        <w:gridCol w:w="36"/>
        <w:gridCol w:w="36"/>
        <w:gridCol w:w="36"/>
        <w:gridCol w:w="36"/>
        <w:gridCol w:w="36"/>
        <w:gridCol w:w="36"/>
      </w:tblGrid>
      <w:tr w:rsidR="00000000">
        <w:trPr>
          <w:divId w:val="388499759"/>
        </w:trPr>
        <w:tc>
          <w:tcPr>
            <w:tcW w:w="50" w:type="pct"/>
            <w:vAlign w:val="center"/>
            <w:hideMark/>
          </w:tcPr>
          <w:p w:rsidR="00000000" w:rsidRDefault="00786A01">
            <w:pPr>
              <w:ind w:firstLine="360"/>
              <w:rPr>
                <w:rFonts w:eastAsia="Times New Roman"/>
              </w:rPr>
            </w:pPr>
          </w:p>
        </w:tc>
        <w:tc>
          <w:tcPr>
            <w:tcW w:w="241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388499759"/>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c>
          <w:tcPr>
            <w:tcW w:w="0" w:type="auto"/>
            <w:vAlign w:val="center"/>
            <w:hideMark/>
          </w:tcPr>
          <w:p w:rsidR="00000000" w:rsidRDefault="00786A01">
            <w:pPr>
              <w:jc w:val="cente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388499759"/>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vAlign w:val="center"/>
            <w:hideMark/>
          </w:tcPr>
          <w:p w:rsidR="00000000" w:rsidRDefault="00786A01">
            <w:pPr>
              <w:jc w:val="cente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388499759"/>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388499759"/>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388499759"/>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Customer/licensee (w)</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60" w:type="dxa"/>
            </w:tcMar>
            <w:vAlign w:val="bottom"/>
            <w:hideMark/>
          </w:tcPr>
          <w:p w:rsidR="00000000" w:rsidRDefault="00786A01">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vAlign w:val="center"/>
            <w:hideMark/>
          </w:tcPr>
          <w:p w:rsidR="00000000" w:rsidRDefault="00786A01">
            <w:pPr>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388499759"/>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388499759"/>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Customer/licensee (x)</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vAlign w:val="center"/>
            <w:hideMark/>
          </w:tcPr>
          <w:p w:rsidR="00000000" w:rsidRDefault="00786A01">
            <w:pPr>
              <w:jc w:val="right"/>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388499759"/>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Customer/licensee (y)</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vAlign w:val="center"/>
            <w:hideMark/>
          </w:tcPr>
          <w:p w:rsidR="00000000" w:rsidRDefault="00786A01">
            <w:pPr>
              <w:jc w:val="right"/>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388499759"/>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Customer/licensee (z)</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786A01">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786A01">
            <w:pPr>
              <w:jc w:val="right"/>
              <w:rPr>
                <w:rFonts w:eastAsia="Times New Roman"/>
              </w:rPr>
            </w:pPr>
            <w:r>
              <w:rPr>
                <w:rFonts w:eastAsia="Times New Roman"/>
                <w:color w:val="000000"/>
                <w:sz w:val="18"/>
                <w:szCs w:val="18"/>
              </w:rPr>
              <w:t>*</w:t>
            </w:r>
          </w:p>
        </w:tc>
        <w:tc>
          <w:tcPr>
            <w:tcW w:w="0" w:type="auto"/>
            <w:vAlign w:val="center"/>
            <w:hideMark/>
          </w:tcPr>
          <w:p w:rsidR="00000000" w:rsidRDefault="00786A01">
            <w:pPr>
              <w:jc w:val="right"/>
              <w:rPr>
                <w:rFonts w:eastAsia="Times New Roman"/>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bl>
    <w:p w:rsidR="00000000" w:rsidRDefault="00786A01">
      <w:pPr>
        <w:ind w:firstLine="360"/>
        <w:divId w:val="1329361150"/>
        <w:rPr>
          <w:rFonts w:eastAsia="Times New Roman"/>
        </w:rPr>
      </w:pPr>
      <w:r>
        <w:rPr>
          <w:rFonts w:eastAsia="Times New Roman"/>
          <w:color w:val="000000"/>
          <w:sz w:val="18"/>
          <w:szCs w:val="18"/>
        </w:rPr>
        <w:t>* Less than 10%</w:t>
      </w:r>
    </w:p>
    <w:p w:rsidR="00000000" w:rsidRDefault="00786A01">
      <w:pPr>
        <w:ind w:firstLine="360"/>
        <w:divId w:val="1643583534"/>
        <w:rPr>
          <w:rFonts w:eastAsia="Times New Roman"/>
        </w:rPr>
      </w:pPr>
      <w:r>
        <w:rPr>
          <w:rFonts w:eastAsia="Times New Roman"/>
          <w:color w:val="000000"/>
          <w:sz w:val="20"/>
          <w:szCs w:val="20"/>
        </w:rPr>
        <w:t xml:space="preserve">Accounts receivable at March 28, 2021 and September 27, 2020 </w:t>
      </w:r>
      <w:r>
        <w:rPr>
          <w:rFonts w:eastAsia="Times New Roman"/>
          <w:color w:val="000000"/>
          <w:sz w:val="20"/>
          <w:szCs w:val="20"/>
        </w:rPr>
        <w:t>included approximately $700 million and $1.3 billion, respectively, excluding the impact of foreign withholding taxes, from Huawei related to the remaining amounts due under the previously disclosed settlement agreement to be paid in installments by the en</w:t>
      </w:r>
      <w:r>
        <w:rPr>
          <w:rFonts w:eastAsia="Times New Roman"/>
          <w:color w:val="000000"/>
          <w:sz w:val="20"/>
          <w:szCs w:val="20"/>
        </w:rPr>
        <w:t>d of June 2021 and estimated royalties for sales made in the March 2021 and September 2020 quarters, respectively, under the global patent license agreement with Huawei. Subsequent to March 28, 2021, Huawei paid the third installment of $300 million (exclu</w:t>
      </w:r>
      <w:r>
        <w:rPr>
          <w:rFonts w:eastAsia="Times New Roman"/>
          <w:color w:val="000000"/>
          <w:sz w:val="20"/>
          <w:szCs w:val="20"/>
        </w:rPr>
        <w:t>ding the impact of foreign withholding taxes) under the settlement agreement in accordance with the agreed upon payment schedule.</w:t>
      </w:r>
    </w:p>
    <w:p w:rsidR="00000000" w:rsidRDefault="00786A01">
      <w:pPr>
        <w:ind w:firstLine="360"/>
        <w:divId w:val="986008343"/>
        <w:rPr>
          <w:rFonts w:eastAsia="Times New Roman"/>
        </w:rPr>
      </w:pPr>
      <w:r>
        <w:rPr>
          <w:rFonts w:eastAsia="Times New Roman"/>
          <w:b/>
          <w:bCs/>
          <w:i/>
          <w:iCs/>
          <w:color w:val="000000"/>
          <w:sz w:val="20"/>
          <w:szCs w:val="20"/>
        </w:rPr>
        <w:t xml:space="preserve">Other Income, Costs and Expenses. </w:t>
      </w:r>
      <w:r>
        <w:rPr>
          <w:rFonts w:eastAsia="Times New Roman"/>
          <w:color w:val="000000"/>
          <w:sz w:val="20"/>
          <w:szCs w:val="20"/>
        </w:rPr>
        <w:t>Other income in the three and six months ended March 29, 2020 consisted of a $23 million gai</w:t>
      </w:r>
      <w:r>
        <w:rPr>
          <w:rFonts w:eastAsia="Times New Roman"/>
          <w:color w:val="000000"/>
          <w:sz w:val="20"/>
          <w:szCs w:val="20"/>
        </w:rPr>
        <w:t xml:space="preserve">n related to a favorable legal settlement. </w:t>
      </w:r>
    </w:p>
    <w:tbl>
      <w:tblPr>
        <w:tblW w:w="4985" w:type="pct"/>
        <w:tblCellMar>
          <w:top w:w="15" w:type="dxa"/>
          <w:left w:w="15" w:type="dxa"/>
          <w:bottom w:w="15" w:type="dxa"/>
          <w:right w:w="15" w:type="dxa"/>
        </w:tblCellMar>
        <w:tblLook w:val="04A0" w:firstRow="1" w:lastRow="0" w:firstColumn="1" w:lastColumn="0" w:noHBand="0" w:noVBand="1"/>
      </w:tblPr>
      <w:tblGrid>
        <w:gridCol w:w="40"/>
        <w:gridCol w:w="3950"/>
        <w:gridCol w:w="40"/>
        <w:gridCol w:w="111"/>
        <w:gridCol w:w="862"/>
        <w:gridCol w:w="37"/>
        <w:gridCol w:w="36"/>
        <w:gridCol w:w="36"/>
        <w:gridCol w:w="36"/>
        <w:gridCol w:w="111"/>
        <w:gridCol w:w="824"/>
        <w:gridCol w:w="36"/>
        <w:gridCol w:w="36"/>
        <w:gridCol w:w="36"/>
        <w:gridCol w:w="36"/>
        <w:gridCol w:w="111"/>
        <w:gridCol w:w="824"/>
        <w:gridCol w:w="37"/>
        <w:gridCol w:w="36"/>
        <w:gridCol w:w="36"/>
        <w:gridCol w:w="36"/>
        <w:gridCol w:w="111"/>
        <w:gridCol w:w="826"/>
        <w:gridCol w:w="37"/>
      </w:tblGrid>
      <w:tr w:rsidR="00000000">
        <w:trPr>
          <w:divId w:val="1722632648"/>
        </w:trPr>
        <w:tc>
          <w:tcPr>
            <w:tcW w:w="50" w:type="pct"/>
            <w:vAlign w:val="center"/>
            <w:hideMark/>
          </w:tcPr>
          <w:p w:rsidR="00000000" w:rsidRDefault="00786A01">
            <w:pPr>
              <w:ind w:firstLine="360"/>
              <w:rPr>
                <w:rFonts w:eastAsia="Times New Roman"/>
              </w:rPr>
            </w:pPr>
          </w:p>
        </w:tc>
        <w:tc>
          <w:tcPr>
            <w:tcW w:w="241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722632648"/>
        </w:trPr>
        <w:tc>
          <w:tcPr>
            <w:tcW w:w="0" w:type="auto"/>
            <w:gridSpan w:val="6"/>
            <w:tcMar>
              <w:top w:w="30" w:type="dxa"/>
              <w:left w:w="20" w:type="dxa"/>
              <w:bottom w:w="30" w:type="dxa"/>
              <w:right w:w="20" w:type="dxa"/>
            </w:tcMar>
            <w:vAlign w:val="bottom"/>
            <w:hideMark/>
          </w:tcPr>
          <w:p w:rsidR="00000000" w:rsidRDefault="00786A01">
            <w:pPr>
              <w:divId w:val="1037586154"/>
              <w:rPr>
                <w:rFonts w:eastAsia="Times New Roman"/>
              </w:rPr>
            </w:pPr>
            <w:r>
              <w:rPr>
                <w:rFonts w:eastAsia="Times New Roman"/>
                <w:b/>
                <w:bCs/>
                <w:i/>
                <w:iCs/>
                <w:color w:val="000000"/>
                <w:sz w:val="20"/>
                <w:szCs w:val="20"/>
              </w:rPr>
              <w:t>Investment and Other Income (Expense), Net (in millions)</w:t>
            </w:r>
          </w:p>
        </w:tc>
        <w:tc>
          <w:tcPr>
            <w:tcW w:w="0" w:type="auto"/>
            <w:gridSpan w:val="3"/>
            <w:tcMar>
              <w:top w:w="0" w:type="dxa"/>
              <w:left w:w="20" w:type="dxa"/>
              <w:bottom w:w="0" w:type="dxa"/>
              <w:right w:w="20" w:type="dxa"/>
            </w:tcMar>
            <w:vAlign w:val="center"/>
            <w:hideMark/>
          </w:tcPr>
          <w:p w:rsidR="00000000" w:rsidRDefault="00786A01">
            <w:pPr>
              <w:rPr>
                <w:rFonts w:eastAsia="Times New Roman"/>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722632648"/>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rPr>
          <w:divId w:val="1722632648"/>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r>
      <w:tr w:rsidR="00000000">
        <w:trPr>
          <w:divId w:val="1722632648"/>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Interest and dividend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722632648"/>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(losses) gains on 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(85)</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722632648"/>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gains (losses) on other investments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209 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722632648"/>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722632648"/>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gains (losses) on deferred compensation plan assets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(72)</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(42)</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722632648"/>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Impairment losses on other investments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(265)</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(337)</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722632648"/>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xml:space="preserve">Net (losses) gains on derivative investments </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722632648"/>
        </w:trPr>
        <w:tc>
          <w:tcPr>
            <w:tcW w:w="0" w:type="auto"/>
            <w:gridSpan w:val="3"/>
            <w:shd w:val="clear" w:color="auto" w:fill="CCEEFF"/>
            <w:tcMar>
              <w:top w:w="30" w:type="dxa"/>
              <w:left w:w="20" w:type="dxa"/>
              <w:bottom w:w="30" w:type="dxa"/>
              <w:right w:w="20" w:type="dxa"/>
            </w:tcMar>
            <w:vAlign w:val="center"/>
            <w:hideMark/>
          </w:tcPr>
          <w:p w:rsidR="00000000" w:rsidRDefault="00786A01">
            <w:pPr>
              <w:rPr>
                <w:rFonts w:eastAsia="Times New Roman"/>
              </w:rPr>
            </w:pPr>
            <w:r>
              <w:rPr>
                <w:rFonts w:eastAsia="Times New Roman"/>
                <w:color w:val="000000"/>
                <w:sz w:val="18"/>
                <w:szCs w:val="18"/>
              </w:rPr>
              <w:t>Equity in net earnings (losses) of investees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722632648"/>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(losses) gains on foreign currency transactions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722632648"/>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722632648"/>
        </w:trPr>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(182)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bl>
    <w:p w:rsidR="00000000" w:rsidRDefault="00786A01">
      <w:pPr>
        <w:jc w:val="center"/>
        <w:divId w:val="228346492"/>
        <w:rPr>
          <w:rFonts w:eastAsia="Times New Roman"/>
        </w:rPr>
      </w:pPr>
      <w:r>
        <w:rPr>
          <w:rFonts w:eastAsia="Times New Roman"/>
          <w:color w:val="000000"/>
          <w:sz w:val="20"/>
          <w:szCs w:val="20"/>
        </w:rPr>
        <w:t>13</w:t>
      </w:r>
    </w:p>
    <w:p w:rsidR="00000000" w:rsidRDefault="00786A01">
      <w:pPr>
        <w:rPr>
          <w:rFonts w:eastAsia="Times New Roman"/>
        </w:rPr>
      </w:pPr>
      <w:r>
        <w:rPr>
          <w:rFonts w:eastAsia="Times New Roman"/>
        </w:rPr>
        <w:pict>
          <v:rect id="_x0000_i1036" style="width:0;height:1.5pt" o:hralign="center" o:hrstd="t" o:hr="t" fillcolor="#a0a0a0" stroked="f"/>
        </w:pict>
      </w:r>
    </w:p>
    <w:p w:rsidR="00000000" w:rsidRDefault="00786A01">
      <w:pPr>
        <w:jc w:val="center"/>
        <w:divId w:val="715085154"/>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715085154"/>
          <w:jc w:val="center"/>
        </w:trPr>
        <w:tc>
          <w:tcPr>
            <w:tcW w:w="50" w:type="pct"/>
            <w:vAlign w:val="center"/>
            <w:hideMark/>
          </w:tcPr>
          <w:p w:rsidR="00000000" w:rsidRDefault="00786A01">
            <w:pPr>
              <w:jc w:val="center"/>
              <w:rPr>
                <w:rFonts w:eastAsia="Times New Roman"/>
              </w:rPr>
            </w:pPr>
          </w:p>
        </w:tc>
        <w:tc>
          <w:tcPr>
            <w:tcW w:w="933"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8"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r>
      <w:tr w:rsidR="00000000">
        <w:trPr>
          <w:divId w:val="715085154"/>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QUALCOMM Incorporated</w:t>
            </w:r>
          </w:p>
        </w:tc>
      </w:tr>
      <w:tr w:rsidR="00000000">
        <w:trPr>
          <w:divId w:val="715085154"/>
          <w:jc w:val="center"/>
        </w:trPr>
        <w:tc>
          <w:tcPr>
            <w:tcW w:w="0" w:type="auto"/>
            <w:gridSpan w:val="3"/>
            <w:vAlign w:val="center"/>
            <w:hideMark/>
          </w:tcPr>
          <w:p w:rsidR="00000000" w:rsidRDefault="00786A01">
            <w:pPr>
              <w:spacing w:after="100"/>
              <w:jc w:val="center"/>
              <w:rPr>
                <w:rFonts w:eastAsia="Times New Roman"/>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r>
      <w:tr w:rsidR="00000000">
        <w:trPr>
          <w:divId w:val="715085154"/>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715085154"/>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(Unaudited)</w:t>
            </w:r>
          </w:p>
        </w:tc>
      </w:tr>
    </w:tbl>
    <w:p w:rsidR="00000000" w:rsidRDefault="00786A01">
      <w:pPr>
        <w:divId w:val="785853862"/>
        <w:rPr>
          <w:rFonts w:eastAsia="Times New Roman"/>
        </w:rPr>
      </w:pPr>
      <w:r>
        <w:rPr>
          <w:rFonts w:eastAsia="Times New Roman"/>
          <w:b/>
          <w:bCs/>
          <w:color w:val="000000"/>
          <w:sz w:val="20"/>
          <w:szCs w:val="20"/>
        </w:rPr>
        <w:t>Note 3. Income Taxes</w:t>
      </w:r>
    </w:p>
    <w:p w:rsidR="00000000" w:rsidRDefault="00786A01">
      <w:pPr>
        <w:ind w:firstLine="360"/>
        <w:divId w:val="1050886587"/>
        <w:rPr>
          <w:rFonts w:eastAsia="Times New Roman"/>
        </w:rPr>
      </w:pPr>
      <w:r>
        <w:rPr>
          <w:rFonts w:eastAsia="Times New Roman"/>
          <w:color w:val="000000"/>
          <w:sz w:val="20"/>
          <w:szCs w:val="20"/>
        </w:rPr>
        <w:t>We estimate our annual effective income tax rate to be 12</w:t>
      </w:r>
      <w:r>
        <w:rPr>
          <w:rFonts w:eastAsia="Times New Roman"/>
          <w:color w:val="000000"/>
          <w:sz w:val="20"/>
          <w:szCs w:val="20"/>
        </w:rPr>
        <w:t>% for fiscal 2021, which is lower than the U.S. federal statutory rate, primarily due to a significant portion of our income qualifying for preferential treatment as foreign-derived intangible income (FDII) at a 13% effective tax rate, benefits from our fe</w:t>
      </w:r>
      <w:r>
        <w:rPr>
          <w:rFonts w:eastAsia="Times New Roman"/>
          <w:color w:val="000000"/>
          <w:sz w:val="20"/>
          <w:szCs w:val="20"/>
        </w:rPr>
        <w:t>deral research and development tax credit and excess tax benefits associated with share-based awards. The effective tax rate of 17% for the second quarter of fiscal 2021 was higher than the estimated annual effective tax rate of 12% primarily due to $87 mi</w:t>
      </w:r>
      <w:r>
        <w:rPr>
          <w:rFonts w:eastAsia="Times New Roman"/>
          <w:color w:val="000000"/>
          <w:sz w:val="20"/>
          <w:szCs w:val="20"/>
        </w:rPr>
        <w:t>llion of discrete net tax charges recorded in the second quarter of fiscal 2021, which principally related to a tax audit settlement with the Internal Revenue Service and foreign currency losses on a noncurrent receivable related to our refund claim of Kor</w:t>
      </w:r>
      <w:r>
        <w:rPr>
          <w:rFonts w:eastAsia="Times New Roman"/>
          <w:color w:val="000000"/>
          <w:sz w:val="20"/>
          <w:szCs w:val="20"/>
        </w:rPr>
        <w:t>ean withholding tax. The effective tax rate of 22% for the second quarter of fiscal 2020 included $28 million of discrete net tax charges recorded in the second quarter of fiscal 2020, which principally related to foreign currency losses on a noncurrent re</w:t>
      </w:r>
      <w:r>
        <w:rPr>
          <w:rFonts w:eastAsia="Times New Roman"/>
          <w:color w:val="000000"/>
          <w:sz w:val="20"/>
          <w:szCs w:val="20"/>
        </w:rPr>
        <w:t xml:space="preserve">ceivable related to our refund claim of Korean withholding tax. </w:t>
      </w:r>
    </w:p>
    <w:p w:rsidR="00000000" w:rsidRDefault="00786A01">
      <w:pPr>
        <w:ind w:firstLine="360"/>
        <w:divId w:val="1333534715"/>
        <w:rPr>
          <w:rFonts w:eastAsia="Times New Roman"/>
        </w:rPr>
      </w:pPr>
      <w:r>
        <w:rPr>
          <w:rFonts w:eastAsia="Times New Roman"/>
          <w:color w:val="000000"/>
          <w:sz w:val="20"/>
          <w:szCs w:val="20"/>
        </w:rPr>
        <w:t>Unrecognized tax benefits were $2.0 billion and $1.9 billion at March 28, 2021 and September 27, 2020, respectively, and primarily related to our refund claim of Korean withholding tax. If su</w:t>
      </w:r>
      <w:r>
        <w:rPr>
          <w:rFonts w:eastAsia="Times New Roman"/>
          <w:color w:val="000000"/>
          <w:sz w:val="20"/>
          <w:szCs w:val="20"/>
        </w:rPr>
        <w:t>ccessful, the refund will result in a corresponding reduction in U.S. foreign tax credits. We expect that the total amount of unrecognized tax benefits at March 28, 2021 will increase in the next 12 months as licensees in Korea continue to withhold taxes o</w:t>
      </w:r>
      <w:r>
        <w:rPr>
          <w:rFonts w:eastAsia="Times New Roman"/>
          <w:color w:val="000000"/>
          <w:sz w:val="20"/>
          <w:szCs w:val="20"/>
        </w:rPr>
        <w:t>n future payments due under their licensing agreements at a rate higher than we believe is owed; such increase is not expected to have a significant impact on our income tax provision.</w:t>
      </w:r>
    </w:p>
    <w:p w:rsidR="00000000" w:rsidRDefault="00786A01">
      <w:pPr>
        <w:divId w:val="1932154880"/>
        <w:rPr>
          <w:rFonts w:eastAsia="Times New Roman"/>
        </w:rPr>
      </w:pPr>
      <w:r>
        <w:rPr>
          <w:rFonts w:eastAsia="Times New Roman"/>
          <w:b/>
          <w:bCs/>
          <w:color w:val="000000"/>
          <w:sz w:val="20"/>
          <w:szCs w:val="20"/>
        </w:rPr>
        <w:t>Note 4. Capital Stock</w:t>
      </w:r>
    </w:p>
    <w:p w:rsidR="00000000" w:rsidRDefault="00786A01">
      <w:pPr>
        <w:ind w:firstLine="360"/>
        <w:divId w:val="141628946"/>
        <w:rPr>
          <w:rFonts w:eastAsia="Times New Roman"/>
        </w:rPr>
      </w:pPr>
      <w:r>
        <w:rPr>
          <w:rFonts w:eastAsia="Times New Roman"/>
          <w:b/>
          <w:bCs/>
          <w:i/>
          <w:iCs/>
          <w:color w:val="000000"/>
          <w:sz w:val="20"/>
          <w:szCs w:val="20"/>
        </w:rPr>
        <w:t xml:space="preserve">Stock Repurchase Program. </w:t>
      </w:r>
      <w:r>
        <w:rPr>
          <w:rFonts w:eastAsia="Times New Roman"/>
          <w:color w:val="000000"/>
          <w:sz w:val="20"/>
          <w:szCs w:val="20"/>
        </w:rPr>
        <w:t>On July 26, 2018, we announced a stock repurchase program authorizing us to repurchase up to $30 billion of our common stock. The stock repurchase program has no expiration date.</w:t>
      </w:r>
    </w:p>
    <w:p w:rsidR="00000000" w:rsidRDefault="00786A01">
      <w:pPr>
        <w:ind w:firstLine="360"/>
        <w:divId w:val="977222848"/>
        <w:rPr>
          <w:rFonts w:eastAsia="Times New Roman"/>
        </w:rPr>
      </w:pPr>
      <w:r>
        <w:rPr>
          <w:rFonts w:eastAsia="Times New Roman"/>
          <w:color w:val="000000"/>
          <w:sz w:val="20"/>
          <w:szCs w:val="20"/>
        </w:rPr>
        <w:t>In the six months ended March 28, 2021 and March 29</w:t>
      </w:r>
      <w:r>
        <w:rPr>
          <w:rFonts w:eastAsia="Times New Roman"/>
          <w:color w:val="000000"/>
          <w:sz w:val="20"/>
          <w:szCs w:val="20"/>
        </w:rPr>
        <w:t>, 2020, we repurchased and retired 14 million and 29 million shares, respectively, for $2.0 billion and $2.3 billion, respectively, before commissions. To reflect share repurchases in the consolidated balance sheet, we (i) reduce common stock for the par v</w:t>
      </w:r>
      <w:r>
        <w:rPr>
          <w:rFonts w:eastAsia="Times New Roman"/>
          <w:color w:val="000000"/>
          <w:sz w:val="20"/>
          <w:szCs w:val="20"/>
        </w:rPr>
        <w:t>alue of the shares, (ii) reduce paid-in capital for the amount in excess of par to zero during the quarter in which the shares are repurchased and (iii) record the residual amount, if any, to retained earnings. At March 28, 2021, $2.6 billion remained auth</w:t>
      </w:r>
      <w:r>
        <w:rPr>
          <w:rFonts w:eastAsia="Times New Roman"/>
          <w:color w:val="000000"/>
          <w:sz w:val="20"/>
          <w:szCs w:val="20"/>
        </w:rPr>
        <w:t xml:space="preserve">orized for repurchase under our stock repurchase program. </w:t>
      </w:r>
    </w:p>
    <w:p w:rsidR="00000000" w:rsidRDefault="00786A01">
      <w:pPr>
        <w:ind w:firstLine="360"/>
        <w:divId w:val="845439339"/>
        <w:rPr>
          <w:rFonts w:eastAsia="Times New Roman"/>
        </w:rPr>
      </w:pPr>
      <w:r>
        <w:rPr>
          <w:rFonts w:eastAsia="Times New Roman"/>
          <w:b/>
          <w:bCs/>
          <w:i/>
          <w:iCs/>
          <w:color w:val="000000"/>
          <w:sz w:val="20"/>
          <w:szCs w:val="20"/>
        </w:rPr>
        <w:t>Dividends.</w:t>
      </w:r>
      <w:r>
        <w:rPr>
          <w:rFonts w:eastAsia="Times New Roman"/>
          <w:color w:val="000000"/>
          <w:sz w:val="20"/>
          <w:szCs w:val="20"/>
        </w:rPr>
        <w:t xml:space="preserve"> On March 10, 2021, we announced a 5% increase in our quarterly dividend per share of common stock from $0.65 to $0.68, which is effective for dividends payable after March 25, 2021. On A</w:t>
      </w:r>
      <w:r>
        <w:rPr>
          <w:rFonts w:eastAsia="Times New Roman"/>
          <w:color w:val="000000"/>
          <w:sz w:val="20"/>
          <w:szCs w:val="20"/>
        </w:rPr>
        <w:t xml:space="preserve">pril 14, 2021, we announced a cash dividend of $0.68 per share on our common stock, payable on June 24, 2021 to stockholders of record as of the close of business on June 3, 2021. </w:t>
      </w:r>
    </w:p>
    <w:p w:rsidR="00000000" w:rsidRDefault="00786A01">
      <w:pPr>
        <w:ind w:firstLine="360"/>
        <w:divId w:val="1962027086"/>
        <w:rPr>
          <w:rFonts w:eastAsia="Times New Roman"/>
        </w:rPr>
      </w:pPr>
      <w:r>
        <w:rPr>
          <w:rFonts w:eastAsia="Times New Roman"/>
          <w:b/>
          <w:bCs/>
          <w:i/>
          <w:iCs/>
          <w:color w:val="000000"/>
          <w:sz w:val="20"/>
          <w:szCs w:val="20"/>
        </w:rPr>
        <w:t xml:space="preserve">Earnings Per Common Share. </w:t>
      </w:r>
      <w:r>
        <w:rPr>
          <w:rFonts w:eastAsia="Times New Roman"/>
          <w:color w:val="000000"/>
          <w:sz w:val="20"/>
          <w:szCs w:val="20"/>
        </w:rPr>
        <w:t>Basic earnings per common share is computed by d</w:t>
      </w:r>
      <w:r>
        <w:rPr>
          <w:rFonts w:eastAsia="Times New Roman"/>
          <w:color w:val="000000"/>
          <w:sz w:val="20"/>
          <w:szCs w:val="20"/>
        </w:rPr>
        <w:t>ividing net income by the weighted-average number of common shares outstanding during the reporting period. Diluted earnings per share is computed by dividing net income by the combination of the weighted-average number of dilutive common share equivalents</w:t>
      </w:r>
      <w:r>
        <w:rPr>
          <w:rFonts w:eastAsia="Times New Roman"/>
          <w:color w:val="000000"/>
          <w:sz w:val="20"/>
          <w:szCs w:val="20"/>
        </w:rPr>
        <w:t xml:space="preserve">, comprised of shares issuable under our share-based compensation plans and the weighted-average number of common shares outstanding during the reporting period. The following table provides information about the diluted earnings per share calculation (in </w:t>
      </w:r>
      <w:r>
        <w:rPr>
          <w:rFonts w:eastAsia="Times New Roman"/>
          <w:color w:val="000000"/>
          <w:sz w:val="20"/>
          <w:szCs w:val="20"/>
        </w:rPr>
        <w:t>millions):</w:t>
      </w:r>
    </w:p>
    <w:tbl>
      <w:tblPr>
        <w:tblW w:w="4985" w:type="pct"/>
        <w:tblCellMar>
          <w:top w:w="15" w:type="dxa"/>
          <w:left w:w="15" w:type="dxa"/>
          <w:bottom w:w="15" w:type="dxa"/>
          <w:right w:w="15" w:type="dxa"/>
        </w:tblCellMar>
        <w:tblLook w:val="04A0" w:firstRow="1" w:lastRow="0" w:firstColumn="1" w:lastColumn="0" w:noHBand="0" w:noVBand="1"/>
      </w:tblPr>
      <w:tblGrid>
        <w:gridCol w:w="59"/>
        <w:gridCol w:w="3977"/>
        <w:gridCol w:w="37"/>
        <w:gridCol w:w="59"/>
        <w:gridCol w:w="885"/>
        <w:gridCol w:w="38"/>
        <w:gridCol w:w="37"/>
        <w:gridCol w:w="36"/>
        <w:gridCol w:w="36"/>
        <w:gridCol w:w="47"/>
        <w:gridCol w:w="882"/>
        <w:gridCol w:w="37"/>
        <w:gridCol w:w="36"/>
        <w:gridCol w:w="36"/>
        <w:gridCol w:w="36"/>
        <w:gridCol w:w="47"/>
        <w:gridCol w:w="882"/>
        <w:gridCol w:w="38"/>
        <w:gridCol w:w="37"/>
        <w:gridCol w:w="36"/>
        <w:gridCol w:w="36"/>
        <w:gridCol w:w="47"/>
        <w:gridCol w:w="883"/>
        <w:gridCol w:w="37"/>
      </w:tblGrid>
      <w:tr w:rsidR="00000000">
        <w:trPr>
          <w:divId w:val="346951192"/>
        </w:trPr>
        <w:tc>
          <w:tcPr>
            <w:tcW w:w="50" w:type="pct"/>
            <w:vAlign w:val="center"/>
            <w:hideMark/>
          </w:tcPr>
          <w:p w:rsidR="00000000" w:rsidRDefault="00786A01">
            <w:pPr>
              <w:ind w:firstLine="360"/>
              <w:rPr>
                <w:rFonts w:eastAsia="Times New Roman"/>
              </w:rPr>
            </w:pPr>
          </w:p>
        </w:tc>
        <w:tc>
          <w:tcPr>
            <w:tcW w:w="241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346951192"/>
        </w:trPr>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rPr>
          <w:divId w:val="346951192"/>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r>
      <w:tr w:rsidR="00000000">
        <w:trPr>
          <w:divId w:val="346951192"/>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Dilutive common share equivalents included in diluted shares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346951192"/>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Shares of common stock equivalents not included because the effect would be anti-dilutive or certain performance conditions were not satisfied at the end of the period</w:t>
            </w: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r>
    </w:tbl>
    <w:p w:rsidR="00000000" w:rsidRDefault="00786A01">
      <w:pPr>
        <w:divId w:val="1069307610"/>
        <w:rPr>
          <w:rFonts w:eastAsia="Times New Roman"/>
        </w:rPr>
      </w:pPr>
      <w:r>
        <w:rPr>
          <w:rFonts w:eastAsia="Times New Roman"/>
          <w:b/>
          <w:bCs/>
          <w:color w:val="000000"/>
          <w:sz w:val="20"/>
          <w:szCs w:val="20"/>
        </w:rPr>
        <w:t>Note 5. Commitments and Contingencies</w:t>
      </w:r>
    </w:p>
    <w:p w:rsidR="00000000" w:rsidRDefault="00786A01">
      <w:pPr>
        <w:ind w:firstLine="360"/>
        <w:divId w:val="2141458354"/>
        <w:rPr>
          <w:rFonts w:eastAsia="Times New Roman"/>
        </w:rPr>
      </w:pPr>
      <w:r>
        <w:rPr>
          <w:rFonts w:eastAsia="Times New Roman"/>
          <w:b/>
          <w:bCs/>
          <w:i/>
          <w:iCs/>
          <w:color w:val="000000"/>
          <w:sz w:val="20"/>
          <w:szCs w:val="20"/>
        </w:rPr>
        <w:t>Legal and Regulatory Proceedings.</w:t>
      </w:r>
    </w:p>
    <w:p w:rsidR="00000000" w:rsidRDefault="00786A01">
      <w:pPr>
        <w:ind w:firstLine="360"/>
        <w:divId w:val="755904309"/>
        <w:rPr>
          <w:rFonts w:eastAsia="Times New Roman"/>
        </w:rPr>
      </w:pPr>
      <w:r>
        <w:rPr>
          <w:rFonts w:eastAsia="Times New Roman"/>
          <w:i/>
          <w:iCs/>
          <w:color w:val="000000"/>
          <w:sz w:val="20"/>
          <w:szCs w:val="20"/>
        </w:rPr>
        <w:t>Consolidated Securities Class Action Lawsuit:</w:t>
      </w:r>
      <w:r>
        <w:rPr>
          <w:rFonts w:eastAsia="Times New Roman"/>
          <w:color w:val="000000"/>
          <w:sz w:val="20"/>
          <w:szCs w:val="20"/>
        </w:rPr>
        <w:t xml:space="preserve"> On January 23, 2017 and January</w:t>
      </w:r>
      <w:r>
        <w:rPr>
          <w:rFonts w:eastAsia="Times New Roman"/>
          <w:color w:val="000000"/>
          <w:sz w:val="20"/>
          <w:szCs w:val="20"/>
        </w:rPr>
        <w:t xml:space="preserve"> 26, 2017, securities class action complaints were filed by purported stockholders of us in the United States District Court for the Southern District of California against us and certain of our current and former officers and directors. The complaints all</w:t>
      </w:r>
      <w:r>
        <w:rPr>
          <w:rFonts w:eastAsia="Times New Roman"/>
          <w:color w:val="000000"/>
          <w:sz w:val="20"/>
          <w:szCs w:val="20"/>
        </w:rPr>
        <w:t xml:space="preserve">eged, among other things, that we violated Sections 10(b) and 20(a) of the Securities Exchange Act of 1934, as amended, and Rule 10b-5 thereunder, by </w:t>
      </w:r>
    </w:p>
    <w:p w:rsidR="00000000" w:rsidRDefault="00786A01">
      <w:pPr>
        <w:jc w:val="center"/>
        <w:divId w:val="129831500"/>
        <w:rPr>
          <w:rFonts w:eastAsia="Times New Roman"/>
        </w:rPr>
      </w:pPr>
      <w:r>
        <w:rPr>
          <w:rFonts w:eastAsia="Times New Roman"/>
          <w:color w:val="000000"/>
          <w:sz w:val="20"/>
          <w:szCs w:val="20"/>
        </w:rPr>
        <w:t>14</w:t>
      </w:r>
    </w:p>
    <w:p w:rsidR="00000000" w:rsidRDefault="00786A01">
      <w:pPr>
        <w:rPr>
          <w:rFonts w:eastAsia="Times New Roman"/>
        </w:rPr>
      </w:pPr>
      <w:r>
        <w:rPr>
          <w:rFonts w:eastAsia="Times New Roman"/>
        </w:rPr>
        <w:pict>
          <v:rect id="_x0000_i1037" style="width:0;height:1.5pt" o:hralign="center" o:hrstd="t" o:hr="t" fillcolor="#a0a0a0" stroked="f"/>
        </w:pict>
      </w:r>
    </w:p>
    <w:p w:rsidR="00000000" w:rsidRDefault="00786A01">
      <w:pPr>
        <w:jc w:val="center"/>
        <w:divId w:val="500858354"/>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500858354"/>
          <w:jc w:val="center"/>
        </w:trPr>
        <w:tc>
          <w:tcPr>
            <w:tcW w:w="50" w:type="pct"/>
            <w:vAlign w:val="center"/>
            <w:hideMark/>
          </w:tcPr>
          <w:p w:rsidR="00000000" w:rsidRDefault="00786A01">
            <w:pPr>
              <w:jc w:val="center"/>
              <w:rPr>
                <w:rFonts w:eastAsia="Times New Roman"/>
              </w:rPr>
            </w:pPr>
          </w:p>
        </w:tc>
        <w:tc>
          <w:tcPr>
            <w:tcW w:w="933"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8"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r>
      <w:tr w:rsidR="00000000">
        <w:trPr>
          <w:divId w:val="500858354"/>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QUALCOMM Incorporated</w:t>
            </w:r>
          </w:p>
        </w:tc>
      </w:tr>
      <w:tr w:rsidR="00000000">
        <w:trPr>
          <w:divId w:val="500858354"/>
          <w:jc w:val="center"/>
        </w:trPr>
        <w:tc>
          <w:tcPr>
            <w:tcW w:w="0" w:type="auto"/>
            <w:gridSpan w:val="3"/>
            <w:vAlign w:val="center"/>
            <w:hideMark/>
          </w:tcPr>
          <w:p w:rsidR="00000000" w:rsidRDefault="00786A01">
            <w:pPr>
              <w:spacing w:after="100"/>
              <w:jc w:val="center"/>
              <w:rPr>
                <w:rFonts w:eastAsia="Times New Roman"/>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r>
      <w:tr w:rsidR="00000000">
        <w:trPr>
          <w:divId w:val="500858354"/>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500858354"/>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(Unaudited)</w:t>
            </w:r>
          </w:p>
        </w:tc>
      </w:tr>
    </w:tbl>
    <w:p w:rsidR="00000000" w:rsidRDefault="00786A01">
      <w:pPr>
        <w:divId w:val="1707560498"/>
        <w:rPr>
          <w:rFonts w:eastAsia="Times New Roman"/>
        </w:rPr>
      </w:pPr>
      <w:r>
        <w:rPr>
          <w:rFonts w:eastAsia="Times New Roman"/>
          <w:color w:val="000000"/>
          <w:sz w:val="20"/>
          <w:szCs w:val="20"/>
        </w:rPr>
        <w:t>making false and misleading statements and omissions of material fact in connection with certain allegations that we are or were engaged in anticompetitive conduct. The complaints sought unspecified damages, interest, fees and costs. On May 4, 2017, the co</w:t>
      </w:r>
      <w:r>
        <w:rPr>
          <w:rFonts w:eastAsia="Times New Roman"/>
          <w:color w:val="000000"/>
          <w:sz w:val="20"/>
          <w:szCs w:val="20"/>
        </w:rPr>
        <w:t xml:space="preserve">urt consolidated the two actions and appointed lead plaintiffs. On July 3, 2017, the lead plaintiffs filed a consolidated amended complaint asserting the same basic theories of liability and requesting the same basic relief. On September 1, 2017, we filed </w:t>
      </w:r>
      <w:r>
        <w:rPr>
          <w:rFonts w:eastAsia="Times New Roman"/>
          <w:color w:val="000000"/>
          <w:sz w:val="20"/>
          <w:szCs w:val="20"/>
        </w:rPr>
        <w:t>a motion to dismiss the consolidated amended complaint. On March 18, 2019, the court denied our motion to dismiss. On January 15, 2020, we filed a motion for judgment on the pleadings. The court has not yet ruled on our motion. We believe the plaintiffs’ c</w:t>
      </w:r>
      <w:r>
        <w:rPr>
          <w:rFonts w:eastAsia="Times New Roman"/>
          <w:color w:val="000000"/>
          <w:sz w:val="20"/>
          <w:szCs w:val="20"/>
        </w:rPr>
        <w:t>laims are without merit.</w:t>
      </w:r>
    </w:p>
    <w:p w:rsidR="00000000" w:rsidRDefault="00786A01">
      <w:pPr>
        <w:ind w:firstLine="360"/>
        <w:divId w:val="65106692"/>
        <w:rPr>
          <w:rFonts w:eastAsia="Times New Roman"/>
        </w:rPr>
      </w:pPr>
      <w:r>
        <w:rPr>
          <w:rFonts w:eastAsia="Times New Roman"/>
          <w:i/>
          <w:iCs/>
          <w:color w:val="000000"/>
          <w:sz w:val="20"/>
          <w:szCs w:val="20"/>
        </w:rPr>
        <w:t xml:space="preserve">In re Qualcomm/Broadcom Merger Securities Litigation: </w:t>
      </w:r>
      <w:r>
        <w:rPr>
          <w:rFonts w:eastAsia="Times New Roman"/>
          <w:color w:val="000000"/>
          <w:sz w:val="20"/>
          <w:szCs w:val="20"/>
        </w:rPr>
        <w:t>On June 8, 2018 and June 26, 2018, securities class action complaints were filed by purported stockholders of us in the United States District Court for the Southern District of</w:t>
      </w:r>
      <w:r>
        <w:rPr>
          <w:rFonts w:eastAsia="Times New Roman"/>
          <w:color w:val="000000"/>
          <w:sz w:val="20"/>
          <w:szCs w:val="20"/>
        </w:rPr>
        <w:t xml:space="preserve"> California against us and two of our then current officers. The complaints alleged, among other things, that we violated Sections 10(b) and 20(a) of the Securities Exchange Act of 1934, as amended, and Rule 10b-5 thereunder, by failing to disclose that we</w:t>
      </w:r>
      <w:r>
        <w:rPr>
          <w:rFonts w:eastAsia="Times New Roman"/>
          <w:color w:val="000000"/>
          <w:sz w:val="20"/>
          <w:szCs w:val="20"/>
        </w:rPr>
        <w:t xml:space="preserve"> had submitted a notice to the Committee on Foreign Investment in the United States (CFIUS) in January 2018. The complaints sought unspecified damages, interest, fees and costs. On January 22, 2019, the court appointed the lead plaintiff in the action. On </w:t>
      </w:r>
      <w:r>
        <w:rPr>
          <w:rFonts w:eastAsia="Times New Roman"/>
          <w:color w:val="000000"/>
          <w:sz w:val="20"/>
          <w:szCs w:val="20"/>
        </w:rPr>
        <w:t>March 18, 2019, the plaintiffs filed a consolidated complaint asserting the same basic theories of liability and requesting the same basic relief. On May 10, 2019, we filed a motion to dismiss the consolidated complaint, and on March 10, 2020, the court gr</w:t>
      </w:r>
      <w:r>
        <w:rPr>
          <w:rFonts w:eastAsia="Times New Roman"/>
          <w:color w:val="000000"/>
          <w:sz w:val="20"/>
          <w:szCs w:val="20"/>
        </w:rPr>
        <w:t>anted our motion. On May 11, 2020, the plaintiffs filed a second amended complaint, and on October 8, 2020, the court granted our motion to dismiss the case with prejudice. On November 7, 2020, the plaintiffs filed a notice of appeal. No hearing date has b</w:t>
      </w:r>
      <w:r>
        <w:rPr>
          <w:rFonts w:eastAsia="Times New Roman"/>
          <w:color w:val="000000"/>
          <w:sz w:val="20"/>
          <w:szCs w:val="20"/>
        </w:rPr>
        <w:t>een set. We believe the plaintiffs’ claims are without merit.</w:t>
      </w:r>
    </w:p>
    <w:p w:rsidR="00000000" w:rsidRDefault="00786A01">
      <w:pPr>
        <w:ind w:firstLine="360"/>
        <w:divId w:val="122433849"/>
        <w:rPr>
          <w:rFonts w:eastAsia="Times New Roman"/>
        </w:rPr>
      </w:pPr>
      <w:r>
        <w:rPr>
          <w:rFonts w:eastAsia="Times New Roman"/>
          <w:i/>
          <w:iCs/>
          <w:color w:val="000000"/>
          <w:sz w:val="20"/>
          <w:szCs w:val="20"/>
        </w:rPr>
        <w:t xml:space="preserve">Consumer Class Action Lawsuits: </w:t>
      </w:r>
      <w:r>
        <w:rPr>
          <w:rFonts w:eastAsia="Times New Roman"/>
          <w:color w:val="000000"/>
          <w:sz w:val="20"/>
          <w:szCs w:val="20"/>
        </w:rPr>
        <w:t>Since January 18, 2017, a number of consumer class action complaints have been filed against us in the United States District Courts for the Southern and Northern</w:t>
      </w:r>
      <w:r>
        <w:rPr>
          <w:rFonts w:eastAsia="Times New Roman"/>
          <w:color w:val="000000"/>
          <w:sz w:val="20"/>
          <w:szCs w:val="20"/>
        </w:rPr>
        <w:t xml:space="preserve"> Districts of California, each on behalf of a putative class of purchasers of cellular phones and other cellular devices. In April 2017, the Judicial Panel on Multidistrict Litigation transferred the cases that had been filed in the Southern District of Ca</w:t>
      </w:r>
      <w:r>
        <w:rPr>
          <w:rFonts w:eastAsia="Times New Roman"/>
          <w:color w:val="000000"/>
          <w:sz w:val="20"/>
          <w:szCs w:val="20"/>
        </w:rPr>
        <w:t>lifornia to the Northern District of California. On May 15, 2017, the court entered an order appointing the plaintiffs’ co-lead counsel. On July 11, 2017, the plaintiffs filed a consolidated amended complaint alleging that we violated California and federa</w:t>
      </w:r>
      <w:r>
        <w:rPr>
          <w:rFonts w:eastAsia="Times New Roman"/>
          <w:color w:val="000000"/>
          <w:sz w:val="20"/>
          <w:szCs w:val="20"/>
        </w:rPr>
        <w:t>l antitrust and unfair competition laws by, among other things, refusing to license standard-essential patents to our competitors, conditioning the supply of certain of our baseband chipsets on the purchaser first agreeing to license our entire patent port</w:t>
      </w:r>
      <w:r>
        <w:rPr>
          <w:rFonts w:eastAsia="Times New Roman"/>
          <w:color w:val="000000"/>
          <w:sz w:val="20"/>
          <w:szCs w:val="20"/>
        </w:rPr>
        <w:t>folio, entering into exclusive deals with companies, including Apple Inc., and charging unreasonably high royalties that do not comply with our commitments to standard setting organizations. The complaint seeks unspecified damages and disgorgement and/or r</w:t>
      </w:r>
      <w:r>
        <w:rPr>
          <w:rFonts w:eastAsia="Times New Roman"/>
          <w:color w:val="000000"/>
          <w:sz w:val="20"/>
          <w:szCs w:val="20"/>
        </w:rPr>
        <w:t>estitution, as well as an order that we be enjoined from further unlawful conduct. On August 11, 2017, we filed a motion to dismiss the consolidated amended complaint. On November 10, 2017, the court denied our motion, except to the extent that certain cla</w:t>
      </w:r>
      <w:r>
        <w:rPr>
          <w:rFonts w:eastAsia="Times New Roman"/>
          <w:color w:val="000000"/>
          <w:sz w:val="20"/>
          <w:szCs w:val="20"/>
        </w:rPr>
        <w:t>ims seek damages under the Sherman Antitrust Act. On July 5, 2018, the plaintiffs filed a motion for class certification, and the court granted that motion on September 27, 2018. On January 23, 2019, the United States Court of Appeals for the Ninth Circuit</w:t>
      </w:r>
      <w:r>
        <w:rPr>
          <w:rFonts w:eastAsia="Times New Roman"/>
          <w:color w:val="000000"/>
          <w:sz w:val="20"/>
          <w:szCs w:val="20"/>
        </w:rPr>
        <w:t xml:space="preserve"> (Ninth Circuit) granted us permission to appeal the court’s class certification order. On January 24, 2019, the court stayed the case pending our appeal. On December 2, 2019, a hearing on our appeal of the class certification order was held before the Nin</w:t>
      </w:r>
      <w:r>
        <w:rPr>
          <w:rFonts w:eastAsia="Times New Roman"/>
          <w:color w:val="000000"/>
          <w:sz w:val="20"/>
          <w:szCs w:val="20"/>
        </w:rPr>
        <w:t>th Circuit. The Ninth Circuit has not yet ruled on our appeal. We believe the plaintiffs’ claims are without merit. </w:t>
      </w:r>
    </w:p>
    <w:p w:rsidR="00000000" w:rsidRDefault="00786A01">
      <w:pPr>
        <w:ind w:firstLine="360"/>
        <w:divId w:val="1557202881"/>
        <w:rPr>
          <w:rFonts w:eastAsia="Times New Roman"/>
        </w:rPr>
      </w:pPr>
      <w:r>
        <w:rPr>
          <w:rFonts w:eastAsia="Times New Roman"/>
          <w:color w:val="000000"/>
          <w:sz w:val="20"/>
          <w:szCs w:val="20"/>
        </w:rPr>
        <w:t xml:space="preserve">Since November 2017, several other consumer class action complaints have been filed against us in Canada (in the Ontario Superior Court of </w:t>
      </w:r>
      <w:r>
        <w:rPr>
          <w:rFonts w:eastAsia="Times New Roman"/>
          <w:color w:val="000000"/>
          <w:sz w:val="20"/>
          <w:szCs w:val="20"/>
        </w:rPr>
        <w:t>Justice, the Supreme Court of British Columbia and the Quebec Superior Court), Israel (in the Haifa District Court) and the United Kingdom (in the Competition Appeal Tribunal), each on behalf of a putative class of purchasers of cellular phones and other c</w:t>
      </w:r>
      <w:r>
        <w:rPr>
          <w:rFonts w:eastAsia="Times New Roman"/>
          <w:color w:val="000000"/>
          <w:sz w:val="20"/>
          <w:szCs w:val="20"/>
        </w:rPr>
        <w:t>ellular devices, alleging violations of certain of those countries’ competition and consumer protection laws. The claims in these complaints are similar to those in the U.S. consumer class action complaints. The complaints seek damages. We believe the plai</w:t>
      </w:r>
      <w:r>
        <w:rPr>
          <w:rFonts w:eastAsia="Times New Roman"/>
          <w:color w:val="000000"/>
          <w:sz w:val="20"/>
          <w:szCs w:val="20"/>
        </w:rPr>
        <w:t>ntiffs’ claims are without merit.</w:t>
      </w:r>
    </w:p>
    <w:p w:rsidR="00000000" w:rsidRDefault="00786A01">
      <w:pPr>
        <w:ind w:firstLine="360"/>
        <w:divId w:val="14506454"/>
        <w:rPr>
          <w:rFonts w:eastAsia="Times New Roman"/>
        </w:rPr>
      </w:pPr>
      <w:r>
        <w:rPr>
          <w:rFonts w:eastAsia="Times New Roman"/>
          <w:i/>
          <w:iCs/>
          <w:color w:val="000000"/>
          <w:sz w:val="20"/>
          <w:szCs w:val="20"/>
        </w:rPr>
        <w:t xml:space="preserve">ParkerVision, Inc. v. QUALCOMM Incorporated: </w:t>
      </w:r>
      <w:r>
        <w:rPr>
          <w:rFonts w:eastAsia="Times New Roman"/>
          <w:color w:val="000000"/>
          <w:sz w:val="20"/>
          <w:szCs w:val="20"/>
        </w:rPr>
        <w:t xml:space="preserve">On May 1, 2014, ParkerVision filed a complaint against us in the United States District Court for the Middle District of Florida alleging that certain of our products infringed </w:t>
      </w:r>
      <w:r>
        <w:rPr>
          <w:rFonts w:eastAsia="Times New Roman"/>
          <w:color w:val="000000"/>
          <w:sz w:val="20"/>
          <w:szCs w:val="20"/>
        </w:rPr>
        <w:t>seven ParkerVision patents. On August 21, 2014, ParkerVision amended the complaint, then captioned ParkerVision, Inc. v. QUALCOMM Incorporated, Qualcomm Atheros, Inc., HTC Corporation, HTC America, Inc., Samsung Electronics Co., LTD., Samsung Electronics A</w:t>
      </w:r>
      <w:r>
        <w:rPr>
          <w:rFonts w:eastAsia="Times New Roman"/>
          <w:color w:val="000000"/>
          <w:sz w:val="20"/>
          <w:szCs w:val="20"/>
        </w:rPr>
        <w:t>merica, Inc. and Samsung Telecommunications America, LLC, broadening the allegations. ParkerVision alleged that we infringed 11 ParkerVision patents and sought damages and injunctive and other relief. ParkerVision has subsequently reduced the number of pat</w:t>
      </w:r>
      <w:r>
        <w:rPr>
          <w:rFonts w:eastAsia="Times New Roman"/>
          <w:color w:val="000000"/>
          <w:sz w:val="20"/>
          <w:szCs w:val="20"/>
        </w:rPr>
        <w:t>ents asserted to four, granted covenants not to sue on the other patents and dismissed the Samsung and HTC entities from the case. The asserted patents are now expired, and injunctive relief is no longer available. ParkerVision continues to seek damages re</w:t>
      </w:r>
      <w:r>
        <w:rPr>
          <w:rFonts w:eastAsia="Times New Roman"/>
          <w:color w:val="000000"/>
          <w:sz w:val="20"/>
          <w:szCs w:val="20"/>
        </w:rPr>
        <w:t>lated to the sale of many of our radio frequency (RF) products sold between 2008 and 2018. On March 26, 2021, the court issued an order stating that trial is extremely unlikely to occur before November or December 2021, if then. We believe that ParkerVisio</w:t>
      </w:r>
      <w:r>
        <w:rPr>
          <w:rFonts w:eastAsia="Times New Roman"/>
          <w:color w:val="000000"/>
          <w:sz w:val="20"/>
          <w:szCs w:val="20"/>
        </w:rPr>
        <w:t>n’s claims are without merit.</w:t>
      </w:r>
    </w:p>
    <w:p w:rsidR="00000000" w:rsidRDefault="00786A01">
      <w:pPr>
        <w:jc w:val="center"/>
        <w:divId w:val="325400948"/>
        <w:rPr>
          <w:rFonts w:eastAsia="Times New Roman"/>
        </w:rPr>
      </w:pPr>
      <w:r>
        <w:rPr>
          <w:rFonts w:eastAsia="Times New Roman"/>
          <w:color w:val="000000"/>
          <w:sz w:val="20"/>
          <w:szCs w:val="20"/>
        </w:rPr>
        <w:t>15</w:t>
      </w:r>
    </w:p>
    <w:p w:rsidR="00000000" w:rsidRDefault="00786A01">
      <w:pPr>
        <w:rPr>
          <w:rFonts w:eastAsia="Times New Roman"/>
        </w:rPr>
      </w:pPr>
      <w:r>
        <w:rPr>
          <w:rFonts w:eastAsia="Times New Roman"/>
        </w:rPr>
        <w:pict>
          <v:rect id="_x0000_i1038" style="width:0;height:1.5pt" o:hralign="center" o:hrstd="t" o:hr="t" fillcolor="#a0a0a0" stroked="f"/>
        </w:pict>
      </w:r>
    </w:p>
    <w:p w:rsidR="00000000" w:rsidRDefault="00786A01">
      <w:pPr>
        <w:jc w:val="center"/>
        <w:divId w:val="1152988634"/>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1152988634"/>
          <w:jc w:val="center"/>
        </w:trPr>
        <w:tc>
          <w:tcPr>
            <w:tcW w:w="50" w:type="pct"/>
            <w:vAlign w:val="center"/>
            <w:hideMark/>
          </w:tcPr>
          <w:p w:rsidR="00000000" w:rsidRDefault="00786A01">
            <w:pPr>
              <w:jc w:val="center"/>
              <w:rPr>
                <w:rFonts w:eastAsia="Times New Roman"/>
              </w:rPr>
            </w:pPr>
          </w:p>
        </w:tc>
        <w:tc>
          <w:tcPr>
            <w:tcW w:w="933"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8"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r>
      <w:tr w:rsidR="00000000">
        <w:trPr>
          <w:divId w:val="1152988634"/>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QUALCOMM Incorporated</w:t>
            </w:r>
          </w:p>
        </w:tc>
      </w:tr>
      <w:tr w:rsidR="00000000">
        <w:trPr>
          <w:divId w:val="1152988634"/>
          <w:jc w:val="center"/>
        </w:trPr>
        <w:tc>
          <w:tcPr>
            <w:tcW w:w="0" w:type="auto"/>
            <w:gridSpan w:val="3"/>
            <w:vAlign w:val="center"/>
            <w:hideMark/>
          </w:tcPr>
          <w:p w:rsidR="00000000" w:rsidRDefault="00786A01">
            <w:pPr>
              <w:spacing w:after="100"/>
              <w:jc w:val="center"/>
              <w:rPr>
                <w:rFonts w:eastAsia="Times New Roman"/>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r>
      <w:tr w:rsidR="00000000">
        <w:trPr>
          <w:divId w:val="1152988634"/>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1152988634"/>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(Unaudited)</w:t>
            </w:r>
          </w:p>
        </w:tc>
      </w:tr>
    </w:tbl>
    <w:p w:rsidR="00000000" w:rsidRDefault="00786A01">
      <w:pPr>
        <w:ind w:firstLine="360"/>
        <w:divId w:val="35547171"/>
        <w:rPr>
          <w:rFonts w:eastAsia="Times New Roman"/>
        </w:rPr>
      </w:pPr>
      <w:r>
        <w:rPr>
          <w:rFonts w:eastAsia="Times New Roman"/>
          <w:i/>
          <w:iCs/>
          <w:color w:val="000000"/>
          <w:sz w:val="20"/>
          <w:szCs w:val="20"/>
        </w:rPr>
        <w:t>Korea Fair Trade Commission (KFTC) Investigation (2015):</w:t>
      </w:r>
      <w:r>
        <w:rPr>
          <w:rFonts w:eastAsia="Times New Roman"/>
          <w:color w:val="000000"/>
          <w:sz w:val="20"/>
          <w:szCs w:val="20"/>
        </w:rPr>
        <w:t xml:space="preserve"> On March 17, 2015, the KFTC notified us that it was conducting an investigation of us relating to the Korean Monopoly Regulation and Fair Trade Act (MRFTA). On December 27, 2016, the KFTC announced t</w:t>
      </w:r>
      <w:r>
        <w:rPr>
          <w:rFonts w:eastAsia="Times New Roman"/>
          <w:color w:val="000000"/>
          <w:sz w:val="20"/>
          <w:szCs w:val="20"/>
        </w:rPr>
        <w:t>hat it had reached a decision in the investigation, finding that we violated provisions of the MRFTA. On January 22, 2017, we received the KFTC’s formal written decision, which found that the following conducts violate the MRFTA: (i) refusing to license, o</w:t>
      </w:r>
      <w:r>
        <w:rPr>
          <w:rFonts w:eastAsia="Times New Roman"/>
          <w:color w:val="000000"/>
          <w:sz w:val="20"/>
          <w:szCs w:val="20"/>
        </w:rPr>
        <w:t>r imposing restrictions on licenses for, cellular communications standard-essential patents with competing modem chipset makers; (ii) conditioning the supply of modem chipsets to handset suppliers on their execution and performance of license agreements wi</w:t>
      </w:r>
      <w:r>
        <w:rPr>
          <w:rFonts w:eastAsia="Times New Roman"/>
          <w:color w:val="000000"/>
          <w:sz w:val="20"/>
          <w:szCs w:val="20"/>
        </w:rPr>
        <w:t>th us; and (iii) coercing agreement terms including portfolio license terms, royalty terms and free cross-grant terms in executing patent license agreements with handset makers. The KFTC’s decision orders us to: (a) upon request by modem chipset companies,</w:t>
      </w:r>
      <w:r>
        <w:rPr>
          <w:rFonts w:eastAsia="Times New Roman"/>
          <w:color w:val="000000"/>
          <w:sz w:val="20"/>
          <w:szCs w:val="20"/>
        </w:rPr>
        <w:t xml:space="preserve"> engage in good-faith negotiations for patent license agreements, without offering unjustifiable conditions, and if necessary submit to a determination of terms by an independent third party; (b) not demand that handset companies execute and perform under </w:t>
      </w:r>
      <w:r>
        <w:rPr>
          <w:rFonts w:eastAsia="Times New Roman"/>
          <w:color w:val="000000"/>
          <w:sz w:val="20"/>
          <w:szCs w:val="20"/>
        </w:rPr>
        <w:t>patent license agreements as a precondition for purchasing modem chipsets; (c) not demand unjustifiable conditions in our license agreements with handset companies and, upon request, renegotiate existing patent license agreements; and (d) notify modem chip</w:t>
      </w:r>
      <w:r>
        <w:rPr>
          <w:rFonts w:eastAsia="Times New Roman"/>
          <w:color w:val="000000"/>
          <w:sz w:val="20"/>
          <w:szCs w:val="20"/>
        </w:rPr>
        <w:t>set companies and handset companies of the decision and order imposed on us and report to the KFTC new or amended agreements. According to the KFTC’s decision, the foregoing will apply to transactions between us and the following enterprises: (1) handset m</w:t>
      </w:r>
      <w:r>
        <w:rPr>
          <w:rFonts w:eastAsia="Times New Roman"/>
          <w:color w:val="000000"/>
          <w:sz w:val="20"/>
          <w:szCs w:val="20"/>
        </w:rPr>
        <w:t>anufacturers headquartered in Korea and their affiliate companies; (2) enterprises that sell handsets in or to Korea and their affiliate companies; (3) enterprises that supply handsets to companies referred to in (2) above and the affiliate companies of su</w:t>
      </w:r>
      <w:r>
        <w:rPr>
          <w:rFonts w:eastAsia="Times New Roman"/>
          <w:color w:val="000000"/>
          <w:sz w:val="20"/>
          <w:szCs w:val="20"/>
        </w:rPr>
        <w:t>ch enterprises; (4) modem chipset manufacturers headquartered in Korea and their affiliate companies; and (5) enterprises that supply modem chipsets to companies referred to in (1), (2) or (3) above and the affiliate companies of such enterprises. The KFTC</w:t>
      </w:r>
      <w:r>
        <w:rPr>
          <w:rFonts w:eastAsia="Times New Roman"/>
          <w:color w:val="000000"/>
          <w:sz w:val="20"/>
          <w:szCs w:val="20"/>
        </w:rPr>
        <w:t xml:space="preserve">’s decision also imposed a fine of 1.03 trillion Korean won (approximately $927 million), which we paid on March 30, 2017. </w:t>
      </w:r>
    </w:p>
    <w:p w:rsidR="00000000" w:rsidRDefault="00786A01">
      <w:pPr>
        <w:ind w:firstLine="360"/>
        <w:divId w:val="606040960"/>
        <w:rPr>
          <w:rFonts w:eastAsia="Times New Roman"/>
        </w:rPr>
      </w:pPr>
      <w:r>
        <w:rPr>
          <w:rFonts w:eastAsia="Times New Roman"/>
          <w:color w:val="000000"/>
          <w:sz w:val="20"/>
          <w:szCs w:val="20"/>
        </w:rPr>
        <w:t>On February 21, 2017, we filed an action in the Seoul High Court to cancel the KFTC’s decision. The Seoul High Court held hearings c</w:t>
      </w:r>
      <w:r>
        <w:rPr>
          <w:rFonts w:eastAsia="Times New Roman"/>
          <w:color w:val="000000"/>
          <w:sz w:val="20"/>
          <w:szCs w:val="20"/>
        </w:rPr>
        <w:t xml:space="preserve">oncluding on August 14, 2019 and, on December 4, 2019, announced its judgment affirming certain portions of the KFTC’s decision and finding other portions of the KFTC’s decision unlawful. The Seoul High Court cancelled the KFTC’s remedial orders described </w:t>
      </w:r>
      <w:r>
        <w:rPr>
          <w:rFonts w:eastAsia="Times New Roman"/>
          <w:color w:val="000000"/>
          <w:sz w:val="20"/>
          <w:szCs w:val="20"/>
        </w:rPr>
        <w:t>in (c) above, and solely insofar as they correspond thereto, the Seoul High Court cancelled the KFTC’s remedial orders described in (d) above. The Seoul High Court dismissed the remainder of our action to cancel the KFTC’s decision. On December 19, 2019, w</w:t>
      </w:r>
      <w:r>
        <w:rPr>
          <w:rFonts w:eastAsia="Times New Roman"/>
          <w:color w:val="000000"/>
          <w:sz w:val="20"/>
          <w:szCs w:val="20"/>
        </w:rPr>
        <w:t>e filed a notice of appeal to the Korea Supreme Court challenging those portions of the Seoul High Court decision that are not in our favor. The KFTC filed a notice of appeal to the Korea Supreme Court challenging the portions of the Seoul High Court decis</w:t>
      </w:r>
      <w:r>
        <w:rPr>
          <w:rFonts w:eastAsia="Times New Roman"/>
          <w:color w:val="000000"/>
          <w:sz w:val="20"/>
          <w:szCs w:val="20"/>
        </w:rPr>
        <w:t xml:space="preserve">ion that are not in its favor. </w:t>
      </w:r>
      <w:r>
        <w:rPr>
          <w:rFonts w:eastAsia="Times New Roman"/>
          <w:color w:val="000000"/>
          <w:sz w:val="20"/>
          <w:szCs w:val="20"/>
          <w:shd w:val="clear" w:color="auto" w:fill="FFFFFF"/>
        </w:rPr>
        <w:t>Both we and the KFTC have filed briefs on the merits. T</w:t>
      </w:r>
      <w:r>
        <w:rPr>
          <w:rFonts w:eastAsia="Times New Roman"/>
          <w:color w:val="000000"/>
          <w:sz w:val="20"/>
          <w:szCs w:val="20"/>
        </w:rPr>
        <w:t>he Korea Supreme Court has not yet ruled on our appeal or that of the KFTC. We believe that our business practices do not violate the MRFTA.</w:t>
      </w:r>
    </w:p>
    <w:p w:rsidR="00000000" w:rsidRDefault="00786A01">
      <w:pPr>
        <w:ind w:firstLine="360"/>
        <w:divId w:val="534663376"/>
        <w:rPr>
          <w:rFonts w:eastAsia="Times New Roman"/>
        </w:rPr>
      </w:pPr>
      <w:r>
        <w:rPr>
          <w:rFonts w:eastAsia="Times New Roman"/>
          <w:i/>
          <w:iCs/>
          <w:color w:val="000000"/>
          <w:sz w:val="20"/>
          <w:szCs w:val="20"/>
        </w:rPr>
        <w:t>Korea Fair Trade Commission (</w:t>
      </w:r>
      <w:r>
        <w:rPr>
          <w:rFonts w:eastAsia="Times New Roman"/>
          <w:i/>
          <w:iCs/>
          <w:color w:val="000000"/>
          <w:sz w:val="20"/>
          <w:szCs w:val="20"/>
        </w:rPr>
        <w:t>KFTC) Investigation (2020)</w:t>
      </w:r>
      <w:r>
        <w:rPr>
          <w:rFonts w:eastAsia="Times New Roman"/>
          <w:color w:val="000000"/>
          <w:sz w:val="20"/>
          <w:szCs w:val="20"/>
        </w:rPr>
        <w:t>: On June 8, 2020, the KFTC informed us that it was conducting an investigation of us relating to the MRFTA. The KFTC has not provided a formal notice on the scope of their investigation, but we believe it concerns our business pr</w:t>
      </w:r>
      <w:r>
        <w:rPr>
          <w:rFonts w:eastAsia="Times New Roman"/>
          <w:color w:val="000000"/>
          <w:sz w:val="20"/>
          <w:szCs w:val="20"/>
        </w:rPr>
        <w:t xml:space="preserve">actices in connection with our sale of radio frequency front-end (RFFE) components. We continue to cooperate with the KFTC as it conducts its investigation. If a violation is found, a broad range of remedies is potentially available to the KFTC, including </w:t>
      </w:r>
      <w:r>
        <w:rPr>
          <w:rFonts w:eastAsia="Times New Roman"/>
          <w:color w:val="000000"/>
          <w:sz w:val="20"/>
          <w:szCs w:val="20"/>
        </w:rPr>
        <w:t>imposing a fine (of up to 3% of our sales in the relevant markets during the alleged period of violation) and/or injunctive relief prohibiting or restricting certain business practices. It is difficult to predict the outcome of this matter or what remedies</w:t>
      </w:r>
      <w:r>
        <w:rPr>
          <w:rFonts w:eastAsia="Times New Roman"/>
          <w:color w:val="000000"/>
          <w:sz w:val="20"/>
          <w:szCs w:val="20"/>
        </w:rPr>
        <w:t>, if any, may be imposed by the KFTC. We believe that our business practices do not violate the MRFTA.</w:t>
      </w:r>
    </w:p>
    <w:p w:rsidR="00000000" w:rsidRDefault="00786A01">
      <w:pPr>
        <w:ind w:firstLine="360"/>
        <w:divId w:val="1234853165"/>
        <w:rPr>
          <w:rFonts w:eastAsia="Times New Roman"/>
        </w:rPr>
      </w:pPr>
      <w:r>
        <w:rPr>
          <w:rFonts w:eastAsia="Times New Roman"/>
          <w:i/>
          <w:iCs/>
          <w:color w:val="000000"/>
          <w:sz w:val="20"/>
          <w:szCs w:val="20"/>
        </w:rPr>
        <w:t xml:space="preserve">Icera Complaint to the European Commission (EC): </w:t>
      </w:r>
      <w:r>
        <w:rPr>
          <w:rFonts w:eastAsia="Times New Roman"/>
          <w:color w:val="000000"/>
          <w:sz w:val="20"/>
          <w:szCs w:val="20"/>
        </w:rPr>
        <w:t>On June 7, 2010, the EC notified and provided us with a redacted copy of a complaint filed with the EC b</w:t>
      </w:r>
      <w:r>
        <w:rPr>
          <w:rFonts w:eastAsia="Times New Roman"/>
          <w:color w:val="000000"/>
          <w:sz w:val="20"/>
          <w:szCs w:val="20"/>
        </w:rPr>
        <w:t>y Icera, Inc. (subsequently acquired by Nvidia Corporation) alleging that we were engaged in anticompetitive activity. On July 16, 2015, the EC announced that it had initiated formal proceedings in this matter. On July 18, 2019, the EC issued a decision co</w:t>
      </w:r>
      <w:r>
        <w:rPr>
          <w:rFonts w:eastAsia="Times New Roman"/>
          <w:color w:val="000000"/>
          <w:sz w:val="20"/>
          <w:szCs w:val="20"/>
        </w:rPr>
        <w:t>nfirming their preliminary view that between 2009 and 2011, we engaged in predatory pricing by selling certain baseband chipsets to two customers at prices below cost with the intention of hindering competition and imposed a fine of approximately 242 milli</w:t>
      </w:r>
      <w:r>
        <w:rPr>
          <w:rFonts w:eastAsia="Times New Roman"/>
          <w:color w:val="000000"/>
          <w:sz w:val="20"/>
          <w:szCs w:val="20"/>
        </w:rPr>
        <w:t>on euros. On October 1, 2019, we filed an appeal of the EC’s decision with the General Court of the European Union. The court has not yet ruled on our appeal. We believe that our business practices do not violate the European Union (EU) competition rules.</w:t>
      </w:r>
    </w:p>
    <w:p w:rsidR="00000000" w:rsidRDefault="00786A01">
      <w:pPr>
        <w:ind w:firstLine="360"/>
        <w:divId w:val="529219073"/>
        <w:rPr>
          <w:rFonts w:eastAsia="Times New Roman"/>
        </w:rPr>
      </w:pPr>
      <w:r>
        <w:rPr>
          <w:rFonts w:eastAsia="Times New Roman"/>
          <w:color w:val="000000"/>
          <w:sz w:val="20"/>
          <w:szCs w:val="20"/>
        </w:rPr>
        <w:t>In the third quarter of fiscal 2019, we recorded a charge of $275 million to other expenses related to this EC fine. We provided a financial guarantee in the first quarter of fiscal 2020 to satisfy the obligation in lieu of cash payment while we appeal the</w:t>
      </w:r>
      <w:r>
        <w:rPr>
          <w:rFonts w:eastAsia="Times New Roman"/>
          <w:color w:val="000000"/>
          <w:sz w:val="20"/>
          <w:szCs w:val="20"/>
        </w:rPr>
        <w:t xml:space="preserve"> EC’s decision. The fine is accruing interest at a rate of 1.50% per annum while it is outstanding. In the fourth quarter of fiscal 2019, we designated the liability as a hedge of our net investment in certain foreign subsidiaries, with gains and losses re</w:t>
      </w:r>
      <w:r>
        <w:rPr>
          <w:rFonts w:eastAsia="Times New Roman"/>
          <w:color w:val="000000"/>
          <w:sz w:val="20"/>
          <w:szCs w:val="20"/>
        </w:rPr>
        <w:t xml:space="preserve">corded in accumulated other comprehensive income as a component of the foreign currency translation </w:t>
      </w:r>
    </w:p>
    <w:p w:rsidR="00000000" w:rsidRDefault="00786A01">
      <w:pPr>
        <w:jc w:val="center"/>
        <w:divId w:val="1471556985"/>
        <w:rPr>
          <w:rFonts w:eastAsia="Times New Roman"/>
        </w:rPr>
      </w:pPr>
      <w:r>
        <w:rPr>
          <w:rFonts w:eastAsia="Times New Roman"/>
          <w:color w:val="000000"/>
          <w:sz w:val="20"/>
          <w:szCs w:val="20"/>
        </w:rPr>
        <w:t>16</w:t>
      </w:r>
    </w:p>
    <w:p w:rsidR="00000000" w:rsidRDefault="00786A01">
      <w:pPr>
        <w:rPr>
          <w:rFonts w:eastAsia="Times New Roman"/>
        </w:rPr>
      </w:pPr>
      <w:r>
        <w:rPr>
          <w:rFonts w:eastAsia="Times New Roman"/>
        </w:rPr>
        <w:pict>
          <v:rect id="_x0000_i1039" style="width:0;height:1.5pt" o:hralign="center" o:hrstd="t" o:hr="t" fillcolor="#a0a0a0" stroked="f"/>
        </w:pict>
      </w:r>
    </w:p>
    <w:p w:rsidR="00000000" w:rsidRDefault="00786A01">
      <w:pPr>
        <w:jc w:val="center"/>
        <w:divId w:val="1938437909"/>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1938437909"/>
          <w:jc w:val="center"/>
        </w:trPr>
        <w:tc>
          <w:tcPr>
            <w:tcW w:w="50" w:type="pct"/>
            <w:vAlign w:val="center"/>
            <w:hideMark/>
          </w:tcPr>
          <w:p w:rsidR="00000000" w:rsidRDefault="00786A01">
            <w:pPr>
              <w:jc w:val="center"/>
              <w:rPr>
                <w:rFonts w:eastAsia="Times New Roman"/>
              </w:rPr>
            </w:pPr>
          </w:p>
        </w:tc>
        <w:tc>
          <w:tcPr>
            <w:tcW w:w="933"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8"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r>
      <w:tr w:rsidR="00000000">
        <w:trPr>
          <w:divId w:val="1938437909"/>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QUALCOMM Incorporated</w:t>
            </w:r>
          </w:p>
        </w:tc>
      </w:tr>
      <w:tr w:rsidR="00000000">
        <w:trPr>
          <w:divId w:val="1938437909"/>
          <w:jc w:val="center"/>
        </w:trPr>
        <w:tc>
          <w:tcPr>
            <w:tcW w:w="0" w:type="auto"/>
            <w:gridSpan w:val="3"/>
            <w:vAlign w:val="center"/>
            <w:hideMark/>
          </w:tcPr>
          <w:p w:rsidR="00000000" w:rsidRDefault="00786A01">
            <w:pPr>
              <w:spacing w:after="100"/>
              <w:jc w:val="center"/>
              <w:rPr>
                <w:rFonts w:eastAsia="Times New Roman"/>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r>
      <w:tr w:rsidR="00000000">
        <w:trPr>
          <w:divId w:val="1938437909"/>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1938437909"/>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(Unaudited)</w:t>
            </w:r>
          </w:p>
        </w:tc>
      </w:tr>
    </w:tbl>
    <w:p w:rsidR="00000000" w:rsidRDefault="00786A01">
      <w:pPr>
        <w:divId w:val="1003774721"/>
        <w:rPr>
          <w:rFonts w:eastAsia="Times New Roman"/>
        </w:rPr>
      </w:pPr>
      <w:r>
        <w:rPr>
          <w:rFonts w:eastAsia="Times New Roman"/>
          <w:color w:val="000000"/>
          <w:sz w:val="20"/>
          <w:szCs w:val="20"/>
        </w:rPr>
        <w:t>adjustment. At March </w:t>
      </w:r>
      <w:r>
        <w:rPr>
          <w:rFonts w:eastAsia="Times New Roman"/>
          <w:color w:val="000000"/>
          <w:sz w:val="20"/>
          <w:szCs w:val="20"/>
        </w:rPr>
        <w:t>28, 2021, the liability, including related foreign currency losses and accrued interest (which, to the extent they were not related to the net investment hedge, were recorded in investment and other income, net), was $292 million and included in other curr</w:t>
      </w:r>
      <w:r>
        <w:rPr>
          <w:rFonts w:eastAsia="Times New Roman"/>
          <w:color w:val="000000"/>
          <w:sz w:val="20"/>
          <w:szCs w:val="20"/>
        </w:rPr>
        <w:t xml:space="preserve">ent liabilities. </w:t>
      </w:r>
    </w:p>
    <w:p w:rsidR="00000000" w:rsidRDefault="00786A01">
      <w:pPr>
        <w:ind w:firstLine="360"/>
        <w:divId w:val="1350567575"/>
        <w:rPr>
          <w:rFonts w:eastAsia="Times New Roman"/>
        </w:rPr>
      </w:pPr>
      <w:r>
        <w:rPr>
          <w:rFonts w:eastAsia="Times New Roman"/>
          <w:i/>
          <w:iCs/>
          <w:color w:val="000000"/>
          <w:sz w:val="20"/>
          <w:szCs w:val="20"/>
        </w:rPr>
        <w:t>European Commission (EC) Investigation:</w:t>
      </w:r>
      <w:r>
        <w:rPr>
          <w:rFonts w:eastAsia="Times New Roman"/>
          <w:color w:val="000000"/>
          <w:sz w:val="20"/>
          <w:szCs w:val="20"/>
        </w:rPr>
        <w:t xml:space="preserve"> On October 15, 2014, the EC notified us that it was conducting an investigation of us relating to Articles 101 and/or 102 of the Treaty on the Functioning of the European Union (TFEU). On July 16, 2</w:t>
      </w:r>
      <w:r>
        <w:rPr>
          <w:rFonts w:eastAsia="Times New Roman"/>
          <w:color w:val="000000"/>
          <w:sz w:val="20"/>
          <w:szCs w:val="20"/>
        </w:rPr>
        <w:t>015, the EC announced that it had initiated formal proceedings in this matter. On January 24, 2018, the EC issued a decision finding that pursuant to an agreement with Apple Inc. we paid significant amounts to Apple on the condition that it exclusively use</w:t>
      </w:r>
      <w:r>
        <w:rPr>
          <w:rFonts w:eastAsia="Times New Roman"/>
          <w:color w:val="000000"/>
          <w:sz w:val="20"/>
          <w:szCs w:val="20"/>
        </w:rPr>
        <w:t xml:space="preserve"> our baseband chipsets in its smartphones and tablets, reducing Apple’s incentives to source baseband chipsets from our competitors and harming competition and innovation for certain baseband chipsets, and imposed a fine of 997 million euros. On April 6, 2</w:t>
      </w:r>
      <w:r>
        <w:rPr>
          <w:rFonts w:eastAsia="Times New Roman"/>
          <w:color w:val="000000"/>
          <w:sz w:val="20"/>
          <w:szCs w:val="20"/>
        </w:rPr>
        <w:t>018, we filed an appeal of the EC’s decision with the General Court of the European Union. A hearing before the court is scheduled for May 4-6, 2021. We believe that our business practices do not violate the EU competition rules.</w:t>
      </w:r>
    </w:p>
    <w:p w:rsidR="00000000" w:rsidRDefault="00786A01">
      <w:pPr>
        <w:ind w:firstLine="360"/>
        <w:divId w:val="1358116676"/>
        <w:rPr>
          <w:rFonts w:eastAsia="Times New Roman"/>
        </w:rPr>
      </w:pPr>
      <w:r>
        <w:rPr>
          <w:rFonts w:eastAsia="Times New Roman"/>
          <w:color w:val="000000"/>
          <w:sz w:val="20"/>
          <w:szCs w:val="20"/>
        </w:rPr>
        <w:t>In the first quarter of fi</w:t>
      </w:r>
      <w:r>
        <w:rPr>
          <w:rFonts w:eastAsia="Times New Roman"/>
          <w:color w:val="000000"/>
          <w:sz w:val="20"/>
          <w:szCs w:val="20"/>
        </w:rPr>
        <w:t>scal 2018, we recorded a charge of $1.2 billion to other expenses related to this EC fine. We provided financial guarantees in the third quarter of fiscal 2018 to satisfy the obligation in lieu of cash payment while we appeal the EC’s decision. The fine is</w:t>
      </w:r>
      <w:r>
        <w:rPr>
          <w:rFonts w:eastAsia="Times New Roman"/>
          <w:color w:val="000000"/>
          <w:sz w:val="20"/>
          <w:szCs w:val="20"/>
        </w:rPr>
        <w:t xml:space="preserve"> accruing interest at a rate of 1.50% per annum while it is outstanding. In the first quarter of fiscal 2019, we designated the liability as a hedge of our net investment in certain foreign subsidiaries, with gains and losses recorded in accumulated other </w:t>
      </w:r>
      <w:r>
        <w:rPr>
          <w:rFonts w:eastAsia="Times New Roman"/>
          <w:color w:val="000000"/>
          <w:sz w:val="20"/>
          <w:szCs w:val="20"/>
        </w:rPr>
        <w:t>comprehensive income as a component of the foreign currency translation adjustment. At March 28, 2021, the liability, including related foreign currency gains and accrued interest (which, to the extent they were not related to the net investment hedge, wer</w:t>
      </w:r>
      <w:r>
        <w:rPr>
          <w:rFonts w:eastAsia="Times New Roman"/>
          <w:color w:val="000000"/>
          <w:sz w:val="20"/>
          <w:szCs w:val="20"/>
        </w:rPr>
        <w:t xml:space="preserve">e recorded in investment and other income, net), was $1.2 billion and included in other current liabilities. </w:t>
      </w:r>
    </w:p>
    <w:p w:rsidR="00000000" w:rsidRDefault="00786A01">
      <w:pPr>
        <w:ind w:firstLine="360"/>
        <w:divId w:val="846017970"/>
        <w:rPr>
          <w:rFonts w:eastAsia="Times New Roman"/>
        </w:rPr>
      </w:pPr>
      <w:r>
        <w:rPr>
          <w:rFonts w:eastAsia="Times New Roman"/>
          <w:i/>
          <w:iCs/>
          <w:color w:val="000000"/>
          <w:sz w:val="20"/>
          <w:szCs w:val="20"/>
        </w:rPr>
        <w:t xml:space="preserve">European Commission (EC) Investigation regarding Radio Frequency Front End (RFFE): </w:t>
      </w:r>
      <w:r>
        <w:rPr>
          <w:rFonts w:eastAsia="Times New Roman"/>
          <w:color w:val="000000"/>
          <w:sz w:val="20"/>
          <w:szCs w:val="20"/>
        </w:rPr>
        <w:t>On December 3, 2019, we received a Request for Information from</w:t>
      </w:r>
      <w:r>
        <w:rPr>
          <w:rFonts w:eastAsia="Times New Roman"/>
          <w:color w:val="000000"/>
          <w:sz w:val="20"/>
          <w:szCs w:val="20"/>
        </w:rPr>
        <w:t xml:space="preserve"> the EC notifying us that it was investigating whether we engaged in anti-competitive behavior in the European Union (EU)/European Economic Area (EEA) by leveraging our market position in 5G baseband processors in the RFFE space. We responded to the Reques</w:t>
      </w:r>
      <w:r>
        <w:rPr>
          <w:rFonts w:eastAsia="Times New Roman"/>
          <w:color w:val="000000"/>
          <w:sz w:val="20"/>
          <w:szCs w:val="20"/>
        </w:rPr>
        <w:t xml:space="preserve">t for Information and had several discussions with the EC. In March 2021, the EC informed us that it had closed its investigation. </w:t>
      </w:r>
    </w:p>
    <w:p w:rsidR="00000000" w:rsidRDefault="00786A01">
      <w:pPr>
        <w:ind w:firstLine="360"/>
        <w:divId w:val="291405095"/>
        <w:rPr>
          <w:rFonts w:eastAsia="Times New Roman"/>
        </w:rPr>
      </w:pPr>
      <w:r>
        <w:rPr>
          <w:rFonts w:eastAsia="Times New Roman"/>
          <w:i/>
          <w:iCs/>
          <w:color w:val="000000"/>
          <w:sz w:val="20"/>
          <w:szCs w:val="20"/>
        </w:rPr>
        <w:t>United States Federal Trade Commission (FTC) v. QUALCOMM Incorporated:</w:t>
      </w:r>
      <w:r>
        <w:rPr>
          <w:rFonts w:eastAsia="Times New Roman"/>
          <w:color w:val="000000"/>
          <w:sz w:val="20"/>
          <w:szCs w:val="20"/>
        </w:rPr>
        <w:t xml:space="preserve"> On September 17, 2014, the FTC notified us that it wa</w:t>
      </w:r>
      <w:r>
        <w:rPr>
          <w:rFonts w:eastAsia="Times New Roman"/>
          <w:color w:val="000000"/>
          <w:sz w:val="20"/>
          <w:szCs w:val="20"/>
        </w:rPr>
        <w:t>s conducting an investigation of us relating to Section 5 of the Federal Trade Commission Act (FTCA). On January 17, 2017, the FTC filed a complaint against us in the United States District Court for the Northern District of California alleging that we wer</w:t>
      </w:r>
      <w:r>
        <w:rPr>
          <w:rFonts w:eastAsia="Times New Roman"/>
          <w:color w:val="000000"/>
          <w:sz w:val="20"/>
          <w:szCs w:val="20"/>
        </w:rPr>
        <w:t>e engaged in anticompetitive conduct and unfair methods of competition in violation of Section 5 of the FTCA by conditioning the supply of cellular modem chipsets on the purchaser first agreeing to a license to our cellular standard-essential patents, payi</w:t>
      </w:r>
      <w:r>
        <w:rPr>
          <w:rFonts w:eastAsia="Times New Roman"/>
          <w:color w:val="000000"/>
          <w:sz w:val="20"/>
          <w:szCs w:val="20"/>
        </w:rPr>
        <w:t>ng incentives to purchasers of cellular modem chipsets to induce them to accept certain license terms, refusing to license our cellular standard-essential patents to our competitors and entering into alleged exclusive dealing arrangements with Apple Inc. T</w:t>
      </w:r>
      <w:r>
        <w:rPr>
          <w:rFonts w:eastAsia="Times New Roman"/>
          <w:color w:val="000000"/>
          <w:sz w:val="20"/>
          <w:szCs w:val="20"/>
        </w:rPr>
        <w:t>he complaint sought a permanent injunction against our alleged violations of the FTCA and other unspecified ancillary equitable relief. On August 30, 2018, the FTC moved for partial summary judgment that our commitments to license our cellular standard-ess</w:t>
      </w:r>
      <w:r>
        <w:rPr>
          <w:rFonts w:eastAsia="Times New Roman"/>
          <w:color w:val="000000"/>
          <w:sz w:val="20"/>
          <w:szCs w:val="20"/>
        </w:rPr>
        <w:t xml:space="preserve">ential patents to the Alliance for Telecommunications Industry Solutions (ATIS) and the Telecommunications Industry Association (TIA) require us to make licenses available to rival sellers of cellular modem chipsets. On November 6, 2018, the court granted </w:t>
      </w:r>
      <w:r>
        <w:rPr>
          <w:rFonts w:eastAsia="Times New Roman"/>
          <w:color w:val="000000"/>
          <w:sz w:val="20"/>
          <w:szCs w:val="20"/>
        </w:rPr>
        <w:t xml:space="preserve">the FTC’s partial summary judgment motion. Trial was held January 4-29, 2019. </w:t>
      </w:r>
    </w:p>
    <w:p w:rsidR="00000000" w:rsidRDefault="00786A01">
      <w:pPr>
        <w:ind w:firstLine="360"/>
        <w:divId w:val="1959339230"/>
        <w:rPr>
          <w:rFonts w:eastAsia="Times New Roman"/>
        </w:rPr>
      </w:pPr>
      <w:r>
        <w:rPr>
          <w:rFonts w:eastAsia="Times New Roman"/>
          <w:color w:val="000000"/>
          <w:sz w:val="20"/>
          <w:szCs w:val="20"/>
        </w:rPr>
        <w:t>On May 21, 2019, the court issued an Order setting forth its Findings of Fact and Conclusions of Law. The court concluded that we had monopoly power in the CDMA and premium-tier</w:t>
      </w:r>
      <w:r>
        <w:rPr>
          <w:rFonts w:eastAsia="Times New Roman"/>
          <w:color w:val="000000"/>
          <w:sz w:val="20"/>
          <w:szCs w:val="20"/>
        </w:rPr>
        <w:t xml:space="preserve"> Long Term Evolution (LTE) cellular modem chip markets, and that we had used that power in these two markets to engage in anticompetitive acts, including (1) using threats of lack of access to cellular modem chip supply to coerce OEMs to accept license ter</w:t>
      </w:r>
      <w:r>
        <w:rPr>
          <w:rFonts w:eastAsia="Times New Roman"/>
          <w:color w:val="000000"/>
          <w:sz w:val="20"/>
          <w:szCs w:val="20"/>
        </w:rPr>
        <w:t>ms that include unreasonably high royalty rates; (2) refusing to license our cellular standard-essential patents to competitors selling cellular modem chips; and (3) entering into exclusive dealing arrangements with OEMs that foreclosed our rivals. The cou</w:t>
      </w:r>
      <w:r>
        <w:rPr>
          <w:rFonts w:eastAsia="Times New Roman"/>
          <w:color w:val="000000"/>
          <w:sz w:val="20"/>
          <w:szCs w:val="20"/>
        </w:rPr>
        <w:t>rt further found that the royalties we charge OEMs are unreasonably high and reflect the use of our monopoly power over CDMA and premium-tier LTE cellular modem chips rather than just the value of our patents. The court concluded that our unreasonably high</w:t>
      </w:r>
      <w:r>
        <w:rPr>
          <w:rFonts w:eastAsia="Times New Roman"/>
          <w:color w:val="000000"/>
          <w:sz w:val="20"/>
          <w:szCs w:val="20"/>
        </w:rPr>
        <w:t xml:space="preserve"> royalties constitute an anticompetitive surcharge on cellular modem chips sold by our competitors, which increases the effective price of our competitors’ cellular modem chips, reduces their margins and results in exclusivity. The court also found that ou</w:t>
      </w:r>
      <w:r>
        <w:rPr>
          <w:rFonts w:eastAsia="Times New Roman"/>
          <w:color w:val="000000"/>
          <w:sz w:val="20"/>
          <w:szCs w:val="20"/>
        </w:rPr>
        <w:t>r practice of not licensing competitors’ cellular modem chips violated our commitments to certain standard-development organizations and a duty under the antitrust laws to license competing cellular modem chip makers and helped us maintain our royalties at</w:t>
      </w:r>
      <w:r>
        <w:rPr>
          <w:rFonts w:eastAsia="Times New Roman"/>
          <w:color w:val="000000"/>
          <w:sz w:val="20"/>
          <w:szCs w:val="20"/>
        </w:rPr>
        <w:t xml:space="preserve"> unreasonably high levels. Finally, the court found that incentive funds entered into with certain OEMs further harmed competing cellular modem chip makers’ ability to undermine our monopoly position, prevented rivals from entering </w:t>
      </w:r>
    </w:p>
    <w:p w:rsidR="00000000" w:rsidRDefault="00786A01">
      <w:pPr>
        <w:jc w:val="center"/>
        <w:divId w:val="1872455180"/>
        <w:rPr>
          <w:rFonts w:eastAsia="Times New Roman"/>
        </w:rPr>
      </w:pPr>
      <w:r>
        <w:rPr>
          <w:rFonts w:eastAsia="Times New Roman"/>
          <w:color w:val="000000"/>
          <w:sz w:val="20"/>
          <w:szCs w:val="20"/>
        </w:rPr>
        <w:t>17</w:t>
      </w:r>
    </w:p>
    <w:p w:rsidR="00000000" w:rsidRDefault="00786A01">
      <w:pPr>
        <w:rPr>
          <w:rFonts w:eastAsia="Times New Roman"/>
        </w:rPr>
      </w:pPr>
      <w:r>
        <w:rPr>
          <w:rFonts w:eastAsia="Times New Roman"/>
        </w:rPr>
        <w:pict>
          <v:rect id="_x0000_i1040" style="width:0;height:1.5pt" o:hralign="center" o:hrstd="t" o:hr="t" fillcolor="#a0a0a0" stroked="f"/>
        </w:pict>
      </w:r>
    </w:p>
    <w:p w:rsidR="00000000" w:rsidRDefault="00786A01">
      <w:pPr>
        <w:jc w:val="center"/>
        <w:divId w:val="1586256992"/>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1586256992"/>
          <w:jc w:val="center"/>
        </w:trPr>
        <w:tc>
          <w:tcPr>
            <w:tcW w:w="50" w:type="pct"/>
            <w:vAlign w:val="center"/>
            <w:hideMark/>
          </w:tcPr>
          <w:p w:rsidR="00000000" w:rsidRDefault="00786A01">
            <w:pPr>
              <w:jc w:val="center"/>
              <w:rPr>
                <w:rFonts w:eastAsia="Times New Roman"/>
              </w:rPr>
            </w:pPr>
          </w:p>
        </w:tc>
        <w:tc>
          <w:tcPr>
            <w:tcW w:w="933"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8"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r>
      <w:tr w:rsidR="00000000">
        <w:trPr>
          <w:divId w:val="1586256992"/>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QUALCOMM Incorporated</w:t>
            </w:r>
          </w:p>
        </w:tc>
      </w:tr>
      <w:tr w:rsidR="00000000">
        <w:trPr>
          <w:divId w:val="1586256992"/>
          <w:jc w:val="center"/>
        </w:trPr>
        <w:tc>
          <w:tcPr>
            <w:tcW w:w="0" w:type="auto"/>
            <w:gridSpan w:val="3"/>
            <w:vAlign w:val="center"/>
            <w:hideMark/>
          </w:tcPr>
          <w:p w:rsidR="00000000" w:rsidRDefault="00786A01">
            <w:pPr>
              <w:spacing w:after="100"/>
              <w:jc w:val="center"/>
              <w:rPr>
                <w:rFonts w:eastAsia="Times New Roman"/>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r>
      <w:tr w:rsidR="00000000">
        <w:trPr>
          <w:divId w:val="1586256992"/>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1586256992"/>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(Unaudited)</w:t>
            </w:r>
          </w:p>
        </w:tc>
      </w:tr>
    </w:tbl>
    <w:p w:rsidR="00000000" w:rsidRDefault="00786A01">
      <w:pPr>
        <w:divId w:val="2049329773"/>
        <w:rPr>
          <w:rFonts w:eastAsia="Times New Roman"/>
        </w:rPr>
      </w:pPr>
      <w:r>
        <w:rPr>
          <w:rFonts w:eastAsia="Times New Roman"/>
          <w:color w:val="000000"/>
          <w:sz w:val="20"/>
          <w:szCs w:val="20"/>
        </w:rPr>
        <w:t xml:space="preserve">the market and restricted the sales of those competitors that do enter. The court concluded that the combined effect of our conduct, together with our monopoly power, harmed the competitive process. </w:t>
      </w:r>
    </w:p>
    <w:p w:rsidR="00000000" w:rsidRDefault="00786A01">
      <w:pPr>
        <w:ind w:firstLine="360"/>
        <w:divId w:val="1527522746"/>
        <w:rPr>
          <w:rFonts w:eastAsia="Times New Roman"/>
        </w:rPr>
      </w:pPr>
      <w:r>
        <w:rPr>
          <w:rFonts w:eastAsia="Times New Roman"/>
          <w:color w:val="000000"/>
          <w:sz w:val="20"/>
          <w:szCs w:val="20"/>
        </w:rPr>
        <w:t>The court imposed the following injunctive relief: (1) w</w:t>
      </w:r>
      <w:r>
        <w:rPr>
          <w:rFonts w:eastAsia="Times New Roman"/>
          <w:color w:val="000000"/>
          <w:sz w:val="20"/>
          <w:szCs w:val="20"/>
        </w:rPr>
        <w:t>e must not condition the supply of cellular modem chips on a customer’s patent license status, and we must negotiate or renegotiate license terms with customers in good faith under conditions free from the threat of lack of access to or discriminatory prov</w:t>
      </w:r>
      <w:r>
        <w:rPr>
          <w:rFonts w:eastAsia="Times New Roman"/>
          <w:color w:val="000000"/>
          <w:sz w:val="20"/>
          <w:szCs w:val="20"/>
        </w:rPr>
        <w:t>ision of cellular modem chip supply or associated technical support or access to software; (2) we must make exhaustive cellular standard-essential patent licenses available to cellular modem chip suppliers on fair, reasonable and non-discriminatory (FRAND)</w:t>
      </w:r>
      <w:r>
        <w:rPr>
          <w:rFonts w:eastAsia="Times New Roman"/>
          <w:color w:val="000000"/>
          <w:sz w:val="20"/>
          <w:szCs w:val="20"/>
        </w:rPr>
        <w:t xml:space="preserve"> terms and submit, as necessary, to arbitral or judicial dispute resolution to determine such terms; (3) we may not enter into express or de facto exclusive dealing agreements for the supply of cellular modem chips; and (4) we may not interfere with the ab</w:t>
      </w:r>
      <w:r>
        <w:rPr>
          <w:rFonts w:eastAsia="Times New Roman"/>
          <w:color w:val="000000"/>
          <w:sz w:val="20"/>
          <w:szCs w:val="20"/>
        </w:rPr>
        <w:t>ility of any customer to communicate with a government agency about a potential law enforcement or regulatory matter. The court also ordered us to submit to compliance and monitoring procedures for a period of seven years and to report to the FTC on an ann</w:t>
      </w:r>
      <w:r>
        <w:rPr>
          <w:rFonts w:eastAsia="Times New Roman"/>
          <w:color w:val="000000"/>
          <w:sz w:val="20"/>
          <w:szCs w:val="20"/>
        </w:rPr>
        <w:t xml:space="preserve">ual basis regarding our compliance with the above remedies. </w:t>
      </w:r>
    </w:p>
    <w:p w:rsidR="00000000" w:rsidRDefault="00786A01">
      <w:pPr>
        <w:ind w:firstLine="360"/>
        <w:divId w:val="1705213281"/>
        <w:rPr>
          <w:rFonts w:eastAsia="Times New Roman"/>
        </w:rPr>
      </w:pPr>
      <w:r>
        <w:rPr>
          <w:rFonts w:eastAsia="Times New Roman"/>
          <w:color w:val="000000"/>
          <w:sz w:val="20"/>
          <w:szCs w:val="20"/>
        </w:rPr>
        <w:t>We disagree with the court’s conclusions, interpretation of the facts and application of the law. On May 31, 2019, we filed with the court a Notice of Appeal to the United States Court of Appeals</w:t>
      </w:r>
      <w:r>
        <w:rPr>
          <w:rFonts w:eastAsia="Times New Roman"/>
          <w:color w:val="000000"/>
          <w:sz w:val="20"/>
          <w:szCs w:val="20"/>
        </w:rPr>
        <w:t xml:space="preserve"> for the Ninth Circuit (Ninth Circuit). On July 8, 2019, we filed a Motion for Partial Stay of Injunction Pending Appeal and a Consent Motion to Expedite Appeal in the Ninth Circuit. On August 23, 2019, the Ninth Circuit granted our Motion for Partial Stay</w:t>
      </w:r>
      <w:r>
        <w:rPr>
          <w:rFonts w:eastAsia="Times New Roman"/>
          <w:color w:val="000000"/>
          <w:sz w:val="20"/>
          <w:szCs w:val="20"/>
        </w:rPr>
        <w:t xml:space="preserve">. </w:t>
      </w:r>
      <w:r>
        <w:rPr>
          <w:rFonts w:eastAsia="Times New Roman"/>
          <w:color w:val="000000"/>
          <w:sz w:val="20"/>
          <w:szCs w:val="20"/>
          <w:shd w:val="clear" w:color="auto" w:fill="FFFFFF"/>
        </w:rPr>
        <w:t>On February 13, 2020, the Ninth Circuit heard oral argument.</w:t>
      </w:r>
    </w:p>
    <w:p w:rsidR="00000000" w:rsidRDefault="00786A01">
      <w:pPr>
        <w:ind w:firstLine="360"/>
        <w:divId w:val="720518325"/>
        <w:rPr>
          <w:rFonts w:eastAsia="Times New Roman"/>
        </w:rPr>
      </w:pPr>
      <w:r>
        <w:rPr>
          <w:rFonts w:eastAsia="Times New Roman"/>
          <w:color w:val="000000"/>
          <w:sz w:val="20"/>
          <w:szCs w:val="20"/>
        </w:rPr>
        <w:t>On August 11, 2020, the Ninth Circuit issued its opinion, which reversed the district court’s judgment, vacated its injunction and vacated its partial grant of summary judgment. The Ninth Circu</w:t>
      </w:r>
      <w:r>
        <w:rPr>
          <w:rFonts w:eastAsia="Times New Roman"/>
          <w:color w:val="000000"/>
          <w:sz w:val="20"/>
          <w:szCs w:val="20"/>
        </w:rPr>
        <w:t>it stated that the district court erred in holding that we are under an antitrust duty to license rival chip manufacturers and noted that our practice of licensing our standard-essential patents exclusively at the OEM level does not violate the antitrust l</w:t>
      </w:r>
      <w:r>
        <w:rPr>
          <w:rFonts w:eastAsia="Times New Roman"/>
          <w:color w:val="000000"/>
          <w:sz w:val="20"/>
          <w:szCs w:val="20"/>
        </w:rPr>
        <w:t>aws. The Ninth Circuit also held that the district court’s “anticompetitive surcharge” theory failed to state a cogent theory of anticompetitive harm and that our patent-licensing royalties and “no license, no chips” policy do not impose an anticompetitive</w:t>
      </w:r>
      <w:r>
        <w:rPr>
          <w:rFonts w:eastAsia="Times New Roman"/>
          <w:color w:val="000000"/>
          <w:sz w:val="20"/>
          <w:szCs w:val="20"/>
        </w:rPr>
        <w:t xml:space="preserve"> surcharge on rivals’ modem chip sales and do not undermine competition in either the CDMA or premium LTE chip markets. While agreeing with the district court that our 2011 and 2013 agreements with Apple were structured like exclusive dealing contracts, th</w:t>
      </w:r>
      <w:r>
        <w:rPr>
          <w:rFonts w:eastAsia="Times New Roman"/>
          <w:color w:val="000000"/>
          <w:sz w:val="20"/>
          <w:szCs w:val="20"/>
        </w:rPr>
        <w:t>e Ninth Circuit nonetheless held that neither agreement had the actual or practical effect of substantially foreclosing competition in the CDMA modem chip market, and because Apple terminated these agreements years ago, the district court had improperly is</w:t>
      </w:r>
      <w:r>
        <w:rPr>
          <w:rFonts w:eastAsia="Times New Roman"/>
          <w:color w:val="000000"/>
          <w:sz w:val="20"/>
          <w:szCs w:val="20"/>
        </w:rPr>
        <w:t>sued an injunction. The Ninth Circuit noted that neither the Sherman Act nor any other law prohibits companies like us from (1) licensing their standard-essential patents independently from their chip sales and collecting royalties, and/or (2) limiting the</w:t>
      </w:r>
      <w:r>
        <w:rPr>
          <w:rFonts w:eastAsia="Times New Roman"/>
          <w:color w:val="000000"/>
          <w:sz w:val="20"/>
          <w:szCs w:val="20"/>
        </w:rPr>
        <w:t xml:space="preserve">ir chip customer base to licensed OEMs. On September 25, 2020, the FTC filed a Petition for Rehearing </w:t>
      </w:r>
      <w:r>
        <w:rPr>
          <w:rFonts w:eastAsia="Times New Roman"/>
          <w:i/>
          <w:iCs/>
          <w:color w:val="000000"/>
          <w:sz w:val="20"/>
          <w:szCs w:val="20"/>
        </w:rPr>
        <w:t>En Banc</w:t>
      </w:r>
      <w:r>
        <w:rPr>
          <w:rFonts w:eastAsia="Times New Roman"/>
          <w:color w:val="000000"/>
          <w:sz w:val="20"/>
          <w:szCs w:val="20"/>
        </w:rPr>
        <w:t xml:space="preserve">. On October 28, 2020, the Ninth Circuit denied the FTC’s petition. On March 26, 2021, the FTC’s deadline for filing a petition for </w:t>
      </w:r>
      <w:r>
        <w:rPr>
          <w:rFonts w:eastAsia="Times New Roman"/>
          <w:i/>
          <w:iCs/>
          <w:color w:val="000000"/>
          <w:sz w:val="20"/>
          <w:szCs w:val="20"/>
        </w:rPr>
        <w:t>certiorari</w:t>
      </w:r>
      <w:r>
        <w:rPr>
          <w:rFonts w:eastAsia="Times New Roman"/>
          <w:color w:val="000000"/>
          <w:sz w:val="20"/>
          <w:szCs w:val="20"/>
        </w:rPr>
        <w:t xml:space="preserve"> with</w:t>
      </w:r>
      <w:r>
        <w:rPr>
          <w:rFonts w:eastAsia="Times New Roman"/>
          <w:color w:val="000000"/>
          <w:sz w:val="20"/>
          <w:szCs w:val="20"/>
        </w:rPr>
        <w:t xml:space="preserve"> the U.S. Supreme Court to seek review of the Ninth Circuit’s decision expired. The case is now over.</w:t>
      </w:r>
    </w:p>
    <w:p w:rsidR="00000000" w:rsidRDefault="00786A01">
      <w:pPr>
        <w:ind w:firstLine="360"/>
        <w:divId w:val="344937893"/>
        <w:rPr>
          <w:rFonts w:eastAsia="Times New Roman"/>
        </w:rPr>
      </w:pPr>
      <w:r>
        <w:rPr>
          <w:rFonts w:eastAsia="Times New Roman"/>
          <w:i/>
          <w:iCs/>
          <w:color w:val="000000"/>
          <w:sz w:val="20"/>
          <w:szCs w:val="20"/>
        </w:rPr>
        <w:t>Contingent losses and other considerations:</w:t>
      </w:r>
      <w:r>
        <w:rPr>
          <w:rFonts w:eastAsia="Times New Roman"/>
          <w:color w:val="000000"/>
          <w:sz w:val="20"/>
          <w:szCs w:val="20"/>
        </w:rPr>
        <w:t xml:space="preserve"> We will continue to vigorously defend ourselves in the foregoing matters. However, litigation and investigatio</w:t>
      </w:r>
      <w:r>
        <w:rPr>
          <w:rFonts w:eastAsia="Times New Roman"/>
          <w:color w:val="000000"/>
          <w:sz w:val="20"/>
          <w:szCs w:val="20"/>
        </w:rPr>
        <w:t>ns are inherently uncertain, and we face difficulties in evaluating or estimating likely outcomes or ranges of possible loss in antitrust and trade regulation investigations in particular. Other than with respect to the EC fines, we have not recorded any a</w:t>
      </w:r>
      <w:r>
        <w:rPr>
          <w:rFonts w:eastAsia="Times New Roman"/>
          <w:color w:val="000000"/>
          <w:sz w:val="20"/>
          <w:szCs w:val="20"/>
        </w:rPr>
        <w:t>ccrual at March 28, 2021 for contingent losses associated with these matters based on our belief that losses, while reasonably possible, are not probable. Further, any possible amount or range of loss cannot be reasonably estimated at this time. The unfavo</w:t>
      </w:r>
      <w:r>
        <w:rPr>
          <w:rFonts w:eastAsia="Times New Roman"/>
          <w:color w:val="000000"/>
          <w:sz w:val="20"/>
          <w:szCs w:val="20"/>
        </w:rPr>
        <w:t>rable resolution of one or more of these matters could have a material adverse effect on our business, results of operations, financial condition or cash flows. We are engaged in numerous other legal actions not described above arising in the ordinary cour</w:t>
      </w:r>
      <w:r>
        <w:rPr>
          <w:rFonts w:eastAsia="Times New Roman"/>
          <w:color w:val="000000"/>
          <w:sz w:val="20"/>
          <w:szCs w:val="20"/>
        </w:rPr>
        <w:t>se of our business (for example, proceedings relating to employment matters or the initiation or defense of proceedings relating to intellectual property rights) and, while there can be no assurance, we believe that the ultimate outcome of these other lega</w:t>
      </w:r>
      <w:r>
        <w:rPr>
          <w:rFonts w:eastAsia="Times New Roman"/>
          <w:color w:val="000000"/>
          <w:sz w:val="20"/>
          <w:szCs w:val="20"/>
        </w:rPr>
        <w:t>l actions will not have a material adverse effect on our business, results of operations, financial condition or cash flows.</w:t>
      </w:r>
    </w:p>
    <w:p w:rsidR="00000000" w:rsidRDefault="00786A01">
      <w:pPr>
        <w:divId w:val="821778092"/>
        <w:rPr>
          <w:rFonts w:eastAsia="Times New Roman"/>
        </w:rPr>
      </w:pPr>
      <w:r>
        <w:rPr>
          <w:rFonts w:eastAsia="Times New Roman"/>
          <w:b/>
          <w:bCs/>
          <w:color w:val="000000"/>
          <w:sz w:val="20"/>
          <w:szCs w:val="20"/>
        </w:rPr>
        <w:t>Note 6. Segment Information</w:t>
      </w:r>
    </w:p>
    <w:p w:rsidR="00000000" w:rsidRDefault="00786A01">
      <w:pPr>
        <w:ind w:firstLine="360"/>
        <w:divId w:val="915551416"/>
        <w:rPr>
          <w:rFonts w:eastAsia="Times New Roman"/>
        </w:rPr>
      </w:pPr>
      <w:r>
        <w:rPr>
          <w:rFonts w:eastAsia="Times New Roman"/>
          <w:color w:val="000000"/>
          <w:sz w:val="20"/>
          <w:szCs w:val="20"/>
        </w:rPr>
        <w:t>We are organized on the basis of products and services and have three reportable segments. Our operatin</w:t>
      </w:r>
      <w:r>
        <w:rPr>
          <w:rFonts w:eastAsia="Times New Roman"/>
          <w:color w:val="000000"/>
          <w:sz w:val="20"/>
          <w:szCs w:val="20"/>
        </w:rPr>
        <w:t>g segments reflect the way our businesses and management/reporting structure are organized internally and the way our Chief Operating Decision Maker (CODM), who is our CEO, reviews financial information, makes operating decisions and assesses business perf</w:t>
      </w:r>
      <w:r>
        <w:rPr>
          <w:rFonts w:eastAsia="Times New Roman"/>
          <w:color w:val="000000"/>
          <w:sz w:val="20"/>
          <w:szCs w:val="20"/>
        </w:rPr>
        <w:t>ormance. We also consider, among other items, the way budgets and forecasts are prepared and reviewed and the basis on which executive compensation is determined, as well as the similarity of business activities within our operating segments, such as the n</w:t>
      </w:r>
      <w:r>
        <w:rPr>
          <w:rFonts w:eastAsia="Times New Roman"/>
          <w:color w:val="000000"/>
          <w:sz w:val="20"/>
          <w:szCs w:val="20"/>
        </w:rPr>
        <w:t xml:space="preserve">ature of products, the level of shared products, technology and other resources, production processes and customer base. We conduct business primarily through our QCT semiconductor business and our QTL licensing business. </w:t>
      </w:r>
    </w:p>
    <w:p w:rsidR="00000000" w:rsidRDefault="00786A01">
      <w:pPr>
        <w:jc w:val="center"/>
        <w:divId w:val="39867089"/>
        <w:rPr>
          <w:rFonts w:eastAsia="Times New Roman"/>
        </w:rPr>
      </w:pPr>
      <w:r>
        <w:rPr>
          <w:rFonts w:eastAsia="Times New Roman"/>
          <w:color w:val="000000"/>
          <w:sz w:val="20"/>
          <w:szCs w:val="20"/>
        </w:rPr>
        <w:t>18</w:t>
      </w:r>
    </w:p>
    <w:p w:rsidR="00000000" w:rsidRDefault="00786A01">
      <w:pPr>
        <w:rPr>
          <w:rFonts w:eastAsia="Times New Roman"/>
        </w:rPr>
      </w:pPr>
      <w:r>
        <w:rPr>
          <w:rFonts w:eastAsia="Times New Roman"/>
        </w:rPr>
        <w:pict>
          <v:rect id="_x0000_i1041" style="width:0;height:1.5pt" o:hralign="center" o:hrstd="t" o:hr="t" fillcolor="#a0a0a0" stroked="f"/>
        </w:pict>
      </w:r>
    </w:p>
    <w:p w:rsidR="00000000" w:rsidRDefault="00786A01">
      <w:pPr>
        <w:jc w:val="center"/>
        <w:divId w:val="1520046929"/>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1520046929"/>
          <w:jc w:val="center"/>
        </w:trPr>
        <w:tc>
          <w:tcPr>
            <w:tcW w:w="50" w:type="pct"/>
            <w:vAlign w:val="center"/>
            <w:hideMark/>
          </w:tcPr>
          <w:p w:rsidR="00000000" w:rsidRDefault="00786A01">
            <w:pPr>
              <w:jc w:val="center"/>
              <w:rPr>
                <w:rFonts w:eastAsia="Times New Roman"/>
              </w:rPr>
            </w:pPr>
          </w:p>
        </w:tc>
        <w:tc>
          <w:tcPr>
            <w:tcW w:w="933"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8"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r>
      <w:tr w:rsidR="00000000">
        <w:trPr>
          <w:divId w:val="1520046929"/>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QUALCOMM Incorporated</w:t>
            </w:r>
          </w:p>
        </w:tc>
      </w:tr>
      <w:tr w:rsidR="00000000">
        <w:trPr>
          <w:divId w:val="1520046929"/>
          <w:jc w:val="center"/>
        </w:trPr>
        <w:tc>
          <w:tcPr>
            <w:tcW w:w="0" w:type="auto"/>
            <w:gridSpan w:val="3"/>
            <w:vAlign w:val="center"/>
            <w:hideMark/>
          </w:tcPr>
          <w:p w:rsidR="00000000" w:rsidRDefault="00786A01">
            <w:pPr>
              <w:spacing w:after="100"/>
              <w:jc w:val="center"/>
              <w:rPr>
                <w:rFonts w:eastAsia="Times New Roman"/>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r>
      <w:tr w:rsidR="00000000">
        <w:trPr>
          <w:divId w:val="1520046929"/>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1520046929"/>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(Unaudited)</w:t>
            </w:r>
          </w:p>
        </w:tc>
      </w:tr>
    </w:tbl>
    <w:p w:rsidR="00000000" w:rsidRDefault="00786A01">
      <w:pPr>
        <w:divId w:val="148717117"/>
        <w:rPr>
          <w:rFonts w:eastAsia="Times New Roman"/>
        </w:rPr>
      </w:pPr>
      <w:r>
        <w:rPr>
          <w:rFonts w:eastAsia="Times New Roman"/>
          <w:color w:val="000000"/>
          <w:sz w:val="20"/>
          <w:szCs w:val="20"/>
        </w:rPr>
        <w:t>QCT develops and supplies integrated circuits and system software based on 3G/4G/5G and other technologies for use in mobile devices, wireless networks, devices used in the IoT, broadband gateway equipment, consumer electronic devices and automotive system</w:t>
      </w:r>
      <w:r>
        <w:rPr>
          <w:rFonts w:eastAsia="Times New Roman"/>
          <w:color w:val="000000"/>
          <w:sz w:val="20"/>
          <w:szCs w:val="20"/>
        </w:rPr>
        <w:t xml:space="preserve">s for telematics and infotainment. QTL grants licenses or otherwise provides rights to use portions of our intellectual property portfolio, which includes certain patent rights essential to and/or useful in the manufacture, sale or use of certain wireless </w:t>
      </w:r>
      <w:r>
        <w:rPr>
          <w:rFonts w:eastAsia="Times New Roman"/>
          <w:color w:val="000000"/>
          <w:sz w:val="20"/>
          <w:szCs w:val="20"/>
        </w:rPr>
        <w:t xml:space="preserve">products. Our QSI (Qualcomm Strategic Initiatives) reportable segment makes strategic investments and includes revenues and related costs associated with development contracts with an investee. We also have nonreportable segments, including QGOV (Qualcomm </w:t>
      </w:r>
      <w:r>
        <w:rPr>
          <w:rFonts w:eastAsia="Times New Roman"/>
          <w:color w:val="000000"/>
          <w:sz w:val="20"/>
          <w:szCs w:val="20"/>
        </w:rPr>
        <w:t>Government Technologies), our cloud AI inference processing initiative and other technology and service initiatives.</w:t>
      </w:r>
    </w:p>
    <w:p w:rsidR="00000000" w:rsidRDefault="00786A01">
      <w:pPr>
        <w:ind w:firstLine="360"/>
        <w:divId w:val="1468890759"/>
        <w:rPr>
          <w:rFonts w:eastAsia="Times New Roman"/>
        </w:rPr>
      </w:pPr>
      <w:r>
        <w:rPr>
          <w:rFonts w:eastAsia="Times New Roman"/>
          <w:color w:val="000000"/>
          <w:sz w:val="20"/>
          <w:szCs w:val="20"/>
        </w:rPr>
        <w:t>Our CODM allocates resources to and evaluates the performance of our segments based on revenues and earnings (loss) before income taxes (EB</w:t>
      </w:r>
      <w:r>
        <w:rPr>
          <w:rFonts w:eastAsia="Times New Roman"/>
          <w:color w:val="000000"/>
          <w:sz w:val="20"/>
          <w:szCs w:val="20"/>
        </w:rPr>
        <w:t>T). Segment EBT includes the allocation of certain corporate expenses to the segments, including depreciation and amortization expense related to unallocated corporate assets. Certain income and charges are not allocated to segments in our management repor</w:t>
      </w:r>
      <w:r>
        <w:rPr>
          <w:rFonts w:eastAsia="Times New Roman"/>
          <w:color w:val="000000"/>
          <w:sz w:val="20"/>
          <w:szCs w:val="20"/>
        </w:rPr>
        <w:t>ts because they are not considered in evaluating the segments’ operating performance. Unallocated income and charges include certain interest expense, certain net investment income, certain share-based compensation, gains and losses on our deferred compens</w:t>
      </w:r>
      <w:r>
        <w:rPr>
          <w:rFonts w:eastAsia="Times New Roman"/>
          <w:color w:val="000000"/>
          <w:sz w:val="20"/>
          <w:szCs w:val="20"/>
        </w:rPr>
        <w:t xml:space="preserve">ation plan liabilities and related assets and certain research and development expenses, selling, general and administrative expenses and other expenses or income that were deemed to be not directly related to the businesses of the segments. Additionally, </w:t>
      </w:r>
      <w:r>
        <w:rPr>
          <w:rFonts w:eastAsia="Times New Roman"/>
          <w:color w:val="000000"/>
          <w:sz w:val="20"/>
          <w:szCs w:val="20"/>
        </w:rPr>
        <w:t>unallocated charges include recognition of the step-up of inventories and property, plant and equipment to fair value, amortization of certain intangible assets and certain other acquisition-related charges, third-party acquisition and integration services</w:t>
      </w:r>
      <w:r>
        <w:rPr>
          <w:rFonts w:eastAsia="Times New Roman"/>
          <w:color w:val="000000"/>
          <w:sz w:val="20"/>
          <w:szCs w:val="20"/>
        </w:rPr>
        <w:t xml:space="preserve"> costs and certain other items, which may include major restructuring and restructuring-related costs, goodwill and long-lived asset impairment charges and awards, settlements and/or damages arising from legal or regulatory matters.</w:t>
      </w:r>
    </w:p>
    <w:p w:rsidR="00000000" w:rsidRDefault="00786A01">
      <w:pPr>
        <w:ind w:firstLine="360"/>
        <w:divId w:val="663557409"/>
        <w:rPr>
          <w:rFonts w:eastAsia="Times New Roman"/>
        </w:rPr>
      </w:pPr>
      <w:r>
        <w:rPr>
          <w:rFonts w:eastAsia="Times New Roman"/>
          <w:color w:val="000000"/>
          <w:sz w:val="20"/>
          <w:szCs w:val="20"/>
        </w:rPr>
        <w:t>The table below present</w:t>
      </w:r>
      <w:r>
        <w:rPr>
          <w:rFonts w:eastAsia="Times New Roman"/>
          <w:color w:val="000000"/>
          <w:sz w:val="20"/>
          <w:szCs w:val="20"/>
        </w:rPr>
        <w:t>s revenues and EBT for reportable segments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3954"/>
        <w:gridCol w:w="36"/>
        <w:gridCol w:w="110"/>
        <w:gridCol w:w="863"/>
        <w:gridCol w:w="36"/>
        <w:gridCol w:w="36"/>
        <w:gridCol w:w="36"/>
        <w:gridCol w:w="36"/>
        <w:gridCol w:w="110"/>
        <w:gridCol w:w="826"/>
        <w:gridCol w:w="36"/>
        <w:gridCol w:w="36"/>
        <w:gridCol w:w="36"/>
        <w:gridCol w:w="36"/>
        <w:gridCol w:w="110"/>
        <w:gridCol w:w="828"/>
        <w:gridCol w:w="36"/>
        <w:gridCol w:w="36"/>
        <w:gridCol w:w="36"/>
        <w:gridCol w:w="36"/>
        <w:gridCol w:w="110"/>
        <w:gridCol w:w="828"/>
        <w:gridCol w:w="36"/>
      </w:tblGrid>
      <w:tr w:rsidR="00000000">
        <w:trPr>
          <w:divId w:val="1137531659"/>
        </w:trPr>
        <w:tc>
          <w:tcPr>
            <w:tcW w:w="50" w:type="pct"/>
            <w:vAlign w:val="center"/>
            <w:hideMark/>
          </w:tcPr>
          <w:p w:rsidR="00000000" w:rsidRDefault="00786A01">
            <w:pPr>
              <w:ind w:firstLine="360"/>
              <w:rPr>
                <w:rFonts w:eastAsia="Times New Roman"/>
              </w:rPr>
            </w:pPr>
          </w:p>
        </w:tc>
        <w:tc>
          <w:tcPr>
            <w:tcW w:w="241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137531659"/>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rPr>
          <w:divId w:val="1137531659"/>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r>
      <w:tr w:rsidR="00000000">
        <w:trPr>
          <w:divId w:val="1137531659"/>
        </w:trPr>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Revenues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137531659"/>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QCT</w:t>
            </w: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6,281 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4,100 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12,814 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7,719 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137531659"/>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QTL</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1,614 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1,072 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3,273 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2,477 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137531659"/>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QSI</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137531659"/>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Reconciling items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64 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137531659"/>
        </w:trPr>
        <w:tc>
          <w:tcPr>
            <w:tcW w:w="0" w:type="auto"/>
            <w:gridSpan w:val="3"/>
            <w:shd w:val="clear" w:color="auto" w:fill="CCEE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7,935 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137531659"/>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EBT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137531659"/>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QCT</w:t>
            </w: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1,584 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667 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3,503 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1,145 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137531659"/>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QTL</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1,191 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671 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2,461 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1,689 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137531659"/>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QSI</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98 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(208)</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256 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(210)</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137531659"/>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Reconciling items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(744)</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(532)</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(1,488)</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(1,079)</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137531659"/>
        </w:trPr>
        <w:tc>
          <w:tcPr>
            <w:tcW w:w="0" w:type="auto"/>
            <w:gridSpan w:val="3"/>
            <w:shd w:val="clear" w:color="auto" w:fill="CCEE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2,129 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4,732 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bl>
    <w:p w:rsidR="00000000" w:rsidRDefault="00786A01">
      <w:pPr>
        <w:jc w:val="center"/>
        <w:divId w:val="1668748147"/>
        <w:rPr>
          <w:rFonts w:eastAsia="Times New Roman"/>
        </w:rPr>
      </w:pPr>
      <w:r>
        <w:rPr>
          <w:rFonts w:eastAsia="Times New Roman"/>
          <w:color w:val="000000"/>
          <w:sz w:val="20"/>
          <w:szCs w:val="20"/>
        </w:rPr>
        <w:t>19</w:t>
      </w:r>
    </w:p>
    <w:p w:rsidR="00000000" w:rsidRDefault="00786A01">
      <w:pPr>
        <w:rPr>
          <w:rFonts w:eastAsia="Times New Roman"/>
        </w:rPr>
      </w:pPr>
      <w:r>
        <w:rPr>
          <w:rFonts w:eastAsia="Times New Roman"/>
        </w:rPr>
        <w:pict>
          <v:rect id="_x0000_i1042" style="width:0;height:1.5pt" o:hralign="center" o:hrstd="t" o:hr="t" fillcolor="#a0a0a0" stroked="f"/>
        </w:pict>
      </w:r>
    </w:p>
    <w:p w:rsidR="00000000" w:rsidRDefault="00786A01">
      <w:pPr>
        <w:jc w:val="center"/>
        <w:divId w:val="2042850828"/>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2042850828"/>
          <w:jc w:val="center"/>
        </w:trPr>
        <w:tc>
          <w:tcPr>
            <w:tcW w:w="50" w:type="pct"/>
            <w:vAlign w:val="center"/>
            <w:hideMark/>
          </w:tcPr>
          <w:p w:rsidR="00000000" w:rsidRDefault="00786A01">
            <w:pPr>
              <w:jc w:val="center"/>
              <w:rPr>
                <w:rFonts w:eastAsia="Times New Roman"/>
              </w:rPr>
            </w:pPr>
          </w:p>
        </w:tc>
        <w:tc>
          <w:tcPr>
            <w:tcW w:w="933"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8"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r>
      <w:tr w:rsidR="00000000">
        <w:trPr>
          <w:divId w:val="2042850828"/>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QUALCOMM Incorporated</w:t>
            </w:r>
          </w:p>
        </w:tc>
      </w:tr>
      <w:tr w:rsidR="00000000">
        <w:trPr>
          <w:divId w:val="2042850828"/>
          <w:jc w:val="center"/>
        </w:trPr>
        <w:tc>
          <w:tcPr>
            <w:tcW w:w="0" w:type="auto"/>
            <w:gridSpan w:val="3"/>
            <w:vAlign w:val="center"/>
            <w:hideMark/>
          </w:tcPr>
          <w:p w:rsidR="00000000" w:rsidRDefault="00786A01">
            <w:pPr>
              <w:spacing w:after="100"/>
              <w:jc w:val="center"/>
              <w:rPr>
                <w:rFonts w:eastAsia="Times New Roman"/>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r>
      <w:tr w:rsidR="00000000">
        <w:trPr>
          <w:divId w:val="2042850828"/>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2042850828"/>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(Unaudited)</w:t>
            </w:r>
          </w:p>
        </w:tc>
      </w:tr>
    </w:tbl>
    <w:p w:rsidR="00000000" w:rsidRDefault="00786A01">
      <w:pPr>
        <w:divId w:val="1918055354"/>
        <w:rPr>
          <w:rFonts w:eastAsia="Times New Roman"/>
        </w:rPr>
      </w:pPr>
      <w:r>
        <w:rPr>
          <w:rFonts w:eastAsia="Times New Roman"/>
          <w:color w:val="000000"/>
          <w:sz w:val="20"/>
          <w:szCs w:val="20"/>
        </w:rPr>
        <w:t>Reconciling items for revenues and EBT in the previous table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3954"/>
        <w:gridCol w:w="36"/>
        <w:gridCol w:w="111"/>
        <w:gridCol w:w="863"/>
        <w:gridCol w:w="37"/>
        <w:gridCol w:w="36"/>
        <w:gridCol w:w="36"/>
        <w:gridCol w:w="36"/>
        <w:gridCol w:w="111"/>
        <w:gridCol w:w="826"/>
        <w:gridCol w:w="37"/>
        <w:gridCol w:w="36"/>
        <w:gridCol w:w="36"/>
        <w:gridCol w:w="36"/>
        <w:gridCol w:w="110"/>
        <w:gridCol w:w="826"/>
        <w:gridCol w:w="36"/>
        <w:gridCol w:w="36"/>
        <w:gridCol w:w="36"/>
        <w:gridCol w:w="36"/>
        <w:gridCol w:w="110"/>
        <w:gridCol w:w="826"/>
        <w:gridCol w:w="36"/>
      </w:tblGrid>
      <w:tr w:rsidR="00000000">
        <w:trPr>
          <w:divId w:val="658189335"/>
        </w:trPr>
        <w:tc>
          <w:tcPr>
            <w:tcW w:w="50" w:type="pct"/>
            <w:vAlign w:val="center"/>
            <w:hideMark/>
          </w:tcPr>
          <w:p w:rsidR="00000000" w:rsidRDefault="00786A01">
            <w:pPr>
              <w:rPr>
                <w:rFonts w:eastAsia="Times New Roman"/>
              </w:rPr>
            </w:pPr>
          </w:p>
        </w:tc>
        <w:tc>
          <w:tcPr>
            <w:tcW w:w="241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658189335"/>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rPr>
          <w:divId w:val="658189335"/>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r>
      <w:tr w:rsidR="00000000">
        <w:trPr>
          <w:divId w:val="658189335"/>
        </w:trPr>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Revenues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658189335"/>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Nonreportable segments</w:t>
            </w: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658189335"/>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658189335"/>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658189335"/>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EBT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658189335"/>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658189335"/>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Unallocated cost of revenues</w:t>
            </w: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(72)</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(84)</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(148)</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(175)</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658189335"/>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Unallocated research and development expenses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(415)</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(216)</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(821)</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(475)</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658189335"/>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Unallocated selling, general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(113)</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(56)</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(291)</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(172)</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658189335"/>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Unallocated other income (Note 2)</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658189335"/>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Unallocated interest expense</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(141)</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(145)</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(282)</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(293)</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658189335"/>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Unallocated investment and other income (expense), net</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(30)</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85 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52 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658189335"/>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Nonreportable segments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(24)</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(31)</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(39)</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658189335"/>
        </w:trPr>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(1,079)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bl>
    <w:p w:rsidR="00000000" w:rsidRDefault="00786A01">
      <w:pPr>
        <w:divId w:val="14426469"/>
        <w:rPr>
          <w:rFonts w:eastAsia="Times New Roman"/>
        </w:rPr>
      </w:pPr>
      <w:r>
        <w:rPr>
          <w:rFonts w:eastAsia="Times New Roman"/>
          <w:b/>
          <w:bCs/>
          <w:color w:val="000000"/>
          <w:sz w:val="20"/>
          <w:szCs w:val="20"/>
        </w:rPr>
        <w:t xml:space="preserve">Note 7. Acquisitions </w:t>
      </w:r>
    </w:p>
    <w:p w:rsidR="00000000" w:rsidRDefault="00786A01">
      <w:pPr>
        <w:ind w:firstLine="360"/>
        <w:divId w:val="626278982"/>
        <w:rPr>
          <w:rFonts w:eastAsia="Times New Roman"/>
        </w:rPr>
      </w:pPr>
      <w:r>
        <w:rPr>
          <w:rFonts w:eastAsia="Times New Roman"/>
          <w:color w:val="000000"/>
          <w:sz w:val="20"/>
          <w:szCs w:val="20"/>
        </w:rPr>
        <w:t xml:space="preserve">On March 16, 2021 (the Closing Date), we completed the acquisition of NuVia, Inc. (NUVIA) for </w:t>
      </w:r>
      <w:r>
        <w:rPr>
          <w:rFonts w:eastAsia="Times New Roman"/>
          <w:color w:val="000000"/>
          <w:sz w:val="20"/>
          <w:szCs w:val="20"/>
        </w:rPr>
        <w:t>$1.1 billion (net of cash acquired), substantially all of which was paid in cash. In connection with the acquisition, we assumed or replaced unvested NUVIA stock awards with Qualcomm stock awards with an estimated fair value of $258 million, for which $10 </w:t>
      </w:r>
      <w:r>
        <w:rPr>
          <w:rFonts w:eastAsia="Times New Roman"/>
          <w:color w:val="000000"/>
          <w:sz w:val="20"/>
          <w:szCs w:val="20"/>
        </w:rPr>
        <w:t>million was attributable to pre-acquisition services and included in the purchase price, and the remaining amount will be recognized as compensation expense over the related post-acquisition requisite service period of up to four years.</w:t>
      </w:r>
    </w:p>
    <w:p w:rsidR="00000000" w:rsidRDefault="00786A01">
      <w:pPr>
        <w:ind w:firstLine="360"/>
        <w:divId w:val="237713746"/>
        <w:rPr>
          <w:rFonts w:eastAsia="Times New Roman"/>
        </w:rPr>
      </w:pPr>
      <w:r>
        <w:rPr>
          <w:rFonts w:eastAsia="Times New Roman"/>
          <w:color w:val="000000"/>
          <w:sz w:val="20"/>
          <w:szCs w:val="20"/>
        </w:rPr>
        <w:t>NUVIA has certain i</w:t>
      </w:r>
      <w:r>
        <w:rPr>
          <w:rFonts w:eastAsia="Times New Roman"/>
          <w:color w:val="000000"/>
          <w:sz w:val="20"/>
          <w:szCs w:val="20"/>
        </w:rPr>
        <w:t>n-process technologies and is comprised of a CPU (central processing unit) and technology design team with expertise in high performance processors, SoC (system-on-chip) and power management for compute-intensive devices and applications. Upon completion o</w:t>
      </w:r>
      <w:r>
        <w:rPr>
          <w:rFonts w:eastAsia="Times New Roman"/>
          <w:color w:val="000000"/>
          <w:sz w:val="20"/>
          <w:szCs w:val="20"/>
        </w:rPr>
        <w:t>f development, NUVIA’s technologies are expected to be integrated into certain QCT products.</w:t>
      </w:r>
    </w:p>
    <w:p w:rsidR="00000000" w:rsidRDefault="00786A01">
      <w:pPr>
        <w:ind w:firstLine="360"/>
        <w:divId w:val="211768538"/>
        <w:rPr>
          <w:rFonts w:eastAsia="Times New Roman"/>
        </w:rPr>
      </w:pPr>
      <w:r>
        <w:rPr>
          <w:rFonts w:eastAsia="Times New Roman"/>
          <w:color w:val="000000"/>
          <w:sz w:val="20"/>
          <w:szCs w:val="20"/>
        </w:rPr>
        <w:t>We have not finalized the purchase price allocation. Accordingly, the preliminary purchase price allocation shown below could change as the fair values of the tang</w:t>
      </w:r>
      <w:r>
        <w:rPr>
          <w:rFonts w:eastAsia="Times New Roman"/>
          <w:color w:val="000000"/>
          <w:sz w:val="20"/>
          <w:szCs w:val="20"/>
        </w:rPr>
        <w:t>ible and intangible assets acquired and liabilities assumed, and the related income tax effects, are finalized during the remainder of the measurement period (which will not exceed 12 months from the Closing Date). The preliminary allocation of the purchas</w:t>
      </w:r>
      <w:r>
        <w:rPr>
          <w:rFonts w:eastAsia="Times New Roman"/>
          <w:color w:val="000000"/>
          <w:sz w:val="20"/>
          <w:szCs w:val="20"/>
        </w:rPr>
        <w:t>e price to the assets acquired and liabilities assumed based on their fair values was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5"/>
        <w:gridCol w:w="7187"/>
        <w:gridCol w:w="36"/>
        <w:gridCol w:w="110"/>
        <w:gridCol w:w="882"/>
        <w:gridCol w:w="36"/>
      </w:tblGrid>
      <w:tr w:rsidR="00000000">
        <w:trPr>
          <w:divId w:val="1661999352"/>
        </w:trPr>
        <w:tc>
          <w:tcPr>
            <w:tcW w:w="50" w:type="pct"/>
            <w:vAlign w:val="center"/>
            <w:hideMark/>
          </w:tcPr>
          <w:p w:rsidR="00000000" w:rsidRDefault="00786A01">
            <w:pPr>
              <w:ind w:firstLine="360"/>
              <w:rPr>
                <w:rFonts w:eastAsia="Times New Roman"/>
              </w:rPr>
            </w:pPr>
          </w:p>
        </w:tc>
        <w:tc>
          <w:tcPr>
            <w:tcW w:w="434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661999352"/>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Cash</w:t>
            </w: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174 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661999352"/>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In-process research and development (IPR&amp;D)</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247 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661999352"/>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Goodwill</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887 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661999352"/>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 assets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661999352"/>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661999352"/>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Liabilities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(69)</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661999352"/>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assets acquired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bl>
    <w:p w:rsidR="00000000" w:rsidRDefault="00786A01">
      <w:pPr>
        <w:ind w:firstLine="360"/>
        <w:divId w:val="2105297529"/>
        <w:rPr>
          <w:rFonts w:eastAsia="Times New Roman"/>
        </w:rPr>
      </w:pPr>
      <w:r>
        <w:rPr>
          <w:rFonts w:eastAsia="Times New Roman"/>
          <w:color w:val="000000"/>
          <w:sz w:val="20"/>
          <w:szCs w:val="20"/>
        </w:rPr>
        <w:t>Goodwill recognized in this transaction is not deductible for tax purposes and was allocated to our QCT segment for annual impairment testing purposes. Goodwill is primarily attributable to assembled workforce and certain revenue and cost synergies expecte</w:t>
      </w:r>
      <w:r>
        <w:rPr>
          <w:rFonts w:eastAsia="Times New Roman"/>
          <w:color w:val="000000"/>
          <w:sz w:val="20"/>
          <w:szCs w:val="20"/>
        </w:rPr>
        <w:t>d to arise after the acquisition. IPR&amp;D related to a single project, which is expected to be completed in fiscal 2023 and, upon completion, will be amortized over its useful life (which is expected to be 7 years). The estimated fair value of the IPR&amp;D asse</w:t>
      </w:r>
      <w:r>
        <w:rPr>
          <w:rFonts w:eastAsia="Times New Roman"/>
          <w:color w:val="000000"/>
          <w:sz w:val="20"/>
          <w:szCs w:val="20"/>
        </w:rPr>
        <w:t xml:space="preserve">t acquired was determined using an income approach based on significant inputs that were not observable. </w:t>
      </w:r>
    </w:p>
    <w:p w:rsidR="00000000" w:rsidRDefault="00786A01">
      <w:pPr>
        <w:ind w:firstLine="360"/>
        <w:divId w:val="748576295"/>
        <w:rPr>
          <w:rFonts w:eastAsia="Times New Roman"/>
        </w:rPr>
      </w:pPr>
      <w:r>
        <w:rPr>
          <w:rFonts w:eastAsia="Times New Roman"/>
          <w:color w:val="000000"/>
          <w:sz w:val="20"/>
          <w:szCs w:val="20"/>
        </w:rPr>
        <w:t>Our results of operations for the second quarter of fiscal 2021 included the operating results of NUVIA since the Closing Date, the amounts of which w</w:t>
      </w:r>
      <w:r>
        <w:rPr>
          <w:rFonts w:eastAsia="Times New Roman"/>
          <w:color w:val="000000"/>
          <w:sz w:val="20"/>
          <w:szCs w:val="20"/>
        </w:rPr>
        <w:t>ere not material. Pro forma results of operations have not been presented because the effects of this acquisition were not material to our condensed consolidated results of operations.</w:t>
      </w:r>
    </w:p>
    <w:p w:rsidR="00000000" w:rsidRDefault="00786A01">
      <w:pPr>
        <w:jc w:val="center"/>
        <w:divId w:val="319382436"/>
        <w:rPr>
          <w:rFonts w:eastAsia="Times New Roman"/>
        </w:rPr>
      </w:pPr>
      <w:r>
        <w:rPr>
          <w:rFonts w:eastAsia="Times New Roman"/>
          <w:color w:val="000000"/>
          <w:sz w:val="20"/>
          <w:szCs w:val="20"/>
        </w:rPr>
        <w:t>20</w:t>
      </w:r>
    </w:p>
    <w:p w:rsidR="00000000" w:rsidRDefault="00786A01">
      <w:pPr>
        <w:rPr>
          <w:rFonts w:eastAsia="Times New Roman"/>
        </w:rPr>
      </w:pPr>
      <w:r>
        <w:rPr>
          <w:rFonts w:eastAsia="Times New Roman"/>
        </w:rPr>
        <w:pict>
          <v:rect id="_x0000_i1043" style="width:0;height:1.5pt" o:hralign="center" o:hrstd="t" o:hr="t" fillcolor="#a0a0a0" stroked="f"/>
        </w:pict>
      </w:r>
    </w:p>
    <w:p w:rsidR="00000000" w:rsidRDefault="00786A01">
      <w:pPr>
        <w:jc w:val="center"/>
        <w:divId w:val="205259548"/>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205259548"/>
          <w:jc w:val="center"/>
        </w:trPr>
        <w:tc>
          <w:tcPr>
            <w:tcW w:w="50" w:type="pct"/>
            <w:vAlign w:val="center"/>
            <w:hideMark/>
          </w:tcPr>
          <w:p w:rsidR="00000000" w:rsidRDefault="00786A01">
            <w:pPr>
              <w:jc w:val="center"/>
              <w:rPr>
                <w:rFonts w:eastAsia="Times New Roman"/>
              </w:rPr>
            </w:pPr>
          </w:p>
        </w:tc>
        <w:tc>
          <w:tcPr>
            <w:tcW w:w="933"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8"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r>
      <w:tr w:rsidR="00000000">
        <w:trPr>
          <w:divId w:val="205259548"/>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QUALCOMM Incorporated</w:t>
            </w:r>
          </w:p>
        </w:tc>
      </w:tr>
      <w:tr w:rsidR="00000000">
        <w:trPr>
          <w:divId w:val="205259548"/>
          <w:jc w:val="center"/>
        </w:trPr>
        <w:tc>
          <w:tcPr>
            <w:tcW w:w="0" w:type="auto"/>
            <w:gridSpan w:val="3"/>
            <w:vAlign w:val="center"/>
            <w:hideMark/>
          </w:tcPr>
          <w:p w:rsidR="00000000" w:rsidRDefault="00786A01">
            <w:pPr>
              <w:spacing w:after="100"/>
              <w:jc w:val="center"/>
              <w:rPr>
                <w:rFonts w:eastAsia="Times New Roman"/>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r>
      <w:tr w:rsidR="00000000">
        <w:trPr>
          <w:divId w:val="205259548"/>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205259548"/>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(Unaudited)</w:t>
            </w:r>
          </w:p>
        </w:tc>
      </w:tr>
    </w:tbl>
    <w:p w:rsidR="00000000" w:rsidRDefault="00786A01">
      <w:pPr>
        <w:divId w:val="1607276504"/>
        <w:rPr>
          <w:rFonts w:eastAsia="Times New Roman"/>
        </w:rPr>
      </w:pPr>
      <w:r>
        <w:rPr>
          <w:rFonts w:eastAsia="Times New Roman"/>
          <w:b/>
          <w:bCs/>
          <w:color w:val="000000"/>
          <w:sz w:val="20"/>
          <w:szCs w:val="20"/>
        </w:rPr>
        <w:t>Note 8. Fair Value Measurements</w:t>
      </w:r>
    </w:p>
    <w:p w:rsidR="00000000" w:rsidRDefault="00786A01">
      <w:pPr>
        <w:ind w:firstLine="360"/>
        <w:divId w:val="1177118637"/>
        <w:rPr>
          <w:rFonts w:eastAsia="Times New Roman"/>
        </w:rPr>
      </w:pPr>
      <w:r>
        <w:rPr>
          <w:rFonts w:eastAsia="Times New Roman"/>
          <w:color w:val="000000"/>
          <w:sz w:val="20"/>
          <w:szCs w:val="20"/>
        </w:rPr>
        <w:t>The following table presents our fair value hierarchy for assets and liabilities measured at fair value on a recurring basis at March 28, 2021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3952"/>
        <w:gridCol w:w="38"/>
        <w:gridCol w:w="110"/>
        <w:gridCol w:w="863"/>
        <w:gridCol w:w="36"/>
        <w:gridCol w:w="36"/>
        <w:gridCol w:w="36"/>
        <w:gridCol w:w="36"/>
        <w:gridCol w:w="110"/>
        <w:gridCol w:w="826"/>
        <w:gridCol w:w="36"/>
        <w:gridCol w:w="36"/>
        <w:gridCol w:w="36"/>
        <w:gridCol w:w="36"/>
        <w:gridCol w:w="111"/>
        <w:gridCol w:w="826"/>
        <w:gridCol w:w="36"/>
        <w:gridCol w:w="36"/>
        <w:gridCol w:w="36"/>
        <w:gridCol w:w="36"/>
        <w:gridCol w:w="110"/>
        <w:gridCol w:w="827"/>
        <w:gridCol w:w="36"/>
      </w:tblGrid>
      <w:tr w:rsidR="00000000">
        <w:trPr>
          <w:divId w:val="532301846"/>
        </w:trPr>
        <w:tc>
          <w:tcPr>
            <w:tcW w:w="50" w:type="pct"/>
            <w:vAlign w:val="center"/>
            <w:hideMark/>
          </w:tcPr>
          <w:p w:rsidR="00000000" w:rsidRDefault="00786A01">
            <w:pPr>
              <w:ind w:firstLine="360"/>
              <w:rPr>
                <w:rFonts w:eastAsia="Times New Roman"/>
              </w:rPr>
            </w:pPr>
          </w:p>
        </w:tc>
        <w:tc>
          <w:tcPr>
            <w:tcW w:w="241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532301846"/>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Level 1</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Level 2</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Level 3</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Total</w:t>
            </w:r>
          </w:p>
        </w:tc>
      </w:tr>
      <w:tr w:rsidR="00000000">
        <w:trPr>
          <w:divId w:val="532301846"/>
        </w:trPr>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Assets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r>
      <w:tr w:rsidR="00000000">
        <w:trPr>
          <w:divId w:val="532301846"/>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Cash equivalents</w:t>
            </w: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1,789 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2,869 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4,658 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2301846"/>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Marketable securities: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r>
      <w:tr w:rsidR="00000000">
        <w:trPr>
          <w:divId w:val="532301846"/>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U.S. Treasury securities and government-related securities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2301846"/>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Corporate bonds and notes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5,003 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5,003 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2301846"/>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532301846"/>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Mortgage- and asset-backed and auction rate securities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211 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2301846"/>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532301846"/>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Equity securities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336 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336 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2301846"/>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532301846"/>
        </w:trPr>
        <w:tc>
          <w:tcPr>
            <w:tcW w:w="0" w:type="auto"/>
            <w:gridSpan w:val="3"/>
            <w:shd w:val="clear" w:color="auto" w:fill="CCEEFF"/>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 marketable securities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5,561 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2301846"/>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78 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78 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2301846"/>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 investments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617 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627 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2301846"/>
        </w:trPr>
        <w:tc>
          <w:tcPr>
            <w:tcW w:w="0" w:type="auto"/>
            <w:gridSpan w:val="3"/>
            <w:shd w:val="clear" w:color="auto" w:fill="FFFFFF"/>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 assets measured at fair value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2,742 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8,137 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10,924 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2301846"/>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Liabilities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r>
      <w:tr w:rsidR="00000000">
        <w:trPr>
          <w:divId w:val="532301846"/>
        </w:trPr>
        <w:tc>
          <w:tcPr>
            <w:tcW w:w="0" w:type="auto"/>
            <w:gridSpan w:val="3"/>
            <w:vAlign w:val="center"/>
            <w:hideMark/>
          </w:tcPr>
          <w:p w:rsidR="00000000" w:rsidRDefault="00786A01">
            <w:pPr>
              <w:rPr>
                <w:rFonts w:eastAsia="Times New Roman"/>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532301846"/>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Derivative instruments</w:t>
            </w:r>
          </w:p>
        </w:tc>
        <w:tc>
          <w:tcPr>
            <w:tcW w:w="0" w:type="auto"/>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2301846"/>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617 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617 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2301846"/>
        </w:trPr>
        <w:tc>
          <w:tcPr>
            <w:tcW w:w="0" w:type="auto"/>
            <w:gridSpan w:val="3"/>
            <w:shd w:val="clear" w:color="auto" w:fill="FFFFFF"/>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 liabilities measured at fair value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bl>
    <w:p w:rsidR="00000000" w:rsidRDefault="00786A01">
      <w:pPr>
        <w:ind w:firstLine="360"/>
        <w:divId w:val="555703866"/>
        <w:rPr>
          <w:rFonts w:eastAsia="Times New Roman"/>
        </w:rPr>
      </w:pPr>
      <w:r>
        <w:rPr>
          <w:rFonts w:eastAsia="Times New Roman"/>
          <w:b/>
          <w:bCs/>
          <w:i/>
          <w:iCs/>
          <w:color w:val="000000"/>
          <w:sz w:val="20"/>
          <w:szCs w:val="20"/>
        </w:rPr>
        <w:t xml:space="preserve">Activity within Level 3 of the Fair Value Hierarchy. </w:t>
      </w:r>
      <w:r>
        <w:rPr>
          <w:rFonts w:eastAsia="Times New Roman"/>
          <w:color w:val="000000"/>
          <w:sz w:val="20"/>
          <w:szCs w:val="20"/>
        </w:rPr>
        <w:t>Other investments included in Level 3 at March 28, 2021 were comprised of non-marketable debt instruments. Activity for marketabl</w:t>
      </w:r>
      <w:r>
        <w:rPr>
          <w:rFonts w:eastAsia="Times New Roman"/>
          <w:color w:val="000000"/>
          <w:sz w:val="20"/>
          <w:szCs w:val="20"/>
        </w:rPr>
        <w:t>e securities and other investments classified within Level 3 was insignificant during the six months ended March 28, 2021 (primarily related to settlements of non-marketable debt instruments) and the six months ended March 29, 2020 (primarily related to im</w:t>
      </w:r>
      <w:r>
        <w:rPr>
          <w:rFonts w:eastAsia="Times New Roman"/>
          <w:color w:val="000000"/>
          <w:sz w:val="20"/>
          <w:szCs w:val="20"/>
        </w:rPr>
        <w:t>pairments of certain non-marketable debt instruments and purchases of non-marketable debt instruments). Activity for other liabilities classified within Level 3 was insignificant during the six months ended March 29, 2020.</w:t>
      </w:r>
    </w:p>
    <w:p w:rsidR="00000000" w:rsidRDefault="00786A01">
      <w:pPr>
        <w:ind w:firstLine="360"/>
        <w:divId w:val="1818495097"/>
        <w:rPr>
          <w:rFonts w:eastAsia="Times New Roman"/>
        </w:rPr>
      </w:pPr>
      <w:r>
        <w:rPr>
          <w:rFonts w:eastAsia="Times New Roman"/>
          <w:b/>
          <w:bCs/>
          <w:i/>
          <w:iCs/>
          <w:color w:val="000000"/>
          <w:sz w:val="20"/>
          <w:szCs w:val="20"/>
        </w:rPr>
        <w:t>Assets Measured and Recorded at F</w:t>
      </w:r>
      <w:r>
        <w:rPr>
          <w:rFonts w:eastAsia="Times New Roman"/>
          <w:b/>
          <w:bCs/>
          <w:i/>
          <w:iCs/>
          <w:color w:val="000000"/>
          <w:sz w:val="20"/>
          <w:szCs w:val="20"/>
        </w:rPr>
        <w:t xml:space="preserve">air Value on a Nonrecurring Basis. </w:t>
      </w:r>
      <w:r>
        <w:rPr>
          <w:rFonts w:eastAsia="Times New Roman"/>
          <w:color w:val="000000"/>
          <w:sz w:val="20"/>
          <w:szCs w:val="20"/>
        </w:rPr>
        <w:t>We measure certain assets and liabilities at fair value on a nonrecurring basis. These assets and liabilities include equity method and non-marketable equity investments, assets acquired and liabilities assumed in an acqu</w:t>
      </w:r>
      <w:r>
        <w:rPr>
          <w:rFonts w:eastAsia="Times New Roman"/>
          <w:color w:val="000000"/>
          <w:sz w:val="20"/>
          <w:szCs w:val="20"/>
        </w:rPr>
        <w:t>isition or in a nonmonetary exchange, and property, plant and equipment and intangible assets that are written down to fair value when they are held for sale or determined to be impaired. During the six months ended March 28, 2021 and March 29, 2020, certa</w:t>
      </w:r>
      <w:r>
        <w:rPr>
          <w:rFonts w:eastAsia="Times New Roman"/>
          <w:color w:val="000000"/>
          <w:sz w:val="20"/>
          <w:szCs w:val="20"/>
        </w:rPr>
        <w:t>in of our non-marketable equity investments were written down to their estimated fair values, which was recorded as a component of impairment losses on other investments in investment and other income (expense), net (Note 2), and certain other non-marketab</w:t>
      </w:r>
      <w:r>
        <w:rPr>
          <w:rFonts w:eastAsia="Times New Roman"/>
          <w:color w:val="000000"/>
          <w:sz w:val="20"/>
          <w:szCs w:val="20"/>
        </w:rPr>
        <w:t>le equity investments were remeasured to their estimated fair values based on observable price changes in orderly transactions for identical or similar securities, which is recorded as a component of net gains on other investments in investment and other i</w:t>
      </w:r>
      <w:r>
        <w:rPr>
          <w:rFonts w:eastAsia="Times New Roman"/>
          <w:color w:val="000000"/>
          <w:sz w:val="20"/>
          <w:szCs w:val="20"/>
        </w:rPr>
        <w:t>ncome (expense), net (Note 2). The estimation of fair value used in the fair value measurements required the use of significant unobservable inputs, and as a result, the fair value measurements were classified as Level 3.</w:t>
      </w:r>
    </w:p>
    <w:p w:rsidR="00000000" w:rsidRDefault="00786A01">
      <w:pPr>
        <w:ind w:firstLine="360"/>
        <w:divId w:val="385496793"/>
        <w:rPr>
          <w:rFonts w:eastAsia="Times New Roman"/>
        </w:rPr>
      </w:pPr>
      <w:r>
        <w:rPr>
          <w:rFonts w:eastAsia="Times New Roman"/>
          <w:b/>
          <w:bCs/>
          <w:i/>
          <w:iCs/>
          <w:color w:val="000000"/>
          <w:sz w:val="20"/>
          <w:szCs w:val="20"/>
        </w:rPr>
        <w:t xml:space="preserve">Long-term Debt. </w:t>
      </w:r>
      <w:r>
        <w:rPr>
          <w:rFonts w:eastAsia="Times New Roman"/>
          <w:color w:val="000000"/>
          <w:sz w:val="20"/>
          <w:szCs w:val="20"/>
        </w:rPr>
        <w:t xml:space="preserve">At March 28, 2021 </w:t>
      </w:r>
      <w:r>
        <w:rPr>
          <w:rFonts w:eastAsia="Times New Roman"/>
          <w:color w:val="000000"/>
          <w:sz w:val="20"/>
          <w:szCs w:val="20"/>
        </w:rPr>
        <w:t>and September 27, 2020, the aggregate fair value of our outstanding floating- and fixed-rate notes, based on Level 2 inputs, was approximately $16.6 billion and $17.5 billion, respectively.</w:t>
      </w:r>
    </w:p>
    <w:p w:rsidR="00000000" w:rsidRDefault="00786A01">
      <w:pPr>
        <w:jc w:val="center"/>
        <w:divId w:val="802965508"/>
        <w:rPr>
          <w:rFonts w:eastAsia="Times New Roman"/>
        </w:rPr>
      </w:pPr>
      <w:r>
        <w:rPr>
          <w:rFonts w:eastAsia="Times New Roman"/>
          <w:color w:val="000000"/>
          <w:sz w:val="20"/>
          <w:szCs w:val="20"/>
        </w:rPr>
        <w:t>21</w:t>
      </w:r>
    </w:p>
    <w:p w:rsidR="00000000" w:rsidRDefault="00786A01">
      <w:pPr>
        <w:rPr>
          <w:rFonts w:eastAsia="Times New Roman"/>
        </w:rPr>
      </w:pPr>
      <w:r>
        <w:rPr>
          <w:rFonts w:eastAsia="Times New Roman"/>
        </w:rPr>
        <w:pict>
          <v:rect id="_x0000_i1044" style="width:0;height:1.5pt" o:hralign="center" o:hrstd="t" o:hr="t" fillcolor="#a0a0a0" stroked="f"/>
        </w:pict>
      </w:r>
    </w:p>
    <w:p w:rsidR="00000000" w:rsidRDefault="00786A01">
      <w:pPr>
        <w:jc w:val="center"/>
        <w:divId w:val="225143869"/>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67"/>
        <w:gridCol w:w="1511"/>
        <w:gridCol w:w="38"/>
        <w:gridCol w:w="67"/>
        <w:gridCol w:w="1534"/>
        <w:gridCol w:w="38"/>
        <w:gridCol w:w="67"/>
        <w:gridCol w:w="1534"/>
        <w:gridCol w:w="37"/>
        <w:gridCol w:w="67"/>
        <w:gridCol w:w="1534"/>
        <w:gridCol w:w="37"/>
        <w:gridCol w:w="67"/>
        <w:gridCol w:w="1536"/>
        <w:gridCol w:w="37"/>
      </w:tblGrid>
      <w:tr w:rsidR="00000000">
        <w:trPr>
          <w:divId w:val="225143869"/>
          <w:jc w:val="center"/>
        </w:trPr>
        <w:tc>
          <w:tcPr>
            <w:tcW w:w="50" w:type="pct"/>
            <w:vAlign w:val="center"/>
            <w:hideMark/>
          </w:tcPr>
          <w:p w:rsidR="00000000" w:rsidRDefault="00786A01">
            <w:pPr>
              <w:jc w:val="center"/>
              <w:rPr>
                <w:rFonts w:eastAsia="Times New Roman"/>
              </w:rPr>
            </w:pPr>
          </w:p>
        </w:tc>
        <w:tc>
          <w:tcPr>
            <w:tcW w:w="933"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7"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c>
          <w:tcPr>
            <w:tcW w:w="50" w:type="pct"/>
            <w:vAlign w:val="center"/>
            <w:hideMark/>
          </w:tcPr>
          <w:p w:rsidR="00000000" w:rsidRDefault="00786A01">
            <w:pPr>
              <w:spacing w:after="100"/>
              <w:rPr>
                <w:rFonts w:eastAsia="Times New Roman"/>
                <w:sz w:val="20"/>
                <w:szCs w:val="20"/>
              </w:rPr>
            </w:pPr>
          </w:p>
        </w:tc>
        <w:tc>
          <w:tcPr>
            <w:tcW w:w="948" w:type="pct"/>
            <w:vAlign w:val="center"/>
            <w:hideMark/>
          </w:tcPr>
          <w:p w:rsidR="00000000" w:rsidRDefault="00786A01">
            <w:pPr>
              <w:spacing w:after="100"/>
              <w:rPr>
                <w:rFonts w:eastAsia="Times New Roman"/>
                <w:sz w:val="20"/>
                <w:szCs w:val="20"/>
              </w:rPr>
            </w:pPr>
          </w:p>
        </w:tc>
        <w:tc>
          <w:tcPr>
            <w:tcW w:w="5" w:type="pct"/>
            <w:vAlign w:val="center"/>
            <w:hideMark/>
          </w:tcPr>
          <w:p w:rsidR="00000000" w:rsidRDefault="00786A01">
            <w:pPr>
              <w:spacing w:after="100"/>
              <w:rPr>
                <w:rFonts w:eastAsia="Times New Roman"/>
                <w:sz w:val="20"/>
                <w:szCs w:val="20"/>
              </w:rPr>
            </w:pPr>
          </w:p>
        </w:tc>
      </w:tr>
      <w:tr w:rsidR="00000000">
        <w:trPr>
          <w:divId w:val="225143869"/>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QUALCOMM Incorporated</w:t>
            </w:r>
          </w:p>
        </w:tc>
      </w:tr>
      <w:tr w:rsidR="00000000">
        <w:trPr>
          <w:divId w:val="225143869"/>
          <w:jc w:val="center"/>
        </w:trPr>
        <w:tc>
          <w:tcPr>
            <w:tcW w:w="0" w:type="auto"/>
            <w:gridSpan w:val="3"/>
            <w:vAlign w:val="center"/>
            <w:hideMark/>
          </w:tcPr>
          <w:p w:rsidR="00000000" w:rsidRDefault="00786A01">
            <w:pPr>
              <w:spacing w:after="100"/>
              <w:jc w:val="center"/>
              <w:rPr>
                <w:rFonts w:eastAsia="Times New Roman"/>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c>
          <w:tcPr>
            <w:tcW w:w="0" w:type="auto"/>
            <w:vAlign w:val="center"/>
            <w:hideMark/>
          </w:tcPr>
          <w:p w:rsidR="00000000" w:rsidRDefault="00786A01">
            <w:pPr>
              <w:spacing w:after="100"/>
              <w:rPr>
                <w:rFonts w:eastAsia="Times New Roman"/>
                <w:sz w:val="20"/>
                <w:szCs w:val="20"/>
              </w:rPr>
            </w:pPr>
          </w:p>
        </w:tc>
      </w:tr>
      <w:tr w:rsidR="00000000">
        <w:trPr>
          <w:divId w:val="225143869"/>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NOTES TO CONDENSED CONSOLIDATED FINANCIAL STATEMENTS</w:t>
            </w:r>
          </w:p>
        </w:tc>
      </w:tr>
      <w:tr w:rsidR="00000000">
        <w:trPr>
          <w:divId w:val="225143869"/>
          <w:jc w:val="center"/>
        </w:trPr>
        <w:tc>
          <w:tcPr>
            <w:tcW w:w="0" w:type="auto"/>
            <w:gridSpan w:val="15"/>
            <w:tcMar>
              <w:top w:w="30" w:type="dxa"/>
              <w:left w:w="20" w:type="dxa"/>
              <w:bottom w:w="30" w:type="dxa"/>
              <w:right w:w="20" w:type="dxa"/>
            </w:tcMar>
            <w:vAlign w:val="bottom"/>
            <w:hideMark/>
          </w:tcPr>
          <w:p w:rsidR="00000000" w:rsidRDefault="00786A01">
            <w:pPr>
              <w:spacing w:after="100"/>
              <w:jc w:val="center"/>
              <w:rPr>
                <w:rFonts w:eastAsia="Times New Roman"/>
              </w:rPr>
            </w:pPr>
            <w:r>
              <w:rPr>
                <w:rFonts w:eastAsia="Times New Roman"/>
                <w:b/>
                <w:bCs/>
                <w:color w:val="000000"/>
                <w:sz w:val="18"/>
                <w:szCs w:val="18"/>
              </w:rPr>
              <w:t>(Unaudited)</w:t>
            </w:r>
          </w:p>
        </w:tc>
      </w:tr>
    </w:tbl>
    <w:p w:rsidR="00000000" w:rsidRDefault="00786A01">
      <w:pPr>
        <w:divId w:val="2071341022"/>
        <w:rPr>
          <w:rFonts w:eastAsia="Times New Roman"/>
        </w:rPr>
      </w:pPr>
      <w:r>
        <w:rPr>
          <w:rFonts w:eastAsia="Times New Roman"/>
          <w:b/>
          <w:bCs/>
          <w:color w:val="000000"/>
          <w:sz w:val="20"/>
          <w:szCs w:val="20"/>
        </w:rPr>
        <w:t>Note 9. Marketable Securities</w:t>
      </w:r>
    </w:p>
    <w:p w:rsidR="00000000" w:rsidRDefault="00786A01">
      <w:pPr>
        <w:ind w:firstLine="360"/>
        <w:divId w:val="122777829"/>
        <w:rPr>
          <w:rFonts w:eastAsia="Times New Roman"/>
        </w:rPr>
      </w:pPr>
      <w:r>
        <w:rPr>
          <w:rFonts w:eastAsia="Times New Roman"/>
          <w:color w:val="000000"/>
          <w:sz w:val="20"/>
          <w:szCs w:val="20"/>
        </w:rPr>
        <w:t>Our marketable secur</w:t>
      </w:r>
      <w:r>
        <w:rPr>
          <w:rFonts w:eastAsia="Times New Roman"/>
          <w:color w:val="000000"/>
          <w:sz w:val="20"/>
          <w:szCs w:val="20"/>
        </w:rPr>
        <w:t>ities were comprised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3951"/>
        <w:gridCol w:w="38"/>
        <w:gridCol w:w="110"/>
        <w:gridCol w:w="862"/>
        <w:gridCol w:w="36"/>
        <w:gridCol w:w="36"/>
        <w:gridCol w:w="36"/>
        <w:gridCol w:w="36"/>
        <w:gridCol w:w="111"/>
        <w:gridCol w:w="825"/>
        <w:gridCol w:w="36"/>
        <w:gridCol w:w="36"/>
        <w:gridCol w:w="36"/>
        <w:gridCol w:w="36"/>
        <w:gridCol w:w="111"/>
        <w:gridCol w:w="826"/>
        <w:gridCol w:w="37"/>
        <w:gridCol w:w="37"/>
        <w:gridCol w:w="37"/>
        <w:gridCol w:w="37"/>
        <w:gridCol w:w="111"/>
        <w:gridCol w:w="825"/>
        <w:gridCol w:w="36"/>
      </w:tblGrid>
      <w:tr w:rsidR="00000000">
        <w:trPr>
          <w:divId w:val="2146311379"/>
        </w:trPr>
        <w:tc>
          <w:tcPr>
            <w:tcW w:w="50" w:type="pct"/>
            <w:vAlign w:val="center"/>
            <w:hideMark/>
          </w:tcPr>
          <w:p w:rsidR="00000000" w:rsidRDefault="00786A01">
            <w:pPr>
              <w:ind w:firstLine="360"/>
              <w:rPr>
                <w:rFonts w:eastAsia="Times New Roman"/>
              </w:rPr>
            </w:pPr>
          </w:p>
        </w:tc>
        <w:tc>
          <w:tcPr>
            <w:tcW w:w="241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2146311379"/>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Current</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Noncurrent (1)</w:t>
            </w:r>
          </w:p>
        </w:tc>
      </w:tr>
      <w:tr w:rsidR="00000000">
        <w:trPr>
          <w:divId w:val="2146311379"/>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September 27,</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September 27,</w:t>
            </w:r>
            <w:r>
              <w:rPr>
                <w:rFonts w:eastAsia="Times New Roman"/>
                <w:b/>
                <w:bCs/>
                <w:color w:val="000000"/>
                <w:sz w:val="18"/>
                <w:szCs w:val="18"/>
              </w:rPr>
              <w:br/>
              <w:t>2020</w:t>
            </w:r>
          </w:p>
        </w:tc>
      </w:tr>
      <w:tr w:rsidR="00000000">
        <w:trPr>
          <w:divId w:val="2146311379"/>
        </w:trPr>
        <w:tc>
          <w:tcPr>
            <w:tcW w:w="0" w:type="auto"/>
            <w:gridSpan w:val="3"/>
            <w:vAlign w:val="center"/>
            <w:hideMark/>
          </w:tcPr>
          <w:p w:rsidR="00000000" w:rsidRDefault="00786A01">
            <w:pPr>
              <w:jc w:val="center"/>
              <w:rPr>
                <w:rFonts w:eastAsia="Times New Roman"/>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2146311379"/>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2146311379"/>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2146311379"/>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2146311379"/>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2146311379"/>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Available-for-sale debt securities: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w:t>
            </w:r>
          </w:p>
        </w:tc>
      </w:tr>
      <w:tr w:rsidR="00000000">
        <w:trPr>
          <w:divId w:val="2146311379"/>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U.S. Treasury securities and government-related securities</w:t>
            </w: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2146311379"/>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Corporate bonds and notes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5,003 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4,049 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2146311379"/>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2146311379"/>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Mortgage- and asset-backed and auction rate securities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2146311379"/>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2146311379"/>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2146311379"/>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2146311379"/>
        </w:trPr>
        <w:tc>
          <w:tcPr>
            <w:tcW w:w="0" w:type="auto"/>
            <w:gridSpan w:val="3"/>
            <w:shd w:val="clear" w:color="auto" w:fill="FFFF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 available-for-sale debt securities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5,190 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4,125 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2146311379"/>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2146311379"/>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2146311379"/>
        </w:trPr>
        <w:tc>
          <w:tcPr>
            <w:tcW w:w="0" w:type="auto"/>
            <w:gridSpan w:val="3"/>
            <w:shd w:val="clear" w:color="auto" w:fill="CCEEFF"/>
            <w:tcMar>
              <w:top w:w="30" w:type="dxa"/>
              <w:left w:w="20" w:type="dxa"/>
              <w:bottom w:w="30" w:type="dxa"/>
              <w:right w:w="20" w:type="dxa"/>
            </w:tcMar>
            <w:vAlign w:val="bottom"/>
            <w:hideMark/>
          </w:tcPr>
          <w:p w:rsidR="00000000" w:rsidRDefault="00786A01">
            <w:pPr>
              <w:ind w:hanging="90"/>
              <w:divId w:val="506867931"/>
              <w:rPr>
                <w:rFonts w:eastAsia="Times New Roman"/>
              </w:rPr>
            </w:pPr>
            <w:r>
              <w:rPr>
                <w:rFonts w:eastAsia="Times New Roman"/>
                <w:color w:val="000000"/>
                <w:sz w:val="18"/>
                <w:szCs w:val="18"/>
              </w:rPr>
              <w:t>Equity securities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336 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352 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2146311379"/>
        </w:trPr>
        <w:tc>
          <w:tcPr>
            <w:tcW w:w="0" w:type="auto"/>
            <w:gridSpan w:val="3"/>
            <w:shd w:val="clear" w:color="auto" w:fill="FFFFFF"/>
            <w:tcMar>
              <w:top w:w="30" w:type="dxa"/>
              <w:left w:w="35" w:type="dxa"/>
              <w:bottom w:w="30" w:type="dxa"/>
              <w:right w:w="20" w:type="dxa"/>
            </w:tcMar>
            <w:vAlign w:val="bottom"/>
            <w:hideMark/>
          </w:tcPr>
          <w:p w:rsidR="00000000" w:rsidRDefault="00786A01">
            <w:pPr>
              <w:rPr>
                <w:rFonts w:eastAsia="Times New Roman"/>
              </w:rPr>
            </w:pPr>
            <w:r>
              <w:rPr>
                <w:rFonts w:eastAsia="Times New Roman"/>
                <w:color w:val="000000"/>
                <w:sz w:val="18"/>
                <w:szCs w:val="18"/>
              </w:rPr>
              <w:t> Time deposit (2)</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2146311379"/>
        </w:trPr>
        <w:tc>
          <w:tcPr>
            <w:tcW w:w="0" w:type="auto"/>
            <w:gridSpan w:val="3"/>
            <w:shd w:val="clear" w:color="auto" w:fill="CCEEFF"/>
            <w:tcMar>
              <w:top w:w="30" w:type="dxa"/>
              <w:left w:w="380"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 marketable securities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5,526 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4,507 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bl>
    <w:p w:rsidR="00000000" w:rsidRDefault="00786A01">
      <w:pPr>
        <w:divId w:val="1426265080"/>
        <w:rPr>
          <w:rFonts w:eastAsia="Times New Roman"/>
        </w:rPr>
      </w:pPr>
      <w:r>
        <w:rPr>
          <w:rFonts w:eastAsia="Times New Roman"/>
          <w:color w:val="000000"/>
          <w:sz w:val="18"/>
          <w:szCs w:val="18"/>
        </w:rPr>
        <w:t>(1) Noncurrent marketable securities were included in other assets.</w:t>
      </w:r>
    </w:p>
    <w:p w:rsidR="00000000" w:rsidRDefault="00786A01">
      <w:pPr>
        <w:divId w:val="826752664"/>
        <w:rPr>
          <w:rFonts w:eastAsia="Times New Roman"/>
        </w:rPr>
      </w:pPr>
      <w:r>
        <w:rPr>
          <w:rFonts w:eastAsia="Times New Roman"/>
          <w:color w:val="000000"/>
          <w:sz w:val="18"/>
          <w:szCs w:val="18"/>
        </w:rPr>
        <w:t>(2) At September 27, 2020, marketable securitie</w:t>
      </w:r>
      <w:r>
        <w:rPr>
          <w:rFonts w:eastAsia="Times New Roman"/>
          <w:color w:val="000000"/>
          <w:sz w:val="18"/>
          <w:szCs w:val="18"/>
        </w:rPr>
        <w:t>s also included a time deposit with an original maturity of greater than 90 days.</w:t>
      </w:r>
    </w:p>
    <w:p w:rsidR="00000000" w:rsidRDefault="00786A01">
      <w:pPr>
        <w:ind w:firstLine="360"/>
        <w:divId w:val="1827628811"/>
        <w:rPr>
          <w:rFonts w:eastAsia="Times New Roman"/>
        </w:rPr>
      </w:pPr>
      <w:r>
        <w:rPr>
          <w:rFonts w:eastAsia="Times New Roman"/>
          <w:color w:val="000000"/>
          <w:sz w:val="20"/>
          <w:szCs w:val="20"/>
        </w:rPr>
        <w:t>The contractual maturities of available-for-sale debt securities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5"/>
        <w:gridCol w:w="7187"/>
        <w:gridCol w:w="36"/>
        <w:gridCol w:w="110"/>
        <w:gridCol w:w="882"/>
        <w:gridCol w:w="36"/>
      </w:tblGrid>
      <w:tr w:rsidR="00000000">
        <w:trPr>
          <w:divId w:val="1906452148"/>
        </w:trPr>
        <w:tc>
          <w:tcPr>
            <w:tcW w:w="50" w:type="pct"/>
            <w:vAlign w:val="center"/>
            <w:hideMark/>
          </w:tcPr>
          <w:p w:rsidR="00000000" w:rsidRDefault="00786A01">
            <w:pPr>
              <w:ind w:firstLine="360"/>
              <w:rPr>
                <w:rFonts w:eastAsia="Times New Roman"/>
              </w:rPr>
            </w:pPr>
          </w:p>
        </w:tc>
        <w:tc>
          <w:tcPr>
            <w:tcW w:w="434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906452148"/>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r>
      <w:tr w:rsidR="00000000">
        <w:trPr>
          <w:divId w:val="1906452148"/>
        </w:trPr>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Years to Maturity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rPr>
            </w:pPr>
          </w:p>
        </w:tc>
      </w:tr>
      <w:tr w:rsidR="00000000">
        <w:trPr>
          <w:divId w:val="1906452148"/>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Less than one year</w:t>
            </w: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2,103 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906452148"/>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One to five years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2,911 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906452148"/>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906452148"/>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906452148"/>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No single maturity date</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211 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906452148"/>
        </w:trPr>
        <w:tc>
          <w:tcPr>
            <w:tcW w:w="0" w:type="auto"/>
            <w:gridSpan w:val="3"/>
            <w:shd w:val="clear" w:color="auto" w:fill="FFFFFF"/>
            <w:tcMar>
              <w:top w:w="30" w:type="dxa"/>
              <w:left w:w="245"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5,225 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bl>
    <w:p w:rsidR="00000000" w:rsidRDefault="00786A01">
      <w:pPr>
        <w:ind w:firstLine="360"/>
        <w:divId w:val="1330253913"/>
        <w:rPr>
          <w:rFonts w:eastAsia="Times New Roman"/>
        </w:rPr>
      </w:pPr>
      <w:r>
        <w:rPr>
          <w:rFonts w:eastAsia="Times New Roman"/>
          <w:color w:val="000000"/>
          <w:sz w:val="20"/>
          <w:szCs w:val="20"/>
        </w:rPr>
        <w:t>Debt securities with no single maturity date included mortgage- and asset-backed securities and auction rate securities.</w:t>
      </w:r>
    </w:p>
    <w:p w:rsidR="00000000" w:rsidRDefault="00786A01">
      <w:pPr>
        <w:jc w:val="center"/>
        <w:divId w:val="591550421"/>
        <w:rPr>
          <w:rFonts w:eastAsia="Times New Roman"/>
        </w:rPr>
      </w:pPr>
      <w:r>
        <w:rPr>
          <w:rFonts w:eastAsia="Times New Roman"/>
          <w:color w:val="000000"/>
          <w:sz w:val="20"/>
          <w:szCs w:val="20"/>
        </w:rPr>
        <w:t>22</w:t>
      </w:r>
    </w:p>
    <w:p w:rsidR="00000000" w:rsidRDefault="00786A01">
      <w:pPr>
        <w:rPr>
          <w:rFonts w:eastAsia="Times New Roman"/>
        </w:rPr>
      </w:pPr>
      <w:r>
        <w:rPr>
          <w:rFonts w:eastAsia="Times New Roman"/>
        </w:rPr>
        <w:pict>
          <v:rect id="_x0000_i1045" style="width:0;height:1.5pt" o:hralign="center" o:hrstd="t" o:hr="t" fillcolor="#a0a0a0" stroked="f"/>
        </w:pict>
      </w:r>
    </w:p>
    <w:p w:rsidR="00000000" w:rsidRDefault="00786A01">
      <w:pPr>
        <w:divId w:val="1655991187"/>
        <w:rPr>
          <w:rFonts w:eastAsia="Times New Roman"/>
        </w:rPr>
      </w:pPr>
    </w:p>
    <w:p w:rsidR="00000000" w:rsidRDefault="00786A01">
      <w:pPr>
        <w:divId w:val="929239092"/>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786A01">
      <w:pPr>
        <w:ind w:firstLine="360"/>
        <w:divId w:val="608242405"/>
        <w:rPr>
          <w:rFonts w:eastAsia="Times New Roman"/>
        </w:rPr>
      </w:pPr>
      <w:r>
        <w:rPr>
          <w:rFonts w:eastAsia="Times New Roman"/>
          <w:color w:val="000000"/>
          <w:sz w:val="20"/>
          <w:szCs w:val="20"/>
        </w:rPr>
        <w:t>This</w:t>
      </w:r>
      <w:r>
        <w:rPr>
          <w:rFonts w:eastAsia="Times New Roman"/>
          <w:b/>
          <w:bCs/>
          <w:color w:val="000000"/>
          <w:sz w:val="20"/>
          <w:szCs w:val="20"/>
        </w:rPr>
        <w:t xml:space="preserve"> </w:t>
      </w:r>
      <w:r>
        <w:rPr>
          <w:rFonts w:eastAsia="Times New Roman"/>
          <w:color w:val="000000"/>
          <w:sz w:val="20"/>
          <w:szCs w:val="20"/>
        </w:rPr>
        <w:t>information should be read in conjunction with the condensed consolidated financial statements and the notes thereto included in “Part I, Item 1” of this Quarterly Report and with “Management’s Discussion and Analysis of Financial Condition and Result</w:t>
      </w:r>
      <w:r>
        <w:rPr>
          <w:rFonts w:eastAsia="Times New Roman"/>
          <w:color w:val="000000"/>
          <w:sz w:val="20"/>
          <w:szCs w:val="20"/>
        </w:rPr>
        <w:t xml:space="preserve">s of Operations” for the fiscal year ended September 27, 2020 contained in our 2020 Annual Report on Form 10-K. </w:t>
      </w:r>
    </w:p>
    <w:p w:rsidR="00000000" w:rsidRDefault="00786A01">
      <w:pPr>
        <w:ind w:firstLine="360"/>
        <w:divId w:val="1861623807"/>
        <w:rPr>
          <w:rFonts w:eastAsia="Times New Roman"/>
        </w:rPr>
      </w:pPr>
      <w:r>
        <w:rPr>
          <w:rFonts w:eastAsia="Times New Roman"/>
          <w:color w:val="000000"/>
          <w:sz w:val="20"/>
          <w:szCs w:val="20"/>
        </w:rPr>
        <w:t>This Quarterly Report (including but not limited to this section titled Management’s Discussion and Analysis of Financial Condition and Results</w:t>
      </w:r>
      <w:r>
        <w:rPr>
          <w:rFonts w:eastAsia="Times New Roman"/>
          <w:color w:val="000000"/>
          <w:sz w:val="20"/>
          <w:szCs w:val="20"/>
        </w:rPr>
        <w:t xml:space="preserve"> of Operations) contains forward-looking statements regarding our business, investments, financial condition, results of operations, cash flows and prospects. Forward-looking statements also include but are not limited to statements regarding the coronavir</w:t>
      </w:r>
      <w:r>
        <w:rPr>
          <w:rFonts w:eastAsia="Times New Roman"/>
          <w:color w:val="000000"/>
          <w:sz w:val="20"/>
          <w:szCs w:val="20"/>
        </w:rPr>
        <w:t>us (COVID-19) pandemic and its potential future impact on the global economy, economic uncertainty and consumer and business confidence; demand for devices that incorporate our products and intellectual property; our and the global wireless industry’s supp</w:t>
      </w:r>
      <w:r>
        <w:rPr>
          <w:rFonts w:eastAsia="Times New Roman"/>
          <w:color w:val="000000"/>
          <w:sz w:val="20"/>
          <w:szCs w:val="20"/>
        </w:rPr>
        <w:t>ly chains, transportation and distribution networks and workforces; 5G network deployments; and our business, revenues, results of operations, cash flows and financial condition; as well as statements regarding our planning assumptions, workforce practices</w:t>
      </w:r>
      <w:r>
        <w:rPr>
          <w:rFonts w:eastAsia="Times New Roman"/>
          <w:color w:val="000000"/>
          <w:sz w:val="20"/>
          <w:szCs w:val="20"/>
        </w:rPr>
        <w:t>, the duration and severity of the pandemic, and government and other actions to mitigate the spread of, and to treat, COVID-19. Forward-looking statements further include but are not limited to statements regarding industry, market, business, product, tec</w:t>
      </w:r>
      <w:r>
        <w:rPr>
          <w:rFonts w:eastAsia="Times New Roman"/>
          <w:color w:val="000000"/>
          <w:sz w:val="20"/>
          <w:szCs w:val="20"/>
        </w:rPr>
        <w:t>hnology, commercial, competitive or consumer trends, including seasonality; the 5G transition; our businesses, growth potential or strategies, or factors that may impact them; challenges to our licensing business, including by licensees, governments, gover</w:t>
      </w:r>
      <w:r>
        <w:rPr>
          <w:rFonts w:eastAsia="Times New Roman"/>
          <w:color w:val="000000"/>
          <w:sz w:val="20"/>
          <w:szCs w:val="20"/>
        </w:rPr>
        <w:t>nmental agencies or regulators, standards bodies or others; challenges to our QCT business; other legal or regulatory matters; competition; new or expanded product areas, adjacent industry segments and applications; costs or expenditures including research</w:t>
      </w:r>
      <w:r>
        <w:rPr>
          <w:rFonts w:eastAsia="Times New Roman"/>
          <w:color w:val="000000"/>
          <w:sz w:val="20"/>
          <w:szCs w:val="20"/>
        </w:rPr>
        <w:t xml:space="preserve"> and development, selling, general and administrative, restructuring or restructuring-related charges, working capital or information technology systems; our debt, financing, stock repurchase or dividend programs; our liquidity and capital resources, inclu</w:t>
      </w:r>
      <w:r>
        <w:rPr>
          <w:rFonts w:eastAsia="Times New Roman"/>
          <w:color w:val="000000"/>
          <w:sz w:val="20"/>
          <w:szCs w:val="20"/>
        </w:rPr>
        <w:t>ding our expected increase in operating cash outflows to secure long-term capacity commitments with certain of our suppliers; strategic investments or acquisitions, and the anticipated timing or benefits thereof; adoption and application of future accounti</w:t>
      </w:r>
      <w:r>
        <w:rPr>
          <w:rFonts w:eastAsia="Times New Roman"/>
          <w:color w:val="000000"/>
          <w:sz w:val="20"/>
          <w:szCs w:val="20"/>
        </w:rPr>
        <w:t>ng guidance; tax law changes; our tax structure or strategies; U.S./China trade or national security policies; and the potential business or financial statement impacts of any of the above, among others. Words such as “expects,” “anticipates,” “intends,” “</w:t>
      </w:r>
      <w:r>
        <w:rPr>
          <w:rFonts w:eastAsia="Times New Roman"/>
          <w:color w:val="000000"/>
          <w:sz w:val="20"/>
          <w:szCs w:val="20"/>
        </w:rPr>
        <w:t>plans,” “believes,” “seeks,” “estimates” and similar expressions or variations of such words are intended to identify forward-looking statements, but are not the exclusive means of identifying forward-looking statements in this Quarterly Report.</w:t>
      </w:r>
    </w:p>
    <w:p w:rsidR="00000000" w:rsidRDefault="00786A01">
      <w:pPr>
        <w:ind w:firstLine="360"/>
        <w:divId w:val="43217740"/>
        <w:rPr>
          <w:rFonts w:eastAsia="Times New Roman"/>
        </w:rPr>
      </w:pPr>
      <w:r>
        <w:rPr>
          <w:rFonts w:eastAsia="Times New Roman"/>
          <w:color w:val="000000"/>
          <w:sz w:val="20"/>
          <w:szCs w:val="20"/>
        </w:rPr>
        <w:t>Although f</w:t>
      </w:r>
      <w:r>
        <w:rPr>
          <w:rFonts w:eastAsia="Times New Roman"/>
          <w:color w:val="000000"/>
          <w:sz w:val="20"/>
          <w:szCs w:val="20"/>
        </w:rPr>
        <w:t>orward-looking statements in this Quarterly Report reflect our good faith judgment, such statements can only be based on facts and factors currently known by us. Consequently, forward-looking statements are inherently subject to risks and uncertainties and</w:t>
      </w:r>
      <w:r>
        <w:rPr>
          <w:rFonts w:eastAsia="Times New Roman"/>
          <w:color w:val="000000"/>
          <w:sz w:val="20"/>
          <w:szCs w:val="20"/>
        </w:rPr>
        <w:t xml:space="preserve"> actual results and outcomes may differ materially from the results and outcomes discussed in or anticipated by the forward-looking statements. Factors that could cause or contribute to such differences in results and outcomes include without limitation th</w:t>
      </w:r>
      <w:r>
        <w:rPr>
          <w:rFonts w:eastAsia="Times New Roman"/>
          <w:color w:val="000000"/>
          <w:sz w:val="20"/>
          <w:szCs w:val="20"/>
        </w:rPr>
        <w:t>ose discussed under the heading “Risk Factors” below, as well as those discussed elsewhere in this Quarterly Report</w:t>
      </w:r>
      <w:r>
        <w:rPr>
          <w:rFonts w:eastAsia="Times New Roman"/>
          <w:color w:val="000000"/>
          <w:sz w:val="20"/>
          <w:szCs w:val="20"/>
          <w:shd w:val="clear" w:color="auto" w:fill="FFFFFF"/>
        </w:rPr>
        <w:t xml:space="preserve">. Further, see the Risk Factor titled </w:t>
      </w:r>
      <w:r>
        <w:rPr>
          <w:rFonts w:eastAsia="Times New Roman"/>
          <w:i/>
          <w:iCs/>
          <w:color w:val="000000"/>
          <w:sz w:val="20"/>
          <w:szCs w:val="20"/>
          <w:shd w:val="clear" w:color="auto" w:fill="FFFFFF"/>
        </w:rPr>
        <w:t>“The coronavirus (COVID-19) pandemic has had an adverse effect on our business and results of operation</w:t>
      </w:r>
      <w:r>
        <w:rPr>
          <w:rFonts w:eastAsia="Times New Roman"/>
          <w:i/>
          <w:iCs/>
          <w:color w:val="000000"/>
          <w:sz w:val="20"/>
          <w:szCs w:val="20"/>
          <w:shd w:val="clear" w:color="auto" w:fill="FFFFFF"/>
        </w:rPr>
        <w:t xml:space="preserve">s, and may continue to impact us in the future,” </w:t>
      </w:r>
      <w:r>
        <w:rPr>
          <w:rFonts w:eastAsia="Times New Roman"/>
          <w:color w:val="000000"/>
          <w:sz w:val="20"/>
          <w:szCs w:val="20"/>
          <w:shd w:val="clear" w:color="auto" w:fill="FFFFFF"/>
        </w:rPr>
        <w:t>and note that many of the risks and uncertainties set forth in other Risk Factors</w:t>
      </w:r>
      <w:r>
        <w:rPr>
          <w:rFonts w:eastAsia="Times New Roman"/>
          <w:color w:val="000000"/>
          <w:sz w:val="20"/>
          <w:szCs w:val="20"/>
        </w:rPr>
        <w:t xml:space="preserve"> could </w:t>
      </w:r>
      <w:r>
        <w:rPr>
          <w:rFonts w:eastAsia="Times New Roman"/>
          <w:color w:val="000000"/>
          <w:sz w:val="20"/>
          <w:szCs w:val="20"/>
          <w:shd w:val="clear" w:color="auto" w:fill="FFFFFF"/>
        </w:rPr>
        <w:t>be exacerbated by the COVID-19 pandemic, government and business responses thereto and any further resulting decline in</w:t>
      </w:r>
      <w:r>
        <w:rPr>
          <w:rFonts w:eastAsia="Times New Roman"/>
          <w:color w:val="000000"/>
          <w:sz w:val="20"/>
          <w:szCs w:val="20"/>
          <w:shd w:val="clear" w:color="auto" w:fill="FFFFFF"/>
        </w:rPr>
        <w:t xml:space="preserve"> the global business and economic environment, as well as the extent and speed of global economic recovery. Readers are ur</w:t>
      </w:r>
      <w:r>
        <w:rPr>
          <w:rFonts w:eastAsia="Times New Roman"/>
          <w:color w:val="000000"/>
          <w:sz w:val="20"/>
          <w:szCs w:val="20"/>
        </w:rPr>
        <w:t xml:space="preserve">ged not to place undue reliance on these forward-looking statements, which speak only as of the date of this Quarterly Report. We undertake no obligation to revise or update any forward-looking statements in order to reflect any event or circumstance that </w:t>
      </w:r>
      <w:r>
        <w:rPr>
          <w:rFonts w:eastAsia="Times New Roman"/>
          <w:color w:val="000000"/>
          <w:sz w:val="20"/>
          <w:szCs w:val="20"/>
        </w:rPr>
        <w:t>may arise after the date of this Quarterly Report. Readers are urged to carefully review and consider the various disclosures made in this Quarterly Report, which attempt to advise interested parties of the risks and factors that may affect our business, f</w:t>
      </w:r>
      <w:r>
        <w:rPr>
          <w:rFonts w:eastAsia="Times New Roman"/>
          <w:color w:val="000000"/>
          <w:sz w:val="20"/>
          <w:szCs w:val="20"/>
        </w:rPr>
        <w:t>inancial condition, results of operations and prospects.</w:t>
      </w:r>
    </w:p>
    <w:p w:rsidR="00000000" w:rsidRDefault="00786A01">
      <w:pPr>
        <w:divId w:val="1185048038"/>
        <w:rPr>
          <w:rFonts w:eastAsia="Times New Roman"/>
        </w:rPr>
      </w:pPr>
      <w:r>
        <w:rPr>
          <w:rFonts w:eastAsia="Times New Roman"/>
          <w:b/>
          <w:bCs/>
          <w:color w:val="000000"/>
          <w:sz w:val="20"/>
          <w:szCs w:val="20"/>
        </w:rPr>
        <w:t xml:space="preserve">Second Quarter Fiscal 2021 Overview </w:t>
      </w:r>
    </w:p>
    <w:p w:rsidR="00000000" w:rsidRDefault="00786A01">
      <w:pPr>
        <w:ind w:firstLine="360"/>
        <w:divId w:val="1578398668"/>
        <w:rPr>
          <w:rFonts w:eastAsia="Times New Roman"/>
        </w:rPr>
      </w:pPr>
      <w:r>
        <w:rPr>
          <w:rFonts w:eastAsia="Times New Roman"/>
          <w:color w:val="000000"/>
          <w:sz w:val="20"/>
          <w:szCs w:val="20"/>
        </w:rPr>
        <w:t>Revenues for the second quarter of fiscal 2021 were $7.9 billion, an increase of 52% compared to the year ago quarter, with net income of $1.8 billion, an increas</w:t>
      </w:r>
      <w:r>
        <w:rPr>
          <w:rFonts w:eastAsia="Times New Roman"/>
          <w:color w:val="000000"/>
          <w:sz w:val="20"/>
          <w:szCs w:val="20"/>
        </w:rPr>
        <w:t xml:space="preserve">e of 276% compared to the year ago quarter. Highlights from the second quarter of fiscal 2021 and other recent events included: </w:t>
      </w:r>
    </w:p>
    <w:p w:rsidR="00000000" w:rsidRDefault="00786A01">
      <w:pPr>
        <w:ind w:hanging="360"/>
        <w:divId w:val="349263715"/>
        <w:rPr>
          <w:rFonts w:eastAsia="Times New Roman"/>
        </w:rPr>
      </w:pPr>
      <w:r>
        <w:rPr>
          <w:rFonts w:eastAsia="Times New Roman"/>
          <w:color w:val="000000"/>
          <w:sz w:val="20"/>
          <w:szCs w:val="20"/>
        </w:rPr>
        <w:t>•QCT revenues increased by 53% in the second quarter of fiscal 2021 compared to the year ago quarter, primarily due to an incre</w:t>
      </w:r>
      <w:r>
        <w:rPr>
          <w:rFonts w:eastAsia="Times New Roman"/>
          <w:color w:val="000000"/>
          <w:sz w:val="20"/>
          <w:szCs w:val="20"/>
        </w:rPr>
        <w:t xml:space="preserve">ase in demand for 5G products across handsets and RFFE, along with higher automotive and IoT revenues. </w:t>
      </w:r>
    </w:p>
    <w:p w:rsidR="00000000" w:rsidRDefault="00786A01">
      <w:pPr>
        <w:jc w:val="center"/>
        <w:divId w:val="162281974"/>
        <w:rPr>
          <w:rFonts w:eastAsia="Times New Roman"/>
        </w:rPr>
      </w:pPr>
      <w:r>
        <w:rPr>
          <w:rFonts w:eastAsia="Times New Roman"/>
          <w:color w:val="000000"/>
          <w:sz w:val="20"/>
          <w:szCs w:val="20"/>
        </w:rPr>
        <w:t>23</w:t>
      </w:r>
    </w:p>
    <w:p w:rsidR="00000000" w:rsidRDefault="00786A01">
      <w:pPr>
        <w:rPr>
          <w:rFonts w:eastAsia="Times New Roman"/>
        </w:rPr>
      </w:pPr>
      <w:r>
        <w:rPr>
          <w:rFonts w:eastAsia="Times New Roman"/>
        </w:rPr>
        <w:pict>
          <v:rect id="_x0000_i1046" style="width:0;height:1.5pt" o:hralign="center" o:hrstd="t" o:hr="t" fillcolor="#a0a0a0" stroked="f"/>
        </w:pict>
      </w:r>
    </w:p>
    <w:p w:rsidR="00000000" w:rsidRDefault="00786A01">
      <w:pPr>
        <w:divId w:val="964703400"/>
        <w:rPr>
          <w:rFonts w:eastAsia="Times New Roman"/>
        </w:rPr>
      </w:pPr>
    </w:p>
    <w:p w:rsidR="00000000" w:rsidRDefault="00786A01">
      <w:pPr>
        <w:ind w:hanging="360"/>
        <w:divId w:val="1065567497"/>
        <w:rPr>
          <w:rFonts w:eastAsia="Times New Roman"/>
        </w:rPr>
      </w:pPr>
      <w:r>
        <w:rPr>
          <w:rFonts w:eastAsia="Times New Roman"/>
          <w:color w:val="000000"/>
          <w:sz w:val="20"/>
          <w:szCs w:val="20"/>
        </w:rPr>
        <w:t xml:space="preserve">•QTL revenues increased by 51% in the second quarter of fiscal 2021 compared to the year ago quarter, primarily due to an increase in estimated sales of 3G/4G/5G-based multimode products, which was primarily driven by </w:t>
      </w:r>
      <w:r>
        <w:rPr>
          <w:rFonts w:eastAsia="Times New Roman"/>
          <w:color w:val="000000"/>
          <w:sz w:val="20"/>
          <w:szCs w:val="20"/>
        </w:rPr>
        <w:t>a recovery from the negative impacts of COVID-19.</w:t>
      </w:r>
    </w:p>
    <w:p w:rsidR="00000000" w:rsidRDefault="00786A01">
      <w:pPr>
        <w:ind w:hanging="360"/>
        <w:divId w:val="151876614"/>
        <w:rPr>
          <w:rFonts w:eastAsia="Times New Roman"/>
        </w:rPr>
      </w:pPr>
      <w:r>
        <w:rPr>
          <w:rFonts w:eastAsia="Times New Roman"/>
          <w:color w:val="000000"/>
          <w:sz w:val="20"/>
          <w:szCs w:val="20"/>
        </w:rPr>
        <w:t xml:space="preserve">•On March 16, 2021, we completed the acquisition of NuVia, Inc. (NUVIA) for $1.1 billion, net of cash acquired. NUVIA has certain in-process technologies and is comprised of a CPU (central processing unit) </w:t>
      </w:r>
      <w:r>
        <w:rPr>
          <w:rFonts w:eastAsia="Times New Roman"/>
          <w:color w:val="000000"/>
          <w:sz w:val="20"/>
          <w:szCs w:val="20"/>
        </w:rPr>
        <w:t>and technology design team with expertise in high performance processors, SoC (system-on-chip) and power management for compute-intensive devices and applications. Upon completion of development, NUVIA’s technologies are expected to be integrated into cert</w:t>
      </w:r>
      <w:r>
        <w:rPr>
          <w:rFonts w:eastAsia="Times New Roman"/>
          <w:color w:val="000000"/>
          <w:sz w:val="20"/>
          <w:szCs w:val="20"/>
        </w:rPr>
        <w:t>ain QCT products.</w:t>
      </w:r>
    </w:p>
    <w:p w:rsidR="00000000" w:rsidRDefault="00786A01">
      <w:pPr>
        <w:ind w:hanging="360"/>
        <w:divId w:val="812136045"/>
        <w:rPr>
          <w:rFonts w:eastAsia="Times New Roman"/>
        </w:rPr>
      </w:pPr>
      <w:r>
        <w:rPr>
          <w:rFonts w:eastAsia="Times New Roman"/>
          <w:i/>
          <w:iCs/>
          <w:color w:val="000000"/>
          <w:sz w:val="20"/>
          <w:szCs w:val="20"/>
          <w:shd w:val="clear" w:color="auto" w:fill="FFFFFF"/>
        </w:rPr>
        <w:t>•</w:t>
      </w:r>
      <w:r>
        <w:rPr>
          <w:rFonts w:eastAsia="Times New Roman"/>
          <w:color w:val="000000"/>
          <w:sz w:val="20"/>
          <w:szCs w:val="20"/>
        </w:rPr>
        <w:t xml:space="preserve">On March 26, 2021, the FTC’s deadline for filing a petition for </w:t>
      </w:r>
      <w:r>
        <w:rPr>
          <w:rFonts w:eastAsia="Times New Roman"/>
          <w:i/>
          <w:iCs/>
          <w:color w:val="000000"/>
          <w:sz w:val="20"/>
          <w:szCs w:val="20"/>
        </w:rPr>
        <w:t>certiorari</w:t>
      </w:r>
      <w:r>
        <w:rPr>
          <w:rFonts w:eastAsia="Times New Roman"/>
          <w:color w:val="000000"/>
          <w:sz w:val="20"/>
          <w:szCs w:val="20"/>
        </w:rPr>
        <w:t xml:space="preserve"> with the U.S. Supreme Court to seek review of the Ninth Circuit’s decision in </w:t>
      </w:r>
      <w:r>
        <w:rPr>
          <w:rFonts w:eastAsia="Times New Roman"/>
          <w:i/>
          <w:iCs/>
          <w:color w:val="000000"/>
          <w:sz w:val="20"/>
          <w:szCs w:val="20"/>
        </w:rPr>
        <w:t xml:space="preserve">United States Federal Trade Commission (FTC) v. QUALCOMM Incorporated </w:t>
      </w:r>
      <w:r>
        <w:rPr>
          <w:rFonts w:eastAsia="Times New Roman"/>
          <w:color w:val="000000"/>
          <w:sz w:val="20"/>
          <w:szCs w:val="20"/>
        </w:rPr>
        <w:t>expired. The c</w:t>
      </w:r>
      <w:r>
        <w:rPr>
          <w:rFonts w:eastAsia="Times New Roman"/>
          <w:color w:val="000000"/>
          <w:sz w:val="20"/>
          <w:szCs w:val="20"/>
        </w:rPr>
        <w:t>ase is now over.</w:t>
      </w:r>
    </w:p>
    <w:p w:rsidR="00000000" w:rsidRDefault="00786A01">
      <w:pPr>
        <w:divId w:val="129324061"/>
        <w:rPr>
          <w:rFonts w:eastAsia="Times New Roman"/>
        </w:rPr>
      </w:pPr>
      <w:r>
        <w:rPr>
          <w:rFonts w:eastAsia="Times New Roman"/>
          <w:b/>
          <w:bCs/>
          <w:color w:val="000000"/>
          <w:sz w:val="20"/>
          <w:szCs w:val="20"/>
        </w:rPr>
        <w:t>Our Business and Operating Segments</w:t>
      </w:r>
    </w:p>
    <w:p w:rsidR="00000000" w:rsidRDefault="00786A01">
      <w:pPr>
        <w:ind w:firstLine="360"/>
        <w:divId w:val="140512689"/>
        <w:rPr>
          <w:rFonts w:eastAsia="Times New Roman"/>
        </w:rPr>
      </w:pPr>
      <w:r>
        <w:rPr>
          <w:rFonts w:eastAsia="Times New Roman"/>
          <w:color w:val="000000"/>
          <w:sz w:val="20"/>
          <w:szCs w:val="20"/>
        </w:rPr>
        <w:t>We develop and commercialize foundational technologies and products used in mobile devices and other wireless products. We derive revenues principally from sales of integrated circuit products and licens</w:t>
      </w:r>
      <w:r>
        <w:rPr>
          <w:rFonts w:eastAsia="Times New Roman"/>
          <w:color w:val="000000"/>
          <w:sz w:val="20"/>
          <w:szCs w:val="20"/>
        </w:rPr>
        <w:t>ing our intellectual property, including patents and other rights.</w:t>
      </w:r>
    </w:p>
    <w:p w:rsidR="00000000" w:rsidRDefault="00786A01">
      <w:pPr>
        <w:ind w:firstLine="360"/>
        <w:divId w:val="1271857457"/>
        <w:rPr>
          <w:rFonts w:eastAsia="Times New Roman"/>
        </w:rPr>
      </w:pPr>
      <w:r>
        <w:rPr>
          <w:rFonts w:eastAsia="Times New Roman"/>
          <w:color w:val="000000"/>
          <w:sz w:val="20"/>
          <w:szCs w:val="20"/>
        </w:rPr>
        <w:t xml:space="preserve">We are organized on the basis of products and services and have three reportable segments. We conduct business primarily through our QCT (Qualcomm CDMA Technologies) semiconductor business </w:t>
      </w:r>
      <w:r>
        <w:rPr>
          <w:rFonts w:eastAsia="Times New Roman"/>
          <w:color w:val="000000"/>
          <w:sz w:val="20"/>
          <w:szCs w:val="20"/>
        </w:rPr>
        <w:t>and our QTL (Qualcomm Technology Licensing) licensing business. Our QSI (Qualcomm Strategic Initiatives) reportable segment makes strategic investments. We also have nonreportable segments, including QGOV (Qualcomm Government Technologies), our cloud AI in</w:t>
      </w:r>
      <w:r>
        <w:rPr>
          <w:rFonts w:eastAsia="Times New Roman"/>
          <w:color w:val="000000"/>
          <w:sz w:val="20"/>
          <w:szCs w:val="20"/>
        </w:rPr>
        <w:t xml:space="preserve">ference processing initiative and other technology and service initiatives. </w:t>
      </w:r>
    </w:p>
    <w:p w:rsidR="00000000" w:rsidRDefault="00786A01">
      <w:pPr>
        <w:ind w:firstLine="360"/>
        <w:divId w:val="1237588638"/>
        <w:rPr>
          <w:rFonts w:eastAsia="Times New Roman"/>
        </w:rPr>
      </w:pPr>
      <w:r>
        <w:rPr>
          <w:rFonts w:eastAsia="Times New Roman"/>
          <w:color w:val="000000"/>
          <w:sz w:val="20"/>
          <w:szCs w:val="20"/>
        </w:rPr>
        <w:t>Our reportable segments are operated by QUALCOMM Incorporated and its direct and indirect subsidiaries. QTL is operated by QUALCOMM Incorporated, which owns the vast majority of o</w:t>
      </w:r>
      <w:r>
        <w:rPr>
          <w:rFonts w:eastAsia="Times New Roman"/>
          <w:color w:val="000000"/>
          <w:sz w:val="20"/>
          <w:szCs w:val="20"/>
        </w:rPr>
        <w:t>ur patent portfolio. Substantially all of our products and services businesses, including QCT, and substantially all of our engineering, research and development functions, are operated by Qualcomm Technologies, Inc. (QTI), a wholly-owned subsidiary of QUA</w:t>
      </w:r>
      <w:r>
        <w:rPr>
          <w:rFonts w:eastAsia="Times New Roman"/>
          <w:color w:val="000000"/>
          <w:sz w:val="20"/>
          <w:szCs w:val="20"/>
        </w:rPr>
        <w:t>LCOMM Incorporated, and QTI’s subsidiaries. Neither QTI nor any of its subsidiaries has any right, power or authority to grant any licenses or other rights under or to any patents owned by QUALCOMM Incorporated.</w:t>
      </w:r>
    </w:p>
    <w:p w:rsidR="00000000" w:rsidRDefault="00786A01">
      <w:pPr>
        <w:ind w:firstLine="360"/>
        <w:divId w:val="1049762321"/>
        <w:rPr>
          <w:rFonts w:eastAsia="Times New Roman"/>
        </w:rPr>
      </w:pPr>
      <w:r>
        <w:rPr>
          <w:rFonts w:eastAsia="Times New Roman"/>
          <w:b/>
          <w:bCs/>
          <w:i/>
          <w:iCs/>
          <w:color w:val="000000"/>
          <w:sz w:val="20"/>
          <w:szCs w:val="20"/>
        </w:rPr>
        <w:t xml:space="preserve">Seasonality. </w:t>
      </w:r>
      <w:r>
        <w:rPr>
          <w:rFonts w:eastAsia="Times New Roman"/>
          <w:color w:val="000000"/>
          <w:sz w:val="20"/>
          <w:szCs w:val="20"/>
        </w:rPr>
        <w:t>Many of our products and much o</w:t>
      </w:r>
      <w:r>
        <w:rPr>
          <w:rFonts w:eastAsia="Times New Roman"/>
          <w:color w:val="000000"/>
          <w:sz w:val="20"/>
          <w:szCs w:val="20"/>
        </w:rPr>
        <w:t>f our intellectual property are incorporated into consumer wireless devices, which are subject to seasonality and other fluctuations in demand. Our revenues have historically fluctuated based on consumer demand for devices, as well as on the timing of cust</w:t>
      </w:r>
      <w:r>
        <w:rPr>
          <w:rFonts w:eastAsia="Times New Roman"/>
          <w:color w:val="000000"/>
          <w:sz w:val="20"/>
          <w:szCs w:val="20"/>
        </w:rPr>
        <w:t>omer/licensee device launches and/or innovation cycles (such as the transition to the next generation of wireless technologies). This has resulted in fluctuations in QCT revenues in advance of and during device launches incorporating our products and in QT</w:t>
      </w:r>
      <w:r>
        <w:rPr>
          <w:rFonts w:eastAsia="Times New Roman"/>
          <w:color w:val="000000"/>
          <w:sz w:val="20"/>
          <w:szCs w:val="20"/>
        </w:rPr>
        <w:t>L revenues when licensees’ sales occur. We expect QCT revenues to continue to be impacted by seasonal trends related to product launch timing for sales made to Apple under our multi-year chipset supply agreement. These trends may or may not continue in the</w:t>
      </w:r>
      <w:r>
        <w:rPr>
          <w:rFonts w:eastAsia="Times New Roman"/>
          <w:color w:val="000000"/>
          <w:sz w:val="20"/>
          <w:szCs w:val="20"/>
        </w:rPr>
        <w:t xml:space="preserve"> future and have been impacted by past declines in consumer demand resulting from COVID-19. Further, the trends for QTL have been, and may in the future be, impacted by disputes and/or resolutions with licensees and/or governmental investigations or procee</w:t>
      </w:r>
      <w:r>
        <w:rPr>
          <w:rFonts w:eastAsia="Times New Roman"/>
          <w:color w:val="000000"/>
          <w:sz w:val="20"/>
          <w:szCs w:val="20"/>
        </w:rPr>
        <w:t>dings.</w:t>
      </w:r>
    </w:p>
    <w:p w:rsidR="00000000" w:rsidRDefault="00786A01">
      <w:pPr>
        <w:divId w:val="332533831"/>
        <w:rPr>
          <w:rFonts w:eastAsia="Times New Roman"/>
        </w:rPr>
      </w:pPr>
      <w:r>
        <w:rPr>
          <w:rFonts w:eastAsia="Times New Roman"/>
          <w:b/>
          <w:bCs/>
          <w:color w:val="000000"/>
          <w:sz w:val="20"/>
          <w:szCs w:val="20"/>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1996"/>
        <w:gridCol w:w="36"/>
        <w:gridCol w:w="110"/>
        <w:gridCol w:w="836"/>
        <w:gridCol w:w="36"/>
        <w:gridCol w:w="36"/>
        <w:gridCol w:w="36"/>
        <w:gridCol w:w="36"/>
        <w:gridCol w:w="110"/>
        <w:gridCol w:w="796"/>
        <w:gridCol w:w="36"/>
        <w:gridCol w:w="36"/>
        <w:gridCol w:w="36"/>
        <w:gridCol w:w="36"/>
        <w:gridCol w:w="111"/>
        <w:gridCol w:w="796"/>
        <w:gridCol w:w="37"/>
        <w:gridCol w:w="36"/>
        <w:gridCol w:w="36"/>
        <w:gridCol w:w="36"/>
        <w:gridCol w:w="110"/>
        <w:gridCol w:w="796"/>
        <w:gridCol w:w="36"/>
        <w:gridCol w:w="36"/>
        <w:gridCol w:w="36"/>
        <w:gridCol w:w="36"/>
        <w:gridCol w:w="110"/>
        <w:gridCol w:w="796"/>
        <w:gridCol w:w="36"/>
        <w:gridCol w:w="36"/>
        <w:gridCol w:w="36"/>
        <w:gridCol w:w="36"/>
        <w:gridCol w:w="111"/>
        <w:gridCol w:w="798"/>
        <w:gridCol w:w="36"/>
      </w:tblGrid>
      <w:tr w:rsidR="00000000">
        <w:trPr>
          <w:divId w:val="91173505"/>
        </w:trPr>
        <w:tc>
          <w:tcPr>
            <w:tcW w:w="50" w:type="pct"/>
            <w:vAlign w:val="center"/>
            <w:hideMark/>
          </w:tcPr>
          <w:p w:rsidR="00000000" w:rsidRDefault="00786A01">
            <w:pPr>
              <w:rPr>
                <w:rFonts w:eastAsia="Times New Roman"/>
              </w:rPr>
            </w:pPr>
          </w:p>
        </w:tc>
        <w:tc>
          <w:tcPr>
            <w:tcW w:w="12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91173505"/>
        </w:trPr>
        <w:tc>
          <w:tcPr>
            <w:tcW w:w="0" w:type="auto"/>
            <w:gridSpan w:val="18"/>
            <w:tcMar>
              <w:top w:w="30" w:type="dxa"/>
              <w:left w:w="20" w:type="dxa"/>
              <w:bottom w:w="30" w:type="dxa"/>
              <w:right w:w="20" w:type="dxa"/>
            </w:tcMar>
            <w:vAlign w:val="bottom"/>
            <w:hideMark/>
          </w:tcPr>
          <w:p w:rsidR="00000000" w:rsidRDefault="00786A01">
            <w:pPr>
              <w:ind w:firstLine="360"/>
              <w:divId w:val="2012558950"/>
              <w:rPr>
                <w:rFonts w:eastAsia="Times New Roman"/>
              </w:rPr>
            </w:pPr>
            <w:r>
              <w:rPr>
                <w:rFonts w:eastAsia="Times New Roman"/>
                <w:b/>
                <w:bCs/>
                <w:i/>
                <w:iCs/>
                <w:color w:val="000000"/>
                <w:sz w:val="20"/>
                <w:szCs w:val="20"/>
              </w:rPr>
              <w:t>Revenues (in millions)</w:t>
            </w:r>
          </w:p>
        </w:tc>
        <w:tc>
          <w:tcPr>
            <w:tcW w:w="0" w:type="auto"/>
            <w:gridSpan w:val="3"/>
            <w:tcMar>
              <w:top w:w="0" w:type="dxa"/>
              <w:left w:w="20" w:type="dxa"/>
              <w:bottom w:w="0" w:type="dxa"/>
              <w:right w:w="20" w:type="dxa"/>
            </w:tcMar>
            <w:vAlign w:val="center"/>
            <w:hideMark/>
          </w:tcPr>
          <w:p w:rsidR="00000000" w:rsidRDefault="00786A01">
            <w:pPr>
              <w:ind w:firstLine="360"/>
              <w:rPr>
                <w:rFonts w:eastAsia="Times New Roman"/>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91173505"/>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rPr>
          <w:divId w:val="91173505"/>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r>
      <w:tr w:rsidR="00000000">
        <w:trPr>
          <w:divId w:val="91173505"/>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Equipment and services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6,239 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4,050 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12,681 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5,098 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91173505"/>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Licensing</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1,696 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1,166 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530 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3,489 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2,709 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780 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91173505"/>
        </w:trPr>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7,935 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5,216 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2,719 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16,170 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10,292 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5,878 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bl>
    <w:p w:rsidR="00000000" w:rsidRDefault="00786A01">
      <w:pPr>
        <w:divId w:val="369188457"/>
        <w:rPr>
          <w:rFonts w:eastAsia="Times New Roman"/>
        </w:rPr>
      </w:pPr>
      <w:r>
        <w:rPr>
          <w:rFonts w:eastAsia="Times New Roman"/>
          <w:b/>
          <w:bCs/>
          <w:i/>
          <w:iCs/>
          <w:color w:val="000000"/>
          <w:sz w:val="20"/>
          <w:szCs w:val="20"/>
        </w:rPr>
        <w:t>Second quarter 2021 vs. 2020</w:t>
      </w:r>
    </w:p>
    <w:p w:rsidR="00000000" w:rsidRDefault="00786A01">
      <w:pPr>
        <w:divId w:val="155388152"/>
        <w:rPr>
          <w:rFonts w:eastAsia="Times New Roman"/>
        </w:rPr>
      </w:pPr>
      <w:r>
        <w:rPr>
          <w:rFonts w:eastAsia="Times New Roman"/>
          <w:color w:val="000000"/>
          <w:sz w:val="20"/>
          <w:szCs w:val="20"/>
        </w:rPr>
        <w:t>The increase in revenues in the second quarter of fiscal 2021 was primarily due to:</w:t>
      </w:r>
    </w:p>
    <w:p w:rsidR="00000000" w:rsidRDefault="00786A01">
      <w:pPr>
        <w:ind w:hanging="360"/>
        <w:divId w:val="604583331"/>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$2.2 billion in higher equipment and services revenues from our QCT segment</w:t>
      </w:r>
    </w:p>
    <w:p w:rsidR="00000000" w:rsidRDefault="00786A01">
      <w:pPr>
        <w:ind w:hanging="360"/>
        <w:divId w:val="888153704"/>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$542 million in higher lic</w:t>
      </w:r>
      <w:r>
        <w:rPr>
          <w:rFonts w:eastAsia="Times New Roman"/>
          <w:color w:val="000000"/>
          <w:sz w:val="20"/>
          <w:szCs w:val="20"/>
        </w:rPr>
        <w:t>ensing revenues from our QTL segment</w:t>
      </w:r>
    </w:p>
    <w:p w:rsidR="00000000" w:rsidRDefault="00786A01">
      <w:pPr>
        <w:jc w:val="center"/>
        <w:divId w:val="77143408"/>
        <w:rPr>
          <w:rFonts w:eastAsia="Times New Roman"/>
        </w:rPr>
      </w:pPr>
      <w:r>
        <w:rPr>
          <w:rFonts w:eastAsia="Times New Roman"/>
          <w:color w:val="000000"/>
          <w:sz w:val="20"/>
          <w:szCs w:val="20"/>
        </w:rPr>
        <w:t>24</w:t>
      </w:r>
    </w:p>
    <w:p w:rsidR="00000000" w:rsidRDefault="00786A01">
      <w:pPr>
        <w:rPr>
          <w:rFonts w:eastAsia="Times New Roman"/>
        </w:rPr>
      </w:pPr>
      <w:r>
        <w:rPr>
          <w:rFonts w:eastAsia="Times New Roman"/>
        </w:rPr>
        <w:pict>
          <v:rect id="_x0000_i1047" style="width:0;height:1.5pt" o:hralign="center" o:hrstd="t" o:hr="t" fillcolor="#a0a0a0" stroked="f"/>
        </w:pict>
      </w:r>
    </w:p>
    <w:p w:rsidR="00000000" w:rsidRDefault="00786A01">
      <w:pPr>
        <w:divId w:val="2044403631"/>
        <w:rPr>
          <w:rFonts w:eastAsia="Times New Roman"/>
        </w:rPr>
      </w:pPr>
    </w:p>
    <w:p w:rsidR="00000000" w:rsidRDefault="00786A01">
      <w:pPr>
        <w:ind w:hanging="720"/>
        <w:divId w:val="1766533417"/>
        <w:rPr>
          <w:rFonts w:eastAsia="Times New Roman"/>
        </w:rPr>
      </w:pPr>
      <w:r>
        <w:rPr>
          <w:rFonts w:eastAsia="Times New Roman"/>
          <w:b/>
          <w:bCs/>
          <w:i/>
          <w:iCs/>
          <w:color w:val="000000"/>
          <w:sz w:val="20"/>
          <w:szCs w:val="20"/>
        </w:rPr>
        <w:t>First six months 2021 vs. 2020</w:t>
      </w:r>
    </w:p>
    <w:p w:rsidR="00000000" w:rsidRDefault="00786A01">
      <w:pPr>
        <w:divId w:val="414520042"/>
        <w:rPr>
          <w:rFonts w:eastAsia="Times New Roman"/>
        </w:rPr>
      </w:pPr>
      <w:r>
        <w:rPr>
          <w:rFonts w:eastAsia="Times New Roman"/>
          <w:color w:val="000000"/>
          <w:sz w:val="20"/>
          <w:szCs w:val="20"/>
        </w:rPr>
        <w:t>The increase in revenues in the first six months of fiscal 2021 was primarily due to:</w:t>
      </w:r>
    </w:p>
    <w:p w:rsidR="00000000" w:rsidRDefault="00786A01">
      <w:pPr>
        <w:ind w:hanging="360"/>
        <w:divId w:val="721294788"/>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$5.1 billion in higher equipment and services revenues f</w:t>
      </w:r>
      <w:r>
        <w:rPr>
          <w:rFonts w:eastAsia="Times New Roman"/>
          <w:color w:val="000000"/>
          <w:sz w:val="20"/>
          <w:szCs w:val="20"/>
        </w:rPr>
        <w:t>rom our QCT segment</w:t>
      </w:r>
    </w:p>
    <w:p w:rsidR="00000000" w:rsidRDefault="00786A01">
      <w:pPr>
        <w:ind w:hanging="360"/>
        <w:divId w:val="2146510803"/>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$796 million in higher licensing revenues from our QTL segment</w:t>
      </w:r>
    </w:p>
    <w:tbl>
      <w:tblPr>
        <w:tblW w:w="5000" w:type="pct"/>
        <w:tblCellMar>
          <w:top w:w="15" w:type="dxa"/>
          <w:left w:w="15" w:type="dxa"/>
          <w:bottom w:w="15" w:type="dxa"/>
          <w:right w:w="15" w:type="dxa"/>
        </w:tblCellMar>
        <w:tblLook w:val="04A0" w:firstRow="1" w:lastRow="0" w:firstColumn="1" w:lastColumn="0" w:noHBand="0" w:noVBand="1"/>
      </w:tblPr>
      <w:tblGrid>
        <w:gridCol w:w="37"/>
        <w:gridCol w:w="1912"/>
        <w:gridCol w:w="36"/>
        <w:gridCol w:w="110"/>
        <w:gridCol w:w="794"/>
        <w:gridCol w:w="170"/>
        <w:gridCol w:w="36"/>
        <w:gridCol w:w="36"/>
        <w:gridCol w:w="36"/>
        <w:gridCol w:w="110"/>
        <w:gridCol w:w="714"/>
        <w:gridCol w:w="170"/>
        <w:gridCol w:w="36"/>
        <w:gridCol w:w="36"/>
        <w:gridCol w:w="36"/>
        <w:gridCol w:w="111"/>
        <w:gridCol w:w="714"/>
        <w:gridCol w:w="37"/>
        <w:gridCol w:w="36"/>
        <w:gridCol w:w="36"/>
        <w:gridCol w:w="36"/>
        <w:gridCol w:w="110"/>
        <w:gridCol w:w="714"/>
        <w:gridCol w:w="170"/>
        <w:gridCol w:w="36"/>
        <w:gridCol w:w="36"/>
        <w:gridCol w:w="36"/>
        <w:gridCol w:w="110"/>
        <w:gridCol w:w="714"/>
        <w:gridCol w:w="170"/>
        <w:gridCol w:w="36"/>
        <w:gridCol w:w="36"/>
        <w:gridCol w:w="36"/>
        <w:gridCol w:w="111"/>
        <w:gridCol w:w="716"/>
        <w:gridCol w:w="36"/>
      </w:tblGrid>
      <w:tr w:rsidR="00000000">
        <w:trPr>
          <w:divId w:val="1853102118"/>
        </w:trPr>
        <w:tc>
          <w:tcPr>
            <w:tcW w:w="50" w:type="pct"/>
            <w:vAlign w:val="center"/>
            <w:hideMark/>
          </w:tcPr>
          <w:p w:rsidR="00000000" w:rsidRDefault="00786A01">
            <w:pPr>
              <w:ind w:hanging="360"/>
              <w:rPr>
                <w:rFonts w:eastAsia="Times New Roman"/>
              </w:rPr>
            </w:pPr>
          </w:p>
        </w:tc>
        <w:tc>
          <w:tcPr>
            <w:tcW w:w="12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853102118"/>
        </w:trPr>
        <w:tc>
          <w:tcPr>
            <w:tcW w:w="0" w:type="auto"/>
            <w:gridSpan w:val="18"/>
            <w:tcMar>
              <w:top w:w="30" w:type="dxa"/>
              <w:left w:w="20" w:type="dxa"/>
              <w:bottom w:w="30" w:type="dxa"/>
              <w:right w:w="20" w:type="dxa"/>
            </w:tcMar>
            <w:vAlign w:val="bottom"/>
            <w:hideMark/>
          </w:tcPr>
          <w:p w:rsidR="00000000" w:rsidRDefault="00786A01">
            <w:pPr>
              <w:ind w:firstLine="360"/>
              <w:divId w:val="1588273402"/>
              <w:rPr>
                <w:rFonts w:eastAsia="Times New Roman"/>
              </w:rPr>
            </w:pPr>
            <w:r>
              <w:rPr>
                <w:rFonts w:eastAsia="Times New Roman"/>
                <w:b/>
                <w:bCs/>
                <w:i/>
                <w:iCs/>
                <w:color w:val="000000"/>
                <w:sz w:val="20"/>
                <w:szCs w:val="20"/>
              </w:rPr>
              <w:t>Costs and Expenses (in millions, except percentages)</w:t>
            </w:r>
          </w:p>
        </w:tc>
        <w:tc>
          <w:tcPr>
            <w:tcW w:w="0" w:type="auto"/>
            <w:gridSpan w:val="3"/>
            <w:tcMar>
              <w:top w:w="0" w:type="dxa"/>
              <w:left w:w="20" w:type="dxa"/>
              <w:bottom w:w="0" w:type="dxa"/>
              <w:right w:w="20" w:type="dxa"/>
            </w:tcMar>
            <w:vAlign w:val="center"/>
            <w:hideMark/>
          </w:tcPr>
          <w:p w:rsidR="00000000" w:rsidRDefault="00786A01">
            <w:pPr>
              <w:ind w:firstLine="360"/>
              <w:rPr>
                <w:rFonts w:eastAsia="Times New Roman"/>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853102118"/>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15"/>
            <w:shd w:val="clear" w:color="auto" w:fill="FFFFFF"/>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rPr>
          <w:divId w:val="1853102118"/>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r>
      <w:tr w:rsidR="00000000">
        <w:trPr>
          <w:divId w:val="1853102118"/>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xml:space="preserve">Cost of revenues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2,297 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6,921 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4,410 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2,511 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853102118"/>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Gross margin</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bl>
    <w:p w:rsidR="00000000" w:rsidRDefault="00786A01">
      <w:pPr>
        <w:divId w:val="1800419861"/>
        <w:rPr>
          <w:rFonts w:eastAsia="Times New Roman"/>
        </w:rPr>
      </w:pPr>
      <w:r>
        <w:rPr>
          <w:rFonts w:eastAsia="Times New Roman"/>
          <w:b/>
          <w:bCs/>
          <w:i/>
          <w:iCs/>
          <w:color w:val="000000"/>
          <w:sz w:val="20"/>
          <w:szCs w:val="20"/>
        </w:rPr>
        <w:t>Second quarter 2021 vs. 2020</w:t>
      </w:r>
    </w:p>
    <w:p w:rsidR="00000000" w:rsidRDefault="00786A01">
      <w:pPr>
        <w:divId w:val="1633712337"/>
        <w:rPr>
          <w:rFonts w:eastAsia="Times New Roman"/>
        </w:rPr>
      </w:pPr>
      <w:r>
        <w:rPr>
          <w:rFonts w:eastAsia="Times New Roman"/>
          <w:color w:val="000000"/>
          <w:sz w:val="20"/>
          <w:szCs w:val="20"/>
        </w:rPr>
        <w:t>Gross margin percentage increased in the second quarter of fiscal 2021 primarily due to a decrease in charges related to the amortization o</w:t>
      </w:r>
      <w:r>
        <w:rPr>
          <w:rFonts w:eastAsia="Times New Roman"/>
          <w:color w:val="000000"/>
          <w:sz w:val="20"/>
          <w:szCs w:val="20"/>
        </w:rPr>
        <w:t>f intangible assets as a percentage of revenues.</w:t>
      </w:r>
    </w:p>
    <w:p w:rsidR="00000000" w:rsidRDefault="00786A01">
      <w:pPr>
        <w:ind w:hanging="720"/>
        <w:divId w:val="491484027"/>
        <w:rPr>
          <w:rFonts w:eastAsia="Times New Roman"/>
        </w:rPr>
      </w:pPr>
      <w:r>
        <w:rPr>
          <w:rFonts w:eastAsia="Times New Roman"/>
          <w:b/>
          <w:bCs/>
          <w:i/>
          <w:iCs/>
          <w:color w:val="000000"/>
          <w:sz w:val="20"/>
          <w:szCs w:val="20"/>
        </w:rPr>
        <w:t>First six months 2021 vs. 2020</w:t>
      </w:r>
    </w:p>
    <w:p w:rsidR="00000000" w:rsidRDefault="00786A01">
      <w:pPr>
        <w:divId w:val="1498763790"/>
        <w:rPr>
          <w:rFonts w:eastAsia="Times New Roman"/>
        </w:rPr>
      </w:pPr>
      <w:r>
        <w:rPr>
          <w:rFonts w:eastAsia="Times New Roman"/>
          <w:color w:val="000000"/>
          <w:sz w:val="20"/>
          <w:szCs w:val="20"/>
        </w:rPr>
        <w:t>Gross margin percentage remained flat in the first six months of fiscal 2021 primarily due to:</w:t>
      </w:r>
    </w:p>
    <w:p w:rsidR="00000000" w:rsidRDefault="00786A01">
      <w:pPr>
        <w:ind w:hanging="360"/>
        <w:divId w:val="2053000437"/>
        <w:rPr>
          <w:rFonts w:eastAsia="Times New Roman"/>
        </w:rPr>
      </w:pPr>
      <w:r>
        <w:rPr>
          <w:rFonts w:ascii="Century Gothic" w:eastAsia="Times New Roman" w:hAnsi="Century Gothic"/>
          <w:b/>
          <w:bCs/>
          <w:color w:val="000000"/>
        </w:rPr>
        <w:t>-</w:t>
      </w:r>
      <w:r>
        <w:rPr>
          <w:rFonts w:ascii="Century Gothic" w:eastAsia="Times New Roman" w:hAnsi="Century Gothic"/>
          <w:b/>
          <w:bCs/>
          <w:color w:val="000000"/>
          <w:sz w:val="20"/>
          <w:szCs w:val="20"/>
        </w:rPr>
        <w:t>    </w:t>
      </w:r>
      <w:r>
        <w:rPr>
          <w:rFonts w:eastAsia="Times New Roman"/>
          <w:color w:val="000000"/>
          <w:sz w:val="20"/>
          <w:szCs w:val="20"/>
        </w:rPr>
        <w:t>decrease in higher margin QTL licensing revenues in proportion to QCT revenu</w:t>
      </w:r>
      <w:r>
        <w:rPr>
          <w:rFonts w:eastAsia="Times New Roman"/>
          <w:color w:val="000000"/>
          <w:sz w:val="20"/>
          <w:szCs w:val="20"/>
        </w:rPr>
        <w:t>es</w:t>
      </w:r>
    </w:p>
    <w:p w:rsidR="00000000" w:rsidRDefault="00786A01">
      <w:pPr>
        <w:ind w:hanging="360"/>
        <w:divId w:val="23867599"/>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increase in QCT gross margin</w:t>
      </w:r>
    </w:p>
    <w:p w:rsidR="00000000" w:rsidRDefault="00786A01">
      <w:pPr>
        <w:ind w:hanging="360"/>
        <w:divId w:val="240216941"/>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decrease in charges related to the amortization of intangible assets as a percentage of revenues</w:t>
      </w:r>
    </w:p>
    <w:tbl>
      <w:tblPr>
        <w:tblW w:w="5000" w:type="pct"/>
        <w:tblCellMar>
          <w:top w:w="15" w:type="dxa"/>
          <w:left w:w="15" w:type="dxa"/>
          <w:bottom w:w="15" w:type="dxa"/>
          <w:right w:w="15" w:type="dxa"/>
        </w:tblCellMar>
        <w:tblLook w:val="04A0" w:firstRow="1" w:lastRow="0" w:firstColumn="1" w:lastColumn="0" w:noHBand="0" w:noVBand="1"/>
      </w:tblPr>
      <w:tblGrid>
        <w:gridCol w:w="38"/>
        <w:gridCol w:w="1911"/>
        <w:gridCol w:w="36"/>
        <w:gridCol w:w="110"/>
        <w:gridCol w:w="795"/>
        <w:gridCol w:w="170"/>
        <w:gridCol w:w="36"/>
        <w:gridCol w:w="36"/>
        <w:gridCol w:w="36"/>
        <w:gridCol w:w="110"/>
        <w:gridCol w:w="714"/>
        <w:gridCol w:w="170"/>
        <w:gridCol w:w="36"/>
        <w:gridCol w:w="36"/>
        <w:gridCol w:w="36"/>
        <w:gridCol w:w="111"/>
        <w:gridCol w:w="714"/>
        <w:gridCol w:w="36"/>
        <w:gridCol w:w="36"/>
        <w:gridCol w:w="36"/>
        <w:gridCol w:w="36"/>
        <w:gridCol w:w="110"/>
        <w:gridCol w:w="714"/>
        <w:gridCol w:w="170"/>
        <w:gridCol w:w="36"/>
        <w:gridCol w:w="36"/>
        <w:gridCol w:w="36"/>
        <w:gridCol w:w="110"/>
        <w:gridCol w:w="714"/>
        <w:gridCol w:w="170"/>
        <w:gridCol w:w="36"/>
        <w:gridCol w:w="36"/>
        <w:gridCol w:w="36"/>
        <w:gridCol w:w="111"/>
        <w:gridCol w:w="716"/>
        <w:gridCol w:w="36"/>
      </w:tblGrid>
      <w:tr w:rsidR="00000000">
        <w:trPr>
          <w:divId w:val="1520654715"/>
        </w:trPr>
        <w:tc>
          <w:tcPr>
            <w:tcW w:w="50" w:type="pct"/>
            <w:vAlign w:val="center"/>
            <w:hideMark/>
          </w:tcPr>
          <w:p w:rsidR="00000000" w:rsidRDefault="00786A01">
            <w:pPr>
              <w:ind w:hanging="360"/>
              <w:rPr>
                <w:rFonts w:eastAsia="Times New Roman"/>
              </w:rPr>
            </w:pPr>
          </w:p>
        </w:tc>
        <w:tc>
          <w:tcPr>
            <w:tcW w:w="12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520654715"/>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rPr>
          <w:divId w:val="1520654715"/>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r>
      <w:tr w:rsidR="00000000">
        <w:trPr>
          <w:divId w:val="1520654715"/>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Research and development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3,433 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2,873 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520654715"/>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of revenues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520654715"/>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520654715"/>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520654715"/>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bl>
    <w:p w:rsidR="00000000" w:rsidRDefault="00786A01">
      <w:pPr>
        <w:divId w:val="1915241532"/>
        <w:rPr>
          <w:rFonts w:eastAsia="Times New Roman"/>
        </w:rPr>
      </w:pPr>
      <w:r>
        <w:rPr>
          <w:rFonts w:eastAsia="Times New Roman"/>
          <w:b/>
          <w:bCs/>
          <w:i/>
          <w:iCs/>
          <w:color w:val="000000"/>
          <w:sz w:val="20"/>
          <w:szCs w:val="20"/>
        </w:rPr>
        <w:t>Second quarter 2021 vs. 2020</w:t>
      </w:r>
    </w:p>
    <w:p w:rsidR="00000000" w:rsidRDefault="00786A01">
      <w:pPr>
        <w:divId w:val="1003162413"/>
        <w:rPr>
          <w:rFonts w:eastAsia="Times New Roman"/>
        </w:rPr>
      </w:pPr>
      <w:r>
        <w:rPr>
          <w:rFonts w:eastAsia="Times New Roman"/>
          <w:color w:val="000000"/>
          <w:sz w:val="20"/>
          <w:szCs w:val="20"/>
        </w:rPr>
        <w:t>The increase in research and development expenses in the second quarter of fiscal 2021 was primarily due to:</w:t>
      </w:r>
    </w:p>
    <w:p w:rsidR="00000000" w:rsidRDefault="00786A01">
      <w:pPr>
        <w:ind w:hanging="360"/>
        <w:divId w:val="1062560007"/>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 xml:space="preserve">$167 million increase </w:t>
      </w:r>
      <w:r>
        <w:rPr>
          <w:rFonts w:eastAsia="Times New Roman"/>
          <w:color w:val="000000"/>
          <w:sz w:val="20"/>
          <w:szCs w:val="20"/>
        </w:rPr>
        <w:t>driven by higher costs related to the development of wireless and integrated circuit technologies (including 5G and application processor technologies), a portion of which was attributable to higher employee cash incentive program costs</w:t>
      </w:r>
    </w:p>
    <w:p w:rsidR="00000000" w:rsidRDefault="00786A01">
      <w:pPr>
        <w:ind w:hanging="360"/>
        <w:divId w:val="1919753506"/>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$90 million in</w:t>
      </w:r>
      <w:r>
        <w:rPr>
          <w:rFonts w:eastAsia="Times New Roman"/>
          <w:color w:val="000000"/>
          <w:sz w:val="20"/>
          <w:szCs w:val="20"/>
        </w:rPr>
        <w:t>crease in share-based compensation expense</w:t>
      </w:r>
    </w:p>
    <w:p w:rsidR="00000000" w:rsidRDefault="00786A01">
      <w:pPr>
        <w:ind w:hanging="360"/>
        <w:divId w:val="609430998"/>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$56 million increase in expenses driven by revaluation of our deferred compensation obligation on improved stock market performance (which resulted in a corresponding increase in net gains on deferred compens</w:t>
      </w:r>
      <w:r>
        <w:rPr>
          <w:rFonts w:eastAsia="Times New Roman"/>
          <w:color w:val="000000"/>
          <w:sz w:val="20"/>
          <w:szCs w:val="20"/>
        </w:rPr>
        <w:t>ation plan assets within investment and other income (expense), net due to the revaluation of the related assets)</w:t>
      </w:r>
    </w:p>
    <w:p w:rsidR="00000000" w:rsidRDefault="00786A01">
      <w:pPr>
        <w:ind w:hanging="720"/>
        <w:divId w:val="90515641"/>
        <w:rPr>
          <w:rFonts w:eastAsia="Times New Roman"/>
        </w:rPr>
      </w:pPr>
      <w:r>
        <w:rPr>
          <w:rFonts w:eastAsia="Times New Roman"/>
          <w:b/>
          <w:bCs/>
          <w:i/>
          <w:iCs/>
          <w:color w:val="000000"/>
          <w:sz w:val="20"/>
          <w:szCs w:val="20"/>
        </w:rPr>
        <w:t>First six months 2021 vs. 2020</w:t>
      </w:r>
    </w:p>
    <w:p w:rsidR="00000000" w:rsidRDefault="00786A01">
      <w:pPr>
        <w:divId w:val="1705785273"/>
        <w:rPr>
          <w:rFonts w:eastAsia="Times New Roman"/>
        </w:rPr>
      </w:pPr>
      <w:r>
        <w:rPr>
          <w:rFonts w:eastAsia="Times New Roman"/>
          <w:color w:val="000000"/>
          <w:sz w:val="20"/>
          <w:szCs w:val="20"/>
        </w:rPr>
        <w:t>The increase in research and development expenses in the first six months of fiscal 2021 was primarily due to:</w:t>
      </w:r>
    </w:p>
    <w:p w:rsidR="00000000" w:rsidRDefault="00786A01">
      <w:pPr>
        <w:ind w:hanging="360"/>
        <w:divId w:val="1195264121"/>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$337 million increase driven by higher costs related to the development of wireless and integrated circuit technologies (including 5G and application processor technologies), a portion of which was attributable to higher employee cash incentive progra</w:t>
      </w:r>
      <w:r>
        <w:rPr>
          <w:rFonts w:eastAsia="Times New Roman"/>
          <w:color w:val="000000"/>
          <w:sz w:val="20"/>
          <w:szCs w:val="20"/>
        </w:rPr>
        <w:t>m costs</w:t>
      </w:r>
    </w:p>
    <w:p w:rsidR="00000000" w:rsidRDefault="00786A01">
      <w:pPr>
        <w:ind w:hanging="360"/>
        <w:divId w:val="2035619614"/>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$164 million increase in share-based compensation expense</w:t>
      </w:r>
    </w:p>
    <w:p w:rsidR="00000000" w:rsidRDefault="00786A01">
      <w:pPr>
        <w:ind w:hanging="360"/>
        <w:divId w:val="1911499170"/>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$59 million increase in expenses driven by revaluation of our deferred compensation obligation on improved stock market performance (which resulted in a corresponding increase in n</w:t>
      </w:r>
      <w:r>
        <w:rPr>
          <w:rFonts w:eastAsia="Times New Roman"/>
          <w:color w:val="000000"/>
          <w:sz w:val="20"/>
          <w:szCs w:val="20"/>
        </w:rPr>
        <w:t>et gains on deferred compensation plan assets within investment and other income (expense), net due to the revaluation of the related assets)</w:t>
      </w:r>
    </w:p>
    <w:tbl>
      <w:tblPr>
        <w:tblW w:w="5000" w:type="pct"/>
        <w:tblCellMar>
          <w:top w:w="15" w:type="dxa"/>
          <w:left w:w="15" w:type="dxa"/>
          <w:bottom w:w="15" w:type="dxa"/>
          <w:right w:w="15" w:type="dxa"/>
        </w:tblCellMar>
        <w:tblLook w:val="04A0" w:firstRow="1" w:lastRow="0" w:firstColumn="1" w:lastColumn="0" w:noHBand="0" w:noVBand="1"/>
      </w:tblPr>
      <w:tblGrid>
        <w:gridCol w:w="42"/>
        <w:gridCol w:w="1907"/>
        <w:gridCol w:w="36"/>
        <w:gridCol w:w="110"/>
        <w:gridCol w:w="795"/>
        <w:gridCol w:w="170"/>
        <w:gridCol w:w="36"/>
        <w:gridCol w:w="36"/>
        <w:gridCol w:w="36"/>
        <w:gridCol w:w="110"/>
        <w:gridCol w:w="714"/>
        <w:gridCol w:w="170"/>
        <w:gridCol w:w="36"/>
        <w:gridCol w:w="36"/>
        <w:gridCol w:w="36"/>
        <w:gridCol w:w="111"/>
        <w:gridCol w:w="714"/>
        <w:gridCol w:w="36"/>
        <w:gridCol w:w="36"/>
        <w:gridCol w:w="36"/>
        <w:gridCol w:w="36"/>
        <w:gridCol w:w="110"/>
        <w:gridCol w:w="714"/>
        <w:gridCol w:w="170"/>
        <w:gridCol w:w="36"/>
        <w:gridCol w:w="36"/>
        <w:gridCol w:w="36"/>
        <w:gridCol w:w="110"/>
        <w:gridCol w:w="714"/>
        <w:gridCol w:w="170"/>
        <w:gridCol w:w="36"/>
        <w:gridCol w:w="36"/>
        <w:gridCol w:w="36"/>
        <w:gridCol w:w="111"/>
        <w:gridCol w:w="716"/>
        <w:gridCol w:w="36"/>
      </w:tblGrid>
      <w:tr w:rsidR="00000000">
        <w:trPr>
          <w:divId w:val="2050255284"/>
        </w:trPr>
        <w:tc>
          <w:tcPr>
            <w:tcW w:w="50" w:type="pct"/>
            <w:vAlign w:val="center"/>
            <w:hideMark/>
          </w:tcPr>
          <w:p w:rsidR="00000000" w:rsidRDefault="00786A01">
            <w:pPr>
              <w:ind w:hanging="360"/>
              <w:rPr>
                <w:rFonts w:eastAsia="Times New Roman"/>
              </w:rPr>
            </w:pPr>
          </w:p>
        </w:tc>
        <w:tc>
          <w:tcPr>
            <w:tcW w:w="12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2050255284"/>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rPr>
          <w:divId w:val="2050255284"/>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r>
      <w:tr w:rsidR="00000000">
        <w:trPr>
          <w:divId w:val="2050255284"/>
        </w:trPr>
        <w:tc>
          <w:tcPr>
            <w:tcW w:w="0" w:type="auto"/>
            <w:gridSpan w:val="3"/>
            <w:vAlign w:val="center"/>
            <w:hideMark/>
          </w:tcPr>
          <w:p w:rsidR="00000000" w:rsidRDefault="00786A01">
            <w:pPr>
              <w:jc w:val="center"/>
              <w:rPr>
                <w:rFonts w:eastAsia="Times New Roman"/>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2050255284"/>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2050255284"/>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Selling, general and administrative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2050255284"/>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of revenues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2050255284"/>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bl>
    <w:p w:rsidR="00000000" w:rsidRDefault="00786A01">
      <w:pPr>
        <w:jc w:val="center"/>
        <w:divId w:val="1452474621"/>
        <w:rPr>
          <w:rFonts w:eastAsia="Times New Roman"/>
        </w:rPr>
      </w:pPr>
      <w:r>
        <w:rPr>
          <w:rFonts w:eastAsia="Times New Roman"/>
          <w:color w:val="000000"/>
          <w:sz w:val="20"/>
          <w:szCs w:val="20"/>
        </w:rPr>
        <w:t>25</w:t>
      </w:r>
    </w:p>
    <w:p w:rsidR="00000000" w:rsidRDefault="00786A01">
      <w:pPr>
        <w:rPr>
          <w:rFonts w:eastAsia="Times New Roman"/>
        </w:rPr>
      </w:pPr>
      <w:r>
        <w:rPr>
          <w:rFonts w:eastAsia="Times New Roman"/>
        </w:rPr>
        <w:pict>
          <v:rect id="_x0000_i1048" style="width:0;height:1.5pt" o:hralign="center" o:hrstd="t" o:hr="t" fillcolor="#a0a0a0" stroked="f"/>
        </w:pict>
      </w:r>
    </w:p>
    <w:p w:rsidR="00000000" w:rsidRDefault="00786A01">
      <w:pPr>
        <w:divId w:val="363097700"/>
        <w:rPr>
          <w:rFonts w:eastAsia="Times New Roman"/>
        </w:rPr>
      </w:pPr>
    </w:p>
    <w:p w:rsidR="00000000" w:rsidRDefault="00786A01">
      <w:pPr>
        <w:divId w:val="1824466014"/>
        <w:rPr>
          <w:rFonts w:eastAsia="Times New Roman"/>
        </w:rPr>
      </w:pPr>
      <w:r>
        <w:rPr>
          <w:rFonts w:eastAsia="Times New Roman"/>
          <w:b/>
          <w:bCs/>
          <w:i/>
          <w:iCs/>
          <w:color w:val="000000"/>
          <w:sz w:val="20"/>
          <w:szCs w:val="20"/>
        </w:rPr>
        <w:t>Second quarter 2021 vs. 2020</w:t>
      </w:r>
    </w:p>
    <w:p w:rsidR="00000000" w:rsidRDefault="00786A01">
      <w:pPr>
        <w:divId w:val="756633030"/>
        <w:rPr>
          <w:rFonts w:eastAsia="Times New Roman"/>
        </w:rPr>
      </w:pPr>
      <w:r>
        <w:rPr>
          <w:rFonts w:eastAsia="Times New Roman"/>
          <w:color w:val="000000"/>
          <w:sz w:val="20"/>
          <w:szCs w:val="20"/>
        </w:rPr>
        <w:t>The increase in selling, general and administrative expenses in the second quarter of fiscal 2021 was primarily due to:</w:t>
      </w:r>
    </w:p>
    <w:p w:rsidR="00000000" w:rsidRDefault="00786A01">
      <w:pPr>
        <w:ind w:hanging="360"/>
        <w:divId w:val="1430807206"/>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$38 million increase in expenses driven by revaluation of our deferred compensation obligation on improved stock market performance</w:t>
      </w:r>
      <w:r>
        <w:rPr>
          <w:rFonts w:eastAsia="Times New Roman"/>
          <w:color w:val="000000"/>
          <w:sz w:val="20"/>
          <w:szCs w:val="20"/>
        </w:rPr>
        <w:t xml:space="preserve"> (which resulted in a corresponding increase in net gains on deferred compensation plan assets within investment and other income (expense), net due to the revaluation of the related assets)</w:t>
      </w:r>
    </w:p>
    <w:p w:rsidR="00000000" w:rsidRDefault="00786A01">
      <w:pPr>
        <w:ind w:hanging="360"/>
        <w:divId w:val="345910043"/>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$31 million increase in employee-related expenses driven pri</w:t>
      </w:r>
      <w:r>
        <w:rPr>
          <w:rFonts w:eastAsia="Times New Roman"/>
          <w:color w:val="000000"/>
          <w:sz w:val="20"/>
          <w:szCs w:val="20"/>
        </w:rPr>
        <w:t>marily by higher employee cash incentive program costs</w:t>
      </w:r>
    </w:p>
    <w:p w:rsidR="00000000" w:rsidRDefault="00786A01">
      <w:pPr>
        <w:ind w:hanging="360"/>
        <w:divId w:val="976842103"/>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$21 million increase in share-based compensation expense</w:t>
      </w:r>
    </w:p>
    <w:p w:rsidR="00000000" w:rsidRDefault="00786A01">
      <w:pPr>
        <w:ind w:hanging="360"/>
        <w:divId w:val="114910808"/>
        <w:rPr>
          <w:rFonts w:eastAsia="Times New Roman"/>
        </w:rPr>
      </w:pPr>
      <w:r>
        <w:rPr>
          <w:rFonts w:ascii="Century Gothic" w:eastAsia="Times New Roman" w:hAnsi="Century Gothic"/>
          <w:b/>
          <w:bCs/>
          <w:color w:val="000000"/>
          <w:sz w:val="25"/>
          <w:szCs w:val="25"/>
        </w:rPr>
        <w:t>-</w:t>
      </w:r>
      <w:r>
        <w:rPr>
          <w:rFonts w:eastAsia="Times New Roman"/>
          <w:color w:val="000000"/>
          <w:sz w:val="20"/>
          <w:szCs w:val="20"/>
        </w:rPr>
        <w:t xml:space="preserve">    $20 million decrease in litigation costs </w:t>
      </w:r>
    </w:p>
    <w:p w:rsidR="00000000" w:rsidRDefault="00786A01">
      <w:pPr>
        <w:ind w:hanging="720"/>
        <w:divId w:val="1852336314"/>
        <w:rPr>
          <w:rFonts w:eastAsia="Times New Roman"/>
        </w:rPr>
      </w:pPr>
      <w:r>
        <w:rPr>
          <w:rFonts w:eastAsia="Times New Roman"/>
          <w:b/>
          <w:bCs/>
          <w:i/>
          <w:iCs/>
          <w:color w:val="000000"/>
          <w:sz w:val="20"/>
          <w:szCs w:val="20"/>
        </w:rPr>
        <w:t>First six months 2021 vs. 2020</w:t>
      </w:r>
    </w:p>
    <w:p w:rsidR="00000000" w:rsidRDefault="00786A01">
      <w:pPr>
        <w:divId w:val="1567379549"/>
        <w:rPr>
          <w:rFonts w:eastAsia="Times New Roman"/>
        </w:rPr>
      </w:pPr>
      <w:r>
        <w:rPr>
          <w:rFonts w:eastAsia="Times New Roman"/>
          <w:color w:val="000000"/>
          <w:sz w:val="20"/>
          <w:szCs w:val="20"/>
        </w:rPr>
        <w:t xml:space="preserve">The increase in selling, general and administrative expenses </w:t>
      </w:r>
      <w:r>
        <w:rPr>
          <w:rFonts w:eastAsia="Times New Roman"/>
          <w:color w:val="000000"/>
          <w:sz w:val="20"/>
          <w:szCs w:val="20"/>
        </w:rPr>
        <w:t>in the first six months of fiscal 2021 was primarily due to:</w:t>
      </w:r>
    </w:p>
    <w:p w:rsidR="00000000" w:rsidRDefault="00786A01">
      <w:pPr>
        <w:ind w:hanging="360"/>
        <w:divId w:val="650403048"/>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$58 million increase in expenses driven by revaluation of our deferred compensation obligation on improved stock market performance (which resulted in a corresponding increase in net gains o</w:t>
      </w:r>
      <w:r>
        <w:rPr>
          <w:rFonts w:eastAsia="Times New Roman"/>
          <w:color w:val="000000"/>
          <w:sz w:val="20"/>
          <w:szCs w:val="20"/>
        </w:rPr>
        <w:t>n deferred compensation plan assets within investment and other income (expense), net due to the revaluation of the related assets)</w:t>
      </w:r>
    </w:p>
    <w:p w:rsidR="00000000" w:rsidRDefault="00786A01">
      <w:pPr>
        <w:ind w:hanging="360"/>
        <w:divId w:val="1099133021"/>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$43 million increase in share-based compensation expense</w:t>
      </w:r>
    </w:p>
    <w:p w:rsidR="00000000" w:rsidRDefault="00786A01">
      <w:pPr>
        <w:ind w:hanging="360"/>
        <w:divId w:val="1465075322"/>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$19 million increase in employee-related expenses driven by higher employee cash incentive program costs</w:t>
      </w:r>
    </w:p>
    <w:p w:rsidR="00000000" w:rsidRDefault="00786A01">
      <w:pPr>
        <w:ind w:hanging="360"/>
        <w:divId w:val="1511410383"/>
        <w:rPr>
          <w:rFonts w:eastAsia="Times New Roman"/>
        </w:rPr>
      </w:pPr>
      <w:r>
        <w:rPr>
          <w:rFonts w:ascii="Century Gothic" w:eastAsia="Times New Roman" w:hAnsi="Century Gothic"/>
          <w:b/>
          <w:bCs/>
          <w:color w:val="000000"/>
          <w:sz w:val="25"/>
          <w:szCs w:val="25"/>
        </w:rPr>
        <w:t>-</w:t>
      </w:r>
      <w:r>
        <w:rPr>
          <w:rFonts w:eastAsia="Times New Roman"/>
          <w:color w:val="000000"/>
          <w:sz w:val="20"/>
          <w:szCs w:val="20"/>
        </w:rPr>
        <w:t xml:space="preserve">    $38 million decrease in litigation costs </w:t>
      </w:r>
    </w:p>
    <w:tbl>
      <w:tblPr>
        <w:tblW w:w="5000" w:type="pct"/>
        <w:tblCellMar>
          <w:top w:w="15" w:type="dxa"/>
          <w:left w:w="15" w:type="dxa"/>
          <w:bottom w:w="15" w:type="dxa"/>
          <w:right w:w="15" w:type="dxa"/>
        </w:tblCellMar>
        <w:tblLook w:val="04A0" w:firstRow="1" w:lastRow="0" w:firstColumn="1" w:lastColumn="0" w:noHBand="0" w:noVBand="1"/>
      </w:tblPr>
      <w:tblGrid>
        <w:gridCol w:w="37"/>
        <w:gridCol w:w="1994"/>
        <w:gridCol w:w="36"/>
        <w:gridCol w:w="111"/>
        <w:gridCol w:w="835"/>
        <w:gridCol w:w="36"/>
        <w:gridCol w:w="36"/>
        <w:gridCol w:w="36"/>
        <w:gridCol w:w="36"/>
        <w:gridCol w:w="111"/>
        <w:gridCol w:w="796"/>
        <w:gridCol w:w="36"/>
        <w:gridCol w:w="36"/>
        <w:gridCol w:w="36"/>
        <w:gridCol w:w="36"/>
        <w:gridCol w:w="111"/>
        <w:gridCol w:w="796"/>
        <w:gridCol w:w="36"/>
        <w:gridCol w:w="36"/>
        <w:gridCol w:w="36"/>
        <w:gridCol w:w="36"/>
        <w:gridCol w:w="111"/>
        <w:gridCol w:w="796"/>
        <w:gridCol w:w="36"/>
        <w:gridCol w:w="36"/>
        <w:gridCol w:w="36"/>
        <w:gridCol w:w="36"/>
        <w:gridCol w:w="111"/>
        <w:gridCol w:w="796"/>
        <w:gridCol w:w="36"/>
        <w:gridCol w:w="36"/>
        <w:gridCol w:w="36"/>
        <w:gridCol w:w="36"/>
        <w:gridCol w:w="111"/>
        <w:gridCol w:w="798"/>
        <w:gridCol w:w="36"/>
      </w:tblGrid>
      <w:tr w:rsidR="00000000">
        <w:trPr>
          <w:divId w:val="1396776710"/>
        </w:trPr>
        <w:tc>
          <w:tcPr>
            <w:tcW w:w="50" w:type="pct"/>
            <w:vAlign w:val="center"/>
            <w:hideMark/>
          </w:tcPr>
          <w:p w:rsidR="00000000" w:rsidRDefault="00786A01">
            <w:pPr>
              <w:ind w:hanging="360"/>
              <w:rPr>
                <w:rFonts w:eastAsia="Times New Roman"/>
              </w:rPr>
            </w:pPr>
          </w:p>
        </w:tc>
        <w:tc>
          <w:tcPr>
            <w:tcW w:w="12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396776710"/>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rPr>
          <w:divId w:val="1396776710"/>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r>
      <w:tr w:rsidR="00000000">
        <w:trPr>
          <w:divId w:val="1396776710"/>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bl>
    <w:p w:rsidR="00000000" w:rsidRDefault="00786A01">
      <w:pPr>
        <w:ind w:hanging="720"/>
        <w:divId w:val="901259953"/>
        <w:rPr>
          <w:rFonts w:eastAsia="Times New Roman"/>
        </w:rPr>
      </w:pPr>
      <w:r>
        <w:rPr>
          <w:rFonts w:eastAsia="Times New Roman"/>
          <w:b/>
          <w:bCs/>
          <w:i/>
          <w:iCs/>
          <w:color w:val="000000"/>
          <w:sz w:val="20"/>
          <w:szCs w:val="20"/>
        </w:rPr>
        <w:t>Second quarter and first six months 2020</w:t>
      </w:r>
    </w:p>
    <w:p w:rsidR="00000000" w:rsidRDefault="00786A01">
      <w:pPr>
        <w:divId w:val="1976177389"/>
        <w:rPr>
          <w:rFonts w:eastAsia="Times New Roman"/>
        </w:rPr>
      </w:pPr>
      <w:r>
        <w:rPr>
          <w:rFonts w:eastAsia="Times New Roman"/>
          <w:color w:val="000000"/>
          <w:sz w:val="20"/>
          <w:szCs w:val="20"/>
        </w:rPr>
        <w:t>Other income in the second quarter and first six months of fiscal 2020 consisted of:</w:t>
      </w:r>
    </w:p>
    <w:p w:rsidR="00000000" w:rsidRDefault="00786A01">
      <w:pPr>
        <w:ind w:hanging="360"/>
        <w:divId w:val="338629424"/>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$23 million gain related to a favorable legal settlement</w:t>
      </w:r>
    </w:p>
    <w:tbl>
      <w:tblPr>
        <w:tblW w:w="5000" w:type="pct"/>
        <w:tblCellMar>
          <w:top w:w="15" w:type="dxa"/>
          <w:left w:w="15" w:type="dxa"/>
          <w:bottom w:w="15" w:type="dxa"/>
          <w:right w:w="15" w:type="dxa"/>
        </w:tblCellMar>
        <w:tblLook w:val="04A0" w:firstRow="1" w:lastRow="0" w:firstColumn="1" w:lastColumn="0" w:noHBand="0" w:noVBand="1"/>
      </w:tblPr>
      <w:tblGrid>
        <w:gridCol w:w="46"/>
        <w:gridCol w:w="1985"/>
        <w:gridCol w:w="40"/>
        <w:gridCol w:w="111"/>
        <w:gridCol w:w="835"/>
        <w:gridCol w:w="37"/>
        <w:gridCol w:w="36"/>
        <w:gridCol w:w="36"/>
        <w:gridCol w:w="36"/>
        <w:gridCol w:w="111"/>
        <w:gridCol w:w="794"/>
        <w:gridCol w:w="37"/>
        <w:gridCol w:w="36"/>
        <w:gridCol w:w="36"/>
        <w:gridCol w:w="36"/>
        <w:gridCol w:w="111"/>
        <w:gridCol w:w="794"/>
        <w:gridCol w:w="37"/>
        <w:gridCol w:w="36"/>
        <w:gridCol w:w="36"/>
        <w:gridCol w:w="36"/>
        <w:gridCol w:w="111"/>
        <w:gridCol w:w="794"/>
        <w:gridCol w:w="37"/>
        <w:gridCol w:w="36"/>
        <w:gridCol w:w="36"/>
        <w:gridCol w:w="36"/>
        <w:gridCol w:w="111"/>
        <w:gridCol w:w="794"/>
        <w:gridCol w:w="36"/>
        <w:gridCol w:w="36"/>
        <w:gridCol w:w="36"/>
        <w:gridCol w:w="36"/>
        <w:gridCol w:w="111"/>
        <w:gridCol w:w="798"/>
        <w:gridCol w:w="36"/>
      </w:tblGrid>
      <w:tr w:rsidR="00000000">
        <w:trPr>
          <w:divId w:val="536503999"/>
        </w:trPr>
        <w:tc>
          <w:tcPr>
            <w:tcW w:w="50" w:type="pct"/>
            <w:vAlign w:val="center"/>
            <w:hideMark/>
          </w:tcPr>
          <w:p w:rsidR="00000000" w:rsidRDefault="00786A01">
            <w:pPr>
              <w:ind w:hanging="360"/>
              <w:rPr>
                <w:rFonts w:eastAsia="Times New Roman"/>
              </w:rPr>
            </w:pPr>
          </w:p>
        </w:tc>
        <w:tc>
          <w:tcPr>
            <w:tcW w:w="12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536503999"/>
        </w:trPr>
        <w:tc>
          <w:tcPr>
            <w:tcW w:w="0" w:type="auto"/>
            <w:gridSpan w:val="24"/>
            <w:tcMar>
              <w:top w:w="30" w:type="dxa"/>
              <w:left w:w="290" w:type="dxa"/>
              <w:bottom w:w="30" w:type="dxa"/>
              <w:right w:w="20" w:type="dxa"/>
            </w:tcMar>
            <w:vAlign w:val="bottom"/>
            <w:hideMark/>
          </w:tcPr>
          <w:p w:rsidR="00000000" w:rsidRDefault="00786A01">
            <w:pPr>
              <w:rPr>
                <w:rFonts w:eastAsia="Times New Roman"/>
              </w:rPr>
            </w:pPr>
            <w:r>
              <w:rPr>
                <w:rFonts w:eastAsia="Times New Roman"/>
                <w:b/>
                <w:bCs/>
                <w:i/>
                <w:iCs/>
                <w:color w:val="000000"/>
                <w:sz w:val="20"/>
                <w:szCs w:val="20"/>
              </w:rPr>
              <w:t>Interest Expense and Investment and Other Income (Expense), Net (in millions)</w:t>
            </w:r>
          </w:p>
        </w:tc>
        <w:tc>
          <w:tcPr>
            <w:tcW w:w="0" w:type="auto"/>
            <w:gridSpan w:val="3"/>
            <w:tcMar>
              <w:top w:w="0" w:type="dxa"/>
              <w:left w:w="20" w:type="dxa"/>
              <w:bottom w:w="0" w:type="dxa"/>
              <w:right w:w="20" w:type="dxa"/>
            </w:tcMar>
            <w:vAlign w:val="center"/>
            <w:hideMark/>
          </w:tcPr>
          <w:p w:rsidR="00000000" w:rsidRDefault="00786A01">
            <w:pPr>
              <w:rPr>
                <w:rFonts w:eastAsia="Times New Roman"/>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536503999"/>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rPr>
          <w:divId w:val="536503999"/>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r>
      <w:tr w:rsidR="00000000">
        <w:trPr>
          <w:divId w:val="536503999"/>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Interest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6503999"/>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536503999"/>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536503999"/>
        </w:trPr>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Investment and other income (expense), net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536503999"/>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Interest and dividend income</w:t>
            </w: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22 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(25)</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(65)</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6503999"/>
        </w:trPr>
        <w:tc>
          <w:tcPr>
            <w:tcW w:w="0" w:type="auto"/>
            <w:gridSpan w:val="3"/>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(losses) gains on 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(85)</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(140)</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(33)</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6503999"/>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gains (losses) on other investments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188 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209 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6503999"/>
        </w:trPr>
        <w:tc>
          <w:tcPr>
            <w:tcW w:w="0" w:type="auto"/>
            <w:gridSpan w:val="3"/>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gains (losses) on deferred compensation plan assets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(72)</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95 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(42)</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119 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6503999"/>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Impairment losses on other investments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(265)</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250 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(337)</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321 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6503999"/>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536503999"/>
        </w:trPr>
        <w:tc>
          <w:tcPr>
            <w:tcW w:w="0" w:type="auto"/>
            <w:gridSpan w:val="3"/>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(losses) gains on 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6503999"/>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Equity in net earnings (losses) of investees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6503999"/>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536503999"/>
        </w:trPr>
        <w:tc>
          <w:tcPr>
            <w:tcW w:w="0" w:type="auto"/>
            <w:gridSpan w:val="3"/>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(losses) gains on foreign currency transactions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(18)</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(29)</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536503999"/>
        </w:trPr>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(182)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bl>
    <w:p w:rsidR="00000000" w:rsidRDefault="00786A01">
      <w:pPr>
        <w:ind w:firstLine="360"/>
        <w:divId w:val="1536888422"/>
        <w:rPr>
          <w:rFonts w:eastAsia="Times New Roman"/>
        </w:rPr>
      </w:pPr>
      <w:r>
        <w:rPr>
          <w:rFonts w:eastAsia="Times New Roman"/>
          <w:color w:val="000000"/>
          <w:sz w:val="20"/>
          <w:szCs w:val="20"/>
        </w:rPr>
        <w:t>Net gains on other investments for the three and six months ended March 28, 2021 was driven primarily by realized gains resulting from the sale of certain of our QSI non-marketable investm</w:t>
      </w:r>
      <w:r>
        <w:rPr>
          <w:rFonts w:eastAsia="Times New Roman"/>
          <w:color w:val="000000"/>
          <w:sz w:val="20"/>
          <w:szCs w:val="20"/>
        </w:rPr>
        <w:t>ents.</w:t>
      </w:r>
    </w:p>
    <w:p w:rsidR="00000000" w:rsidRDefault="00786A01">
      <w:pPr>
        <w:jc w:val="center"/>
        <w:divId w:val="1654338256"/>
        <w:rPr>
          <w:rFonts w:eastAsia="Times New Roman"/>
        </w:rPr>
      </w:pPr>
      <w:r>
        <w:rPr>
          <w:rFonts w:eastAsia="Times New Roman"/>
          <w:color w:val="000000"/>
          <w:sz w:val="20"/>
          <w:szCs w:val="20"/>
        </w:rPr>
        <w:t>26</w:t>
      </w:r>
    </w:p>
    <w:p w:rsidR="00000000" w:rsidRDefault="00786A01">
      <w:pPr>
        <w:rPr>
          <w:rFonts w:eastAsia="Times New Roman"/>
        </w:rPr>
      </w:pPr>
      <w:r>
        <w:rPr>
          <w:rFonts w:eastAsia="Times New Roman"/>
        </w:rPr>
        <w:pict>
          <v:rect id="_x0000_i1049" style="width:0;height:1.5pt" o:hralign="center" o:hrstd="t" o:hr="t" fillcolor="#a0a0a0" stroked="f"/>
        </w:pict>
      </w:r>
    </w:p>
    <w:p w:rsidR="00000000" w:rsidRDefault="00786A01">
      <w:pPr>
        <w:divId w:val="1416588126"/>
        <w:rPr>
          <w:rFonts w:eastAsia="Times New Roman"/>
        </w:rPr>
      </w:pPr>
    </w:p>
    <w:p w:rsidR="00000000" w:rsidRDefault="00786A01">
      <w:pPr>
        <w:ind w:firstLine="360"/>
        <w:divId w:val="1991665643"/>
        <w:rPr>
          <w:rFonts w:eastAsia="Times New Roman"/>
        </w:rPr>
      </w:pPr>
      <w:r>
        <w:rPr>
          <w:rFonts w:eastAsia="Times New Roman"/>
          <w:color w:val="000000"/>
          <w:sz w:val="20"/>
          <w:szCs w:val="20"/>
        </w:rPr>
        <w:t>The impairment losses on other investments for the three and six months ended March 29, 2020 were due in part to the impact COVID-19 had on certain of our investees. A significant portion of the impairment lo</w:t>
      </w:r>
      <w:r>
        <w:rPr>
          <w:rFonts w:eastAsia="Times New Roman"/>
          <w:color w:val="000000"/>
          <w:sz w:val="20"/>
          <w:szCs w:val="20"/>
        </w:rPr>
        <w:t xml:space="preserve">sses related to our investment in OneWeb who filed for bankruptcy in the second quarter of fiscal 2020. Additionally, COVID-19 had a negative impact on the fair values of our deferred compensation plan assets, resulting in a net loss on such assets in the </w:t>
      </w:r>
      <w:r>
        <w:rPr>
          <w:rFonts w:eastAsia="Times New Roman"/>
          <w:color w:val="000000"/>
          <w:sz w:val="20"/>
          <w:szCs w:val="20"/>
        </w:rPr>
        <w:t>three and six months ended March 29, 2020.</w:t>
      </w:r>
    </w:p>
    <w:p w:rsidR="00000000" w:rsidRDefault="00786A01">
      <w:pPr>
        <w:divId w:val="1220702992"/>
        <w:rPr>
          <w:rFonts w:eastAsia="Times New Roman"/>
        </w:rPr>
      </w:pPr>
      <w:r>
        <w:rPr>
          <w:rFonts w:eastAsia="Times New Roman"/>
          <w:b/>
          <w:bCs/>
          <w:i/>
          <w:iCs/>
          <w:color w:val="000000"/>
          <w:sz w:val="20"/>
          <w:szCs w:val="20"/>
        </w:rPr>
        <w:t>Income Tax Expense (in millions, except percentages)</w:t>
      </w:r>
    </w:p>
    <w:p w:rsidR="00000000" w:rsidRDefault="00786A01">
      <w:pPr>
        <w:ind w:firstLine="360"/>
        <w:divId w:val="1331524487"/>
        <w:rPr>
          <w:rFonts w:eastAsia="Times New Roman"/>
        </w:rPr>
      </w:pPr>
      <w:r>
        <w:rPr>
          <w:rFonts w:eastAsia="Times New Roman"/>
          <w:color w:val="000000"/>
          <w:sz w:val="20"/>
          <w:szCs w:val="20"/>
        </w:rPr>
        <w:t>The following table summarizes the primary factors that caused our income tax provision to differ from the expected income tax provision at the U.S. federal statutory rate:</w:t>
      </w:r>
    </w:p>
    <w:tbl>
      <w:tblPr>
        <w:tblW w:w="5000" w:type="pct"/>
        <w:tblCellMar>
          <w:top w:w="15" w:type="dxa"/>
          <w:left w:w="15" w:type="dxa"/>
          <w:bottom w:w="15" w:type="dxa"/>
          <w:right w:w="15" w:type="dxa"/>
        </w:tblCellMar>
        <w:tblLook w:val="04A0" w:firstRow="1" w:lastRow="0" w:firstColumn="1" w:lastColumn="0" w:noHBand="0" w:noVBand="1"/>
      </w:tblPr>
      <w:tblGrid>
        <w:gridCol w:w="39"/>
        <w:gridCol w:w="3958"/>
        <w:gridCol w:w="38"/>
        <w:gridCol w:w="110"/>
        <w:gridCol w:w="778"/>
        <w:gridCol w:w="170"/>
        <w:gridCol w:w="36"/>
        <w:gridCol w:w="36"/>
        <w:gridCol w:w="36"/>
        <w:gridCol w:w="110"/>
        <w:gridCol w:w="683"/>
        <w:gridCol w:w="170"/>
        <w:gridCol w:w="36"/>
        <w:gridCol w:w="36"/>
        <w:gridCol w:w="36"/>
        <w:gridCol w:w="110"/>
        <w:gridCol w:w="683"/>
        <w:gridCol w:w="170"/>
        <w:gridCol w:w="36"/>
        <w:gridCol w:w="36"/>
        <w:gridCol w:w="36"/>
        <w:gridCol w:w="110"/>
        <w:gridCol w:w="683"/>
        <w:gridCol w:w="170"/>
      </w:tblGrid>
      <w:tr w:rsidR="00000000">
        <w:trPr>
          <w:divId w:val="630593834"/>
        </w:trPr>
        <w:tc>
          <w:tcPr>
            <w:tcW w:w="50" w:type="pct"/>
            <w:vAlign w:val="center"/>
            <w:hideMark/>
          </w:tcPr>
          <w:p w:rsidR="00000000" w:rsidRDefault="00786A01">
            <w:pPr>
              <w:ind w:firstLine="360"/>
              <w:rPr>
                <w:rFonts w:eastAsia="Times New Roman"/>
              </w:rPr>
            </w:pPr>
          </w:p>
        </w:tc>
        <w:tc>
          <w:tcPr>
            <w:tcW w:w="248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630593834"/>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rPr>
          <w:divId w:val="630593834"/>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r>
      <w:tr w:rsidR="00000000">
        <w:trPr>
          <w:divId w:val="630593834"/>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Expected income tax provision at federal statutory tax rate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630593834"/>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Benefit from foreign-derived intangible income (FDII) deduction</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(115)</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(43)</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(189)</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(89)</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630593834"/>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Excess tax benefit associated with share-based awards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(22)</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(184)</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(56)</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630593834"/>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Benefit related to the research and development tax credit</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(39)</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(35)</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(98)</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(60)</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630593834"/>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Audit settlement with Internal Revenue Service</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630593834"/>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Foreign currency loss (gain) related to foreign withholding tax receivable</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(46)</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630593834"/>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630593834"/>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630593834"/>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45 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630593834"/>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     Income tax expense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630593834"/>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Effective tax rate</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r>
    </w:tbl>
    <w:p w:rsidR="00000000" w:rsidRDefault="00786A01">
      <w:pPr>
        <w:ind w:firstLine="360"/>
        <w:divId w:val="1753505861"/>
        <w:rPr>
          <w:rFonts w:eastAsia="Times New Roman"/>
        </w:rPr>
      </w:pPr>
      <w:r>
        <w:rPr>
          <w:rFonts w:eastAsia="Times New Roman"/>
          <w:color w:val="000000"/>
          <w:sz w:val="20"/>
          <w:szCs w:val="20"/>
        </w:rPr>
        <w:t>We estimate our annual effective income tax rate to be 12% for fiscal 2021, which is lower than the U.S. federal statutory rate, primarily due to a significant portion of our income qualifying for preferential treatment as foreign-derived intangible inco</w:t>
      </w:r>
      <w:r>
        <w:rPr>
          <w:rFonts w:eastAsia="Times New Roman"/>
          <w:color w:val="000000"/>
          <w:sz w:val="20"/>
          <w:szCs w:val="20"/>
        </w:rPr>
        <w:t xml:space="preserve">me (FDII) at a 13% effective tax rate, benefits from our federal research and development tax credit and excess tax benefits associated with share-based awards. </w:t>
      </w:r>
    </w:p>
    <w:p w:rsidR="00000000" w:rsidRDefault="00786A01">
      <w:pPr>
        <w:ind w:firstLine="360"/>
        <w:divId w:val="1606032742"/>
        <w:rPr>
          <w:rFonts w:eastAsia="Times New Roman"/>
        </w:rPr>
      </w:pPr>
      <w:r>
        <w:rPr>
          <w:rFonts w:eastAsia="Times New Roman"/>
          <w:color w:val="000000"/>
          <w:sz w:val="20"/>
          <w:szCs w:val="20"/>
        </w:rPr>
        <w:t>In the first quarter of fiscal 2021, the United States Treasury Department issued final regula</w:t>
      </w:r>
      <w:r>
        <w:rPr>
          <w:rFonts w:eastAsia="Times New Roman"/>
          <w:color w:val="000000"/>
          <w:sz w:val="20"/>
          <w:szCs w:val="20"/>
        </w:rPr>
        <w:t>tions on the foreign tax credit, which generally are applicable beginning in fiscal 2021, with certain provisions retroactive to fiscal 2019. As a result of these regulations, our fiscal 2021 estimated annual effective tax rate increased by approximately 1</w:t>
      </w:r>
      <w:r>
        <w:rPr>
          <w:rFonts w:eastAsia="Times New Roman"/>
          <w:color w:val="000000"/>
          <w:sz w:val="20"/>
          <w:szCs w:val="20"/>
        </w:rPr>
        <w:t>%. The retroactive impact resulting from these new regulations, which was related to fiscal 2019 and fiscal 2020 and recorded discretely in the first quarter of fiscal 2021, was not significant.</w:t>
      </w:r>
    </w:p>
    <w:p w:rsidR="00000000" w:rsidRDefault="00786A01">
      <w:pPr>
        <w:jc w:val="center"/>
        <w:divId w:val="1792162678"/>
        <w:rPr>
          <w:rFonts w:eastAsia="Times New Roman"/>
        </w:rPr>
      </w:pPr>
      <w:r>
        <w:rPr>
          <w:rFonts w:eastAsia="Times New Roman"/>
          <w:color w:val="000000"/>
          <w:sz w:val="20"/>
          <w:szCs w:val="20"/>
        </w:rPr>
        <w:t>27</w:t>
      </w:r>
    </w:p>
    <w:p w:rsidR="00000000" w:rsidRDefault="00786A01">
      <w:pPr>
        <w:rPr>
          <w:rFonts w:eastAsia="Times New Roman"/>
        </w:rPr>
      </w:pPr>
      <w:r>
        <w:rPr>
          <w:rFonts w:eastAsia="Times New Roman"/>
        </w:rPr>
        <w:pict>
          <v:rect id="_x0000_i1050" style="width:0;height:1.5pt" o:hralign="center" o:hrstd="t" o:hr="t" fillcolor="#a0a0a0" stroked="f"/>
        </w:pict>
      </w:r>
    </w:p>
    <w:p w:rsidR="00000000" w:rsidRDefault="00786A01">
      <w:pPr>
        <w:divId w:val="900865841"/>
        <w:rPr>
          <w:rFonts w:eastAsia="Times New Roman"/>
        </w:rPr>
      </w:pPr>
    </w:p>
    <w:p w:rsidR="00000000" w:rsidRDefault="00786A01">
      <w:pPr>
        <w:divId w:val="622885165"/>
        <w:rPr>
          <w:rFonts w:eastAsia="Times New Roman"/>
        </w:rPr>
      </w:pPr>
      <w:r>
        <w:rPr>
          <w:rFonts w:eastAsia="Times New Roman"/>
          <w:b/>
          <w:bCs/>
          <w:color w:val="000000"/>
          <w:sz w:val="20"/>
          <w:szCs w:val="20"/>
        </w:rPr>
        <w:t>Segment Results</w:t>
      </w:r>
    </w:p>
    <w:p w:rsidR="00000000" w:rsidRDefault="00786A01">
      <w:pPr>
        <w:ind w:firstLine="360"/>
        <w:divId w:val="1766612439"/>
        <w:rPr>
          <w:rFonts w:eastAsia="Times New Roman"/>
        </w:rPr>
      </w:pPr>
      <w:r>
        <w:rPr>
          <w:rFonts w:eastAsia="Times New Roman"/>
          <w:color w:val="000000"/>
          <w:sz w:val="20"/>
          <w:szCs w:val="20"/>
        </w:rPr>
        <w:t xml:space="preserve">The </w:t>
      </w:r>
      <w:r>
        <w:rPr>
          <w:rFonts w:eastAsia="Times New Roman"/>
          <w:color w:val="000000"/>
          <w:sz w:val="20"/>
          <w:szCs w:val="20"/>
        </w:rPr>
        <w:t>following should be read in conjunction with our financial results for the second quarter and first six months of fiscal 2021 for each reportable segment included in this Quarterly Report in “Notes to Condensed Consolidated Financial Statements, Note 6. Se</w:t>
      </w:r>
      <w:r>
        <w:rPr>
          <w:rFonts w:eastAsia="Times New Roman"/>
          <w:color w:val="000000"/>
          <w:sz w:val="20"/>
          <w:szCs w:val="20"/>
        </w:rPr>
        <w:t>gment Information.”</w:t>
      </w:r>
    </w:p>
    <w:p w:rsidR="00000000" w:rsidRDefault="00786A01">
      <w:pPr>
        <w:divId w:val="901326846"/>
        <w:rPr>
          <w:rFonts w:eastAsia="Times New Roman"/>
        </w:rPr>
      </w:pPr>
      <w:r>
        <w:rPr>
          <w:rFonts w:eastAsia="Times New Roman"/>
          <w:b/>
          <w:bCs/>
          <w:i/>
          <w:iCs/>
          <w:color w:val="000000"/>
          <w:sz w:val="20"/>
          <w:szCs w:val="20"/>
        </w:rPr>
        <w:t>QCT Segment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1909"/>
        <w:gridCol w:w="37"/>
        <w:gridCol w:w="110"/>
        <w:gridCol w:w="794"/>
        <w:gridCol w:w="170"/>
        <w:gridCol w:w="36"/>
        <w:gridCol w:w="36"/>
        <w:gridCol w:w="36"/>
        <w:gridCol w:w="110"/>
        <w:gridCol w:w="714"/>
        <w:gridCol w:w="170"/>
        <w:gridCol w:w="36"/>
        <w:gridCol w:w="36"/>
        <w:gridCol w:w="36"/>
        <w:gridCol w:w="111"/>
        <w:gridCol w:w="714"/>
        <w:gridCol w:w="36"/>
        <w:gridCol w:w="36"/>
        <w:gridCol w:w="36"/>
        <w:gridCol w:w="36"/>
        <w:gridCol w:w="110"/>
        <w:gridCol w:w="714"/>
        <w:gridCol w:w="170"/>
        <w:gridCol w:w="36"/>
        <w:gridCol w:w="36"/>
        <w:gridCol w:w="36"/>
        <w:gridCol w:w="110"/>
        <w:gridCol w:w="714"/>
        <w:gridCol w:w="170"/>
        <w:gridCol w:w="36"/>
        <w:gridCol w:w="36"/>
        <w:gridCol w:w="36"/>
        <w:gridCol w:w="111"/>
        <w:gridCol w:w="716"/>
        <w:gridCol w:w="36"/>
      </w:tblGrid>
      <w:tr w:rsidR="00000000">
        <w:trPr>
          <w:divId w:val="320622655"/>
          <w:jc w:val="center"/>
        </w:trPr>
        <w:tc>
          <w:tcPr>
            <w:tcW w:w="50" w:type="pct"/>
            <w:vAlign w:val="center"/>
            <w:hideMark/>
          </w:tcPr>
          <w:p w:rsidR="00000000" w:rsidRDefault="00786A01">
            <w:pPr>
              <w:rPr>
                <w:rFonts w:eastAsia="Times New Roman"/>
              </w:rPr>
            </w:pPr>
          </w:p>
        </w:tc>
        <w:tc>
          <w:tcPr>
            <w:tcW w:w="12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320622655"/>
          <w:jc w:val="center"/>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rPr>
          <w:divId w:val="320622655"/>
          <w:jc w:val="center"/>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r>
      <w:tr w:rsidR="00000000">
        <w:trPr>
          <w:divId w:val="320622655"/>
          <w:jc w:val="center"/>
        </w:trPr>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Revenues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320622655"/>
          <w:jc w:val="center"/>
        </w:trPr>
        <w:tc>
          <w:tcPr>
            <w:tcW w:w="0" w:type="auto"/>
            <w:gridSpan w:val="3"/>
            <w:shd w:val="clear" w:color="auto" w:fill="CCEE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Handsets (1)</w:t>
            </w: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4,065 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2,652 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1,413 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8,281 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5,004 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3,277 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320622655"/>
          <w:jc w:val="center"/>
        </w:trPr>
        <w:tc>
          <w:tcPr>
            <w:tcW w:w="0" w:type="auto"/>
            <w:gridSpan w:val="3"/>
            <w:shd w:val="clear" w:color="auto" w:fill="FFFFFF"/>
            <w:tcMar>
              <w:top w:w="30" w:type="dxa"/>
              <w:left w:w="155" w:type="dxa"/>
              <w:bottom w:w="30" w:type="dxa"/>
              <w:right w:w="20" w:type="dxa"/>
            </w:tcMar>
            <w:vAlign w:val="bottom"/>
            <w:hideMark/>
          </w:tcPr>
          <w:p w:rsidR="00000000" w:rsidRDefault="00786A01">
            <w:pPr>
              <w:rPr>
                <w:rFonts w:eastAsia="Times New Roman"/>
              </w:rPr>
            </w:pPr>
            <w:r>
              <w:rPr>
                <w:rFonts w:eastAsia="Times New Roman"/>
                <w:color w:val="000000"/>
                <w:sz w:val="18"/>
                <w:szCs w:val="18"/>
              </w:rPr>
              <w:t>RFFE (2)</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903 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650 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253 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1,964 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1,063 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901 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320622655"/>
          <w:jc w:val="center"/>
        </w:trPr>
        <w:tc>
          <w:tcPr>
            <w:tcW w:w="0" w:type="auto"/>
            <w:gridSpan w:val="3"/>
            <w:shd w:val="clear" w:color="auto" w:fill="CCEEFF"/>
            <w:tcMar>
              <w:top w:w="30" w:type="dxa"/>
              <w:left w:w="140" w:type="dxa"/>
              <w:bottom w:w="30" w:type="dxa"/>
              <w:right w:w="20" w:type="dxa"/>
            </w:tcMar>
            <w:vAlign w:val="bottom"/>
            <w:hideMark/>
          </w:tcPr>
          <w:p w:rsidR="00000000" w:rsidRDefault="00786A01">
            <w:pPr>
              <w:rPr>
                <w:rFonts w:eastAsia="Times New Roman"/>
              </w:rPr>
            </w:pPr>
            <w:r>
              <w:rPr>
                <w:rFonts w:eastAsia="Times New Roman"/>
                <w:color w:val="000000"/>
                <w:sz w:val="18"/>
                <w:szCs w:val="18"/>
              </w:rPr>
              <w:t>Automotive (3)</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240 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171 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69 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452 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318 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134 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320622655"/>
          <w:jc w:val="center"/>
        </w:trPr>
        <w:tc>
          <w:tcPr>
            <w:tcW w:w="0" w:type="auto"/>
            <w:gridSpan w:val="3"/>
            <w:shd w:val="clear" w:color="auto" w:fill="FFFFFF"/>
            <w:tcMar>
              <w:top w:w="30" w:type="dxa"/>
              <w:left w:w="140" w:type="dxa"/>
              <w:bottom w:w="30" w:type="dxa"/>
              <w:right w:w="20" w:type="dxa"/>
            </w:tcMar>
            <w:vAlign w:val="bottom"/>
            <w:hideMark/>
          </w:tcPr>
          <w:p w:rsidR="00000000" w:rsidRDefault="00786A01">
            <w:pPr>
              <w:rPr>
                <w:rFonts w:eastAsia="Times New Roman"/>
              </w:rPr>
            </w:pPr>
            <w:r>
              <w:rPr>
                <w:rFonts w:eastAsia="Times New Roman"/>
                <w:color w:val="000000"/>
                <w:sz w:val="18"/>
                <w:szCs w:val="18"/>
              </w:rPr>
              <w:t>IoT (Internet of Things) (4)</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1,073 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627 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446 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2,117 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1,334 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783 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320622655"/>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6,281 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7,719 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5,095 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320622655"/>
          <w:jc w:val="center"/>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b/>
                <w:bCs/>
                <w:color w:val="000000"/>
                <w:sz w:val="18"/>
                <w:szCs w:val="18"/>
              </w:rPr>
              <w:t>EBT (5)</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3,503 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2,358 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320622655"/>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EBT as a % of revenues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86A01">
            <w:pPr>
              <w:jc w:val="right"/>
              <w:rPr>
                <w:rFonts w:eastAsia="Times New Roman"/>
              </w:rPr>
            </w:pPr>
            <w:r>
              <w:rPr>
                <w:rFonts w:eastAsia="Times New Roman"/>
                <w:color w:val="000000"/>
                <w:sz w:val="18"/>
                <w:szCs w:val="18"/>
              </w:rPr>
              <w:t>9 points</w:t>
            </w: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27 </w:t>
            </w:r>
          </w:p>
        </w:tc>
        <w:tc>
          <w:tcPr>
            <w:tcW w:w="0" w:type="auto"/>
            <w:shd w:val="clear" w:color="auto" w:fill="CCEE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86A01">
            <w:pPr>
              <w:jc w:val="right"/>
              <w:rPr>
                <w:rFonts w:eastAsia="Times New Roman"/>
              </w:rPr>
            </w:pPr>
            <w:r>
              <w:rPr>
                <w:rFonts w:eastAsia="Times New Roman"/>
                <w:color w:val="000000"/>
                <w:sz w:val="18"/>
                <w:szCs w:val="18"/>
              </w:rPr>
              <w:t>12 points</w:t>
            </w:r>
          </w:p>
        </w:tc>
      </w:tr>
      <w:tr w:rsidR="00000000">
        <w:trPr>
          <w:divId w:val="320622655"/>
          <w:jc w:val="center"/>
        </w:trPr>
        <w:tc>
          <w:tcPr>
            <w:tcW w:w="0" w:type="auto"/>
            <w:gridSpan w:val="3"/>
            <w:vAlign w:val="center"/>
            <w:hideMark/>
          </w:tcPr>
          <w:p w:rsidR="00000000" w:rsidRDefault="00786A01">
            <w:pPr>
              <w:jc w:val="right"/>
              <w:rPr>
                <w:rFonts w:eastAsia="Times New Roman"/>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320622655"/>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bl>
    <w:p w:rsidR="00000000" w:rsidRDefault="00786A01">
      <w:pPr>
        <w:divId w:val="824858976"/>
        <w:rPr>
          <w:rFonts w:eastAsia="Times New Roman"/>
        </w:rPr>
      </w:pPr>
      <w:r>
        <w:rPr>
          <w:rFonts w:eastAsia="Times New Roman"/>
          <w:color w:val="000000"/>
          <w:sz w:val="18"/>
          <w:szCs w:val="18"/>
        </w:rPr>
        <w:t xml:space="preserve">(1) Includes revenues from products sold for use in mobile handsets, excluding RFFE (radio frequency front-end) components. </w:t>
      </w:r>
    </w:p>
    <w:p w:rsidR="00000000" w:rsidRDefault="00786A01">
      <w:pPr>
        <w:divId w:val="1771968839"/>
        <w:rPr>
          <w:rFonts w:eastAsia="Times New Roman"/>
        </w:rPr>
      </w:pPr>
      <w:r>
        <w:rPr>
          <w:rFonts w:eastAsia="Times New Roman"/>
          <w:color w:val="000000"/>
          <w:sz w:val="18"/>
          <w:szCs w:val="18"/>
        </w:rPr>
        <w:t xml:space="preserve">(2) Includes all revenues from sales of 4G, 5G sub-6 and 5G millimeter wave RFFE products (a substantial portion of which are sold </w:t>
      </w:r>
      <w:r>
        <w:rPr>
          <w:rFonts w:eastAsia="Times New Roman"/>
          <w:color w:val="000000"/>
          <w:sz w:val="18"/>
          <w:szCs w:val="18"/>
        </w:rPr>
        <w:t>for use in handsets).</w:t>
      </w:r>
    </w:p>
    <w:p w:rsidR="00000000" w:rsidRDefault="00786A01">
      <w:pPr>
        <w:divId w:val="1299920582"/>
        <w:rPr>
          <w:rFonts w:eastAsia="Times New Roman"/>
        </w:rPr>
      </w:pPr>
      <w:r>
        <w:rPr>
          <w:rFonts w:eastAsia="Times New Roman"/>
          <w:color w:val="000000"/>
          <w:sz w:val="18"/>
          <w:szCs w:val="18"/>
        </w:rPr>
        <w:t>(3) Includes revenues from products sold for use in automobiles, including telematics, connectivity and digital cockpit.</w:t>
      </w:r>
    </w:p>
    <w:p w:rsidR="00000000" w:rsidRDefault="00786A01">
      <w:pPr>
        <w:divId w:val="1802189830"/>
        <w:rPr>
          <w:rFonts w:eastAsia="Times New Roman"/>
        </w:rPr>
      </w:pPr>
      <w:r>
        <w:rPr>
          <w:rFonts w:eastAsia="Times New Roman"/>
          <w:color w:val="000000"/>
          <w:sz w:val="18"/>
          <w:szCs w:val="18"/>
        </w:rPr>
        <w:t xml:space="preserve">(4) Primarily includes products sold for use in cellular and non-cellular connected devices within the following </w:t>
      </w:r>
      <w:r>
        <w:rPr>
          <w:rFonts w:eastAsia="Times New Roman"/>
          <w:color w:val="000000"/>
          <w:sz w:val="18"/>
          <w:szCs w:val="18"/>
        </w:rPr>
        <w:t>industry segments and applications: consumer, computing, industrial, fixed wireless broadband, voice and music and wireless networking.</w:t>
      </w:r>
    </w:p>
    <w:p w:rsidR="00000000" w:rsidRDefault="00786A01">
      <w:pPr>
        <w:divId w:val="1040520096"/>
        <w:rPr>
          <w:rFonts w:eastAsia="Times New Roman"/>
        </w:rPr>
      </w:pPr>
      <w:r>
        <w:rPr>
          <w:rFonts w:eastAsia="Times New Roman"/>
          <w:color w:val="000000"/>
          <w:sz w:val="18"/>
          <w:szCs w:val="18"/>
        </w:rPr>
        <w:t>(5) Earnings (loss) before income taxes.</w:t>
      </w:r>
    </w:p>
    <w:p w:rsidR="00000000" w:rsidRDefault="00786A01">
      <w:pPr>
        <w:ind w:firstLine="360"/>
        <w:divId w:val="1989939103"/>
        <w:rPr>
          <w:rFonts w:eastAsia="Times New Roman"/>
        </w:rPr>
      </w:pPr>
      <w:r>
        <w:rPr>
          <w:rFonts w:eastAsia="Times New Roman"/>
          <w:color w:val="000000"/>
          <w:sz w:val="20"/>
          <w:szCs w:val="20"/>
        </w:rPr>
        <w:t>Substantially all of QCT’s revenues consist of equipment and services revenues,</w:t>
      </w:r>
      <w:r>
        <w:rPr>
          <w:rFonts w:eastAsia="Times New Roman"/>
          <w:color w:val="000000"/>
          <w:sz w:val="20"/>
          <w:szCs w:val="20"/>
        </w:rPr>
        <w:t xml:space="preserve"> which were $6.2 billion and $4.0 billion in the second quarter of fiscal 2021 and 2020, respectively, and $12.6 billion and $7.5 billion in the first six months of fiscal 2021 and 2020, respectively. QCT handsets, automotive and IoT revenues mostly relate</w:t>
      </w:r>
      <w:r>
        <w:rPr>
          <w:rFonts w:eastAsia="Times New Roman"/>
          <w:color w:val="000000"/>
          <w:sz w:val="20"/>
          <w:szCs w:val="20"/>
        </w:rPr>
        <w:t xml:space="preserve"> to sales of our stand-alone Mobile Data Modems, Snapdragon platforms (which include processors and modems), radio frequency, power management and wireless connectivity integrated chipsets. </w:t>
      </w:r>
    </w:p>
    <w:p w:rsidR="00000000" w:rsidRDefault="00786A01">
      <w:pPr>
        <w:divId w:val="1628928474"/>
        <w:rPr>
          <w:rFonts w:eastAsia="Times New Roman"/>
        </w:rPr>
      </w:pPr>
      <w:r>
        <w:rPr>
          <w:rFonts w:eastAsia="Times New Roman"/>
          <w:b/>
          <w:bCs/>
          <w:i/>
          <w:iCs/>
          <w:color w:val="000000"/>
          <w:sz w:val="20"/>
          <w:szCs w:val="20"/>
        </w:rPr>
        <w:t>Second quarter 2021 vs. 2020</w:t>
      </w:r>
    </w:p>
    <w:p w:rsidR="00000000" w:rsidRDefault="00786A01">
      <w:pPr>
        <w:divId w:val="1500653958"/>
        <w:rPr>
          <w:rFonts w:eastAsia="Times New Roman"/>
        </w:rPr>
      </w:pPr>
      <w:r>
        <w:rPr>
          <w:rFonts w:eastAsia="Times New Roman"/>
          <w:color w:val="000000"/>
          <w:sz w:val="20"/>
          <w:szCs w:val="20"/>
        </w:rPr>
        <w:t xml:space="preserve">The increase in QCT revenues in the </w:t>
      </w:r>
      <w:r>
        <w:rPr>
          <w:rFonts w:eastAsia="Times New Roman"/>
          <w:color w:val="000000"/>
          <w:sz w:val="20"/>
          <w:szCs w:val="20"/>
        </w:rPr>
        <w:t>second quarter of fiscal 2021 was primarily due to:</w:t>
      </w:r>
    </w:p>
    <w:p w:rsidR="00000000" w:rsidRDefault="00786A01">
      <w:pPr>
        <w:ind w:hanging="360"/>
        <w:divId w:val="393478535"/>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handsets revenues, primarily driven by $1.5 billion in higher chipset shipments, which was primarily due to an increase in demand for 5G products from major OEMs, including Apple, partially of</w:t>
      </w:r>
      <w:r>
        <w:rPr>
          <w:rFonts w:eastAsia="Times New Roman"/>
          <w:color w:val="000000"/>
          <w:sz w:val="20"/>
          <w:szCs w:val="20"/>
        </w:rPr>
        <w:t>fset by $155 million in lower revenues per chipset primarily due to unfavorable mix</w:t>
      </w:r>
    </w:p>
    <w:p w:rsidR="00000000" w:rsidRDefault="00786A01">
      <w:pPr>
        <w:ind w:hanging="360"/>
        <w:divId w:val="605814806"/>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RFFE revenues, primarily driven by an increase in demand for 4G/5G products from major OEMs, including Apple</w:t>
      </w:r>
    </w:p>
    <w:p w:rsidR="00000000" w:rsidRDefault="00786A01">
      <w:pPr>
        <w:ind w:hanging="360"/>
        <w:divId w:val="1578982293"/>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automotive revenues, primarily driven b</w:t>
      </w:r>
      <w:r>
        <w:rPr>
          <w:rFonts w:eastAsia="Times New Roman"/>
          <w:color w:val="000000"/>
          <w:sz w:val="20"/>
          <w:szCs w:val="20"/>
        </w:rPr>
        <w:t xml:space="preserve">y an increase in demand for infotainment and telematics products </w:t>
      </w:r>
    </w:p>
    <w:p w:rsidR="00000000" w:rsidRDefault="00786A01">
      <w:pPr>
        <w:ind w:hanging="360"/>
        <w:divId w:val="2088843724"/>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IoT revenues, primarily driven by an increase in demand for connected devices due to the continued work and learn from home environment</w:t>
      </w:r>
    </w:p>
    <w:p w:rsidR="00000000" w:rsidRDefault="00786A01">
      <w:pPr>
        <w:divId w:val="1586110814"/>
        <w:rPr>
          <w:rFonts w:eastAsia="Times New Roman"/>
        </w:rPr>
      </w:pPr>
      <w:r>
        <w:rPr>
          <w:rFonts w:eastAsia="Times New Roman"/>
          <w:color w:val="000000"/>
          <w:sz w:val="20"/>
          <w:szCs w:val="20"/>
        </w:rPr>
        <w:t>QCT EBT as a percentage of revenues increa</w:t>
      </w:r>
      <w:r>
        <w:rPr>
          <w:rFonts w:eastAsia="Times New Roman"/>
          <w:color w:val="000000"/>
          <w:sz w:val="20"/>
          <w:szCs w:val="20"/>
        </w:rPr>
        <w:t>sed in the second quarter of fiscal 2021 primarily due to:</w:t>
      </w:r>
    </w:p>
    <w:p w:rsidR="00000000" w:rsidRDefault="00786A01">
      <w:pPr>
        <w:ind w:hanging="360"/>
        <w:divId w:val="519465567"/>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revenues</w:t>
      </w:r>
    </w:p>
    <w:p w:rsidR="00000000" w:rsidRDefault="00786A01">
      <w:pPr>
        <w:ind w:hanging="360"/>
        <w:divId w:val="1620185320"/>
        <w:rPr>
          <w:rFonts w:eastAsia="Times New Roman"/>
        </w:rPr>
      </w:pPr>
      <w:r>
        <w:rPr>
          <w:rFonts w:ascii="Century Gothic" w:eastAsia="Times New Roman" w:hAnsi="Century Gothic"/>
          <w:b/>
          <w:bCs/>
          <w:color w:val="000000"/>
          <w:sz w:val="25"/>
          <w:szCs w:val="25"/>
        </w:rPr>
        <w:t>-</w:t>
      </w:r>
      <w:r>
        <w:rPr>
          <w:rFonts w:ascii="Century Gothic" w:eastAsia="Times New Roman" w:hAnsi="Century Gothic"/>
          <w:b/>
          <w:bCs/>
          <w:color w:val="000000"/>
          <w:sz w:val="20"/>
          <w:szCs w:val="20"/>
        </w:rPr>
        <w:t>    </w:t>
      </w:r>
      <w:r>
        <w:rPr>
          <w:rFonts w:eastAsia="Times New Roman"/>
          <w:color w:val="000000"/>
          <w:sz w:val="20"/>
          <w:szCs w:val="20"/>
        </w:rPr>
        <w:t>higher operating expenses, primarily driven by higher research and development expenses</w:t>
      </w:r>
    </w:p>
    <w:p w:rsidR="00000000" w:rsidRDefault="00786A01">
      <w:pPr>
        <w:ind w:hanging="720"/>
        <w:divId w:val="505170297"/>
        <w:rPr>
          <w:rFonts w:eastAsia="Times New Roman"/>
        </w:rPr>
      </w:pPr>
      <w:r>
        <w:rPr>
          <w:rFonts w:eastAsia="Times New Roman"/>
          <w:b/>
          <w:bCs/>
          <w:i/>
          <w:iCs/>
          <w:color w:val="000000"/>
          <w:sz w:val="20"/>
          <w:szCs w:val="20"/>
        </w:rPr>
        <w:t>First six months 2021 vs. 2020</w:t>
      </w:r>
    </w:p>
    <w:p w:rsidR="00000000" w:rsidRDefault="00786A01">
      <w:pPr>
        <w:divId w:val="1123579344"/>
        <w:rPr>
          <w:rFonts w:eastAsia="Times New Roman"/>
        </w:rPr>
      </w:pPr>
      <w:r>
        <w:rPr>
          <w:rFonts w:eastAsia="Times New Roman"/>
          <w:color w:val="000000"/>
          <w:sz w:val="20"/>
          <w:szCs w:val="20"/>
        </w:rPr>
        <w:t>The increase in QCT revenues in the first six months</w:t>
      </w:r>
      <w:r>
        <w:rPr>
          <w:rFonts w:eastAsia="Times New Roman"/>
          <w:color w:val="000000"/>
          <w:sz w:val="20"/>
          <w:szCs w:val="20"/>
        </w:rPr>
        <w:t xml:space="preserve"> of fiscal 2021 was primarily due to:</w:t>
      </w:r>
    </w:p>
    <w:p w:rsidR="00000000" w:rsidRDefault="00786A01">
      <w:pPr>
        <w:ind w:hanging="360"/>
        <w:divId w:val="1721637646"/>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handsets revenues, primarily driven by $2.3 billion in higher chipset shipments and $904 million in higher revenues per chipset, both of which were primarily due to an increase in demand for 5G products from Apple and other major OEMs</w:t>
      </w:r>
    </w:p>
    <w:p w:rsidR="00000000" w:rsidRDefault="00786A01">
      <w:pPr>
        <w:ind w:hanging="360"/>
        <w:divId w:val="1750694181"/>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RF</w:t>
      </w:r>
      <w:r>
        <w:rPr>
          <w:rFonts w:eastAsia="Times New Roman"/>
          <w:color w:val="000000"/>
          <w:sz w:val="20"/>
          <w:szCs w:val="20"/>
        </w:rPr>
        <w:t>FE revenues, primarily driven by an increase in demand for 4G/5G products from Apple and other major OEMs</w:t>
      </w:r>
    </w:p>
    <w:p w:rsidR="00000000" w:rsidRDefault="00786A01">
      <w:pPr>
        <w:ind w:hanging="360"/>
        <w:divId w:val="940649359"/>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 xml:space="preserve">higher automotive revenues, primarily driven by an increase in demand for telematics and infotainment products </w:t>
      </w:r>
    </w:p>
    <w:p w:rsidR="00000000" w:rsidRDefault="00786A01">
      <w:pPr>
        <w:ind w:hanging="360"/>
        <w:divId w:val="566571922"/>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IoT revenues, primari</w:t>
      </w:r>
      <w:r>
        <w:rPr>
          <w:rFonts w:eastAsia="Times New Roman"/>
          <w:color w:val="000000"/>
          <w:sz w:val="20"/>
          <w:szCs w:val="20"/>
        </w:rPr>
        <w:t>ly driven by an increase in demand for connected devices due to the continued work and learn from home environment</w:t>
      </w:r>
    </w:p>
    <w:p w:rsidR="00000000" w:rsidRDefault="00786A01">
      <w:pPr>
        <w:jc w:val="center"/>
        <w:divId w:val="188689804"/>
        <w:rPr>
          <w:rFonts w:eastAsia="Times New Roman"/>
        </w:rPr>
      </w:pPr>
      <w:r>
        <w:rPr>
          <w:rFonts w:eastAsia="Times New Roman"/>
          <w:color w:val="000000"/>
          <w:sz w:val="20"/>
          <w:szCs w:val="20"/>
        </w:rPr>
        <w:t>28</w:t>
      </w:r>
    </w:p>
    <w:p w:rsidR="00000000" w:rsidRDefault="00786A01">
      <w:pPr>
        <w:rPr>
          <w:rFonts w:eastAsia="Times New Roman"/>
        </w:rPr>
      </w:pPr>
      <w:r>
        <w:rPr>
          <w:rFonts w:eastAsia="Times New Roman"/>
        </w:rPr>
        <w:pict>
          <v:rect id="_x0000_i1051" style="width:0;height:1.5pt" o:hralign="center" o:hrstd="t" o:hr="t" fillcolor="#a0a0a0" stroked="f"/>
        </w:pict>
      </w:r>
    </w:p>
    <w:p w:rsidR="00000000" w:rsidRDefault="00786A01">
      <w:pPr>
        <w:divId w:val="1069186114"/>
        <w:rPr>
          <w:rFonts w:eastAsia="Times New Roman"/>
        </w:rPr>
      </w:pPr>
    </w:p>
    <w:p w:rsidR="00000000" w:rsidRDefault="00786A01">
      <w:pPr>
        <w:divId w:val="86928087"/>
        <w:rPr>
          <w:rFonts w:eastAsia="Times New Roman"/>
        </w:rPr>
      </w:pPr>
      <w:r>
        <w:rPr>
          <w:rFonts w:eastAsia="Times New Roman"/>
          <w:color w:val="000000"/>
          <w:sz w:val="20"/>
          <w:szCs w:val="20"/>
        </w:rPr>
        <w:t>QCT EBT as a percentage of revenues increased in the first six months of fiscal 2021 primarily due to:</w:t>
      </w:r>
    </w:p>
    <w:p w:rsidR="00000000" w:rsidRDefault="00786A01">
      <w:pPr>
        <w:ind w:hanging="360"/>
        <w:divId w:val="1947156678"/>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revenues</w:t>
      </w:r>
    </w:p>
    <w:p w:rsidR="00000000" w:rsidRDefault="00786A01">
      <w:pPr>
        <w:ind w:hanging="360"/>
        <w:divId w:val="218319662"/>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gross margin percentage, primarily driven by higher average selling prices, partially offset by higher average unit cost</w:t>
      </w:r>
      <w:r>
        <w:rPr>
          <w:rFonts w:eastAsia="Times New Roman"/>
          <w:color w:val="000000"/>
          <w:sz w:val="20"/>
          <w:szCs w:val="20"/>
        </w:rPr>
        <w:t>s</w:t>
      </w:r>
    </w:p>
    <w:p w:rsidR="00000000" w:rsidRDefault="00786A01">
      <w:pPr>
        <w:ind w:hanging="360"/>
        <w:divId w:val="1049304713"/>
        <w:rPr>
          <w:rFonts w:eastAsia="Times New Roman"/>
        </w:rPr>
      </w:pPr>
      <w:r>
        <w:rPr>
          <w:rFonts w:ascii="Century Gothic" w:eastAsia="Times New Roman" w:hAnsi="Century Gothic"/>
          <w:b/>
          <w:bCs/>
          <w:color w:val="000000"/>
          <w:sz w:val="25"/>
          <w:szCs w:val="25"/>
        </w:rPr>
        <w:t>-</w:t>
      </w:r>
      <w:r>
        <w:rPr>
          <w:rFonts w:ascii="Century Gothic" w:eastAsia="Times New Roman" w:hAnsi="Century Gothic"/>
          <w:b/>
          <w:bCs/>
          <w:color w:val="000000"/>
          <w:sz w:val="20"/>
          <w:szCs w:val="20"/>
        </w:rPr>
        <w:t>    </w:t>
      </w:r>
      <w:r>
        <w:rPr>
          <w:rFonts w:eastAsia="Times New Roman"/>
          <w:color w:val="000000"/>
          <w:sz w:val="20"/>
          <w:szCs w:val="20"/>
        </w:rPr>
        <w:t>higher research and development expenses</w:t>
      </w:r>
    </w:p>
    <w:p w:rsidR="00000000" w:rsidRDefault="00786A01">
      <w:pPr>
        <w:divId w:val="2085949754"/>
        <w:rPr>
          <w:rFonts w:eastAsia="Times New Roman"/>
        </w:rPr>
      </w:pPr>
      <w:r>
        <w:rPr>
          <w:rFonts w:eastAsia="Times New Roman"/>
          <w:b/>
          <w:bCs/>
          <w:i/>
          <w:iCs/>
          <w:color w:val="000000"/>
          <w:sz w:val="20"/>
          <w:szCs w:val="20"/>
        </w:rPr>
        <w:t>QTL Segment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912"/>
        <w:gridCol w:w="36"/>
        <w:gridCol w:w="110"/>
        <w:gridCol w:w="795"/>
        <w:gridCol w:w="170"/>
        <w:gridCol w:w="36"/>
        <w:gridCol w:w="36"/>
        <w:gridCol w:w="36"/>
        <w:gridCol w:w="110"/>
        <w:gridCol w:w="714"/>
        <w:gridCol w:w="170"/>
        <w:gridCol w:w="36"/>
        <w:gridCol w:w="36"/>
        <w:gridCol w:w="36"/>
        <w:gridCol w:w="111"/>
        <w:gridCol w:w="714"/>
        <w:gridCol w:w="36"/>
        <w:gridCol w:w="36"/>
        <w:gridCol w:w="36"/>
        <w:gridCol w:w="36"/>
        <w:gridCol w:w="110"/>
        <w:gridCol w:w="714"/>
        <w:gridCol w:w="170"/>
        <w:gridCol w:w="36"/>
        <w:gridCol w:w="36"/>
        <w:gridCol w:w="36"/>
        <w:gridCol w:w="110"/>
        <w:gridCol w:w="714"/>
        <w:gridCol w:w="170"/>
        <w:gridCol w:w="36"/>
        <w:gridCol w:w="36"/>
        <w:gridCol w:w="36"/>
        <w:gridCol w:w="111"/>
        <w:gridCol w:w="716"/>
        <w:gridCol w:w="36"/>
      </w:tblGrid>
      <w:tr w:rsidR="00000000">
        <w:trPr>
          <w:divId w:val="1562977539"/>
          <w:jc w:val="center"/>
        </w:trPr>
        <w:tc>
          <w:tcPr>
            <w:tcW w:w="50" w:type="pct"/>
            <w:vAlign w:val="center"/>
            <w:hideMark/>
          </w:tcPr>
          <w:p w:rsidR="00000000" w:rsidRDefault="00786A01">
            <w:pPr>
              <w:rPr>
                <w:rFonts w:eastAsia="Times New Roman"/>
              </w:rPr>
            </w:pPr>
          </w:p>
        </w:tc>
        <w:tc>
          <w:tcPr>
            <w:tcW w:w="12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562977539"/>
          <w:jc w:val="center"/>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rPr>
          <w:divId w:val="1562977539"/>
          <w:jc w:val="center"/>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r>
      <w:tr w:rsidR="00000000">
        <w:trPr>
          <w:divId w:val="1562977539"/>
          <w:jc w:val="center"/>
        </w:trPr>
        <w:tc>
          <w:tcPr>
            <w:tcW w:w="0" w:type="auto"/>
            <w:gridSpan w:val="3"/>
            <w:vAlign w:val="center"/>
            <w:hideMark/>
          </w:tcPr>
          <w:p w:rsidR="00000000" w:rsidRDefault="00786A01">
            <w:pPr>
              <w:jc w:val="center"/>
              <w:rPr>
                <w:rFonts w:eastAsia="Times New Roman"/>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562977539"/>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562977539"/>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562977539"/>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562977539"/>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Licensing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3,273 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2,477 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562977539"/>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562977539"/>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562977539"/>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562977539"/>
          <w:jc w:val="center"/>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EBT</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1,191 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671 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520 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2,461 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1,689 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772 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562977539"/>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562977539"/>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EBT as a % of revenues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74 </w:t>
            </w:r>
          </w:p>
        </w:tc>
        <w:tc>
          <w:tcPr>
            <w:tcW w:w="0" w:type="auto"/>
            <w:shd w:val="clear" w:color="auto" w:fill="CCEE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63 </w:t>
            </w:r>
          </w:p>
        </w:tc>
        <w:tc>
          <w:tcPr>
            <w:tcW w:w="0" w:type="auto"/>
            <w:shd w:val="clear" w:color="auto" w:fill="CCEE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86A01">
            <w:pPr>
              <w:jc w:val="right"/>
              <w:rPr>
                <w:rFonts w:eastAsia="Times New Roman"/>
              </w:rPr>
            </w:pPr>
            <w:r>
              <w:rPr>
                <w:rFonts w:eastAsia="Times New Roman"/>
                <w:color w:val="000000"/>
                <w:sz w:val="18"/>
                <w:szCs w:val="18"/>
              </w:rPr>
              <w:t>11 points</w:t>
            </w: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75 </w:t>
            </w:r>
          </w:p>
        </w:tc>
        <w:tc>
          <w:tcPr>
            <w:tcW w:w="0" w:type="auto"/>
            <w:shd w:val="clear" w:color="auto" w:fill="CCEE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bottom"/>
            <w:hideMark/>
          </w:tcPr>
          <w:p w:rsidR="00000000" w:rsidRDefault="00786A01">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86A01">
            <w:pPr>
              <w:jc w:val="right"/>
              <w:rPr>
                <w:rFonts w:eastAsia="Times New Roman"/>
              </w:rPr>
            </w:pPr>
            <w:r>
              <w:rPr>
                <w:rFonts w:eastAsia="Times New Roman"/>
                <w:color w:val="000000"/>
                <w:sz w:val="18"/>
                <w:szCs w:val="18"/>
              </w:rPr>
              <w:t>7 points</w:t>
            </w:r>
          </w:p>
        </w:tc>
      </w:tr>
    </w:tbl>
    <w:p w:rsidR="00000000" w:rsidRDefault="00786A01">
      <w:pPr>
        <w:ind w:firstLine="360"/>
        <w:divId w:val="1777556430"/>
        <w:rPr>
          <w:rFonts w:eastAsia="Times New Roman"/>
        </w:rPr>
      </w:pPr>
      <w:r>
        <w:rPr>
          <w:rFonts w:eastAsia="Times New Roman"/>
          <w:color w:val="000000"/>
          <w:sz w:val="20"/>
          <w:szCs w:val="20"/>
        </w:rPr>
        <w:t>As a result of the global patent license agreement entered into with Huawei in July 2020, QTL results for the first six months of fisca</w:t>
      </w:r>
      <w:r>
        <w:rPr>
          <w:rFonts w:eastAsia="Times New Roman"/>
          <w:color w:val="000000"/>
          <w:sz w:val="20"/>
          <w:szCs w:val="20"/>
        </w:rPr>
        <w:t xml:space="preserve">l 2021 included revenues for royalties due on sales made by Huawei in the December 2020 and March 2021 quarters. We did not record any revenues in the first six months of fiscal 2020 for royalties due on the sales of Huawei’s consumer wireless products. </w:t>
      </w:r>
    </w:p>
    <w:p w:rsidR="00000000" w:rsidRDefault="00786A01">
      <w:pPr>
        <w:divId w:val="494303367"/>
        <w:rPr>
          <w:rFonts w:eastAsia="Times New Roman"/>
        </w:rPr>
      </w:pPr>
      <w:r>
        <w:rPr>
          <w:rFonts w:eastAsia="Times New Roman"/>
          <w:b/>
          <w:bCs/>
          <w:i/>
          <w:iCs/>
          <w:color w:val="000000"/>
          <w:sz w:val="20"/>
          <w:szCs w:val="20"/>
        </w:rPr>
        <w:t>S</w:t>
      </w:r>
      <w:r>
        <w:rPr>
          <w:rFonts w:eastAsia="Times New Roman"/>
          <w:b/>
          <w:bCs/>
          <w:i/>
          <w:iCs/>
          <w:color w:val="000000"/>
          <w:sz w:val="20"/>
          <w:szCs w:val="20"/>
        </w:rPr>
        <w:t>econd quarter 2021 vs. 2020</w:t>
      </w:r>
    </w:p>
    <w:p w:rsidR="00000000" w:rsidRDefault="00786A01">
      <w:pPr>
        <w:divId w:val="7487481"/>
        <w:rPr>
          <w:rFonts w:eastAsia="Times New Roman"/>
        </w:rPr>
      </w:pPr>
      <w:r>
        <w:rPr>
          <w:rFonts w:eastAsia="Times New Roman"/>
          <w:color w:val="000000"/>
          <w:sz w:val="20"/>
          <w:szCs w:val="20"/>
        </w:rPr>
        <w:t xml:space="preserve">The increase in QTL licensing revenues in the second quarter of fiscal 2021 was primarily due to: </w:t>
      </w:r>
    </w:p>
    <w:p w:rsidR="00000000" w:rsidRDefault="00786A01">
      <w:pPr>
        <w:ind w:hanging="360"/>
        <w:divId w:val="1519655969"/>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$561 million in higher estimated sales of 3G/4G/5G-based multimode products, primarily due to a recovery from the negative impacts of COVID-19 and to a lesser extent, due to the new license agreement with Huawei</w:t>
      </w:r>
    </w:p>
    <w:p w:rsidR="00000000" w:rsidRDefault="00786A01">
      <w:pPr>
        <w:ind w:hanging="360"/>
        <w:divId w:val="608394066"/>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$58 million in higher estimated revenue</w:t>
      </w:r>
      <w:r>
        <w:rPr>
          <w:rFonts w:eastAsia="Times New Roman"/>
          <w:color w:val="000000"/>
          <w:sz w:val="20"/>
          <w:szCs w:val="20"/>
        </w:rPr>
        <w:t>s per unit, primarily due to favorable OEM mix</w:t>
      </w:r>
    </w:p>
    <w:p w:rsidR="00000000" w:rsidRDefault="00786A01">
      <w:pPr>
        <w:ind w:hanging="360"/>
        <w:divId w:val="56899997"/>
        <w:rPr>
          <w:rFonts w:eastAsia="Times New Roman"/>
        </w:rPr>
      </w:pPr>
      <w:r>
        <w:rPr>
          <w:rFonts w:ascii="Century Gothic" w:eastAsia="Times New Roman" w:hAnsi="Century Gothic"/>
          <w:b/>
          <w:bCs/>
          <w:color w:val="000000"/>
          <w:sz w:val="25"/>
          <w:szCs w:val="25"/>
        </w:rPr>
        <w:t>-</w:t>
      </w:r>
      <w:r>
        <w:rPr>
          <w:rFonts w:ascii="Century Gothic" w:eastAsia="Times New Roman" w:hAnsi="Century Gothic"/>
          <w:b/>
          <w:bCs/>
          <w:color w:val="000000"/>
          <w:sz w:val="20"/>
          <w:szCs w:val="20"/>
        </w:rPr>
        <w:t>    </w:t>
      </w:r>
      <w:r>
        <w:rPr>
          <w:rFonts w:eastAsia="Times New Roman"/>
          <w:color w:val="000000"/>
          <w:sz w:val="20"/>
          <w:szCs w:val="20"/>
        </w:rPr>
        <w:t>$78 million in lower royalty revenues recognized related to devices sold in prior periods</w:t>
      </w:r>
    </w:p>
    <w:p w:rsidR="00000000" w:rsidRDefault="00786A01">
      <w:pPr>
        <w:divId w:val="1731341443"/>
        <w:rPr>
          <w:rFonts w:eastAsia="Times New Roman"/>
        </w:rPr>
      </w:pPr>
      <w:r>
        <w:rPr>
          <w:rFonts w:eastAsia="Times New Roman"/>
          <w:color w:val="000000"/>
          <w:sz w:val="20"/>
          <w:szCs w:val="20"/>
        </w:rPr>
        <w:t xml:space="preserve">QTL EBT as a percentage of revenues increased in the second quarter of fiscal 2021 primarily due to: </w:t>
      </w:r>
    </w:p>
    <w:p w:rsidR="00000000" w:rsidRDefault="00786A01">
      <w:pPr>
        <w:ind w:hanging="360"/>
        <w:divId w:val="979308940"/>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revenues</w:t>
      </w:r>
    </w:p>
    <w:p w:rsidR="00000000" w:rsidRDefault="00786A01">
      <w:pPr>
        <w:ind w:hanging="360"/>
        <w:divId w:val="606498217"/>
        <w:rPr>
          <w:rFonts w:eastAsia="Times New Roman"/>
        </w:rPr>
      </w:pPr>
      <w:r>
        <w:rPr>
          <w:rFonts w:ascii="Century Gothic" w:eastAsia="Times New Roman" w:hAnsi="Century Gothic"/>
          <w:b/>
          <w:bCs/>
          <w:color w:val="000000"/>
          <w:sz w:val="25"/>
          <w:szCs w:val="25"/>
        </w:rPr>
        <w:t>-</w:t>
      </w:r>
      <w:r>
        <w:rPr>
          <w:rFonts w:ascii="Century Gothic" w:eastAsia="Times New Roman" w:hAnsi="Century Gothic"/>
          <w:b/>
          <w:bCs/>
          <w:color w:val="000000"/>
          <w:sz w:val="20"/>
          <w:szCs w:val="20"/>
        </w:rPr>
        <w:t>    </w:t>
      </w:r>
      <w:r>
        <w:rPr>
          <w:rFonts w:eastAsia="Times New Roman"/>
          <w:color w:val="000000"/>
          <w:sz w:val="20"/>
          <w:szCs w:val="20"/>
        </w:rPr>
        <w:t>higher research and development expenses</w:t>
      </w:r>
    </w:p>
    <w:p w:rsidR="00000000" w:rsidRDefault="00786A01">
      <w:pPr>
        <w:divId w:val="124853205"/>
        <w:rPr>
          <w:rFonts w:eastAsia="Times New Roman"/>
        </w:rPr>
      </w:pPr>
      <w:r>
        <w:rPr>
          <w:rFonts w:eastAsia="Times New Roman"/>
          <w:b/>
          <w:bCs/>
          <w:i/>
          <w:iCs/>
          <w:color w:val="000000"/>
          <w:sz w:val="20"/>
          <w:szCs w:val="20"/>
        </w:rPr>
        <w:t>First six months 2021 vs. 2020</w:t>
      </w:r>
    </w:p>
    <w:p w:rsidR="00000000" w:rsidRDefault="00786A01">
      <w:pPr>
        <w:divId w:val="1134837775"/>
        <w:rPr>
          <w:rFonts w:eastAsia="Times New Roman"/>
        </w:rPr>
      </w:pPr>
      <w:r>
        <w:rPr>
          <w:rFonts w:eastAsia="Times New Roman"/>
          <w:color w:val="000000"/>
          <w:sz w:val="20"/>
          <w:szCs w:val="20"/>
        </w:rPr>
        <w:t>The increase in QTL licensing revenues in the first six months of fiscal 2021 was primarily due to:</w:t>
      </w:r>
    </w:p>
    <w:p w:rsidR="00000000" w:rsidRDefault="00786A01">
      <w:pPr>
        <w:ind w:hanging="360"/>
        <w:divId w:val="310595980"/>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$765 million in higher estimated sales of 3G/4G/5G-based m</w:t>
      </w:r>
      <w:r>
        <w:rPr>
          <w:rFonts w:eastAsia="Times New Roman"/>
          <w:color w:val="000000"/>
          <w:sz w:val="20"/>
          <w:szCs w:val="20"/>
        </w:rPr>
        <w:t>ultimode products, primarily due to a recovery from the negative impacts of COVID-19 and to a lesser extent, due to the new license agreement with Huawei</w:t>
      </w:r>
    </w:p>
    <w:p w:rsidR="00000000" w:rsidRDefault="00786A01">
      <w:pPr>
        <w:ind w:hanging="360"/>
        <w:divId w:val="150222018"/>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$104 million in higher estimated revenues per unit, primarily due to favorable OEM mix</w:t>
      </w:r>
    </w:p>
    <w:p w:rsidR="00000000" w:rsidRDefault="00786A01">
      <w:pPr>
        <w:ind w:hanging="360"/>
        <w:divId w:val="381179208"/>
        <w:rPr>
          <w:rFonts w:eastAsia="Times New Roman"/>
        </w:rPr>
      </w:pPr>
      <w:r>
        <w:rPr>
          <w:rFonts w:ascii="Century Gothic" w:eastAsia="Times New Roman" w:hAnsi="Century Gothic"/>
          <w:b/>
          <w:bCs/>
          <w:color w:val="000000"/>
          <w:sz w:val="25"/>
          <w:szCs w:val="25"/>
        </w:rPr>
        <w:t>-</w:t>
      </w:r>
      <w:r>
        <w:rPr>
          <w:rFonts w:ascii="Century Gothic" w:eastAsia="Times New Roman" w:hAnsi="Century Gothic"/>
          <w:b/>
          <w:bCs/>
          <w:color w:val="000000"/>
          <w:sz w:val="20"/>
          <w:szCs w:val="20"/>
        </w:rPr>
        <w:t>    </w:t>
      </w:r>
      <w:r>
        <w:rPr>
          <w:rFonts w:eastAsia="Times New Roman"/>
          <w:color w:val="000000"/>
          <w:sz w:val="20"/>
          <w:szCs w:val="20"/>
        </w:rPr>
        <w:t>$72 m</w:t>
      </w:r>
      <w:r>
        <w:rPr>
          <w:rFonts w:eastAsia="Times New Roman"/>
          <w:color w:val="000000"/>
          <w:sz w:val="20"/>
          <w:szCs w:val="20"/>
        </w:rPr>
        <w:t>illion in lower royalty revenues recognized related to devices sold in prior periods</w:t>
      </w:r>
    </w:p>
    <w:p w:rsidR="00000000" w:rsidRDefault="00786A01">
      <w:pPr>
        <w:divId w:val="1035039644"/>
        <w:rPr>
          <w:rFonts w:eastAsia="Times New Roman"/>
        </w:rPr>
      </w:pPr>
      <w:r>
        <w:rPr>
          <w:rFonts w:eastAsia="Times New Roman"/>
          <w:color w:val="000000"/>
          <w:sz w:val="20"/>
          <w:szCs w:val="20"/>
        </w:rPr>
        <w:t>QTL EBT as a percentage of revenues increased in the first six months of fiscal 2021 primarily due to:</w:t>
      </w:r>
    </w:p>
    <w:p w:rsidR="00000000" w:rsidRDefault="00786A01">
      <w:pPr>
        <w:ind w:hanging="360"/>
        <w:divId w:val="1152452523"/>
        <w:rPr>
          <w:rFonts w:eastAsia="Times New Roman"/>
        </w:rPr>
      </w:pPr>
      <w:r>
        <w:rPr>
          <w:rFonts w:ascii="Century Gothic" w:eastAsia="Times New Roman" w:hAnsi="Century Gothic"/>
          <w:b/>
          <w:bCs/>
          <w:color w:val="000000"/>
          <w:sz w:val="20"/>
          <w:szCs w:val="20"/>
        </w:rPr>
        <w:t>+</w:t>
      </w:r>
      <w:r>
        <w:rPr>
          <w:rFonts w:ascii="Century Gothic" w:eastAsia="Times New Roman" w:hAnsi="Century Gothic"/>
          <w:color w:val="000000"/>
          <w:sz w:val="20"/>
          <w:szCs w:val="20"/>
        </w:rPr>
        <w:t>    </w:t>
      </w:r>
      <w:r>
        <w:rPr>
          <w:rFonts w:eastAsia="Times New Roman"/>
          <w:color w:val="000000"/>
          <w:sz w:val="20"/>
          <w:szCs w:val="20"/>
        </w:rPr>
        <w:t>higher revenues</w:t>
      </w:r>
    </w:p>
    <w:p w:rsidR="00000000" w:rsidRDefault="00786A01">
      <w:pPr>
        <w:ind w:hanging="360"/>
        <w:divId w:val="1063020796"/>
        <w:rPr>
          <w:rFonts w:eastAsia="Times New Roman"/>
        </w:rPr>
      </w:pPr>
      <w:r>
        <w:rPr>
          <w:rFonts w:ascii="Century Gothic" w:eastAsia="Times New Roman" w:hAnsi="Century Gothic"/>
          <w:b/>
          <w:bCs/>
          <w:color w:val="000000"/>
          <w:sz w:val="25"/>
          <w:szCs w:val="25"/>
        </w:rPr>
        <w:t>-</w:t>
      </w:r>
      <w:r>
        <w:rPr>
          <w:rFonts w:ascii="Century Gothic" w:eastAsia="Times New Roman" w:hAnsi="Century Gothic"/>
          <w:b/>
          <w:bCs/>
          <w:color w:val="000000"/>
          <w:sz w:val="20"/>
          <w:szCs w:val="20"/>
        </w:rPr>
        <w:t>    </w:t>
      </w:r>
      <w:r>
        <w:rPr>
          <w:rFonts w:eastAsia="Times New Roman"/>
          <w:color w:val="000000"/>
          <w:sz w:val="20"/>
          <w:szCs w:val="20"/>
        </w:rPr>
        <w:t>higher research and development expenses</w:t>
      </w:r>
    </w:p>
    <w:p w:rsidR="00000000" w:rsidRDefault="00786A01">
      <w:pPr>
        <w:ind w:firstLine="360"/>
        <w:divId w:val="883058969"/>
        <w:rPr>
          <w:rFonts w:eastAsia="Times New Roman"/>
        </w:rPr>
      </w:pPr>
      <w:r>
        <w:rPr>
          <w:rFonts w:eastAsia="Times New Roman"/>
          <w:b/>
          <w:bCs/>
          <w:i/>
          <w:iCs/>
          <w:color w:val="000000"/>
          <w:sz w:val="20"/>
          <w:szCs w:val="20"/>
        </w:rPr>
        <w:t>Q</w:t>
      </w:r>
      <w:r>
        <w:rPr>
          <w:rFonts w:eastAsia="Times New Roman"/>
          <w:b/>
          <w:bCs/>
          <w:i/>
          <w:iCs/>
          <w:color w:val="000000"/>
          <w:sz w:val="20"/>
          <w:szCs w:val="20"/>
        </w:rPr>
        <w:t>SI Segment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994"/>
        <w:gridCol w:w="36"/>
        <w:gridCol w:w="111"/>
        <w:gridCol w:w="835"/>
        <w:gridCol w:w="36"/>
        <w:gridCol w:w="36"/>
        <w:gridCol w:w="36"/>
        <w:gridCol w:w="36"/>
        <w:gridCol w:w="111"/>
        <w:gridCol w:w="796"/>
        <w:gridCol w:w="36"/>
        <w:gridCol w:w="36"/>
        <w:gridCol w:w="36"/>
        <w:gridCol w:w="36"/>
        <w:gridCol w:w="111"/>
        <w:gridCol w:w="796"/>
        <w:gridCol w:w="36"/>
        <w:gridCol w:w="36"/>
        <w:gridCol w:w="36"/>
        <w:gridCol w:w="36"/>
        <w:gridCol w:w="111"/>
        <w:gridCol w:w="796"/>
        <w:gridCol w:w="36"/>
        <w:gridCol w:w="36"/>
        <w:gridCol w:w="36"/>
        <w:gridCol w:w="36"/>
        <w:gridCol w:w="111"/>
        <w:gridCol w:w="796"/>
        <w:gridCol w:w="36"/>
        <w:gridCol w:w="36"/>
        <w:gridCol w:w="36"/>
        <w:gridCol w:w="36"/>
        <w:gridCol w:w="111"/>
        <w:gridCol w:w="798"/>
        <w:gridCol w:w="36"/>
      </w:tblGrid>
      <w:tr w:rsidR="00000000">
        <w:trPr>
          <w:divId w:val="1650937173"/>
          <w:jc w:val="center"/>
        </w:trPr>
        <w:tc>
          <w:tcPr>
            <w:tcW w:w="50" w:type="pct"/>
            <w:vAlign w:val="center"/>
            <w:hideMark/>
          </w:tcPr>
          <w:p w:rsidR="00000000" w:rsidRDefault="00786A01">
            <w:pPr>
              <w:ind w:firstLine="360"/>
              <w:rPr>
                <w:rFonts w:eastAsia="Times New Roman"/>
              </w:rPr>
            </w:pPr>
          </w:p>
        </w:tc>
        <w:tc>
          <w:tcPr>
            <w:tcW w:w="12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33"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650937173"/>
          <w:jc w:val="center"/>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Three Months Ended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r>
      <w:tr w:rsidR="00000000">
        <w:trPr>
          <w:divId w:val="1650937173"/>
          <w:jc w:val="center"/>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r>
      <w:tr w:rsidR="00000000">
        <w:trPr>
          <w:divId w:val="1650937173"/>
          <w:jc w:val="center"/>
        </w:trPr>
        <w:tc>
          <w:tcPr>
            <w:tcW w:w="0" w:type="auto"/>
            <w:gridSpan w:val="3"/>
            <w:vAlign w:val="center"/>
            <w:hideMark/>
          </w:tcPr>
          <w:p w:rsidR="00000000" w:rsidRDefault="00786A01">
            <w:pPr>
              <w:jc w:val="center"/>
              <w:rPr>
                <w:rFonts w:eastAsia="Times New Roman"/>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650937173"/>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650937173"/>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650937173"/>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650937173"/>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650937173"/>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Equipment and services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650937173"/>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650937173"/>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650937173"/>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650937173"/>
          <w:jc w:val="center"/>
        </w:trPr>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EBT</w:t>
            </w: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98 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(208)</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306 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256 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(210)</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466 </w:t>
            </w:r>
          </w:p>
        </w:tc>
        <w:tc>
          <w:tcPr>
            <w:tcW w:w="0" w:type="auto"/>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1650937173"/>
          <w:jc w:val="center"/>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650937173"/>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650937173"/>
          <w:jc w:val="center"/>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bl>
    <w:p w:rsidR="00000000" w:rsidRDefault="00786A01">
      <w:pPr>
        <w:divId w:val="1568766103"/>
        <w:rPr>
          <w:rFonts w:eastAsia="Times New Roman"/>
        </w:rPr>
      </w:pPr>
      <w:r>
        <w:rPr>
          <w:rFonts w:eastAsia="Times New Roman"/>
          <w:b/>
          <w:bCs/>
          <w:i/>
          <w:iCs/>
          <w:color w:val="000000"/>
          <w:sz w:val="20"/>
          <w:szCs w:val="20"/>
        </w:rPr>
        <w:t>Second quarter 2021 vs. 2020</w:t>
      </w:r>
    </w:p>
    <w:p w:rsidR="00000000" w:rsidRDefault="00786A01">
      <w:pPr>
        <w:divId w:val="1822187537"/>
        <w:rPr>
          <w:rFonts w:eastAsia="Times New Roman"/>
        </w:rPr>
      </w:pPr>
      <w:r>
        <w:rPr>
          <w:rFonts w:eastAsia="Times New Roman"/>
          <w:color w:val="000000"/>
          <w:sz w:val="20"/>
          <w:szCs w:val="20"/>
        </w:rPr>
        <w:t>The increase in QSI EBT in the second quarter of fiscal 2021 was pr</w:t>
      </w:r>
      <w:r>
        <w:rPr>
          <w:rFonts w:eastAsia="Times New Roman"/>
          <w:color w:val="000000"/>
          <w:sz w:val="20"/>
          <w:szCs w:val="20"/>
        </w:rPr>
        <w:t>imarily due to:</w:t>
      </w:r>
    </w:p>
    <w:p w:rsidR="00000000" w:rsidRDefault="00786A01">
      <w:pPr>
        <w:ind w:hanging="360"/>
        <w:divId w:val="268587076"/>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 xml:space="preserve">$247 million decrease in impairment losses on other investments, of which a significant portion related to our investment in OneWeb </w:t>
      </w:r>
    </w:p>
    <w:p w:rsidR="00000000" w:rsidRDefault="00786A01">
      <w:pPr>
        <w:ind w:hanging="360"/>
        <w:divId w:val="1844123588"/>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$41 million increase in net gains on investments</w:t>
      </w:r>
    </w:p>
    <w:p w:rsidR="00000000" w:rsidRDefault="00786A01">
      <w:pPr>
        <w:jc w:val="center"/>
        <w:divId w:val="1101804310"/>
        <w:rPr>
          <w:rFonts w:eastAsia="Times New Roman"/>
        </w:rPr>
      </w:pPr>
      <w:r>
        <w:rPr>
          <w:rFonts w:eastAsia="Times New Roman"/>
          <w:color w:val="000000"/>
          <w:sz w:val="20"/>
          <w:szCs w:val="20"/>
        </w:rPr>
        <w:t>29</w:t>
      </w:r>
    </w:p>
    <w:p w:rsidR="00000000" w:rsidRDefault="00786A01">
      <w:pPr>
        <w:rPr>
          <w:rFonts w:eastAsia="Times New Roman"/>
        </w:rPr>
      </w:pPr>
      <w:r>
        <w:rPr>
          <w:rFonts w:eastAsia="Times New Roman"/>
        </w:rPr>
        <w:pict>
          <v:rect id="_x0000_i1052" style="width:0;height:1.5pt" o:hralign="center" o:hrstd="t" o:hr="t" fillcolor="#a0a0a0" stroked="f"/>
        </w:pict>
      </w:r>
    </w:p>
    <w:p w:rsidR="00000000" w:rsidRDefault="00786A01">
      <w:pPr>
        <w:divId w:val="1267150723"/>
        <w:rPr>
          <w:rFonts w:eastAsia="Times New Roman"/>
        </w:rPr>
      </w:pPr>
    </w:p>
    <w:p w:rsidR="00000000" w:rsidRDefault="00786A01">
      <w:pPr>
        <w:ind w:hanging="720"/>
        <w:divId w:val="1303197561"/>
        <w:rPr>
          <w:rFonts w:eastAsia="Times New Roman"/>
        </w:rPr>
      </w:pPr>
      <w:r>
        <w:rPr>
          <w:rFonts w:eastAsia="Times New Roman"/>
          <w:b/>
          <w:bCs/>
          <w:i/>
          <w:iCs/>
          <w:color w:val="000000"/>
          <w:sz w:val="20"/>
          <w:szCs w:val="20"/>
        </w:rPr>
        <w:t>First six months 2021 vs. 2020</w:t>
      </w:r>
    </w:p>
    <w:p w:rsidR="00000000" w:rsidRDefault="00786A01">
      <w:pPr>
        <w:divId w:val="749421893"/>
        <w:rPr>
          <w:rFonts w:eastAsia="Times New Roman"/>
        </w:rPr>
      </w:pPr>
      <w:r>
        <w:rPr>
          <w:rFonts w:eastAsia="Times New Roman"/>
          <w:color w:val="000000"/>
          <w:sz w:val="20"/>
          <w:szCs w:val="20"/>
        </w:rPr>
        <w:t>The increase in QSI EBT in the first six months of fiscal 2021 was primarily due to:</w:t>
      </w:r>
    </w:p>
    <w:p w:rsidR="00000000" w:rsidRDefault="00786A01">
      <w:pPr>
        <w:ind w:hanging="360"/>
        <w:divId w:val="2066490452"/>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 xml:space="preserve">$318 million decrease in impairment losses on other investments, of which a significant portion </w:t>
      </w:r>
      <w:r>
        <w:rPr>
          <w:rFonts w:eastAsia="Times New Roman"/>
          <w:color w:val="000000"/>
          <w:sz w:val="20"/>
          <w:szCs w:val="20"/>
        </w:rPr>
        <w:t>related to our investment in OneWeb</w:t>
      </w:r>
    </w:p>
    <w:p w:rsidR="00000000" w:rsidRDefault="00786A01">
      <w:pPr>
        <w:ind w:hanging="360"/>
        <w:divId w:val="719743625"/>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$129 million increase in net gains on investments</w:t>
      </w:r>
    </w:p>
    <w:p w:rsidR="00000000" w:rsidRDefault="00786A01">
      <w:pPr>
        <w:divId w:val="937061663"/>
        <w:rPr>
          <w:rFonts w:eastAsia="Times New Roman"/>
        </w:rPr>
      </w:pPr>
      <w:r>
        <w:rPr>
          <w:rFonts w:eastAsia="Times New Roman"/>
          <w:b/>
          <w:bCs/>
          <w:color w:val="000000"/>
          <w:sz w:val="20"/>
          <w:szCs w:val="20"/>
        </w:rPr>
        <w:t>Looking Forward</w:t>
      </w:r>
    </w:p>
    <w:p w:rsidR="00000000" w:rsidRDefault="00786A01">
      <w:pPr>
        <w:ind w:firstLine="360"/>
        <w:divId w:val="2038699946"/>
        <w:rPr>
          <w:rFonts w:eastAsia="Times New Roman"/>
        </w:rPr>
      </w:pPr>
      <w:r>
        <w:rPr>
          <w:rFonts w:eastAsia="Times New Roman"/>
          <w:color w:val="000000"/>
          <w:sz w:val="20"/>
          <w:szCs w:val="20"/>
        </w:rPr>
        <w:t>In the coming years, we expect new consumer demand for 3G/4G/5G multimode and 5G products and services to continue to ramp around the world as we tr</w:t>
      </w:r>
      <w:r>
        <w:rPr>
          <w:rFonts w:eastAsia="Times New Roman"/>
          <w:color w:val="000000"/>
          <w:sz w:val="20"/>
          <w:szCs w:val="20"/>
        </w:rPr>
        <w:t>ansition from 3G/4G multimode and 4G products and services. We believe that 5G will continue to drive adoption of certain technologies that are already commonly used in smartphones by industry segments and applications beyond mobile, such as automotive and</w:t>
      </w:r>
      <w:r>
        <w:rPr>
          <w:rFonts w:eastAsia="Times New Roman"/>
          <w:color w:val="000000"/>
          <w:sz w:val="20"/>
          <w:szCs w:val="20"/>
        </w:rPr>
        <w:t xml:space="preserve"> IoT. We believe it is important that we remain a leader in 5G technology development, standardization, intellectual property creation and licensing, and a leading developer and supplier of 5G integrated circuit products in order to sustain and grow our bu</w:t>
      </w:r>
      <w:r>
        <w:rPr>
          <w:rFonts w:eastAsia="Times New Roman"/>
          <w:color w:val="000000"/>
          <w:sz w:val="20"/>
          <w:szCs w:val="20"/>
        </w:rPr>
        <w:t xml:space="preserve">siness long-term. </w:t>
      </w:r>
    </w:p>
    <w:p w:rsidR="00000000" w:rsidRDefault="00786A01">
      <w:pPr>
        <w:ind w:firstLine="360"/>
        <w:divId w:val="1646469409"/>
        <w:rPr>
          <w:rFonts w:eastAsia="Times New Roman"/>
        </w:rPr>
      </w:pPr>
      <w:r>
        <w:rPr>
          <w:rFonts w:eastAsia="Times New Roman"/>
          <w:color w:val="000000"/>
          <w:sz w:val="20"/>
          <w:szCs w:val="20"/>
        </w:rPr>
        <w:t>As we look forward to the next several months and beyond, our business may be impacted by the following key items:</w:t>
      </w:r>
    </w:p>
    <w:p w:rsidR="00000000" w:rsidRDefault="00786A01">
      <w:pPr>
        <w:ind w:hanging="360"/>
        <w:divId w:val="2029863972"/>
        <w:rPr>
          <w:rFonts w:eastAsia="Times New Roman"/>
        </w:rPr>
      </w:pPr>
      <w:r>
        <w:rPr>
          <w:rFonts w:eastAsia="Times New Roman"/>
          <w:color w:val="000000"/>
          <w:sz w:val="20"/>
          <w:szCs w:val="20"/>
        </w:rPr>
        <w:t>•We expect QCT revenues to continue to be favorably impacted compared to the prior year as we make shipments to support Ap</w:t>
      </w:r>
      <w:r>
        <w:rPr>
          <w:rFonts w:eastAsia="Times New Roman"/>
          <w:color w:val="000000"/>
          <w:sz w:val="20"/>
          <w:szCs w:val="20"/>
        </w:rPr>
        <w:t>ple’s iPhone products, as well as to reflect increased demand for connected devices resulting from the continued work and learn from home environment.</w:t>
      </w:r>
    </w:p>
    <w:p w:rsidR="00000000" w:rsidRDefault="00786A01">
      <w:pPr>
        <w:ind w:hanging="360"/>
        <w:divId w:val="597642259"/>
        <w:rPr>
          <w:rFonts w:eastAsia="Times New Roman"/>
        </w:rPr>
      </w:pPr>
      <w:r>
        <w:rPr>
          <w:rFonts w:eastAsia="Times New Roman"/>
          <w:color w:val="000000"/>
          <w:sz w:val="20"/>
          <w:szCs w:val="20"/>
        </w:rPr>
        <w:t>•We have also seen and expect to continue to see increased demand for integrated circuit products, partic</w:t>
      </w:r>
      <w:r>
        <w:rPr>
          <w:rFonts w:eastAsia="Times New Roman"/>
          <w:color w:val="000000"/>
          <w:sz w:val="20"/>
          <w:szCs w:val="20"/>
        </w:rPr>
        <w:t>ularly from certain Chinese OEMs as they position to gain device share in China. However, since it will take time for us to adapt our supply chain processes, and due to the limited supply capacity across the semiconductor industry, we do not expect to real</w:t>
      </w:r>
      <w:r>
        <w:rPr>
          <w:rFonts w:eastAsia="Times New Roman"/>
          <w:color w:val="000000"/>
          <w:sz w:val="20"/>
          <w:szCs w:val="20"/>
        </w:rPr>
        <w:t>ize the full benefit from this increased demand. We currently expect to see improvements in supply capacity by the end of the calendar year.</w:t>
      </w:r>
    </w:p>
    <w:p w:rsidR="00000000" w:rsidRDefault="00786A01">
      <w:pPr>
        <w:ind w:hanging="360"/>
        <w:divId w:val="555703701"/>
        <w:rPr>
          <w:rFonts w:eastAsia="Times New Roman"/>
        </w:rPr>
      </w:pPr>
      <w:r>
        <w:rPr>
          <w:rFonts w:eastAsia="Times New Roman"/>
          <w:color w:val="000000"/>
          <w:sz w:val="20"/>
          <w:szCs w:val="20"/>
        </w:rPr>
        <w:t>•We expect commercial 5G network deployments and device launches will continue through calendar 2021 and beyo</w:t>
      </w:r>
      <w:r>
        <w:rPr>
          <w:rFonts w:eastAsia="Times New Roman"/>
          <w:color w:val="000000"/>
          <w:sz w:val="20"/>
          <w:szCs w:val="20"/>
          <w:shd w:val="clear" w:color="auto" w:fill="FFFFFF"/>
        </w:rPr>
        <w:t xml:space="preserve">nd. </w:t>
      </w:r>
    </w:p>
    <w:p w:rsidR="00000000" w:rsidRDefault="00786A01">
      <w:pPr>
        <w:ind w:hanging="360"/>
        <w:divId w:val="1368289822"/>
        <w:rPr>
          <w:rFonts w:eastAsia="Times New Roman"/>
        </w:rPr>
      </w:pPr>
      <w:r>
        <w:rPr>
          <w:rFonts w:eastAsia="Times New Roman"/>
          <w:color w:val="000000"/>
          <w:sz w:val="20"/>
          <w:szCs w:val="20"/>
        </w:rPr>
        <w:t>•</w:t>
      </w:r>
      <w:r>
        <w:rPr>
          <w:rFonts w:eastAsia="Times New Roman"/>
          <w:color w:val="000000"/>
          <w:sz w:val="20"/>
          <w:szCs w:val="20"/>
        </w:rPr>
        <w:t>We expect our research and development costs will increase compared to the prior year, primarily due to increased investment towards advancements in 5G and application processor technologies and certain other long-term initiatives, as well as an increase i</w:t>
      </w:r>
      <w:r>
        <w:rPr>
          <w:rFonts w:eastAsia="Times New Roman"/>
          <w:color w:val="000000"/>
          <w:sz w:val="20"/>
          <w:szCs w:val="20"/>
        </w:rPr>
        <w:t>n share-based compensation expense.</w:t>
      </w:r>
    </w:p>
    <w:p w:rsidR="00000000" w:rsidRDefault="00786A01">
      <w:pPr>
        <w:ind w:hanging="360"/>
        <w:divId w:val="63651767"/>
        <w:rPr>
          <w:rFonts w:eastAsia="Times New Roman"/>
        </w:rPr>
      </w:pPr>
      <w:r>
        <w:rPr>
          <w:rFonts w:eastAsia="Times New Roman"/>
          <w:color w:val="000000"/>
          <w:sz w:val="20"/>
          <w:szCs w:val="20"/>
        </w:rPr>
        <w:t>•We expect continued intense competition, particularly in China.</w:t>
      </w:r>
    </w:p>
    <w:p w:rsidR="00000000" w:rsidRDefault="00786A01">
      <w:pPr>
        <w:ind w:hanging="360"/>
        <w:divId w:val="1708065154"/>
        <w:rPr>
          <w:rFonts w:eastAsia="Times New Roman"/>
        </w:rPr>
      </w:pPr>
      <w:r>
        <w:rPr>
          <w:rFonts w:eastAsia="Times New Roman"/>
          <w:color w:val="000000"/>
          <w:sz w:val="20"/>
          <w:szCs w:val="20"/>
        </w:rPr>
        <w:t>•Current U.S./China trade relations and/or national security protection policies may negatively impact our business, growth prospects and results of operat</w:t>
      </w:r>
      <w:r>
        <w:rPr>
          <w:rFonts w:eastAsia="Times New Roman"/>
          <w:color w:val="000000"/>
          <w:sz w:val="20"/>
          <w:szCs w:val="20"/>
        </w:rPr>
        <w:t>ions. See “Risk Factors” in this Quarterly Report, including the Risk Factor titled “</w:t>
      </w:r>
      <w:r>
        <w:rPr>
          <w:rFonts w:eastAsia="Times New Roman"/>
          <w:i/>
          <w:iCs/>
          <w:color w:val="000000"/>
          <w:sz w:val="20"/>
          <w:szCs w:val="20"/>
        </w:rPr>
        <w:t>A significant portion of our business is concentrated in China, and the risks of such concentration are exacerbated by U.S./China trade and national security tensions.</w:t>
      </w:r>
      <w:r>
        <w:rPr>
          <w:rFonts w:eastAsia="Times New Roman"/>
          <w:color w:val="000000"/>
          <w:sz w:val="20"/>
          <w:szCs w:val="20"/>
        </w:rPr>
        <w:t>”</w:t>
      </w:r>
    </w:p>
    <w:p w:rsidR="00000000" w:rsidRDefault="00786A01">
      <w:pPr>
        <w:ind w:hanging="360"/>
        <w:divId w:val="1319460205"/>
        <w:rPr>
          <w:rFonts w:eastAsia="Times New Roman"/>
        </w:rPr>
      </w:pPr>
      <w:r>
        <w:rPr>
          <w:rFonts w:eastAsia="Times New Roman"/>
          <w:color w:val="000000"/>
          <w:sz w:val="20"/>
          <w:szCs w:val="20"/>
        </w:rPr>
        <w:t>•T</w:t>
      </w:r>
      <w:r>
        <w:rPr>
          <w:rFonts w:eastAsia="Times New Roman"/>
          <w:color w:val="000000"/>
          <w:sz w:val="20"/>
          <w:szCs w:val="20"/>
        </w:rPr>
        <w:t>he COVID-19 pandemic has resulted in significant economic uncertainty, which resulted in a global recession. While the pandemic has had a negative impact on consumer demand for some devices that incorporate our products and intellectual property, as compar</w:t>
      </w:r>
      <w:r>
        <w:rPr>
          <w:rFonts w:eastAsia="Times New Roman"/>
          <w:color w:val="000000"/>
          <w:sz w:val="20"/>
          <w:szCs w:val="20"/>
        </w:rPr>
        <w:t>ed to economic conditions and consumer demand prior to the pandemic, we currently do not expect a significant impact on our results of operations in the future. The degree to which the COVID-19 pandemic impacts our business, financial condition and results</w:t>
      </w:r>
      <w:r>
        <w:rPr>
          <w:rFonts w:eastAsia="Times New Roman"/>
          <w:color w:val="000000"/>
          <w:sz w:val="20"/>
          <w:szCs w:val="20"/>
        </w:rPr>
        <w:t xml:space="preserve"> of operations will depend on future developments, which are highly uncertain. See “Risk Factors” in this Quarterly Report, specifically the Risk Factor titled “</w:t>
      </w:r>
      <w:r>
        <w:rPr>
          <w:rFonts w:eastAsia="Times New Roman"/>
          <w:i/>
          <w:iCs/>
          <w:color w:val="000000"/>
          <w:sz w:val="20"/>
          <w:szCs w:val="20"/>
        </w:rPr>
        <w:t>The coronavirus (COVID-19) pandemic has had an adverse effect on our business and results of op</w:t>
      </w:r>
      <w:r>
        <w:rPr>
          <w:rFonts w:eastAsia="Times New Roman"/>
          <w:i/>
          <w:iCs/>
          <w:color w:val="000000"/>
          <w:sz w:val="20"/>
          <w:szCs w:val="20"/>
        </w:rPr>
        <w:t>erations, and may continue to impact us in the future.”</w:t>
      </w:r>
      <w:r>
        <w:rPr>
          <w:rFonts w:eastAsia="Times New Roman"/>
          <w:color w:val="000000"/>
          <w:sz w:val="20"/>
          <w:szCs w:val="20"/>
        </w:rPr>
        <w:t xml:space="preserve"> </w:t>
      </w:r>
    </w:p>
    <w:p w:rsidR="00000000" w:rsidRDefault="00786A01">
      <w:pPr>
        <w:ind w:firstLine="360"/>
        <w:divId w:val="1194197831"/>
        <w:rPr>
          <w:rFonts w:eastAsia="Times New Roman"/>
        </w:rPr>
      </w:pPr>
      <w:r>
        <w:rPr>
          <w:rFonts w:eastAsia="Times New Roman"/>
          <w:color w:val="000000"/>
          <w:sz w:val="20"/>
          <w:szCs w:val="20"/>
        </w:rPr>
        <w:t xml:space="preserve">In addition to the foregoing business and market-based matters, we continue to devote resources to working with and educating participants in the wireless industry and governments as to the benefits </w:t>
      </w:r>
      <w:r>
        <w:rPr>
          <w:rFonts w:eastAsia="Times New Roman"/>
          <w:color w:val="000000"/>
          <w:sz w:val="20"/>
          <w:szCs w:val="20"/>
        </w:rPr>
        <w:t>of our licensing program and our extensive technology investments in promoting a highly competitive and innovative wireless industry. However, we expect that certain companies may continue to be dissatisfied with the need to pay reasonable royalties for th</w:t>
      </w:r>
      <w:r>
        <w:rPr>
          <w:rFonts w:eastAsia="Times New Roman"/>
          <w:color w:val="000000"/>
          <w:sz w:val="20"/>
          <w:szCs w:val="20"/>
        </w:rPr>
        <w:t>e use of our technologies and not welcome the success of our licensing program in enabling new, highly cost-effective competitors to their products. Accordingly, such companies, and/or governments or regulators, may continue to challenge our business model</w:t>
      </w:r>
      <w:r>
        <w:rPr>
          <w:rFonts w:eastAsia="Times New Roman"/>
          <w:color w:val="000000"/>
          <w:sz w:val="20"/>
          <w:szCs w:val="20"/>
        </w:rPr>
        <w:t xml:space="preserve"> in various forums throughout the world.</w:t>
      </w:r>
    </w:p>
    <w:p w:rsidR="00000000" w:rsidRDefault="00786A01">
      <w:pPr>
        <w:ind w:firstLine="360"/>
        <w:divId w:val="1100680484"/>
        <w:rPr>
          <w:rFonts w:eastAsia="Times New Roman"/>
        </w:rPr>
      </w:pPr>
      <w:r>
        <w:rPr>
          <w:rFonts w:eastAsia="Times New Roman"/>
          <w:color w:val="000000"/>
          <w:sz w:val="20"/>
          <w:szCs w:val="20"/>
        </w:rPr>
        <w:t>Further discussion of risks related to our business is provided in the section labeled “Risk Factors” included in this Quarterly Report.</w:t>
      </w:r>
    </w:p>
    <w:p w:rsidR="00000000" w:rsidRDefault="00786A01">
      <w:pPr>
        <w:jc w:val="center"/>
        <w:divId w:val="823089177"/>
        <w:rPr>
          <w:rFonts w:eastAsia="Times New Roman"/>
        </w:rPr>
      </w:pPr>
      <w:r>
        <w:rPr>
          <w:rFonts w:eastAsia="Times New Roman"/>
          <w:color w:val="000000"/>
          <w:sz w:val="20"/>
          <w:szCs w:val="20"/>
        </w:rPr>
        <w:t>30</w:t>
      </w:r>
    </w:p>
    <w:p w:rsidR="00000000" w:rsidRDefault="00786A01">
      <w:pPr>
        <w:rPr>
          <w:rFonts w:eastAsia="Times New Roman"/>
        </w:rPr>
      </w:pPr>
      <w:r>
        <w:rPr>
          <w:rFonts w:eastAsia="Times New Roman"/>
        </w:rPr>
        <w:pict>
          <v:rect id="_x0000_i1053" style="width:0;height:1.5pt" o:hralign="center" o:hrstd="t" o:hr="t" fillcolor="#a0a0a0" stroked="f"/>
        </w:pict>
      </w:r>
    </w:p>
    <w:p w:rsidR="00000000" w:rsidRDefault="00786A01">
      <w:pPr>
        <w:divId w:val="359167122"/>
        <w:rPr>
          <w:rFonts w:eastAsia="Times New Roman"/>
        </w:rPr>
      </w:pPr>
    </w:p>
    <w:p w:rsidR="00000000" w:rsidRDefault="00786A01">
      <w:pPr>
        <w:divId w:val="768088122"/>
        <w:rPr>
          <w:rFonts w:eastAsia="Times New Roman"/>
        </w:rPr>
      </w:pPr>
      <w:r>
        <w:rPr>
          <w:rFonts w:eastAsia="Times New Roman"/>
          <w:b/>
          <w:bCs/>
          <w:color w:val="000000"/>
          <w:sz w:val="20"/>
          <w:szCs w:val="20"/>
        </w:rPr>
        <w:t>Liquidity and Capital Resources</w:t>
      </w:r>
    </w:p>
    <w:p w:rsidR="00000000" w:rsidRDefault="00786A01">
      <w:pPr>
        <w:ind w:firstLine="360"/>
        <w:divId w:val="2065837397"/>
        <w:rPr>
          <w:rFonts w:eastAsia="Times New Roman"/>
        </w:rPr>
      </w:pPr>
      <w:r>
        <w:rPr>
          <w:rFonts w:eastAsia="Times New Roman"/>
          <w:color w:val="000000"/>
          <w:sz w:val="20"/>
          <w:szCs w:val="20"/>
        </w:rPr>
        <w:t xml:space="preserve">Our </w:t>
      </w:r>
      <w:r>
        <w:rPr>
          <w:rFonts w:eastAsia="Times New Roman"/>
          <w:color w:val="000000"/>
          <w:sz w:val="20"/>
          <w:szCs w:val="20"/>
        </w:rPr>
        <w:t>principal sources of liquidity are our existing cash, cash equivalents and marketable securities, cash generated from operations and cash provided by our debt programs. The following tables present selected financial information related to our liquidity at</w:t>
      </w:r>
      <w:r>
        <w:rPr>
          <w:rFonts w:eastAsia="Times New Roman"/>
          <w:color w:val="000000"/>
          <w:sz w:val="20"/>
          <w:szCs w:val="20"/>
        </w:rPr>
        <w:t xml:space="preserve"> March 28, 2021 and September 27, 2020 and for the first six months of fiscal 2021 and 2020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000"/>
        <w:gridCol w:w="36"/>
        <w:gridCol w:w="110"/>
        <w:gridCol w:w="858"/>
        <w:gridCol w:w="36"/>
        <w:gridCol w:w="36"/>
        <w:gridCol w:w="36"/>
        <w:gridCol w:w="36"/>
        <w:gridCol w:w="111"/>
        <w:gridCol w:w="823"/>
        <w:gridCol w:w="36"/>
        <w:gridCol w:w="36"/>
        <w:gridCol w:w="36"/>
        <w:gridCol w:w="36"/>
        <w:gridCol w:w="111"/>
        <w:gridCol w:w="823"/>
        <w:gridCol w:w="36"/>
        <w:gridCol w:w="36"/>
        <w:gridCol w:w="36"/>
      </w:tblGrid>
      <w:tr w:rsidR="00000000">
        <w:trPr>
          <w:divId w:val="14115039"/>
        </w:trPr>
        <w:tc>
          <w:tcPr>
            <w:tcW w:w="50" w:type="pct"/>
            <w:vAlign w:val="center"/>
            <w:hideMark/>
          </w:tcPr>
          <w:p w:rsidR="00000000" w:rsidRDefault="00786A01">
            <w:pPr>
              <w:ind w:firstLine="360"/>
              <w:rPr>
                <w:rFonts w:eastAsia="Times New Roman"/>
              </w:rPr>
            </w:pPr>
          </w:p>
        </w:tc>
        <w:tc>
          <w:tcPr>
            <w:tcW w:w="306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14115039"/>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September 27,</w:t>
            </w:r>
            <w:r>
              <w:rPr>
                <w:rFonts w:eastAsia="Times New Roman"/>
                <w:b/>
                <w:bCs/>
                <w:color w:val="000000"/>
                <w:sz w:val="18"/>
                <w:szCs w:val="18"/>
              </w:rPr>
              <w:br/>
              <w:t>2020</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c>
          <w:tcPr>
            <w:tcW w:w="0" w:type="auto"/>
            <w:vAlign w:val="center"/>
            <w:hideMark/>
          </w:tcPr>
          <w:p w:rsidR="00000000" w:rsidRDefault="00786A01">
            <w:pPr>
              <w:jc w:val="center"/>
              <w:rPr>
                <w:rFonts w:eastAsia="Times New Roman"/>
              </w:rPr>
            </w:pPr>
          </w:p>
        </w:tc>
        <w:tc>
          <w:tcPr>
            <w:tcW w:w="0" w:type="auto"/>
            <w:vAlign w:val="center"/>
            <w:hideMark/>
          </w:tcPr>
          <w:p w:rsidR="00000000" w:rsidRDefault="00786A01">
            <w:pPr>
              <w:rPr>
                <w:rFonts w:eastAsia="Times New Roman"/>
                <w:sz w:val="20"/>
                <w:szCs w:val="20"/>
              </w:rPr>
            </w:pPr>
          </w:p>
        </w:tc>
      </w:tr>
      <w:tr w:rsidR="00000000">
        <w:trPr>
          <w:divId w:val="14115039"/>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Cash, cash equivalents and marketable securities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11,561 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11,249 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vAlign w:val="center"/>
            <w:hideMark/>
          </w:tcPr>
          <w:p w:rsidR="00000000" w:rsidRDefault="00786A01">
            <w:pPr>
              <w:jc w:val="right"/>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14115039"/>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Accounts receivable, net</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3,346 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4,003 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(657)</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vAlign w:val="center"/>
            <w:hideMark/>
          </w:tcPr>
          <w:p w:rsidR="00000000" w:rsidRDefault="00786A01">
            <w:pPr>
              <w:jc w:val="right"/>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14115039"/>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Inventories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2,668 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2,598 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70 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vAlign w:val="center"/>
            <w:hideMark/>
          </w:tcPr>
          <w:p w:rsidR="00000000" w:rsidRDefault="00786A01">
            <w:pPr>
              <w:jc w:val="right"/>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14115039"/>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Short-term debt</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500 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500 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vAlign w:val="center"/>
            <w:hideMark/>
          </w:tcPr>
          <w:p w:rsidR="00000000" w:rsidRDefault="00786A01">
            <w:pPr>
              <w:jc w:val="right"/>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14115039"/>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Long-term debt</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15,235 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15,226 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vAlign w:val="center"/>
            <w:hideMark/>
          </w:tcPr>
          <w:p w:rsidR="00000000" w:rsidRDefault="00786A01">
            <w:pPr>
              <w:jc w:val="right"/>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divId w:val="14115039"/>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Noncurrent income taxes payable</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1,715 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1,872 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(157)</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vAlign w:val="center"/>
            <w:hideMark/>
          </w:tcPr>
          <w:p w:rsidR="00000000" w:rsidRDefault="00786A01">
            <w:pPr>
              <w:jc w:val="right"/>
              <w:rPr>
                <w:rFonts w:eastAsia="Times New Roman"/>
                <w:sz w:val="20"/>
                <w:szCs w:val="20"/>
              </w:rPr>
            </w:pPr>
          </w:p>
        </w:tc>
        <w:tc>
          <w:tcPr>
            <w:tcW w:w="0" w:type="auto"/>
            <w:vAlign w:val="center"/>
            <w:hideMark/>
          </w:tcPr>
          <w:p w:rsidR="00000000" w:rsidRDefault="00786A01">
            <w:pPr>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5061"/>
        <w:gridCol w:w="144"/>
        <w:gridCol w:w="144"/>
        <w:gridCol w:w="908"/>
        <w:gridCol w:w="144"/>
        <w:gridCol w:w="144"/>
        <w:gridCol w:w="144"/>
        <w:gridCol w:w="144"/>
        <w:gridCol w:w="144"/>
        <w:gridCol w:w="908"/>
        <w:gridCol w:w="144"/>
        <w:gridCol w:w="144"/>
        <w:gridCol w:w="144"/>
        <w:gridCol w:w="144"/>
        <w:gridCol w:w="144"/>
        <w:gridCol w:w="908"/>
        <w:gridCol w:w="144"/>
        <w:gridCol w:w="160"/>
        <w:gridCol w:w="160"/>
        <w:gridCol w:w="160"/>
        <w:gridCol w:w="480"/>
        <w:gridCol w:w="480"/>
        <w:gridCol w:w="480"/>
      </w:tblGrid>
      <w:tr w:rsidR="00000000">
        <w:trPr>
          <w:jc w:val="center"/>
        </w:trPr>
        <w:tc>
          <w:tcPr>
            <w:tcW w:w="50" w:type="pct"/>
            <w:vAlign w:val="center"/>
            <w:hideMark/>
          </w:tcPr>
          <w:p w:rsidR="00000000" w:rsidRDefault="00786A01">
            <w:pPr>
              <w:rPr>
                <w:rFonts w:eastAsia="Times New Roman"/>
              </w:rPr>
            </w:pPr>
          </w:p>
        </w:tc>
        <w:tc>
          <w:tcPr>
            <w:tcW w:w="30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4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4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Six Months Ended</w:t>
            </w: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c>
          <w:tcPr>
            <w:tcW w:w="0" w:type="auto"/>
            <w:vAlign w:val="center"/>
            <w:hideMark/>
          </w:tcPr>
          <w:p w:rsidR="00000000" w:rsidRDefault="00786A01">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28,</w:t>
            </w:r>
            <w:r>
              <w:rPr>
                <w:rFonts w:eastAsia="Times New Roman"/>
                <w:b/>
                <w:bCs/>
                <w:color w:val="000000"/>
                <w:sz w:val="18"/>
                <w:szCs w:val="18"/>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Change</w:t>
            </w:r>
          </w:p>
        </w:tc>
        <w:tc>
          <w:tcPr>
            <w:tcW w:w="0" w:type="auto"/>
            <w:gridSpan w:val="3"/>
            <w:vAlign w:val="center"/>
            <w:hideMark/>
          </w:tcPr>
          <w:p w:rsidR="00000000" w:rsidRDefault="00786A01">
            <w:pPr>
              <w:jc w:val="center"/>
              <w:rPr>
                <w:rFonts w:eastAsia="Times New Roman"/>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cash provided by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6,086 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2,201 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3,885 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cash used by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(3,034)</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(1,769)</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(1,265)</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Net cash used by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(3,788)</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(3,868)</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bl>
    <w:p w:rsidR="00000000" w:rsidRDefault="00786A01">
      <w:pPr>
        <w:ind w:firstLine="360"/>
        <w:divId w:val="866913508"/>
        <w:rPr>
          <w:rFonts w:eastAsia="Times New Roman"/>
        </w:rPr>
      </w:pPr>
      <w:r>
        <w:rPr>
          <w:rFonts w:eastAsia="Times New Roman"/>
          <w:color w:val="000000"/>
          <w:sz w:val="20"/>
          <w:szCs w:val="20"/>
        </w:rPr>
        <w:t>The net increase in c</w:t>
      </w:r>
      <w:r>
        <w:rPr>
          <w:rFonts w:eastAsia="Times New Roman"/>
          <w:color w:val="000000"/>
          <w:sz w:val="20"/>
          <w:szCs w:val="20"/>
        </w:rPr>
        <w:t>ash, cash equivalents and marketable securities was primarily due to net cash provided by operating activities, $174 million in proceeds from the issuance of common stock (primarily under our Employee Stock Purchase Plan), and $167 million in proceeds from</w:t>
      </w:r>
      <w:r>
        <w:rPr>
          <w:rFonts w:eastAsia="Times New Roman"/>
          <w:color w:val="000000"/>
          <w:sz w:val="20"/>
          <w:szCs w:val="20"/>
        </w:rPr>
        <w:t xml:space="preserve"> other investments, partially offset by $2.0 billion in payments to repurchase shares of our common stock, $1.5 billion in cash dividends paid, $1.2 billion in cash paid for acquisitions and other investments (primarily related to the acquisition of NUVIA)</w:t>
      </w:r>
      <w:r>
        <w:rPr>
          <w:rFonts w:eastAsia="Times New Roman"/>
          <w:color w:val="000000"/>
          <w:sz w:val="20"/>
          <w:szCs w:val="20"/>
        </w:rPr>
        <w:t>, $952 million in capital expenditures and $501 million in payments of tax withholdings related to the vesting of share-based awards.</w:t>
      </w:r>
    </w:p>
    <w:p w:rsidR="00000000" w:rsidRDefault="00786A01">
      <w:pPr>
        <w:ind w:firstLine="360"/>
        <w:divId w:val="229120853"/>
        <w:rPr>
          <w:rFonts w:eastAsia="Times New Roman"/>
        </w:rPr>
      </w:pPr>
      <w:r>
        <w:rPr>
          <w:rFonts w:eastAsia="Times New Roman"/>
          <w:color w:val="000000"/>
          <w:sz w:val="20"/>
          <w:szCs w:val="20"/>
        </w:rPr>
        <w:t xml:space="preserve">The decrease in accounts receivable was primarily due to the payment of the second installment of $500 million (excluding </w:t>
      </w:r>
      <w:r>
        <w:rPr>
          <w:rFonts w:eastAsia="Times New Roman"/>
          <w:color w:val="000000"/>
          <w:sz w:val="20"/>
          <w:szCs w:val="20"/>
        </w:rPr>
        <w:t xml:space="preserve">the impact of foreign withholding taxes) under the previously disclosed settlement agreement with Huawei. Huawei paid the third installment of $300 million (excluding the impact of foreign withholding taxes) subsequent to March 28, 2021 in accordance with </w:t>
      </w:r>
      <w:r>
        <w:rPr>
          <w:rFonts w:eastAsia="Times New Roman"/>
          <w:color w:val="000000"/>
          <w:sz w:val="20"/>
          <w:szCs w:val="20"/>
        </w:rPr>
        <w:t xml:space="preserve">the agreed upon payment schedule. The decrease in accounts receivable was also attributable to the timing of settlement of certain QCT incentives, partially offset by an increase in QCT revenues during the quarter. </w:t>
      </w:r>
    </w:p>
    <w:p w:rsidR="00000000" w:rsidRDefault="00786A01">
      <w:pPr>
        <w:ind w:firstLine="360"/>
        <w:divId w:val="353652130"/>
        <w:rPr>
          <w:rFonts w:eastAsia="Times New Roman"/>
        </w:rPr>
      </w:pPr>
      <w:r>
        <w:rPr>
          <w:rFonts w:eastAsia="Times New Roman"/>
          <w:b/>
          <w:bCs/>
          <w:i/>
          <w:iCs/>
          <w:color w:val="000000"/>
          <w:sz w:val="20"/>
          <w:szCs w:val="20"/>
        </w:rPr>
        <w:t xml:space="preserve">Debt. </w:t>
      </w:r>
      <w:r>
        <w:rPr>
          <w:rFonts w:eastAsia="Times New Roman"/>
          <w:color w:val="000000"/>
          <w:sz w:val="20"/>
          <w:szCs w:val="20"/>
        </w:rPr>
        <w:t>At March 28, 2021, we had $15.5 bi</w:t>
      </w:r>
      <w:r>
        <w:rPr>
          <w:rFonts w:eastAsia="Times New Roman"/>
          <w:color w:val="000000"/>
          <w:sz w:val="20"/>
          <w:szCs w:val="20"/>
        </w:rPr>
        <w:t xml:space="preserve">llion of principal floating- and fixed-rate notes outstanding. Our remaining debt has maturity dates in 2022 through 2050. </w:t>
      </w:r>
    </w:p>
    <w:p w:rsidR="00000000" w:rsidRDefault="00786A01">
      <w:pPr>
        <w:ind w:firstLine="360"/>
        <w:divId w:val="1500847711"/>
        <w:rPr>
          <w:rFonts w:eastAsia="Times New Roman"/>
        </w:rPr>
      </w:pPr>
      <w:r>
        <w:rPr>
          <w:rFonts w:eastAsia="Times New Roman"/>
          <w:color w:val="000000"/>
          <w:sz w:val="20"/>
          <w:szCs w:val="20"/>
        </w:rPr>
        <w:t>We have an unsecured commercial paper program, which provides for the issuance of up to $4.5 billion of commercial paper. Net procee</w:t>
      </w:r>
      <w:r>
        <w:rPr>
          <w:rFonts w:eastAsia="Times New Roman"/>
          <w:color w:val="000000"/>
          <w:sz w:val="20"/>
          <w:szCs w:val="20"/>
        </w:rPr>
        <w:t>ds from this program are used for general corporate purposes. At March 28, 2021, we had $500 million of commercial paper outstanding.</w:t>
      </w:r>
    </w:p>
    <w:p w:rsidR="00000000" w:rsidRDefault="00786A01">
      <w:pPr>
        <w:ind w:firstLine="360"/>
        <w:divId w:val="810637465"/>
        <w:rPr>
          <w:rFonts w:eastAsia="Times New Roman"/>
        </w:rPr>
      </w:pPr>
      <w:r>
        <w:rPr>
          <w:rFonts w:eastAsia="Times New Roman"/>
          <w:color w:val="000000"/>
          <w:sz w:val="20"/>
          <w:szCs w:val="20"/>
        </w:rPr>
        <w:t>On December 8, 2020, we entered into a Revolving Credit Facility replacing our prior Amended and Restated Revolving Credit</w:t>
      </w:r>
      <w:r>
        <w:rPr>
          <w:rFonts w:eastAsia="Times New Roman"/>
          <w:color w:val="000000"/>
          <w:sz w:val="20"/>
          <w:szCs w:val="20"/>
        </w:rPr>
        <w:t xml:space="preserve"> Facility. There were no outstanding borrowings under the Amended and Restated Revolving Credit Facility at the time of termination. The Revolving Credit Facility provides for unsecured revolving facility loans, swing line loans and letters of credit in an</w:t>
      </w:r>
      <w:r>
        <w:rPr>
          <w:rFonts w:eastAsia="Times New Roman"/>
          <w:color w:val="000000"/>
          <w:sz w:val="20"/>
          <w:szCs w:val="20"/>
        </w:rPr>
        <w:t xml:space="preserve"> aggregate amount of up to $4.5 billion, which expires on December 8, 2025. At March 28, 2021, no amounts were outstanding under the Revolving Credit Facility. </w:t>
      </w:r>
    </w:p>
    <w:p w:rsidR="00000000" w:rsidRDefault="00786A01">
      <w:pPr>
        <w:ind w:firstLine="360"/>
        <w:divId w:val="295644347"/>
        <w:rPr>
          <w:rFonts w:eastAsia="Times New Roman"/>
        </w:rPr>
      </w:pPr>
      <w:r>
        <w:rPr>
          <w:rFonts w:eastAsia="Times New Roman"/>
          <w:color w:val="000000"/>
          <w:sz w:val="20"/>
          <w:szCs w:val="20"/>
        </w:rPr>
        <w:t>We expect to issue new debt in the future. The amount and timing of any such new debt will depe</w:t>
      </w:r>
      <w:r>
        <w:rPr>
          <w:rFonts w:eastAsia="Times New Roman"/>
          <w:color w:val="000000"/>
          <w:sz w:val="20"/>
          <w:szCs w:val="20"/>
        </w:rPr>
        <w:t>nd on a number of factors, including but not limited to maturities of our existing debt, acquisitions and strategic investments, favorable and/or acceptable interest rates and changes in corporate income tax law. Additional information regarding our outsta</w:t>
      </w:r>
      <w:r>
        <w:rPr>
          <w:rFonts w:eastAsia="Times New Roman"/>
          <w:color w:val="000000"/>
          <w:sz w:val="20"/>
          <w:szCs w:val="20"/>
        </w:rPr>
        <w:t xml:space="preserve">nding debt is provided in “Notes to Consolidated Financial Statements, Note 6. Debt” in our 2020 Annual Report on Form 10-K. </w:t>
      </w:r>
    </w:p>
    <w:p w:rsidR="00000000" w:rsidRDefault="00786A01">
      <w:pPr>
        <w:ind w:firstLine="360"/>
        <w:divId w:val="565457566"/>
        <w:rPr>
          <w:rFonts w:eastAsia="Times New Roman"/>
        </w:rPr>
      </w:pPr>
      <w:r>
        <w:rPr>
          <w:rFonts w:eastAsia="Times New Roman"/>
          <w:b/>
          <w:bCs/>
          <w:i/>
          <w:iCs/>
          <w:color w:val="000000"/>
          <w:sz w:val="20"/>
          <w:szCs w:val="20"/>
        </w:rPr>
        <w:t>Income Taxes.</w:t>
      </w:r>
      <w:r>
        <w:rPr>
          <w:rFonts w:eastAsia="Times New Roman"/>
          <w:color w:val="000000"/>
          <w:sz w:val="20"/>
          <w:szCs w:val="20"/>
        </w:rPr>
        <w:t xml:space="preserve"> At March 28, 2021, we estimated remaining future payments of $1.9 billion for the one-time U.S. repatriation tax acc</w:t>
      </w:r>
      <w:r>
        <w:rPr>
          <w:rFonts w:eastAsia="Times New Roman"/>
          <w:color w:val="000000"/>
          <w:sz w:val="20"/>
          <w:szCs w:val="20"/>
        </w:rPr>
        <w:t>rued in fiscal 2018, after application of certain tax credits, which is payable in installments over the next five years. At March 28, 2021, other current liabilities included $213 million for the next installment due in January 2022. Additional informatio</w:t>
      </w:r>
      <w:r>
        <w:rPr>
          <w:rFonts w:eastAsia="Times New Roman"/>
          <w:color w:val="000000"/>
          <w:sz w:val="20"/>
          <w:szCs w:val="20"/>
        </w:rPr>
        <w:t>n regarding our income taxes is provided in this Quarterly Report in “Notes to Condensed Consolidated Financial Statements, Note 3. Income Taxes.”</w:t>
      </w:r>
    </w:p>
    <w:p w:rsidR="00000000" w:rsidRDefault="00786A01">
      <w:pPr>
        <w:jc w:val="center"/>
        <w:divId w:val="1593778755"/>
        <w:rPr>
          <w:rFonts w:eastAsia="Times New Roman"/>
        </w:rPr>
      </w:pPr>
      <w:r>
        <w:rPr>
          <w:rFonts w:eastAsia="Times New Roman"/>
          <w:color w:val="000000"/>
          <w:sz w:val="20"/>
          <w:szCs w:val="20"/>
        </w:rPr>
        <w:t>31</w:t>
      </w:r>
    </w:p>
    <w:p w:rsidR="00000000" w:rsidRDefault="00786A01">
      <w:pPr>
        <w:rPr>
          <w:rFonts w:eastAsia="Times New Roman"/>
        </w:rPr>
      </w:pPr>
      <w:r>
        <w:rPr>
          <w:rFonts w:eastAsia="Times New Roman"/>
        </w:rPr>
        <w:pict>
          <v:rect id="_x0000_i1054" style="width:0;height:1.5pt" o:hralign="center" o:hrstd="t" o:hr="t" fillcolor="#a0a0a0" stroked="f"/>
        </w:pict>
      </w:r>
    </w:p>
    <w:p w:rsidR="00000000" w:rsidRDefault="00786A01">
      <w:pPr>
        <w:divId w:val="2027049426"/>
        <w:rPr>
          <w:rFonts w:eastAsia="Times New Roman"/>
        </w:rPr>
      </w:pPr>
    </w:p>
    <w:p w:rsidR="00000000" w:rsidRDefault="00786A01">
      <w:pPr>
        <w:ind w:firstLine="360"/>
        <w:divId w:val="646781785"/>
        <w:rPr>
          <w:rFonts w:eastAsia="Times New Roman"/>
        </w:rPr>
      </w:pPr>
      <w:r>
        <w:rPr>
          <w:rFonts w:eastAsia="Times New Roman"/>
          <w:b/>
          <w:bCs/>
          <w:i/>
          <w:iCs/>
          <w:color w:val="000000"/>
          <w:sz w:val="20"/>
          <w:szCs w:val="20"/>
        </w:rPr>
        <w:t xml:space="preserve">Capital Return Program. </w:t>
      </w:r>
      <w:r>
        <w:rPr>
          <w:rFonts w:eastAsia="Times New Roman"/>
          <w:color w:val="000000"/>
          <w:sz w:val="20"/>
          <w:szCs w:val="20"/>
        </w:rPr>
        <w:t>I</w:t>
      </w:r>
      <w:r>
        <w:rPr>
          <w:rFonts w:eastAsia="Times New Roman"/>
          <w:color w:val="000000"/>
          <w:sz w:val="20"/>
          <w:szCs w:val="20"/>
          <w:shd w:val="clear" w:color="auto" w:fill="FFFFFF"/>
        </w:rPr>
        <w:t>n fiscal 2018, we announced a stock repurchase program authorizing us to repurchase up to $30 billion of our common stock.</w:t>
      </w:r>
      <w:r>
        <w:rPr>
          <w:rFonts w:eastAsia="Times New Roman"/>
          <w:color w:val="000000"/>
          <w:sz w:val="20"/>
          <w:szCs w:val="20"/>
        </w:rPr>
        <w:t xml:space="preserve"> </w:t>
      </w:r>
      <w:r>
        <w:rPr>
          <w:rFonts w:eastAsia="Times New Roman"/>
          <w:color w:val="000000"/>
          <w:sz w:val="20"/>
          <w:szCs w:val="20"/>
          <w:shd w:val="clear" w:color="auto" w:fill="FFFFFF"/>
        </w:rPr>
        <w:t xml:space="preserve">The stock repurchase program has no expiration date. </w:t>
      </w:r>
      <w:r>
        <w:rPr>
          <w:rFonts w:eastAsia="Times New Roman"/>
          <w:color w:val="000000"/>
          <w:sz w:val="20"/>
          <w:szCs w:val="20"/>
        </w:rPr>
        <w:t xml:space="preserve">In the first six months of fiscal 2021, </w:t>
      </w:r>
      <w:r>
        <w:rPr>
          <w:rFonts w:eastAsia="Times New Roman"/>
          <w:color w:val="000000"/>
          <w:sz w:val="20"/>
          <w:szCs w:val="20"/>
          <w:shd w:val="clear" w:color="auto" w:fill="FFFFFF"/>
        </w:rPr>
        <w:t>we repurchased and retired 14 million sh</w:t>
      </w:r>
      <w:r>
        <w:rPr>
          <w:rFonts w:eastAsia="Times New Roman"/>
          <w:color w:val="000000"/>
          <w:sz w:val="20"/>
          <w:szCs w:val="20"/>
          <w:shd w:val="clear" w:color="auto" w:fill="FFFFFF"/>
        </w:rPr>
        <w:t>ares of our common stock for $2.0 billion, before commissions. At March 28, 2021, $2.6 billion remained authorized for repurchase under the stock repurchase program. Our stock repurchase program is subject to periodic evaluations to determine when and if r</w:t>
      </w:r>
      <w:r>
        <w:rPr>
          <w:rFonts w:eastAsia="Times New Roman"/>
          <w:color w:val="000000"/>
          <w:sz w:val="20"/>
          <w:szCs w:val="20"/>
          <w:shd w:val="clear" w:color="auto" w:fill="FFFFFF"/>
        </w:rPr>
        <w:t xml:space="preserve">epurchases are in the best interests of our stockholders, and we may accelerate, suspend, delay or discontinue repurchases at any time. </w:t>
      </w:r>
    </w:p>
    <w:p w:rsidR="00000000" w:rsidRDefault="00786A01">
      <w:pPr>
        <w:ind w:firstLine="360"/>
        <w:divId w:val="964385398"/>
        <w:rPr>
          <w:rFonts w:eastAsia="Times New Roman"/>
        </w:rPr>
      </w:pPr>
      <w:r>
        <w:rPr>
          <w:rFonts w:eastAsia="Times New Roman"/>
          <w:color w:val="000000"/>
          <w:sz w:val="20"/>
          <w:szCs w:val="20"/>
        </w:rPr>
        <w:t xml:space="preserve">On March 10, 2021, we announced a 5% increase in our quarterly dividend per share of common stock from $0.65 to $0.68, </w:t>
      </w:r>
      <w:r>
        <w:rPr>
          <w:rFonts w:eastAsia="Times New Roman"/>
          <w:color w:val="000000"/>
          <w:sz w:val="20"/>
          <w:szCs w:val="20"/>
        </w:rPr>
        <w:t>which is effective for dividends payable after March 25, 2021. In the first six months of fiscal 2021, we paid cash dividends totaling $1.5 billion, or $1.30 per share. On April 14, 2021, we announced a cash dividend of $0.68 per share on our common stock,</w:t>
      </w:r>
      <w:r>
        <w:rPr>
          <w:rFonts w:eastAsia="Times New Roman"/>
          <w:color w:val="000000"/>
          <w:sz w:val="20"/>
          <w:szCs w:val="20"/>
        </w:rPr>
        <w:t xml:space="preserve"> payable on June 24, 2021 to stockholders of record as of the close of business on June 3, 2021. We currently intend to continue to use cash dividends as a means of returning capital to stockholders, subject to capital availability and our view that cash d</w:t>
      </w:r>
      <w:r>
        <w:rPr>
          <w:rFonts w:eastAsia="Times New Roman"/>
          <w:color w:val="000000"/>
          <w:sz w:val="20"/>
          <w:szCs w:val="20"/>
        </w:rPr>
        <w:t>ividends are in the best interests of our stockholders, among other factors.</w:t>
      </w:r>
    </w:p>
    <w:p w:rsidR="00000000" w:rsidRDefault="00786A01">
      <w:pPr>
        <w:ind w:firstLine="315"/>
        <w:divId w:val="220558959"/>
        <w:rPr>
          <w:rFonts w:eastAsia="Times New Roman"/>
        </w:rPr>
      </w:pPr>
      <w:r>
        <w:rPr>
          <w:rFonts w:eastAsia="Times New Roman"/>
          <w:b/>
          <w:bCs/>
          <w:i/>
          <w:iCs/>
          <w:color w:val="000000"/>
          <w:sz w:val="20"/>
          <w:szCs w:val="20"/>
        </w:rPr>
        <w:t xml:space="preserve">Additional Capital Requirements. </w:t>
      </w:r>
      <w:r>
        <w:rPr>
          <w:rFonts w:eastAsia="Times New Roman"/>
          <w:color w:val="000000"/>
          <w:sz w:val="20"/>
          <w:szCs w:val="20"/>
        </w:rPr>
        <w:t xml:space="preserve">Expected working and other capital requirements are described in our 2020 Annual Report on Form 10-K in “Part II, Item 7. Management’s Discussion </w:t>
      </w:r>
      <w:r>
        <w:rPr>
          <w:rFonts w:eastAsia="Times New Roman"/>
          <w:color w:val="000000"/>
          <w:sz w:val="20"/>
          <w:szCs w:val="20"/>
        </w:rPr>
        <w:t>and Analysis of Financial Condition and Results of Operations.” We expect an increase in operating cash outflows to secure long-term capacity commitments with certain suppliers of our integrated circuit products. At March 28, 2021, other than for the chang</w:t>
      </w:r>
      <w:r>
        <w:rPr>
          <w:rFonts w:eastAsia="Times New Roman"/>
          <w:color w:val="000000"/>
          <w:sz w:val="20"/>
          <w:szCs w:val="20"/>
        </w:rPr>
        <w:t>es disclosed in the “Notes to Condensed Consolidated Financial Statements” and “Liquidity and Capital Resources” in this Quarterly Report, there have been no other material changes to our expected working and other capital requirements or contractual oblig</w:t>
      </w:r>
      <w:r>
        <w:rPr>
          <w:rFonts w:eastAsia="Times New Roman"/>
          <w:color w:val="000000"/>
          <w:sz w:val="20"/>
          <w:szCs w:val="20"/>
        </w:rPr>
        <w:t>ations described in our 2020 Annual Report on Form 10-K.</w:t>
      </w:r>
    </w:p>
    <w:p w:rsidR="00000000" w:rsidRDefault="00786A01">
      <w:pPr>
        <w:ind w:firstLine="360"/>
        <w:divId w:val="421532029"/>
        <w:rPr>
          <w:rFonts w:eastAsia="Times New Roman"/>
        </w:rPr>
      </w:pPr>
      <w:r>
        <w:rPr>
          <w:rFonts w:eastAsia="Times New Roman"/>
          <w:color w:val="000000"/>
          <w:sz w:val="20"/>
          <w:szCs w:val="20"/>
        </w:rPr>
        <w:t>Further, regulatory authorities in certain jurisdictions have investigated our business practices and instituted proceedings against us and they or other regulatory authorities may do so in the futur</w:t>
      </w:r>
      <w:r>
        <w:rPr>
          <w:rFonts w:eastAsia="Times New Roman"/>
          <w:color w:val="000000"/>
          <w:sz w:val="20"/>
          <w:szCs w:val="20"/>
        </w:rPr>
        <w:t>e. Additionally, certain of our direct and indirect customers and licensees have pursued, and others may in the future pursue, litigation, arbitration or other strategies against us related to our business. Unfavorable resolutions of one or more of these m</w:t>
      </w:r>
      <w:r>
        <w:rPr>
          <w:rFonts w:eastAsia="Times New Roman"/>
          <w:color w:val="000000"/>
          <w:sz w:val="20"/>
          <w:szCs w:val="20"/>
        </w:rPr>
        <w:t>atters have had and could in the future have a material adverse effect on our business, revenues, results of operations, financial condition and cash flows. See “Notes to Condensed Consolidated Financial Statements, Note 5. Commitments and Contingencies” a</w:t>
      </w:r>
      <w:r>
        <w:rPr>
          <w:rFonts w:eastAsia="Times New Roman"/>
          <w:color w:val="000000"/>
          <w:sz w:val="20"/>
          <w:szCs w:val="20"/>
        </w:rPr>
        <w:t xml:space="preserve">nd “Risk Factors” in this Quarterly Report. </w:t>
      </w:r>
    </w:p>
    <w:p w:rsidR="00000000" w:rsidRDefault="00786A01">
      <w:pPr>
        <w:ind w:firstLine="360"/>
        <w:divId w:val="1919173005"/>
        <w:rPr>
          <w:rFonts w:eastAsia="Times New Roman"/>
        </w:rPr>
      </w:pPr>
      <w:r>
        <w:rPr>
          <w:rFonts w:eastAsia="Times New Roman"/>
          <w:color w:val="000000"/>
          <w:sz w:val="20"/>
          <w:szCs w:val="20"/>
          <w:shd w:val="clear" w:color="auto" w:fill="FFFFFF"/>
        </w:rPr>
        <w:t>We believe, based on our current business plan and the facts and factors known by us, our cash, cash equivalents and marketable securities, our expected cash flow generated from operations and our expected finan</w:t>
      </w:r>
      <w:r>
        <w:rPr>
          <w:rFonts w:eastAsia="Times New Roman"/>
          <w:color w:val="000000"/>
          <w:sz w:val="20"/>
          <w:szCs w:val="20"/>
          <w:shd w:val="clear" w:color="auto" w:fill="FFFFFF"/>
        </w:rPr>
        <w:t>cing activities will satisfy our working and other capital requirements for at least the next 12 months and thereafter for the foreseeable future. See “Risk Factors” in this Quarterly Report.</w:t>
      </w:r>
    </w:p>
    <w:p w:rsidR="00000000" w:rsidRDefault="00786A01">
      <w:pPr>
        <w:divId w:val="1626547032"/>
        <w:rPr>
          <w:rFonts w:eastAsia="Times New Roman"/>
        </w:rPr>
      </w:pPr>
      <w:r>
        <w:rPr>
          <w:rFonts w:eastAsia="Times New Roman"/>
          <w:b/>
          <w:bCs/>
          <w:color w:val="000000"/>
          <w:sz w:val="20"/>
          <w:szCs w:val="20"/>
        </w:rPr>
        <w:t>Recent Accounting Guidance</w:t>
      </w:r>
    </w:p>
    <w:p w:rsidR="00000000" w:rsidRDefault="00786A01">
      <w:pPr>
        <w:ind w:firstLine="360"/>
        <w:divId w:val="2015257373"/>
        <w:rPr>
          <w:rFonts w:eastAsia="Times New Roman"/>
        </w:rPr>
      </w:pPr>
      <w:r>
        <w:rPr>
          <w:rFonts w:eastAsia="Times New Roman"/>
          <w:color w:val="000000"/>
          <w:sz w:val="20"/>
          <w:szCs w:val="20"/>
        </w:rPr>
        <w:t>Information regarding recent accounti</w:t>
      </w:r>
      <w:r>
        <w:rPr>
          <w:rFonts w:eastAsia="Times New Roman"/>
          <w:color w:val="000000"/>
          <w:sz w:val="20"/>
          <w:szCs w:val="20"/>
        </w:rPr>
        <w:t xml:space="preserve">ng guidance and the impact of such guidance on our condensed consolidated financial statements is provided in this Quarterly Report in “Notes to Condensed Consolidated Financial Statements, Note 1. Basis of Presentation and Significant Accounting Policies </w:t>
      </w:r>
      <w:r>
        <w:rPr>
          <w:rFonts w:eastAsia="Times New Roman"/>
          <w:color w:val="000000"/>
          <w:sz w:val="20"/>
          <w:szCs w:val="20"/>
        </w:rPr>
        <w:t>Update.”</w:t>
      </w:r>
    </w:p>
    <w:p w:rsidR="00000000" w:rsidRDefault="00786A01">
      <w:pPr>
        <w:divId w:val="1819759525"/>
        <w:rPr>
          <w:rFonts w:eastAsia="Times New Roman"/>
        </w:rPr>
      </w:pPr>
      <w:r>
        <w:rPr>
          <w:rFonts w:eastAsia="Times New Roman"/>
          <w:b/>
          <w:bCs/>
          <w:color w:val="000000"/>
          <w:sz w:val="20"/>
          <w:szCs w:val="20"/>
        </w:rPr>
        <w:t>Risk Factors</w:t>
      </w:r>
    </w:p>
    <w:p w:rsidR="00000000" w:rsidRDefault="00786A01">
      <w:pPr>
        <w:ind w:firstLine="360"/>
        <w:divId w:val="343434618"/>
        <w:rPr>
          <w:rFonts w:eastAsia="Times New Roman"/>
        </w:rPr>
      </w:pPr>
      <w:r>
        <w:rPr>
          <w:rFonts w:eastAsia="Times New Roman"/>
          <w:color w:val="000000"/>
          <w:sz w:val="20"/>
          <w:szCs w:val="20"/>
        </w:rPr>
        <w:t>You should consider each of the following factors in evaluating our business and our prospects. However, the risks and uncertainties described below are not the only ones we face. Additional risks and uncertainties not presently known</w:t>
      </w:r>
      <w:r>
        <w:rPr>
          <w:rFonts w:eastAsia="Times New Roman"/>
          <w:color w:val="000000"/>
          <w:sz w:val="20"/>
          <w:szCs w:val="20"/>
        </w:rPr>
        <w:t xml:space="preserve"> to us or that we currently consider immaterial may also negatively impact our business, results of operations, cash flows and financial condition, and require significant management time and attention. In that case, the trading price of our common stock c</w:t>
      </w:r>
      <w:r>
        <w:rPr>
          <w:rFonts w:eastAsia="Times New Roman"/>
          <w:color w:val="000000"/>
          <w:sz w:val="20"/>
          <w:szCs w:val="20"/>
        </w:rPr>
        <w:t xml:space="preserve">ould decline. In addition to the risks and uncertainties set forth in the Risk Factor below titled </w:t>
      </w:r>
      <w:r>
        <w:rPr>
          <w:rFonts w:eastAsia="Times New Roman"/>
          <w:i/>
          <w:iCs/>
          <w:color w:val="000000"/>
          <w:sz w:val="20"/>
          <w:szCs w:val="20"/>
        </w:rPr>
        <w:t xml:space="preserve">“The coronavirus (COVID-19) pandemic has had an adverse effect on our business and results of operations, and may continue to impact us in the future,” </w:t>
      </w:r>
      <w:r>
        <w:rPr>
          <w:rFonts w:eastAsia="Times New Roman"/>
          <w:color w:val="000000"/>
          <w:sz w:val="20"/>
          <w:szCs w:val="20"/>
        </w:rPr>
        <w:t xml:space="preserve">many </w:t>
      </w:r>
      <w:r>
        <w:rPr>
          <w:rFonts w:eastAsia="Times New Roman"/>
          <w:color w:val="000000"/>
          <w:sz w:val="20"/>
          <w:szCs w:val="20"/>
        </w:rPr>
        <w:t xml:space="preserve">of the risks and uncertainties set forth in the other Risk Factors below could be exacerbated by the COVID-19 pandemic, government and business responses thereto and any further resulting decline in the global business and economic environment, and may be </w:t>
      </w:r>
      <w:r>
        <w:rPr>
          <w:rFonts w:eastAsia="Times New Roman"/>
          <w:color w:val="000000"/>
          <w:sz w:val="20"/>
          <w:szCs w:val="20"/>
        </w:rPr>
        <w:t xml:space="preserve">impacted by the extent and speed of the global economic recovery. You should also consider the other information set forth in this Quarterly Report in evaluating our business and our prospects, including but not limited to our financial statements and the </w:t>
      </w:r>
      <w:r>
        <w:rPr>
          <w:rFonts w:eastAsia="Times New Roman"/>
          <w:color w:val="000000"/>
          <w:sz w:val="20"/>
          <w:szCs w:val="20"/>
        </w:rPr>
        <w:t xml:space="preserve">related notes, and “Part I, Item 2. Management’s Discussion and Analysis of Financial Condition and Results of Operations.” References to “and,” “or” and “and/or” should be read to include the others, as appropriate. </w:t>
      </w:r>
    </w:p>
    <w:p w:rsidR="00000000" w:rsidRDefault="00786A01">
      <w:pPr>
        <w:jc w:val="center"/>
        <w:divId w:val="688527253"/>
        <w:rPr>
          <w:rFonts w:eastAsia="Times New Roman"/>
        </w:rPr>
      </w:pPr>
      <w:r>
        <w:rPr>
          <w:rFonts w:eastAsia="Times New Roman"/>
          <w:color w:val="000000"/>
          <w:sz w:val="20"/>
          <w:szCs w:val="20"/>
        </w:rPr>
        <w:t>32</w:t>
      </w:r>
    </w:p>
    <w:p w:rsidR="00000000" w:rsidRDefault="00786A01">
      <w:pPr>
        <w:rPr>
          <w:rFonts w:eastAsia="Times New Roman"/>
        </w:rPr>
      </w:pPr>
      <w:r>
        <w:rPr>
          <w:rFonts w:eastAsia="Times New Roman"/>
        </w:rPr>
        <w:pict>
          <v:rect id="_x0000_i1055" style="width:0;height:1.5pt" o:hralign="center" o:hrstd="t" o:hr="t" fillcolor="#a0a0a0" stroked="f"/>
        </w:pict>
      </w:r>
    </w:p>
    <w:p w:rsidR="00000000" w:rsidRDefault="00786A01">
      <w:pPr>
        <w:divId w:val="333382765"/>
        <w:rPr>
          <w:rFonts w:eastAsia="Times New Roman"/>
        </w:rPr>
      </w:pPr>
    </w:p>
    <w:p w:rsidR="00000000" w:rsidRDefault="00786A01">
      <w:pPr>
        <w:divId w:val="728772122"/>
        <w:rPr>
          <w:rFonts w:eastAsia="Times New Roman"/>
        </w:rPr>
      </w:pPr>
      <w:r>
        <w:rPr>
          <w:rFonts w:eastAsia="Times New Roman"/>
          <w:b/>
          <w:bCs/>
          <w:color w:val="000000"/>
          <w:sz w:val="20"/>
          <w:szCs w:val="20"/>
        </w:rPr>
        <w:t>RISKS RELATED TO THE CORONAVIRUS (COVID-19) PANDEMIC</w:t>
      </w:r>
    </w:p>
    <w:p w:rsidR="00000000" w:rsidRDefault="00786A01">
      <w:pPr>
        <w:divId w:val="517037488"/>
        <w:rPr>
          <w:rFonts w:eastAsia="Times New Roman"/>
        </w:rPr>
      </w:pPr>
      <w:r>
        <w:rPr>
          <w:rFonts w:eastAsia="Times New Roman"/>
          <w:b/>
          <w:bCs/>
          <w:i/>
          <w:iCs/>
          <w:color w:val="000000"/>
          <w:sz w:val="20"/>
          <w:szCs w:val="20"/>
        </w:rPr>
        <w:t>The coronavirus (COVID-19) pandemic has had an adverse effect on our business and results of operations, and may continue to impact us in the future.</w:t>
      </w:r>
    </w:p>
    <w:p w:rsidR="00000000" w:rsidRDefault="00786A01">
      <w:pPr>
        <w:ind w:firstLine="360"/>
        <w:divId w:val="1214316672"/>
        <w:rPr>
          <w:rFonts w:eastAsia="Times New Roman"/>
        </w:rPr>
      </w:pPr>
      <w:r>
        <w:rPr>
          <w:rFonts w:eastAsia="Times New Roman"/>
          <w:color w:val="000000"/>
          <w:sz w:val="20"/>
          <w:szCs w:val="20"/>
        </w:rPr>
        <w:t>The rapid, global spread of COVID-19 and the fear it has created has resulted in significant economic unce</w:t>
      </w:r>
      <w:r>
        <w:rPr>
          <w:rFonts w:eastAsia="Times New Roman"/>
          <w:color w:val="000000"/>
          <w:sz w:val="20"/>
          <w:szCs w:val="20"/>
        </w:rPr>
        <w:t xml:space="preserve">rtainty, significant declines in business and consumer confidence and global demand in the wireless industry (among others) and a global economic slowdown, which resulted in a global recession. Specifically, the decline in demand for smartphones and other </w:t>
      </w:r>
      <w:r>
        <w:rPr>
          <w:rFonts w:eastAsia="Times New Roman"/>
          <w:color w:val="000000"/>
          <w:sz w:val="20"/>
          <w:szCs w:val="20"/>
        </w:rPr>
        <w:t>consumer devices sold by our customers or licensees has resulted in decreased demand for our integrated circuit products (which are incorporated into such devices) and a decrease in the royalties we earn on the licensing of our intellectual property (which</w:t>
      </w:r>
      <w:r>
        <w:rPr>
          <w:rFonts w:eastAsia="Times New Roman"/>
          <w:color w:val="000000"/>
          <w:sz w:val="20"/>
          <w:szCs w:val="20"/>
        </w:rPr>
        <w:t xml:space="preserve"> is dependent upon the number of such devices sold that utilize our intellectual property). However, we currently do not expect a significant impact on our results of operations in the future.</w:t>
      </w:r>
    </w:p>
    <w:p w:rsidR="00000000" w:rsidRDefault="00786A01">
      <w:pPr>
        <w:ind w:firstLine="360"/>
        <w:divId w:val="1230773502"/>
        <w:rPr>
          <w:rFonts w:eastAsia="Times New Roman"/>
        </w:rPr>
      </w:pPr>
      <w:r>
        <w:rPr>
          <w:rFonts w:eastAsia="Times New Roman"/>
          <w:color w:val="000000"/>
          <w:sz w:val="20"/>
          <w:szCs w:val="20"/>
        </w:rPr>
        <w:t>Further, while to date we have not seen a significant impact on</w:t>
      </w:r>
      <w:r>
        <w:rPr>
          <w:rFonts w:eastAsia="Times New Roman"/>
          <w:color w:val="000000"/>
          <w:sz w:val="20"/>
          <w:szCs w:val="20"/>
        </w:rPr>
        <w:t xml:space="preserve"> our manufacturing facilities or our supply chain due to the COVID-19 pandemic, the ability of our suppliers to deliver on their commitments to us, or our ability to ship our products to our customers, may be negatively impacted by the pandemic and/or gove</w:t>
      </w:r>
      <w:r>
        <w:rPr>
          <w:rFonts w:eastAsia="Times New Roman"/>
          <w:color w:val="000000"/>
          <w:sz w:val="20"/>
          <w:szCs w:val="20"/>
        </w:rPr>
        <w:t>rnment responses thereto, such as travel bans and restrictions, quarantines, shelter-in-place and social distancing orders, declarations of states of emergency and shutdowns.</w:t>
      </w:r>
    </w:p>
    <w:p w:rsidR="00000000" w:rsidRDefault="00786A01">
      <w:pPr>
        <w:ind w:firstLine="360"/>
        <w:divId w:val="1058819030"/>
        <w:rPr>
          <w:rFonts w:eastAsia="Times New Roman"/>
        </w:rPr>
      </w:pPr>
      <w:r>
        <w:rPr>
          <w:rFonts w:eastAsia="Times New Roman"/>
          <w:color w:val="000000"/>
          <w:sz w:val="20"/>
          <w:szCs w:val="20"/>
        </w:rPr>
        <w:t xml:space="preserve">Although the spread of COVID-19 has caused us to modify our workforce practices, </w:t>
      </w:r>
      <w:r>
        <w:rPr>
          <w:rFonts w:eastAsia="Times New Roman"/>
          <w:color w:val="000000"/>
          <w:sz w:val="20"/>
          <w:szCs w:val="20"/>
        </w:rPr>
        <w:t>such as having the vast majority of our employees working from home, we have not experienced a significant negative impact to our business or results of operations. However, we could be negatively affected in the future if, among others, a significant numb</w:t>
      </w:r>
      <w:r>
        <w:rPr>
          <w:rFonts w:eastAsia="Times New Roman"/>
          <w:color w:val="000000"/>
          <w:sz w:val="20"/>
          <w:szCs w:val="20"/>
        </w:rPr>
        <w:t>er of our employees, or employees who perform critical functions, become ill and/or are quarantined as the result of exposure to COVID-19, or if government policies restrict the ability of those employees to perform their critical functions. For example, w</w:t>
      </w:r>
      <w:r>
        <w:rPr>
          <w:rFonts w:eastAsia="Times New Roman"/>
          <w:color w:val="000000"/>
          <w:sz w:val="20"/>
          <w:szCs w:val="20"/>
        </w:rPr>
        <w:t xml:space="preserve">e have offices and a significant number of employees located in India, which is currently experiencing a high rate of COVID-19 infections. </w:t>
      </w:r>
    </w:p>
    <w:p w:rsidR="00000000" w:rsidRDefault="00786A01">
      <w:pPr>
        <w:ind w:firstLine="360"/>
        <w:divId w:val="1770151419"/>
        <w:rPr>
          <w:rFonts w:eastAsia="Times New Roman"/>
        </w:rPr>
      </w:pPr>
      <w:r>
        <w:rPr>
          <w:rFonts w:eastAsia="Times New Roman"/>
          <w:color w:val="000000"/>
          <w:sz w:val="20"/>
          <w:szCs w:val="20"/>
        </w:rPr>
        <w:t>The COVID-19 pandemic could also impact our business, results of operations and financial condition through delayed,</w:t>
      </w:r>
      <w:r>
        <w:rPr>
          <w:rFonts w:eastAsia="Times New Roman"/>
          <w:color w:val="000000"/>
          <w:sz w:val="20"/>
          <w:szCs w:val="20"/>
        </w:rPr>
        <w:t xml:space="preserve"> reduced or cancelled customer orders; the inability of our customers or licensees to purchase or pay for our products or technologies; the insolvency of key suppliers, customers or licensees; delays in reporting or payments from our customers or licensees</w:t>
      </w:r>
      <w:r>
        <w:rPr>
          <w:rFonts w:eastAsia="Times New Roman"/>
          <w:color w:val="000000"/>
          <w:sz w:val="20"/>
          <w:szCs w:val="20"/>
        </w:rPr>
        <w:t>; or failures by other counterparties. Additionally, federal, state or foreign governments may in the future increase corporate tax rates, increase employer payroll tax obligations and/or otherwise change tax laws to pay for stimulus and other actions that</w:t>
      </w:r>
      <w:r>
        <w:rPr>
          <w:rFonts w:eastAsia="Times New Roman"/>
          <w:color w:val="000000"/>
          <w:sz w:val="20"/>
          <w:szCs w:val="20"/>
        </w:rPr>
        <w:t xml:space="preserve"> may be taken as a result of COVID-19. </w:t>
      </w:r>
    </w:p>
    <w:p w:rsidR="00000000" w:rsidRDefault="00786A01">
      <w:pPr>
        <w:ind w:firstLine="360"/>
        <w:divId w:val="428548696"/>
        <w:rPr>
          <w:rFonts w:eastAsia="Times New Roman"/>
        </w:rPr>
      </w:pPr>
      <w:r>
        <w:rPr>
          <w:rFonts w:eastAsia="Times New Roman"/>
          <w:color w:val="000000"/>
          <w:sz w:val="20"/>
          <w:szCs w:val="20"/>
        </w:rPr>
        <w:t>The degree to which the COVID-19 pandemic impacts our future business, results of operations and financial condition will depend on future developments, which are uncertain, including but not limited to the duration,</w:t>
      </w:r>
      <w:r>
        <w:rPr>
          <w:rFonts w:eastAsia="Times New Roman"/>
          <w:color w:val="000000"/>
          <w:sz w:val="20"/>
          <w:szCs w:val="20"/>
        </w:rPr>
        <w:t xml:space="preserve"> spread and severity of the pandemic, the availability, adoption and efficacy of vaccines, government responses and other actions to mitigate the spread of and to treat COVID-19, and when and to what extent normal business, economic and social activity and</w:t>
      </w:r>
      <w:r>
        <w:rPr>
          <w:rFonts w:eastAsia="Times New Roman"/>
          <w:color w:val="000000"/>
          <w:sz w:val="20"/>
          <w:szCs w:val="20"/>
        </w:rPr>
        <w:t xml:space="preserve"> conditions resume. We are similarly unable to predict the extent to which the pandemic impacts our customers, licensees, suppliers and other partners and their financial conditions, but adverse effects on these parties could also adversely affect us. Fina</w:t>
      </w:r>
      <w:r>
        <w:rPr>
          <w:rFonts w:eastAsia="Times New Roman"/>
          <w:color w:val="000000"/>
          <w:sz w:val="20"/>
          <w:szCs w:val="20"/>
        </w:rPr>
        <w:t>lly, the COVID-19 pandemic makes it challenging for management to estimate the future performance of our business.</w:t>
      </w:r>
    </w:p>
    <w:p w:rsidR="00000000" w:rsidRDefault="00786A01">
      <w:pPr>
        <w:divId w:val="639380325"/>
        <w:rPr>
          <w:rFonts w:eastAsia="Times New Roman"/>
        </w:rPr>
      </w:pPr>
      <w:r>
        <w:rPr>
          <w:rFonts w:eastAsia="Times New Roman"/>
          <w:b/>
          <w:bCs/>
          <w:color w:val="000000"/>
          <w:sz w:val="20"/>
          <w:szCs w:val="20"/>
        </w:rPr>
        <w:t>RISKS RELATED TO INDUSTRY DYNAMICS AND COMPETITION</w:t>
      </w:r>
    </w:p>
    <w:p w:rsidR="00000000" w:rsidRDefault="00786A01">
      <w:pPr>
        <w:divId w:val="1367753465"/>
        <w:rPr>
          <w:rFonts w:eastAsia="Times New Roman"/>
        </w:rPr>
      </w:pPr>
      <w:r>
        <w:rPr>
          <w:rFonts w:eastAsia="Times New Roman"/>
          <w:b/>
          <w:bCs/>
          <w:i/>
          <w:iCs/>
          <w:color w:val="000000"/>
          <w:sz w:val="20"/>
          <w:szCs w:val="20"/>
        </w:rPr>
        <w:t xml:space="preserve">Our revenues depend on our customers’ and licensees’ sales of products and services based </w:t>
      </w:r>
      <w:r>
        <w:rPr>
          <w:rFonts w:eastAsia="Times New Roman"/>
          <w:b/>
          <w:bCs/>
          <w:i/>
          <w:iCs/>
          <w:color w:val="000000"/>
          <w:sz w:val="20"/>
          <w:szCs w:val="20"/>
        </w:rPr>
        <w:t>on CDMA, OFDMA and other communications technologies, including 5G, and customer demand for our products based on these technologies.</w:t>
      </w:r>
    </w:p>
    <w:p w:rsidR="00000000" w:rsidRDefault="00786A01">
      <w:pPr>
        <w:ind w:firstLine="360"/>
        <w:divId w:val="1751807243"/>
        <w:rPr>
          <w:rFonts w:eastAsia="Times New Roman"/>
        </w:rPr>
      </w:pPr>
      <w:r>
        <w:rPr>
          <w:rFonts w:eastAsia="Times New Roman"/>
          <w:color w:val="000000"/>
          <w:sz w:val="20"/>
          <w:szCs w:val="20"/>
        </w:rPr>
        <w:t>We develop, patent and commercialize technology and products based on CDMA, OFDMA and other communications technologies, w</w:t>
      </w:r>
      <w:r>
        <w:rPr>
          <w:rFonts w:eastAsia="Times New Roman"/>
          <w:color w:val="000000"/>
          <w:sz w:val="20"/>
          <w:szCs w:val="20"/>
        </w:rPr>
        <w:t>hich are primarily wireless. We depend on our customers and licensees to develop devices and services based on these technologies with value-added features to drive consumer demand for new 3G/4G and 3G/4G/5G multimode devices, as well as 3G and 4G single-m</w:t>
      </w:r>
      <w:r>
        <w:rPr>
          <w:rFonts w:eastAsia="Times New Roman"/>
          <w:color w:val="000000"/>
          <w:sz w:val="20"/>
          <w:szCs w:val="20"/>
        </w:rPr>
        <w:t>ode devices, and to establish the selling prices for such devices. Further, the timing of our shipments of our products is dependent on the timing of our customers’ and licensees’ deployments of new devices and services based on these technologies. Increas</w:t>
      </w:r>
      <w:r>
        <w:rPr>
          <w:rFonts w:eastAsia="Times New Roman"/>
          <w:color w:val="000000"/>
          <w:sz w:val="20"/>
          <w:szCs w:val="20"/>
        </w:rPr>
        <w:t>ingly, we also depend on operators of wireless networks, our customers and licensees and other third parties to incorporate these technologies into new device types and into industries and applications beyond mobile, such as automotive and IoT, among other</w:t>
      </w:r>
      <w:r>
        <w:rPr>
          <w:rFonts w:eastAsia="Times New Roman"/>
          <w:color w:val="000000"/>
          <w:sz w:val="20"/>
          <w:szCs w:val="20"/>
        </w:rPr>
        <w:t>s.</w:t>
      </w:r>
    </w:p>
    <w:p w:rsidR="00000000" w:rsidRDefault="00786A01">
      <w:pPr>
        <w:ind w:firstLine="360"/>
        <w:divId w:val="1243833353"/>
        <w:rPr>
          <w:rFonts w:eastAsia="Times New Roman"/>
        </w:rPr>
      </w:pPr>
      <w:r>
        <w:rPr>
          <w:rFonts w:eastAsia="Times New Roman"/>
          <w:color w:val="000000"/>
          <w:sz w:val="20"/>
          <w:szCs w:val="20"/>
        </w:rPr>
        <w:t>We have historically been successful during wireless technology transitions, including 3G, 4G and now 5G. Commercial deployments of 5G networks and devices have begun and will continue. However, the timing and scale of such deployments, in certain regio</w:t>
      </w:r>
      <w:r>
        <w:rPr>
          <w:rFonts w:eastAsia="Times New Roman"/>
          <w:color w:val="000000"/>
          <w:sz w:val="20"/>
          <w:szCs w:val="20"/>
        </w:rPr>
        <w:t>ns, have been and may in the future be delayed due to the COVID-19 pandemic.</w:t>
      </w:r>
    </w:p>
    <w:p w:rsidR="00000000" w:rsidRDefault="00786A01">
      <w:pPr>
        <w:ind w:firstLine="360"/>
        <w:divId w:val="1142771347"/>
        <w:rPr>
          <w:rFonts w:eastAsia="Times New Roman"/>
        </w:rPr>
      </w:pPr>
      <w:r>
        <w:rPr>
          <w:rFonts w:eastAsia="Times New Roman"/>
          <w:color w:val="000000"/>
          <w:sz w:val="20"/>
          <w:szCs w:val="20"/>
        </w:rPr>
        <w:t>We believe it is critical that we remain a leader in 5G technology development, standardization, intellectual property creation and technology licensing, and that we develop, comm</w:t>
      </w:r>
      <w:r>
        <w:rPr>
          <w:rFonts w:eastAsia="Times New Roman"/>
          <w:color w:val="000000"/>
          <w:sz w:val="20"/>
          <w:szCs w:val="20"/>
        </w:rPr>
        <w:t>ercialize and be a leading supplier of 5G integrated circuit products, in order to sustain and grow our business long-term.</w:t>
      </w:r>
    </w:p>
    <w:p w:rsidR="00000000" w:rsidRDefault="00786A01">
      <w:pPr>
        <w:jc w:val="center"/>
        <w:divId w:val="1944065617"/>
        <w:rPr>
          <w:rFonts w:eastAsia="Times New Roman"/>
        </w:rPr>
      </w:pPr>
      <w:r>
        <w:rPr>
          <w:rFonts w:eastAsia="Times New Roman"/>
          <w:color w:val="000000"/>
          <w:sz w:val="20"/>
          <w:szCs w:val="20"/>
        </w:rPr>
        <w:t>33</w:t>
      </w:r>
    </w:p>
    <w:p w:rsidR="00000000" w:rsidRDefault="00786A01">
      <w:pPr>
        <w:rPr>
          <w:rFonts w:eastAsia="Times New Roman"/>
        </w:rPr>
      </w:pPr>
      <w:r>
        <w:rPr>
          <w:rFonts w:eastAsia="Times New Roman"/>
        </w:rPr>
        <w:pict>
          <v:rect id="_x0000_i1056" style="width:0;height:1.5pt" o:hralign="center" o:hrstd="t" o:hr="t" fillcolor="#a0a0a0" stroked="f"/>
        </w:pict>
      </w:r>
    </w:p>
    <w:p w:rsidR="00000000" w:rsidRDefault="00786A01">
      <w:pPr>
        <w:divId w:val="1269194270"/>
        <w:rPr>
          <w:rFonts w:eastAsia="Times New Roman"/>
        </w:rPr>
      </w:pPr>
    </w:p>
    <w:p w:rsidR="00000000" w:rsidRDefault="00786A01">
      <w:pPr>
        <w:ind w:firstLine="360"/>
        <w:divId w:val="1491483328"/>
        <w:rPr>
          <w:rFonts w:eastAsia="Times New Roman"/>
        </w:rPr>
      </w:pPr>
      <w:r>
        <w:rPr>
          <w:rFonts w:eastAsia="Times New Roman"/>
          <w:color w:val="000000"/>
          <w:sz w:val="20"/>
          <w:szCs w:val="20"/>
        </w:rPr>
        <w:t>Our revenues and growth in revenues could be negatively impacted, our business may be harmed and our substantial investments in these technologies may not provide us an adequate return if: our customers’ and licensees’ revenues and sales of products, parti</w:t>
      </w:r>
      <w:r>
        <w:rPr>
          <w:rFonts w:eastAsia="Times New Roman"/>
          <w:color w:val="000000"/>
          <w:sz w:val="20"/>
          <w:szCs w:val="20"/>
        </w:rPr>
        <w:t>cularly premium-tier products, and services using these technologies, and average selling prices of such products, decline due to, for example, the maturity of smartphone penetration in developed regions and China; our intellectual property and technical l</w:t>
      </w:r>
      <w:r>
        <w:rPr>
          <w:rFonts w:eastAsia="Times New Roman"/>
          <w:color w:val="000000"/>
          <w:sz w:val="20"/>
          <w:szCs w:val="20"/>
        </w:rPr>
        <w:t>eadership included in the continued 5G standardization effort is less than in 3G and 4G standards; we are unable to drive the adoption of our products into networks and devices, including devices beyond mobile; or consumers’ rates of replacement of smartph</w:t>
      </w:r>
      <w:r>
        <w:rPr>
          <w:rFonts w:eastAsia="Times New Roman"/>
          <w:color w:val="000000"/>
          <w:sz w:val="20"/>
          <w:szCs w:val="20"/>
        </w:rPr>
        <w:t xml:space="preserve">ones and other computing devices decline. </w:t>
      </w:r>
    </w:p>
    <w:p w:rsidR="00000000" w:rsidRDefault="00786A01">
      <w:pPr>
        <w:divId w:val="4674388"/>
        <w:rPr>
          <w:rFonts w:eastAsia="Times New Roman"/>
        </w:rPr>
      </w:pPr>
      <w:r>
        <w:rPr>
          <w:rFonts w:eastAsia="Times New Roman"/>
          <w:b/>
          <w:bCs/>
          <w:i/>
          <w:iCs/>
          <w:color w:val="000000"/>
          <w:sz w:val="20"/>
          <w:szCs w:val="20"/>
        </w:rPr>
        <w:t>Our industry is subject to intense competition in an environment of rapid technological change. Our success depends in part on our ability to adapt to such change and compete effectively; and such change and compe</w:t>
      </w:r>
      <w:r>
        <w:rPr>
          <w:rFonts w:eastAsia="Times New Roman"/>
          <w:b/>
          <w:bCs/>
          <w:i/>
          <w:iCs/>
          <w:color w:val="000000"/>
          <w:sz w:val="20"/>
          <w:szCs w:val="20"/>
        </w:rPr>
        <w:t>tition could result in decreased demand for our products and technologies or declining average selling prices for our products or those of our customers or licensees.</w:t>
      </w:r>
    </w:p>
    <w:p w:rsidR="00000000" w:rsidRDefault="00786A01">
      <w:pPr>
        <w:ind w:firstLine="360"/>
        <w:divId w:val="1731924132"/>
        <w:rPr>
          <w:rFonts w:eastAsia="Times New Roman"/>
        </w:rPr>
      </w:pPr>
      <w:r>
        <w:rPr>
          <w:rFonts w:eastAsia="Times New Roman"/>
          <w:color w:val="000000"/>
          <w:sz w:val="20"/>
          <w:szCs w:val="20"/>
        </w:rPr>
        <w:t xml:space="preserve">Our products and technologies face significant competition. Competition may intensify as </w:t>
      </w:r>
      <w:r>
        <w:rPr>
          <w:rFonts w:eastAsia="Times New Roman"/>
          <w:color w:val="000000"/>
          <w:sz w:val="20"/>
          <w:szCs w:val="20"/>
        </w:rPr>
        <w:t>our current competitors expand their product offerings, improve their products or reduce the prices of their products as part of a strategy to maintain existing business and customers or attract new business and customers, as new opportunities develop, and</w:t>
      </w:r>
      <w:r>
        <w:rPr>
          <w:rFonts w:eastAsia="Times New Roman"/>
          <w:color w:val="000000"/>
          <w:sz w:val="20"/>
          <w:szCs w:val="20"/>
        </w:rPr>
        <w:t xml:space="preserve"> as new competitors enter the industry. Competition in wireless communications is affected by various factors that include, among others: OEM concentrations; vertical integration; competition in certain geographic regions; government intervention or suppor</w:t>
      </w:r>
      <w:r>
        <w:rPr>
          <w:rFonts w:eastAsia="Times New Roman"/>
          <w:color w:val="000000"/>
          <w:sz w:val="20"/>
          <w:szCs w:val="20"/>
        </w:rPr>
        <w:t>t of national industries or competitors; the ability to maintain product differentiation as the result of evolving industry standards and speed of technological change (including the transition to smaller geometry process technologies and the demand for al</w:t>
      </w:r>
      <w:r>
        <w:rPr>
          <w:rFonts w:eastAsia="Times New Roman"/>
          <w:color w:val="000000"/>
          <w:sz w:val="20"/>
          <w:szCs w:val="20"/>
        </w:rPr>
        <w:t>ways on, always connected capabilities); access to capacity in the supply chain; and value-added features that drive selling prices and consumer demand for new 3G/4G and 3G/4G/5G multimode devices, as well as 3G and 4G single-mode devices.</w:t>
      </w:r>
    </w:p>
    <w:p w:rsidR="00000000" w:rsidRDefault="00786A01">
      <w:pPr>
        <w:ind w:firstLine="360"/>
        <w:divId w:val="45296079"/>
        <w:rPr>
          <w:rFonts w:eastAsia="Times New Roman"/>
        </w:rPr>
      </w:pPr>
      <w:r>
        <w:rPr>
          <w:rFonts w:eastAsia="Times New Roman"/>
          <w:color w:val="000000"/>
          <w:sz w:val="20"/>
          <w:szCs w:val="20"/>
        </w:rPr>
        <w:t>We anticipate th</w:t>
      </w:r>
      <w:r>
        <w:rPr>
          <w:rFonts w:eastAsia="Times New Roman"/>
          <w:color w:val="000000"/>
          <w:sz w:val="20"/>
          <w:szCs w:val="20"/>
        </w:rPr>
        <w:t>at additional competitors will introduce products as a result of growth opportunities in wireless communications, the trend toward global expansion by foreign and domestic competitors, and technological and public policy changes. Additionally, the semicond</w:t>
      </w:r>
      <w:r>
        <w:rPr>
          <w:rFonts w:eastAsia="Times New Roman"/>
          <w:color w:val="000000"/>
          <w:sz w:val="20"/>
          <w:szCs w:val="20"/>
        </w:rPr>
        <w:t>uctor industry has experienced and may continue to experience consolidation, which could result in significant changes to the competitive landscape. For example, if any key supplier of technologies and intellectual property to the semiconductor industry wa</w:t>
      </w:r>
      <w:r>
        <w:rPr>
          <w:rFonts w:eastAsia="Times New Roman"/>
          <w:color w:val="000000"/>
          <w:sz w:val="20"/>
          <w:szCs w:val="20"/>
        </w:rPr>
        <w:t>s sold to one of our competitors, it could negatively affect our ability to procure or license such technologies and intellectual property in the future, at all or upon acceptable terms, which could have wide-ranging impacts on our business and operations.</w:t>
      </w:r>
    </w:p>
    <w:p w:rsidR="00000000" w:rsidRDefault="00786A01">
      <w:pPr>
        <w:ind w:firstLine="360"/>
        <w:divId w:val="38475593"/>
        <w:rPr>
          <w:rFonts w:eastAsia="Times New Roman"/>
        </w:rPr>
      </w:pPr>
      <w:r>
        <w:rPr>
          <w:rFonts w:eastAsia="Times New Roman"/>
          <w:color w:val="000000"/>
          <w:sz w:val="20"/>
          <w:szCs w:val="20"/>
        </w:rPr>
        <w:t>We expect that our future success will depend on, among other factors, our ability to:</w:t>
      </w:r>
    </w:p>
    <w:p w:rsidR="00000000" w:rsidRDefault="00786A01">
      <w:pPr>
        <w:ind w:hanging="360"/>
        <w:divId w:val="1515998657"/>
        <w:rPr>
          <w:rFonts w:eastAsia="Times New Roman"/>
        </w:rPr>
      </w:pPr>
      <w:r>
        <w:rPr>
          <w:rFonts w:eastAsia="Times New Roman"/>
          <w:color w:val="000000"/>
          <w:sz w:val="20"/>
          <w:szCs w:val="20"/>
        </w:rPr>
        <w:t>•differentiate our integrated circuit products with innovative technologies across multiple products and features (e.g., modem, radio frequency front-end (RFFE), includ</w:t>
      </w:r>
      <w:r>
        <w:rPr>
          <w:rFonts w:eastAsia="Times New Roman"/>
          <w:color w:val="000000"/>
          <w:sz w:val="20"/>
          <w:szCs w:val="20"/>
        </w:rPr>
        <w:t>ing millimeter wave (mmWave), graphics and other processors, camera and connectivity) and with smaller geometry process technologies that drive both performance and lower power consumption;</w:t>
      </w:r>
    </w:p>
    <w:p w:rsidR="00000000" w:rsidRDefault="00786A01">
      <w:pPr>
        <w:ind w:hanging="360"/>
        <w:divId w:val="116609263"/>
        <w:rPr>
          <w:rFonts w:eastAsia="Times New Roman"/>
        </w:rPr>
      </w:pPr>
      <w:r>
        <w:rPr>
          <w:rFonts w:eastAsia="Times New Roman"/>
          <w:color w:val="000000"/>
          <w:sz w:val="20"/>
          <w:szCs w:val="20"/>
        </w:rPr>
        <w:t>•develop and offer integrated circuit products at competitive cost</w:t>
      </w:r>
      <w:r>
        <w:rPr>
          <w:rFonts w:eastAsia="Times New Roman"/>
          <w:color w:val="000000"/>
          <w:sz w:val="20"/>
          <w:szCs w:val="20"/>
        </w:rPr>
        <w:t xml:space="preserve"> and price points to effectively cover all geographic regions and all device tiers;</w:t>
      </w:r>
    </w:p>
    <w:p w:rsidR="00000000" w:rsidRDefault="00786A01">
      <w:pPr>
        <w:ind w:hanging="360"/>
        <w:divId w:val="318195139"/>
        <w:rPr>
          <w:rFonts w:eastAsia="Times New Roman"/>
        </w:rPr>
      </w:pPr>
      <w:r>
        <w:rPr>
          <w:rFonts w:eastAsia="Times New Roman"/>
          <w:color w:val="000000"/>
          <w:sz w:val="20"/>
          <w:szCs w:val="20"/>
        </w:rPr>
        <w:t>•continue to be a leader in mobile, and drive the adoption of our technologies and integrated circuit products, including RFFE, into the most popular device models and acro</w:t>
      </w:r>
      <w:r>
        <w:rPr>
          <w:rFonts w:eastAsia="Times New Roman"/>
          <w:color w:val="000000"/>
          <w:sz w:val="20"/>
          <w:szCs w:val="20"/>
        </w:rPr>
        <w:t>ss a broad spectrum of devices in mobile, such as smartphones, tablets, laptops and other mobile computing devices;</w:t>
      </w:r>
    </w:p>
    <w:p w:rsidR="00000000" w:rsidRDefault="00786A01">
      <w:pPr>
        <w:ind w:hanging="360"/>
        <w:divId w:val="1741293512"/>
        <w:rPr>
          <w:rFonts w:eastAsia="Times New Roman"/>
        </w:rPr>
      </w:pPr>
      <w:r>
        <w:rPr>
          <w:rFonts w:eastAsia="Times New Roman"/>
          <w:color w:val="000000"/>
          <w:sz w:val="20"/>
          <w:szCs w:val="20"/>
        </w:rPr>
        <w:t>•increase or accelerate adoption of our technologies and products in industry segments and applications outside of mobile, including automot</w:t>
      </w:r>
      <w:r>
        <w:rPr>
          <w:rFonts w:eastAsia="Times New Roman"/>
          <w:color w:val="000000"/>
          <w:sz w:val="20"/>
          <w:szCs w:val="20"/>
        </w:rPr>
        <w:t>ive and IoT;</w:t>
      </w:r>
    </w:p>
    <w:p w:rsidR="00000000" w:rsidRDefault="00786A01">
      <w:pPr>
        <w:ind w:hanging="360"/>
        <w:divId w:val="2073307485"/>
        <w:rPr>
          <w:rFonts w:eastAsia="Times New Roman"/>
        </w:rPr>
      </w:pPr>
      <w:r>
        <w:rPr>
          <w:rFonts w:eastAsia="Times New Roman"/>
          <w:color w:val="000000"/>
          <w:sz w:val="20"/>
          <w:szCs w:val="20"/>
        </w:rPr>
        <w:t>•maintain or accelerate demand for our integrated circuit products at the premium device tier, while also driving the adoption of our products into high, mid- and low-tier devices across all regions;</w:t>
      </w:r>
    </w:p>
    <w:p w:rsidR="00000000" w:rsidRDefault="00786A01">
      <w:pPr>
        <w:ind w:hanging="360"/>
        <w:divId w:val="1801992100"/>
        <w:rPr>
          <w:rFonts w:eastAsia="Times New Roman"/>
        </w:rPr>
      </w:pPr>
      <w:r>
        <w:rPr>
          <w:rFonts w:eastAsia="Times New Roman"/>
          <w:color w:val="000000"/>
          <w:sz w:val="20"/>
          <w:szCs w:val="20"/>
        </w:rPr>
        <w:t xml:space="preserve">•remain a leader in 5G (and 4G) technology </w:t>
      </w:r>
      <w:r>
        <w:rPr>
          <w:rFonts w:eastAsia="Times New Roman"/>
          <w:color w:val="000000"/>
          <w:sz w:val="20"/>
          <w:szCs w:val="20"/>
        </w:rPr>
        <w:t xml:space="preserve">development, standardization, intellectual property creation and licensing, and develop, commercialize and remain a leading supplier of 5G (and 4G) integrated circuit products, including RFFE products; </w:t>
      </w:r>
    </w:p>
    <w:p w:rsidR="00000000" w:rsidRDefault="00786A01">
      <w:pPr>
        <w:ind w:hanging="360"/>
        <w:divId w:val="923957531"/>
        <w:rPr>
          <w:rFonts w:eastAsia="Times New Roman"/>
        </w:rPr>
      </w:pPr>
      <w:r>
        <w:rPr>
          <w:rFonts w:eastAsia="Times New Roman"/>
          <w:color w:val="000000"/>
          <w:sz w:val="20"/>
          <w:szCs w:val="20"/>
        </w:rPr>
        <w:t>•maintain access to sufficient capacity in the supply</w:t>
      </w:r>
      <w:r>
        <w:rPr>
          <w:rFonts w:eastAsia="Times New Roman"/>
          <w:color w:val="000000"/>
          <w:sz w:val="20"/>
          <w:szCs w:val="20"/>
        </w:rPr>
        <w:t xml:space="preserve"> chain relative to our competitors to meet customer demand;</w:t>
      </w:r>
    </w:p>
    <w:p w:rsidR="00000000" w:rsidRDefault="00786A01">
      <w:pPr>
        <w:ind w:hanging="360"/>
        <w:divId w:val="647710105"/>
        <w:rPr>
          <w:rFonts w:eastAsia="Times New Roman"/>
        </w:rPr>
      </w:pPr>
      <w:r>
        <w:rPr>
          <w:rFonts w:eastAsia="Times New Roman"/>
          <w:color w:val="000000"/>
          <w:sz w:val="20"/>
          <w:szCs w:val="20"/>
        </w:rPr>
        <w:t>•create standalone value and contribute to the success of our existing businesses through acquisitions, joint ventures and other transactions, and by developing customer, licensee, vendor, distrib</w:t>
      </w:r>
      <w:r>
        <w:rPr>
          <w:rFonts w:eastAsia="Times New Roman"/>
          <w:color w:val="000000"/>
          <w:sz w:val="20"/>
          <w:szCs w:val="20"/>
        </w:rPr>
        <w:t xml:space="preserve">utor and other channel relationships in new industry segments and applications and with disruptive technologies and products; </w:t>
      </w:r>
    </w:p>
    <w:p w:rsidR="00000000" w:rsidRDefault="00786A01">
      <w:pPr>
        <w:jc w:val="center"/>
        <w:divId w:val="178853796"/>
        <w:rPr>
          <w:rFonts w:eastAsia="Times New Roman"/>
        </w:rPr>
      </w:pPr>
      <w:r>
        <w:rPr>
          <w:rFonts w:eastAsia="Times New Roman"/>
          <w:color w:val="000000"/>
          <w:sz w:val="20"/>
          <w:szCs w:val="20"/>
        </w:rPr>
        <w:t>34</w:t>
      </w:r>
    </w:p>
    <w:p w:rsidR="00000000" w:rsidRDefault="00786A01">
      <w:pPr>
        <w:rPr>
          <w:rFonts w:eastAsia="Times New Roman"/>
        </w:rPr>
      </w:pPr>
      <w:r>
        <w:rPr>
          <w:rFonts w:eastAsia="Times New Roman"/>
        </w:rPr>
        <w:pict>
          <v:rect id="_x0000_i1057" style="width:0;height:1.5pt" o:hralign="center" o:hrstd="t" o:hr="t" fillcolor="#a0a0a0" stroked="f"/>
        </w:pict>
      </w:r>
    </w:p>
    <w:p w:rsidR="00000000" w:rsidRDefault="00786A01">
      <w:pPr>
        <w:divId w:val="1769236387"/>
        <w:rPr>
          <w:rFonts w:eastAsia="Times New Roman"/>
        </w:rPr>
      </w:pPr>
    </w:p>
    <w:p w:rsidR="00000000" w:rsidRDefault="00786A01">
      <w:pPr>
        <w:ind w:hanging="360"/>
        <w:divId w:val="1903297101"/>
        <w:rPr>
          <w:rFonts w:eastAsia="Times New Roman"/>
        </w:rPr>
      </w:pPr>
      <w:r>
        <w:rPr>
          <w:rFonts w:eastAsia="Times New Roman"/>
          <w:color w:val="000000"/>
          <w:sz w:val="20"/>
          <w:szCs w:val="20"/>
        </w:rPr>
        <w:t>•identify potential acquisition targets that will grow or sustain our business or address strategic needs, reach agreement on terms acceptable to us, close the transactions and effectively integrate these new businesse</w:t>
      </w:r>
      <w:r>
        <w:rPr>
          <w:rFonts w:eastAsia="Times New Roman"/>
          <w:color w:val="000000"/>
          <w:sz w:val="20"/>
          <w:szCs w:val="20"/>
        </w:rPr>
        <w:t xml:space="preserve">s, products and technologies; </w:t>
      </w:r>
    </w:p>
    <w:p w:rsidR="00000000" w:rsidRDefault="00786A01">
      <w:pPr>
        <w:ind w:hanging="360"/>
        <w:divId w:val="1038895019"/>
        <w:rPr>
          <w:rFonts w:eastAsia="Times New Roman"/>
        </w:rPr>
      </w:pPr>
      <w:r>
        <w:rPr>
          <w:rFonts w:eastAsia="Times New Roman"/>
          <w:color w:val="000000"/>
          <w:sz w:val="20"/>
          <w:szCs w:val="20"/>
        </w:rPr>
        <w:t>•provide leading products and technologies to OEMs, high level operating systems (HLOS) providers, operators, cloud providers and other industry participants as competitors, new industry entrants and other factors continue to</w:t>
      </w:r>
      <w:r>
        <w:rPr>
          <w:rFonts w:eastAsia="Times New Roman"/>
          <w:color w:val="000000"/>
          <w:sz w:val="20"/>
          <w:szCs w:val="20"/>
        </w:rPr>
        <w:t xml:space="preserve"> affect the industry landscape;</w:t>
      </w:r>
    </w:p>
    <w:p w:rsidR="00000000" w:rsidRDefault="00786A01">
      <w:pPr>
        <w:ind w:hanging="360"/>
        <w:divId w:val="420680574"/>
        <w:rPr>
          <w:rFonts w:eastAsia="Times New Roman"/>
        </w:rPr>
      </w:pPr>
      <w:r>
        <w:rPr>
          <w:rFonts w:eastAsia="Times New Roman"/>
          <w:color w:val="000000"/>
          <w:sz w:val="20"/>
          <w:szCs w:val="20"/>
        </w:rPr>
        <w:t>•be a preferred partner and sustain preferred relationships providing integrated circuit products that support multiple operating system and infrastructure platforms to industry participants that effectively commercialize ne</w:t>
      </w:r>
      <w:r>
        <w:rPr>
          <w:rFonts w:eastAsia="Times New Roman"/>
          <w:color w:val="000000"/>
          <w:sz w:val="20"/>
          <w:szCs w:val="20"/>
        </w:rPr>
        <w:t>w devices using these platforms; and</w:t>
      </w:r>
    </w:p>
    <w:p w:rsidR="00000000" w:rsidRDefault="00786A01">
      <w:pPr>
        <w:ind w:hanging="360"/>
        <w:divId w:val="1624768595"/>
        <w:rPr>
          <w:rFonts w:eastAsia="Times New Roman"/>
        </w:rPr>
      </w:pPr>
      <w:r>
        <w:rPr>
          <w:rFonts w:eastAsia="Times New Roman"/>
          <w:color w:val="000000"/>
          <w:sz w:val="20"/>
          <w:szCs w:val="20"/>
        </w:rPr>
        <w:t>•continue to develop brand recognition to effectively compete against better known companies in computing and other consumer driven segments and to deepen our presence in significant emerging regions and China.</w:t>
      </w:r>
    </w:p>
    <w:p w:rsidR="00000000" w:rsidRDefault="00786A01">
      <w:pPr>
        <w:ind w:firstLine="360"/>
        <w:divId w:val="1966306056"/>
        <w:rPr>
          <w:rFonts w:eastAsia="Times New Roman"/>
        </w:rPr>
      </w:pPr>
      <w:r>
        <w:rPr>
          <w:rFonts w:eastAsia="Times New Roman"/>
          <w:color w:val="000000"/>
          <w:sz w:val="20"/>
          <w:szCs w:val="20"/>
        </w:rPr>
        <w:t>We compe</w:t>
      </w:r>
      <w:r>
        <w:rPr>
          <w:rFonts w:eastAsia="Times New Roman"/>
          <w:color w:val="000000"/>
          <w:sz w:val="20"/>
          <w:szCs w:val="20"/>
        </w:rPr>
        <w:t>te with many different semiconductor companies, ranging from multinational companies with integrated research and development, manufacturing, sales and marketing organizations across a broad spectrum of product lines, to companies that are focused on a sin</w:t>
      </w:r>
      <w:r>
        <w:rPr>
          <w:rFonts w:eastAsia="Times New Roman"/>
          <w:color w:val="000000"/>
          <w:sz w:val="20"/>
          <w:szCs w:val="20"/>
        </w:rPr>
        <w:t>gle application, industry segment or standard product, including those that produce products for mobile, automotive and IoT, among others. Most of these competitors compete with us with respect to some, but not all, of our businesses or product lines. Comp</w:t>
      </w:r>
      <w:r>
        <w:rPr>
          <w:rFonts w:eastAsia="Times New Roman"/>
          <w:color w:val="000000"/>
          <w:sz w:val="20"/>
          <w:szCs w:val="20"/>
        </w:rPr>
        <w:t>anies that design integrated circuits based on CDMA, OFDMA, Wi-Fi or their derivatives are generally competitors or potential competitors. Examples (some of which are strategic partners of ours in other areas) include Broadcom, HiSilicon, MediaTek, Nvidia,</w:t>
      </w:r>
      <w:r>
        <w:rPr>
          <w:rFonts w:eastAsia="Times New Roman"/>
          <w:color w:val="000000"/>
          <w:sz w:val="20"/>
          <w:szCs w:val="20"/>
        </w:rPr>
        <w:t xml:space="preserve"> NXP Semiconductors, Qorvo, Samsung, Skyworks, Texas Instruments and UNISOC (formally known as Spreadtrum Communications). Some of these current and potential competitors may have advantages over us that include, among others: motivation by our customers i</w:t>
      </w:r>
      <w:r>
        <w:rPr>
          <w:rFonts w:eastAsia="Times New Roman"/>
          <w:color w:val="000000"/>
          <w:sz w:val="20"/>
          <w:szCs w:val="20"/>
        </w:rPr>
        <w:t>n certain circumstances to use our competitors’ integrated circuit products, to utilize their own internally-developed integrated circuit products, or sell such products to others, or to utilize alternative technologies; lower cost structures or a willingn</w:t>
      </w:r>
      <w:r>
        <w:rPr>
          <w:rFonts w:eastAsia="Times New Roman"/>
          <w:color w:val="000000"/>
          <w:sz w:val="20"/>
          <w:szCs w:val="20"/>
        </w:rPr>
        <w:t>ess and ability to accept lower prices or lower margins for their products, particularly in China; foreign government support of other technologies, competitors or OEMs that sell devices that do not contain our integrated circuit products; better known bra</w:t>
      </w:r>
      <w:r>
        <w:rPr>
          <w:rFonts w:eastAsia="Times New Roman"/>
          <w:color w:val="000000"/>
          <w:sz w:val="20"/>
          <w:szCs w:val="20"/>
        </w:rPr>
        <w:t>nd names; ownership and control of manufacturing facilities and greater expertise in manufacturing processes; more extensive relationships with local distribution companies and OEMs in certain geographic regions (such as China); more experience in adjacent</w:t>
      </w:r>
      <w:r>
        <w:rPr>
          <w:rFonts w:eastAsia="Times New Roman"/>
          <w:color w:val="000000"/>
          <w:sz w:val="20"/>
          <w:szCs w:val="20"/>
        </w:rPr>
        <w:t xml:space="preserve"> industry segments and applications beyond mobile (such as automotive and IoT); and a more established presence in certain regions. </w:t>
      </w:r>
    </w:p>
    <w:p w:rsidR="00000000" w:rsidRDefault="00786A01">
      <w:pPr>
        <w:ind w:firstLine="360"/>
        <w:divId w:val="512186915"/>
        <w:rPr>
          <w:rFonts w:eastAsia="Times New Roman"/>
        </w:rPr>
      </w:pPr>
      <w:r>
        <w:rPr>
          <w:rFonts w:eastAsia="Times New Roman"/>
          <w:color w:val="000000"/>
          <w:sz w:val="20"/>
          <w:szCs w:val="20"/>
        </w:rPr>
        <w:t>In addition, certain of our largest integrated circuit customers have in the past utilized, currently utilize and may in th</w:t>
      </w:r>
      <w:r>
        <w:rPr>
          <w:rFonts w:eastAsia="Times New Roman"/>
          <w:color w:val="000000"/>
          <w:sz w:val="20"/>
          <w:szCs w:val="20"/>
        </w:rPr>
        <w:t xml:space="preserve">e future utilize our competitors’ integrated circuit products in some (or all) of their devices, rather than our products. Further, certain of those customers have developed, are developing or may develop their own integrated circuit products (effectively </w:t>
      </w:r>
      <w:r>
        <w:rPr>
          <w:rFonts w:eastAsia="Times New Roman"/>
          <w:color w:val="000000"/>
          <w:sz w:val="20"/>
          <w:szCs w:val="20"/>
        </w:rPr>
        <w:t>making them competitors), which they have in the past utilized, currently utilize and may in the future utilize in some (or all) of their devices, rather than our products. See also the Risk Factor titled “</w:t>
      </w:r>
      <w:r>
        <w:rPr>
          <w:rFonts w:eastAsia="Times New Roman"/>
          <w:i/>
          <w:iCs/>
          <w:color w:val="000000"/>
          <w:sz w:val="20"/>
          <w:szCs w:val="20"/>
        </w:rPr>
        <w:t>Our business, particularly our semiconductor busin</w:t>
      </w:r>
      <w:r>
        <w:rPr>
          <w:rFonts w:eastAsia="Times New Roman"/>
          <w:i/>
          <w:iCs/>
          <w:color w:val="000000"/>
          <w:sz w:val="20"/>
          <w:szCs w:val="20"/>
        </w:rPr>
        <w:t>ess, may suffer as a result of our customers vertically integrating (i.e., developing their own integrated circuit products)</w:t>
      </w:r>
      <w:r>
        <w:rPr>
          <w:rFonts w:eastAsia="Times New Roman"/>
          <w:color w:val="000000"/>
          <w:sz w:val="20"/>
          <w:szCs w:val="20"/>
        </w:rPr>
        <w:t>.” Further, political actions, including trade and/or national security protection policies, or other actions by governments, partic</w:t>
      </w:r>
      <w:r>
        <w:rPr>
          <w:rFonts w:eastAsia="Times New Roman"/>
          <w:color w:val="000000"/>
          <w:sz w:val="20"/>
          <w:szCs w:val="20"/>
        </w:rPr>
        <w:t>ularly the U.S. and Chinese governments, have in the past, currently are and could in the future limit or prevent us from transacting business with certain of our customers or suppliers, limit, prevent or discourage certain of our customers or suppliers fr</w:t>
      </w:r>
      <w:r>
        <w:rPr>
          <w:rFonts w:eastAsia="Times New Roman"/>
          <w:color w:val="000000"/>
          <w:sz w:val="20"/>
          <w:szCs w:val="20"/>
        </w:rPr>
        <w:t>om transacting business with us, or make it more expensive to do so. This could advantage our competitors by enabling them with increased sales, economies of scale, operating income and/or cash flows and/or enable critical technology transfer, allowing the</w:t>
      </w:r>
      <w:r>
        <w:rPr>
          <w:rFonts w:eastAsia="Times New Roman"/>
          <w:color w:val="000000"/>
          <w:sz w:val="20"/>
          <w:szCs w:val="20"/>
        </w:rPr>
        <w:t>m to increase their investments in technology development, research and development and commercialization of products. See also the Risk Factor titled “</w:t>
      </w:r>
      <w:r>
        <w:rPr>
          <w:rFonts w:eastAsia="Times New Roman"/>
          <w:i/>
          <w:iCs/>
          <w:color w:val="000000"/>
          <w:sz w:val="20"/>
          <w:szCs w:val="20"/>
        </w:rPr>
        <w:t xml:space="preserve">A significant portion of our business is concentrated in China, and the risks of such concentration are </w:t>
      </w:r>
      <w:r>
        <w:rPr>
          <w:rFonts w:eastAsia="Times New Roman"/>
          <w:i/>
          <w:iCs/>
          <w:color w:val="000000"/>
          <w:sz w:val="20"/>
          <w:szCs w:val="20"/>
        </w:rPr>
        <w:t>exacerbated by U.S./China trade and national security tensions.</w:t>
      </w:r>
      <w:r>
        <w:rPr>
          <w:rFonts w:eastAsia="Times New Roman"/>
          <w:color w:val="000000"/>
          <w:sz w:val="20"/>
          <w:szCs w:val="20"/>
        </w:rPr>
        <w:t>” Further, certain of our competitors develop and sell multiple components (including integrated circuit products) for use in devices and sell those components together to OEMs. Our competitors</w:t>
      </w:r>
      <w:r>
        <w:rPr>
          <w:rFonts w:eastAsia="Times New Roman"/>
          <w:color w:val="000000"/>
          <w:sz w:val="20"/>
          <w:szCs w:val="20"/>
        </w:rPr>
        <w:t>’ sales of multiple components put us (and our discrete integrated circuit products) at a competitive disadvantage. Certain of our competitors also develop and sell infrastructure equipment for wireless networks and can optimize their integrated circuit pr</w:t>
      </w:r>
      <w:r>
        <w:rPr>
          <w:rFonts w:eastAsia="Times New Roman"/>
          <w:color w:val="000000"/>
          <w:sz w:val="20"/>
          <w:szCs w:val="20"/>
        </w:rPr>
        <w:t>oducts to perform on such networks to a degree that we are not able to, which again puts us at a competitive disadvantage.</w:t>
      </w:r>
    </w:p>
    <w:p w:rsidR="00000000" w:rsidRDefault="00786A01">
      <w:pPr>
        <w:ind w:firstLine="360"/>
        <w:divId w:val="566109192"/>
        <w:rPr>
          <w:rFonts w:eastAsia="Times New Roman"/>
        </w:rPr>
      </w:pPr>
      <w:r>
        <w:rPr>
          <w:rFonts w:eastAsia="Times New Roman"/>
          <w:color w:val="000000"/>
          <w:sz w:val="20"/>
          <w:szCs w:val="20"/>
        </w:rPr>
        <w:t xml:space="preserve">Competition in any or all product tiers may result in the loss of business or customers, which would negatively impact our business, </w:t>
      </w:r>
      <w:r>
        <w:rPr>
          <w:rFonts w:eastAsia="Times New Roman"/>
          <w:color w:val="000000"/>
          <w:sz w:val="20"/>
          <w:szCs w:val="20"/>
        </w:rPr>
        <w:t>revenues, results of operations, cash flows and financial condition. Such competition may also reduce average selling prices for our chipset products or the products of our customers and licensees. Certain of these dynamics are particularly pronounced in e</w:t>
      </w:r>
      <w:r>
        <w:rPr>
          <w:rFonts w:eastAsia="Times New Roman"/>
          <w:color w:val="000000"/>
          <w:sz w:val="20"/>
          <w:szCs w:val="20"/>
        </w:rPr>
        <w:t>merging regions and China where competitors may have lower cost structures or may have a willingness and ability to accept lower prices or lower margins on their products. Reductions in the average selling prices of our chipset products, without a correspo</w:t>
      </w:r>
      <w:r>
        <w:rPr>
          <w:rFonts w:eastAsia="Times New Roman"/>
          <w:color w:val="000000"/>
          <w:sz w:val="20"/>
          <w:szCs w:val="20"/>
        </w:rPr>
        <w:t xml:space="preserve">nding increase in volumes, would negatively impact our revenues, and without corresponding decreases in average unit costs, would negatively impact our margins. In addition, reductions in the average </w:t>
      </w:r>
    </w:p>
    <w:p w:rsidR="00000000" w:rsidRDefault="00786A01">
      <w:pPr>
        <w:jc w:val="center"/>
        <w:divId w:val="1279996157"/>
        <w:rPr>
          <w:rFonts w:eastAsia="Times New Roman"/>
        </w:rPr>
      </w:pPr>
      <w:r>
        <w:rPr>
          <w:rFonts w:eastAsia="Times New Roman"/>
          <w:color w:val="000000"/>
          <w:sz w:val="20"/>
          <w:szCs w:val="20"/>
        </w:rPr>
        <w:t>35</w:t>
      </w:r>
    </w:p>
    <w:p w:rsidR="00000000" w:rsidRDefault="00786A01">
      <w:pPr>
        <w:rPr>
          <w:rFonts w:eastAsia="Times New Roman"/>
        </w:rPr>
      </w:pPr>
      <w:r>
        <w:rPr>
          <w:rFonts w:eastAsia="Times New Roman"/>
        </w:rPr>
        <w:pict>
          <v:rect id="_x0000_i1058" style="width:0;height:1.5pt" o:hralign="center" o:hrstd="t" o:hr="t" fillcolor="#a0a0a0" stroked="f"/>
        </w:pict>
      </w:r>
    </w:p>
    <w:p w:rsidR="00000000" w:rsidRDefault="00786A01">
      <w:pPr>
        <w:divId w:val="1082680020"/>
        <w:rPr>
          <w:rFonts w:eastAsia="Times New Roman"/>
        </w:rPr>
      </w:pPr>
    </w:p>
    <w:p w:rsidR="00000000" w:rsidRDefault="00786A01">
      <w:pPr>
        <w:divId w:val="404106708"/>
        <w:rPr>
          <w:rFonts w:eastAsia="Times New Roman"/>
        </w:rPr>
      </w:pPr>
      <w:r>
        <w:rPr>
          <w:rFonts w:eastAsia="Times New Roman"/>
          <w:color w:val="000000"/>
          <w:sz w:val="20"/>
          <w:szCs w:val="20"/>
        </w:rPr>
        <w:t>selling prices</w:t>
      </w:r>
      <w:r>
        <w:rPr>
          <w:rFonts w:eastAsia="Times New Roman"/>
          <w:color w:val="000000"/>
          <w:sz w:val="20"/>
          <w:szCs w:val="20"/>
        </w:rPr>
        <w:t xml:space="preserve"> of our licensees’ products, unless offset by an increase in volumes, would generally decrease total royalties payable to us, negatively impacting our licensing revenues. </w:t>
      </w:r>
    </w:p>
    <w:p w:rsidR="00000000" w:rsidRDefault="00786A01">
      <w:pPr>
        <w:divId w:val="702750102"/>
        <w:rPr>
          <w:rFonts w:eastAsia="Times New Roman"/>
        </w:rPr>
      </w:pPr>
      <w:r>
        <w:rPr>
          <w:rFonts w:eastAsia="Times New Roman"/>
          <w:b/>
          <w:bCs/>
          <w:color w:val="000000"/>
          <w:sz w:val="20"/>
          <w:szCs w:val="20"/>
        </w:rPr>
        <w:t>RISKS RELATED TO OUR OPERATING BUSINESSES</w:t>
      </w:r>
    </w:p>
    <w:p w:rsidR="00000000" w:rsidRDefault="00786A01">
      <w:pPr>
        <w:divId w:val="240649136"/>
        <w:rPr>
          <w:rFonts w:eastAsia="Times New Roman"/>
        </w:rPr>
      </w:pPr>
      <w:r>
        <w:rPr>
          <w:rFonts w:eastAsia="Times New Roman"/>
          <w:b/>
          <w:bCs/>
          <w:i/>
          <w:iCs/>
          <w:color w:val="000000"/>
          <w:sz w:val="20"/>
          <w:szCs w:val="20"/>
        </w:rPr>
        <w:t>We derive a significant portion of our rev</w:t>
      </w:r>
      <w:r>
        <w:rPr>
          <w:rFonts w:eastAsia="Times New Roman"/>
          <w:b/>
          <w:bCs/>
          <w:i/>
          <w:iCs/>
          <w:color w:val="000000"/>
          <w:sz w:val="20"/>
          <w:szCs w:val="20"/>
        </w:rPr>
        <w:t>enues from a small number of customers and licensees, and particularly from their sale of premium tier devices. If revenues derived from these customers or licensees decrease or the timing of such revenues fluctuates, our business and results of operations</w:t>
      </w:r>
      <w:r>
        <w:rPr>
          <w:rFonts w:eastAsia="Times New Roman"/>
          <w:b/>
          <w:bCs/>
          <w:i/>
          <w:iCs/>
          <w:color w:val="000000"/>
          <w:sz w:val="20"/>
          <w:szCs w:val="20"/>
        </w:rPr>
        <w:t xml:space="preserve"> could be negatively affected.</w:t>
      </w:r>
    </w:p>
    <w:p w:rsidR="00000000" w:rsidRDefault="00786A01">
      <w:pPr>
        <w:ind w:firstLine="360"/>
        <w:divId w:val="2050716520"/>
        <w:rPr>
          <w:rFonts w:eastAsia="Times New Roman"/>
        </w:rPr>
      </w:pPr>
      <w:r>
        <w:rPr>
          <w:rFonts w:eastAsia="Times New Roman"/>
          <w:color w:val="000000"/>
          <w:sz w:val="20"/>
          <w:szCs w:val="20"/>
        </w:rPr>
        <w:t>We derive a significant portion of our revenues from a small number of customers and licensees, and particularly from their sale of premium tier devices, and we expect this trend to continue in the foreseeable future. Our ind</w:t>
      </w:r>
      <w:r>
        <w:rPr>
          <w:rFonts w:eastAsia="Times New Roman"/>
          <w:color w:val="000000"/>
          <w:sz w:val="20"/>
          <w:szCs w:val="20"/>
        </w:rPr>
        <w:t>ustry is experiencing and may continue to experience concentration of device share among a few companies, particularly at the premium tier, contributing to this trend. Chinese OEMs continue to grow their device share in China and are increasing their devic</w:t>
      </w:r>
      <w:r>
        <w:rPr>
          <w:rFonts w:eastAsia="Times New Roman"/>
          <w:color w:val="000000"/>
          <w:sz w:val="20"/>
          <w:szCs w:val="20"/>
        </w:rPr>
        <w:t>e share in regions outside of China, and we derive a significant portion of our revenues from a small number of these OEMs as well. See also “Notes to Condensed Consolidated Financial Statements, Note 2. Composition of Certain Financial Statement Items - C</w:t>
      </w:r>
      <w:r>
        <w:rPr>
          <w:rFonts w:eastAsia="Times New Roman"/>
          <w:color w:val="000000"/>
          <w:sz w:val="20"/>
          <w:szCs w:val="20"/>
        </w:rPr>
        <w:t>oncentrations.”</w:t>
      </w:r>
    </w:p>
    <w:p w:rsidR="00000000" w:rsidRDefault="00786A01">
      <w:pPr>
        <w:ind w:firstLine="360"/>
        <w:divId w:val="107704487"/>
        <w:rPr>
          <w:rFonts w:eastAsia="Times New Roman"/>
        </w:rPr>
      </w:pPr>
      <w:r>
        <w:rPr>
          <w:rFonts w:eastAsia="Times New Roman"/>
          <w:color w:val="000000"/>
          <w:sz w:val="20"/>
          <w:szCs w:val="20"/>
        </w:rPr>
        <w:t>In addition, a number of our largest integrated circuit customers have developed, are developing or may develop their own integrated circuit products, or may choose our competitors’ integrated circuit products, which they have in the past u</w:t>
      </w:r>
      <w:r>
        <w:rPr>
          <w:rFonts w:eastAsia="Times New Roman"/>
          <w:color w:val="000000"/>
          <w:sz w:val="20"/>
          <w:szCs w:val="20"/>
        </w:rPr>
        <w:t>tilized, currently utilize and may in the future utilize in some (or all) of their devices, rather than our products, which could significantly reduce the revenues we derive from these customers. See also the Risk Factor titled “</w:t>
      </w:r>
      <w:r>
        <w:rPr>
          <w:rFonts w:eastAsia="Times New Roman"/>
          <w:i/>
          <w:iCs/>
          <w:color w:val="000000"/>
          <w:sz w:val="20"/>
          <w:szCs w:val="20"/>
        </w:rPr>
        <w:t xml:space="preserve">Our business, particularly </w:t>
      </w:r>
      <w:r>
        <w:rPr>
          <w:rFonts w:eastAsia="Times New Roman"/>
          <w:i/>
          <w:iCs/>
          <w:color w:val="000000"/>
          <w:sz w:val="20"/>
          <w:szCs w:val="20"/>
        </w:rPr>
        <w:t>our semiconductor business, may suffer as a result of our customers vertically integrating (i.e., developing their own integrated circuit products)</w:t>
      </w:r>
      <w:r>
        <w:rPr>
          <w:rFonts w:eastAsia="Times New Roman"/>
          <w:color w:val="000000"/>
          <w:sz w:val="20"/>
          <w:szCs w:val="20"/>
        </w:rPr>
        <w:t>.”</w:t>
      </w:r>
    </w:p>
    <w:p w:rsidR="00000000" w:rsidRDefault="00786A01">
      <w:pPr>
        <w:ind w:firstLine="360"/>
        <w:divId w:val="1605261996"/>
        <w:rPr>
          <w:rFonts w:eastAsia="Times New Roman"/>
        </w:rPr>
      </w:pPr>
      <w:r>
        <w:rPr>
          <w:rFonts w:eastAsia="Times New Roman"/>
          <w:color w:val="000000"/>
          <w:sz w:val="20"/>
          <w:szCs w:val="20"/>
        </w:rPr>
        <w:t>Further, political actions, including trade and/or national security protection policies, or other actions</w:t>
      </w:r>
      <w:r>
        <w:rPr>
          <w:rFonts w:eastAsia="Times New Roman"/>
          <w:color w:val="000000"/>
          <w:sz w:val="20"/>
          <w:szCs w:val="20"/>
        </w:rPr>
        <w:t xml:space="preserve"> by governments, particularly the U.S. and Chinese governments, have in the past, currently are and could in the future limit or prevent us from transacting business with certain of our customers, limit, prevent or discourage those customers from transacti</w:t>
      </w:r>
      <w:r>
        <w:rPr>
          <w:rFonts w:eastAsia="Times New Roman"/>
          <w:color w:val="000000"/>
          <w:sz w:val="20"/>
          <w:szCs w:val="20"/>
        </w:rPr>
        <w:t>ng business with us, or make it more expensive to do so, any of which could also significantly reduce the revenues we derive from these customers. See also the Risk Factor titled “</w:t>
      </w:r>
      <w:r>
        <w:rPr>
          <w:rFonts w:eastAsia="Times New Roman"/>
          <w:i/>
          <w:iCs/>
          <w:color w:val="000000"/>
          <w:sz w:val="20"/>
          <w:szCs w:val="20"/>
        </w:rPr>
        <w:t>A significant portion of our business is concentrated in China, and the risk</w:t>
      </w:r>
      <w:r>
        <w:rPr>
          <w:rFonts w:eastAsia="Times New Roman"/>
          <w:i/>
          <w:iCs/>
          <w:color w:val="000000"/>
          <w:sz w:val="20"/>
          <w:szCs w:val="20"/>
        </w:rPr>
        <w:t>s of such concentration are exacerbated by U.S./China trade and national security tensions</w:t>
      </w:r>
      <w:r>
        <w:rPr>
          <w:rFonts w:eastAsia="Times New Roman"/>
          <w:color w:val="000000"/>
          <w:sz w:val="20"/>
          <w:szCs w:val="20"/>
        </w:rPr>
        <w:t>.”</w:t>
      </w:r>
    </w:p>
    <w:p w:rsidR="00000000" w:rsidRDefault="00786A01">
      <w:pPr>
        <w:ind w:firstLine="360"/>
        <w:divId w:val="435909984"/>
        <w:rPr>
          <w:rFonts w:eastAsia="Times New Roman"/>
        </w:rPr>
      </w:pPr>
      <w:r>
        <w:rPr>
          <w:rFonts w:eastAsia="Times New Roman"/>
          <w:color w:val="000000"/>
          <w:sz w:val="20"/>
          <w:szCs w:val="20"/>
        </w:rPr>
        <w:t>In addition, we spend a significant amount of engineering and development time, funds and resources in understanding our key customers’ feedback and/or specificati</w:t>
      </w:r>
      <w:r>
        <w:rPr>
          <w:rFonts w:eastAsia="Times New Roman"/>
          <w:color w:val="000000"/>
          <w:sz w:val="20"/>
          <w:szCs w:val="20"/>
        </w:rPr>
        <w:t>ons and attempt to incorporate such input into our product launches and technologies. These efforts may not require or result in purchase commitments from such customers or we may have lower purchases from such customers than expected, and consequently, we</w:t>
      </w:r>
      <w:r>
        <w:rPr>
          <w:rFonts w:eastAsia="Times New Roman"/>
          <w:color w:val="000000"/>
          <w:sz w:val="20"/>
          <w:szCs w:val="20"/>
        </w:rPr>
        <w:t xml:space="preserve"> may not achieve the anticipated revenues from these efforts, or these efforts may result in non-recoverable costs.</w:t>
      </w:r>
    </w:p>
    <w:p w:rsidR="00000000" w:rsidRDefault="00786A01">
      <w:pPr>
        <w:ind w:firstLine="360"/>
        <w:divId w:val="329187368"/>
        <w:rPr>
          <w:rFonts w:eastAsia="Times New Roman"/>
        </w:rPr>
      </w:pPr>
      <w:r>
        <w:rPr>
          <w:rFonts w:eastAsia="Times New Roman"/>
          <w:color w:val="000000"/>
          <w:sz w:val="20"/>
          <w:szCs w:val="20"/>
        </w:rPr>
        <w:t>The loss of any one of our significant customers, a reduction in the purchases of our products by such customers or the cancelation of signi</w:t>
      </w:r>
      <w:r>
        <w:rPr>
          <w:rFonts w:eastAsia="Times New Roman"/>
          <w:color w:val="000000"/>
          <w:sz w:val="20"/>
          <w:szCs w:val="20"/>
        </w:rPr>
        <w:t>ficant purchases by any of these customers, whether due to the use of their own integrated circuit products or our competitors’ integrated circuit products, government restrictions, the COVID-19 pandemic or otherwise, would reduce our revenues and could ha</w:t>
      </w:r>
      <w:r>
        <w:rPr>
          <w:rFonts w:eastAsia="Times New Roman"/>
          <w:color w:val="000000"/>
          <w:sz w:val="20"/>
          <w:szCs w:val="20"/>
        </w:rPr>
        <w:t>rm our ability to achieve or sustain expected results of operations, and a delay of significant purchases, even if only temporary, would reduce our revenues in the period of the delay. Any such reduction in revenues would also impact our cash resources ava</w:t>
      </w:r>
      <w:r>
        <w:rPr>
          <w:rFonts w:eastAsia="Times New Roman"/>
          <w:color w:val="000000"/>
          <w:sz w:val="20"/>
          <w:szCs w:val="20"/>
        </w:rPr>
        <w:t xml:space="preserve">ilable for other purposes, such as research and development. </w:t>
      </w:r>
    </w:p>
    <w:p w:rsidR="00000000" w:rsidRDefault="00786A01">
      <w:pPr>
        <w:ind w:firstLine="360"/>
        <w:divId w:val="274485453"/>
        <w:rPr>
          <w:rFonts w:eastAsia="Times New Roman"/>
        </w:rPr>
      </w:pPr>
      <w:r>
        <w:rPr>
          <w:rFonts w:eastAsia="Times New Roman"/>
          <w:color w:val="000000"/>
          <w:sz w:val="20"/>
          <w:szCs w:val="20"/>
        </w:rPr>
        <w:t>Further, the concentration of device share among a few companies, and the corresponding purchasing power of these companies, may result in lower prices for our products which, if not accompanied by a sufficient increase in the volume of purchases of our pr</w:t>
      </w:r>
      <w:r>
        <w:rPr>
          <w:rFonts w:eastAsia="Times New Roman"/>
          <w:color w:val="000000"/>
          <w:sz w:val="20"/>
          <w:szCs w:val="20"/>
        </w:rPr>
        <w:t>oducts, could have an adverse effect on our revenues and margins. In addition, the timing and size of purchases by our significant customers may be impacted by the timing of such customers’ new or next generation product introductions, over which we have n</w:t>
      </w:r>
      <w:r>
        <w:rPr>
          <w:rFonts w:eastAsia="Times New Roman"/>
          <w:color w:val="000000"/>
          <w:sz w:val="20"/>
          <w:szCs w:val="20"/>
        </w:rPr>
        <w:t xml:space="preserve">o control, and the timing and success of such introductions may cause our revenues and results of operations to fluctuate. </w:t>
      </w:r>
    </w:p>
    <w:p w:rsidR="00000000" w:rsidRDefault="00786A01">
      <w:pPr>
        <w:ind w:firstLine="360"/>
        <w:divId w:val="2016103884"/>
        <w:rPr>
          <w:rFonts w:eastAsia="Times New Roman"/>
        </w:rPr>
      </w:pPr>
      <w:r>
        <w:rPr>
          <w:rFonts w:eastAsia="Times New Roman"/>
          <w:color w:val="000000"/>
          <w:sz w:val="20"/>
          <w:szCs w:val="20"/>
        </w:rPr>
        <w:t>Apple purchases our MDM (or thin modem) products, which do not include our integrated application processor technology, and which ha</w:t>
      </w:r>
      <w:r>
        <w:rPr>
          <w:rFonts w:eastAsia="Times New Roman"/>
          <w:color w:val="000000"/>
          <w:sz w:val="20"/>
          <w:szCs w:val="20"/>
        </w:rPr>
        <w:t xml:space="preserve">ve lower revenue and margin contributions than our combined modem and application processor products. Further, to the extent Apple takes device share from our customers who purchase our integrated modem and application processor products, our revenues and </w:t>
      </w:r>
      <w:r>
        <w:rPr>
          <w:rFonts w:eastAsia="Times New Roman"/>
          <w:color w:val="000000"/>
          <w:sz w:val="20"/>
          <w:szCs w:val="20"/>
        </w:rPr>
        <w:t>margins may be negatively impacted.</w:t>
      </w:r>
    </w:p>
    <w:p w:rsidR="00000000" w:rsidRDefault="00786A01">
      <w:pPr>
        <w:ind w:firstLine="360"/>
        <w:divId w:val="661859836"/>
        <w:rPr>
          <w:rFonts w:eastAsia="Times New Roman"/>
        </w:rPr>
      </w:pPr>
      <w:r>
        <w:rPr>
          <w:rFonts w:eastAsia="Times New Roman"/>
          <w:color w:val="000000"/>
          <w:sz w:val="20"/>
          <w:szCs w:val="20"/>
        </w:rPr>
        <w:t>Our industry has also experienced, and we expect it will continue to experience, slowing growth in the premium-tier device segment due to, among other factors, lengthening replacement cycles in developed regions, where p</w:t>
      </w:r>
      <w:r>
        <w:rPr>
          <w:rFonts w:eastAsia="Times New Roman"/>
          <w:color w:val="000000"/>
          <w:sz w:val="20"/>
          <w:szCs w:val="20"/>
        </w:rPr>
        <w:t>remium-tier smartphones are common; increasing consumer demand in emerging regions where premium-tier smartphones are less common and replacement cycles are on average longer than in developed regions and are continuing to lengthen; and a maturing premium-</w:t>
      </w:r>
      <w:r>
        <w:rPr>
          <w:rFonts w:eastAsia="Times New Roman"/>
          <w:color w:val="000000"/>
          <w:sz w:val="20"/>
          <w:szCs w:val="20"/>
        </w:rPr>
        <w:t>tier smartphone industry in which demand is increasingly driven by new product launches and innovation cycles.</w:t>
      </w:r>
    </w:p>
    <w:p w:rsidR="00000000" w:rsidRDefault="00786A01">
      <w:pPr>
        <w:jc w:val="center"/>
        <w:divId w:val="963534684"/>
        <w:rPr>
          <w:rFonts w:eastAsia="Times New Roman"/>
        </w:rPr>
      </w:pPr>
      <w:r>
        <w:rPr>
          <w:rFonts w:eastAsia="Times New Roman"/>
          <w:color w:val="000000"/>
          <w:sz w:val="20"/>
          <w:szCs w:val="20"/>
        </w:rPr>
        <w:t>36</w:t>
      </w:r>
    </w:p>
    <w:p w:rsidR="00000000" w:rsidRDefault="00786A01">
      <w:pPr>
        <w:rPr>
          <w:rFonts w:eastAsia="Times New Roman"/>
        </w:rPr>
      </w:pPr>
      <w:r>
        <w:rPr>
          <w:rFonts w:eastAsia="Times New Roman"/>
        </w:rPr>
        <w:pict>
          <v:rect id="_x0000_i1059" style="width:0;height:1.5pt" o:hralign="center" o:hrstd="t" o:hr="t" fillcolor="#a0a0a0" stroked="f"/>
        </w:pict>
      </w:r>
    </w:p>
    <w:p w:rsidR="00000000" w:rsidRDefault="00786A01">
      <w:pPr>
        <w:divId w:val="764960545"/>
        <w:rPr>
          <w:rFonts w:eastAsia="Times New Roman"/>
        </w:rPr>
      </w:pPr>
    </w:p>
    <w:p w:rsidR="00000000" w:rsidRDefault="00786A01">
      <w:pPr>
        <w:ind w:firstLine="360"/>
        <w:divId w:val="533543583"/>
        <w:rPr>
          <w:rFonts w:eastAsia="Times New Roman"/>
        </w:rPr>
      </w:pPr>
      <w:r>
        <w:rPr>
          <w:rFonts w:eastAsia="Times New Roman"/>
          <w:color w:val="000000"/>
          <w:sz w:val="20"/>
          <w:szCs w:val="20"/>
        </w:rPr>
        <w:t>A reduction in sales of premium-tier devices, a reduction in sales of our premium-tier integrated circuit products (which have a higher revenue and margin contribution than our lower-tier integrated circuit products), or a shift in share away from OEMs tha</w:t>
      </w:r>
      <w:r>
        <w:rPr>
          <w:rFonts w:eastAsia="Times New Roman"/>
          <w:color w:val="000000"/>
          <w:sz w:val="20"/>
          <w:szCs w:val="20"/>
        </w:rPr>
        <w:t xml:space="preserve">t utilize our premium-tier products, would reduce our revenues and margins and may harm our ability to achieve or sustain expected financial results. Any such reduction in revenues would also impact our cash resources available for other purposes, such as </w:t>
      </w:r>
      <w:r>
        <w:rPr>
          <w:rFonts w:eastAsia="Times New Roman"/>
          <w:color w:val="000000"/>
          <w:sz w:val="20"/>
          <w:szCs w:val="20"/>
        </w:rPr>
        <w:t xml:space="preserve">research and development. </w:t>
      </w:r>
    </w:p>
    <w:p w:rsidR="00000000" w:rsidRDefault="00786A01">
      <w:pPr>
        <w:ind w:firstLine="360"/>
        <w:divId w:val="151455559"/>
        <w:rPr>
          <w:rFonts w:eastAsia="Times New Roman"/>
        </w:rPr>
      </w:pPr>
      <w:r>
        <w:rPr>
          <w:rFonts w:eastAsia="Times New Roman"/>
          <w:color w:val="000000"/>
          <w:sz w:val="20"/>
          <w:szCs w:val="20"/>
        </w:rPr>
        <w:t>Although we have more than 300 licensees, we derive a significant portion of our licensing revenues from a limited number of licensees, which includes a number of Chinese OEMs. In the event that one or more of our significant lic</w:t>
      </w:r>
      <w:r>
        <w:rPr>
          <w:rFonts w:eastAsia="Times New Roman"/>
          <w:color w:val="000000"/>
          <w:sz w:val="20"/>
          <w:szCs w:val="20"/>
        </w:rPr>
        <w:t>ensees fail to meet their reporting and payment obligations, or we are unable to renew or modify one or more of their license agreements under similar terms as their existing agreements, our revenues, results of operations and cash flows would be adversely</w:t>
      </w:r>
      <w:r>
        <w:rPr>
          <w:rFonts w:eastAsia="Times New Roman"/>
          <w:color w:val="000000"/>
          <w:sz w:val="20"/>
          <w:szCs w:val="20"/>
        </w:rPr>
        <w:t xml:space="preserve"> impacted. Moreover, the future growth and success of our core licensing business will depend in part on the ability of our licensees to develop, introduce and deliver high-volume products that achieve and sustain customer acceptance. We do not have contro</w:t>
      </w:r>
      <w:r>
        <w:rPr>
          <w:rFonts w:eastAsia="Times New Roman"/>
          <w:color w:val="000000"/>
          <w:sz w:val="20"/>
          <w:szCs w:val="20"/>
        </w:rPr>
        <w:t>l over the product development, sales efforts or pricing of products by our licensees, and our licensees might not be successful. Reductions in sales of our licensees’ products, or reductions in the average selling prices of wireless devices sold by our li</w:t>
      </w:r>
      <w:r>
        <w:rPr>
          <w:rFonts w:eastAsia="Times New Roman"/>
          <w:color w:val="000000"/>
          <w:sz w:val="20"/>
          <w:szCs w:val="20"/>
        </w:rPr>
        <w:t>censees without a sufficient increase in the volumes of such devices sold, would generally have an adverse effect on our licensing revenues. Such adverse impact may be mitigated by our per unit royalty caps that apply to certain categories of our licensees</w:t>
      </w:r>
      <w:r>
        <w:rPr>
          <w:rFonts w:eastAsia="Times New Roman"/>
          <w:color w:val="000000"/>
          <w:sz w:val="20"/>
          <w:szCs w:val="20"/>
        </w:rPr>
        <w:t>’ complete wireless devices, namely smartphones, tablets, laptops and smartwatches.</w:t>
      </w:r>
    </w:p>
    <w:p w:rsidR="00000000" w:rsidRDefault="00786A01">
      <w:pPr>
        <w:divId w:val="688143768"/>
        <w:rPr>
          <w:rFonts w:eastAsia="Times New Roman"/>
        </w:rPr>
      </w:pPr>
      <w:r>
        <w:rPr>
          <w:rFonts w:eastAsia="Times New Roman"/>
          <w:b/>
          <w:bCs/>
          <w:i/>
          <w:iCs/>
          <w:color w:val="000000"/>
          <w:sz w:val="20"/>
          <w:szCs w:val="20"/>
        </w:rPr>
        <w:t>Our business, particularly our semiconductor business, may suffer as a result of our customers vertically integrating (i.e., developing their own integrated circuit product</w:t>
      </w:r>
      <w:r>
        <w:rPr>
          <w:rFonts w:eastAsia="Times New Roman"/>
          <w:b/>
          <w:bCs/>
          <w:i/>
          <w:iCs/>
          <w:color w:val="000000"/>
          <w:sz w:val="20"/>
          <w:szCs w:val="20"/>
        </w:rPr>
        <w:t>s).</w:t>
      </w:r>
    </w:p>
    <w:p w:rsidR="00000000" w:rsidRDefault="00786A01">
      <w:pPr>
        <w:ind w:firstLine="360"/>
        <w:divId w:val="2017153627"/>
        <w:rPr>
          <w:rFonts w:eastAsia="Times New Roman"/>
        </w:rPr>
      </w:pPr>
      <w:r>
        <w:rPr>
          <w:rFonts w:eastAsia="Times New Roman"/>
          <w:color w:val="000000"/>
          <w:sz w:val="20"/>
          <w:szCs w:val="20"/>
        </w:rPr>
        <w:t>Certain of our largest integrated circuit customers (for example, Samsung) develop their own integrated circuit products, which they have in the past utilized, and currently utilize, in certain of their devices and may in the future utilize in some (or</w:t>
      </w:r>
      <w:r>
        <w:rPr>
          <w:rFonts w:eastAsia="Times New Roman"/>
          <w:color w:val="000000"/>
          <w:sz w:val="20"/>
          <w:szCs w:val="20"/>
        </w:rPr>
        <w:t xml:space="preserve"> all) of their devices, rather than our products (and they have and may continue to sell their integrated circuit products to third parties, discretely or together with certain of their other products, in competition with us). </w:t>
      </w:r>
    </w:p>
    <w:p w:rsidR="00000000" w:rsidRDefault="00786A01">
      <w:pPr>
        <w:ind w:firstLine="360"/>
        <w:divId w:val="59139994"/>
        <w:rPr>
          <w:rFonts w:eastAsia="Times New Roman"/>
        </w:rPr>
      </w:pPr>
      <w:r>
        <w:rPr>
          <w:rFonts w:eastAsia="Times New Roman"/>
          <w:color w:val="000000"/>
          <w:sz w:val="20"/>
          <w:szCs w:val="20"/>
        </w:rPr>
        <w:t>Apple has utilized modem pro</w:t>
      </w:r>
      <w:r>
        <w:rPr>
          <w:rFonts w:eastAsia="Times New Roman"/>
          <w:color w:val="000000"/>
          <w:sz w:val="20"/>
          <w:szCs w:val="20"/>
        </w:rPr>
        <w:t>ducts of one of our competitors in some of its devices rather than our products, and solely utilized one of our competitors’ products in several of its prior device launches. In April 2019, we entered into a new multi-year chipset supply agreement with App</w:t>
      </w:r>
      <w:r>
        <w:rPr>
          <w:rFonts w:eastAsia="Times New Roman"/>
          <w:color w:val="000000"/>
          <w:sz w:val="20"/>
          <w:szCs w:val="20"/>
        </w:rPr>
        <w:t>le and began shipping modems under this agreement in the third quarter of fiscal 2020. In December 2019, Apple acquired Intel’s modem assets and is developing its own modem products using these assets. Accordingly, Apple is expected to use its own modem pr</w:t>
      </w:r>
      <w:r>
        <w:rPr>
          <w:rFonts w:eastAsia="Times New Roman"/>
          <w:color w:val="000000"/>
          <w:sz w:val="20"/>
          <w:szCs w:val="20"/>
        </w:rPr>
        <w:t xml:space="preserve">oducts, rather than our products, in some (or all) of its future devices. </w:t>
      </w:r>
    </w:p>
    <w:p w:rsidR="00000000" w:rsidRDefault="00786A01">
      <w:pPr>
        <w:ind w:firstLine="360"/>
        <w:divId w:val="405536992"/>
        <w:rPr>
          <w:rFonts w:eastAsia="Times New Roman"/>
        </w:rPr>
      </w:pPr>
      <w:r>
        <w:rPr>
          <w:rFonts w:eastAsia="Times New Roman"/>
          <w:color w:val="000000"/>
          <w:sz w:val="20"/>
          <w:szCs w:val="20"/>
        </w:rPr>
        <w:t>Similarly, we derive a significant portion of our revenues from Chinese OEMs. Certain of our customers in China have developed, and others may in the future develop, their own integ</w:t>
      </w:r>
      <w:r>
        <w:rPr>
          <w:rFonts w:eastAsia="Times New Roman"/>
          <w:color w:val="000000"/>
          <w:sz w:val="20"/>
          <w:szCs w:val="20"/>
        </w:rPr>
        <w:t xml:space="preserve">rated circuit products and use such integrated circuit products in their devices rather than our integrated circuit products, including due to pressure from or policies of the Chinese government (whose </w:t>
      </w:r>
      <w:r>
        <w:rPr>
          <w:rFonts w:eastAsia="Times New Roman"/>
          <w:i/>
          <w:iCs/>
          <w:color w:val="000000"/>
          <w:sz w:val="20"/>
          <w:szCs w:val="20"/>
        </w:rPr>
        <w:t>Made in China 2025</w:t>
      </w:r>
      <w:r>
        <w:rPr>
          <w:rFonts w:eastAsia="Times New Roman"/>
          <w:color w:val="000000"/>
          <w:sz w:val="20"/>
          <w:szCs w:val="20"/>
        </w:rPr>
        <w:t xml:space="preserve"> campaign targets 70% semiconductor </w:t>
      </w:r>
      <w:r>
        <w:rPr>
          <w:rFonts w:eastAsia="Times New Roman"/>
          <w:color w:val="000000"/>
          <w:sz w:val="20"/>
          <w:szCs w:val="20"/>
        </w:rPr>
        <w:t>self-sufficiency by 2025), concerns over losing access to our integrated circuit products as a result of actual, threatened or potential U.S. or Chinese government actions or policies, including trade protection or national security policies, or other reas</w:t>
      </w:r>
      <w:r>
        <w:rPr>
          <w:rFonts w:eastAsia="Times New Roman"/>
          <w:color w:val="000000"/>
          <w:sz w:val="20"/>
          <w:szCs w:val="20"/>
        </w:rPr>
        <w:t xml:space="preserve">ons. </w:t>
      </w:r>
    </w:p>
    <w:p w:rsidR="00000000" w:rsidRDefault="00786A01">
      <w:pPr>
        <w:ind w:firstLine="360"/>
        <w:divId w:val="693919731"/>
        <w:rPr>
          <w:rFonts w:eastAsia="Times New Roman"/>
        </w:rPr>
      </w:pPr>
      <w:r>
        <w:rPr>
          <w:rFonts w:eastAsia="Times New Roman"/>
          <w:color w:val="000000"/>
          <w:sz w:val="20"/>
          <w:szCs w:val="20"/>
        </w:rPr>
        <w:t>If some or all of our largest customers and/or the largest smartphone OEMs utilize their own integrated circuit/modem products in some (or all) of their devices rather than our products, our business, revenues, results of operations, cash flows and f</w:t>
      </w:r>
      <w:r>
        <w:rPr>
          <w:rFonts w:eastAsia="Times New Roman"/>
          <w:color w:val="000000"/>
          <w:sz w:val="20"/>
          <w:szCs w:val="20"/>
        </w:rPr>
        <w:t>inancial position could be materially adversely impacted. See also the Risk Factor titled “</w:t>
      </w:r>
      <w:r>
        <w:rPr>
          <w:rFonts w:eastAsia="Times New Roman"/>
          <w:i/>
          <w:iCs/>
          <w:color w:val="000000"/>
          <w:sz w:val="20"/>
          <w:szCs w:val="20"/>
        </w:rPr>
        <w:t>We derive a significant portion of our revenues from a small number of customers and licensees, and particularly from their sale of premium tier devices. If revenues</w:t>
      </w:r>
      <w:r>
        <w:rPr>
          <w:rFonts w:eastAsia="Times New Roman"/>
          <w:i/>
          <w:iCs/>
          <w:color w:val="000000"/>
          <w:sz w:val="20"/>
          <w:szCs w:val="20"/>
        </w:rPr>
        <w:t xml:space="preserve"> derived from these customers or licensees decrease or the timing of such revenues fluctuates, our business and results of operations could be negatively affected</w:t>
      </w:r>
      <w:r>
        <w:rPr>
          <w:rFonts w:eastAsia="Times New Roman"/>
          <w:color w:val="000000"/>
          <w:sz w:val="20"/>
          <w:szCs w:val="20"/>
        </w:rPr>
        <w:t>.”</w:t>
      </w:r>
    </w:p>
    <w:p w:rsidR="00000000" w:rsidRDefault="00786A01">
      <w:pPr>
        <w:divId w:val="466556604"/>
        <w:rPr>
          <w:rFonts w:eastAsia="Times New Roman"/>
        </w:rPr>
      </w:pPr>
      <w:r>
        <w:rPr>
          <w:rFonts w:eastAsia="Times New Roman"/>
          <w:b/>
          <w:bCs/>
          <w:i/>
          <w:iCs/>
          <w:color w:val="000000"/>
          <w:sz w:val="20"/>
          <w:szCs w:val="20"/>
        </w:rPr>
        <w:t>A significant portion of our business is concentrated in China, and the risks of such conce</w:t>
      </w:r>
      <w:r>
        <w:rPr>
          <w:rFonts w:eastAsia="Times New Roman"/>
          <w:b/>
          <w:bCs/>
          <w:i/>
          <w:iCs/>
          <w:color w:val="000000"/>
          <w:sz w:val="20"/>
          <w:szCs w:val="20"/>
        </w:rPr>
        <w:t>ntration are exacerbated by U.S./China trade and national security tensions.</w:t>
      </w:r>
    </w:p>
    <w:p w:rsidR="00000000" w:rsidRDefault="00786A01">
      <w:pPr>
        <w:ind w:firstLine="360"/>
        <w:divId w:val="751858133"/>
        <w:rPr>
          <w:rFonts w:eastAsia="Times New Roman"/>
        </w:rPr>
      </w:pPr>
      <w:r>
        <w:rPr>
          <w:rFonts w:eastAsia="Times New Roman"/>
          <w:color w:val="000000"/>
          <w:sz w:val="20"/>
          <w:szCs w:val="20"/>
        </w:rPr>
        <w:t>We derive a significant portion of our revenues from Chinese OEMs, and from non-Chinese OEMs that utilize our integrated circuit products in their devices and sell those devices i</w:t>
      </w:r>
      <w:r>
        <w:rPr>
          <w:rFonts w:eastAsia="Times New Roman"/>
          <w:color w:val="000000"/>
          <w:sz w:val="20"/>
          <w:szCs w:val="20"/>
        </w:rPr>
        <w:t>nto China, which has the largest number of smartphone users in the world. We also source certain critical integrated circuit products from suppliers in China.</w:t>
      </w:r>
    </w:p>
    <w:p w:rsidR="00000000" w:rsidRDefault="00786A01">
      <w:pPr>
        <w:ind w:firstLine="360"/>
        <w:divId w:val="625234924"/>
        <w:rPr>
          <w:rFonts w:eastAsia="Times New Roman"/>
        </w:rPr>
      </w:pPr>
      <w:r>
        <w:rPr>
          <w:rFonts w:eastAsia="Times New Roman"/>
          <w:color w:val="000000"/>
          <w:sz w:val="20"/>
          <w:szCs w:val="20"/>
        </w:rPr>
        <w:t>Due to various factors, including pressure, encouragement or incentives from, or policies of, the</w:t>
      </w:r>
      <w:r>
        <w:rPr>
          <w:rFonts w:eastAsia="Times New Roman"/>
          <w:color w:val="000000"/>
          <w:sz w:val="20"/>
          <w:szCs w:val="20"/>
        </w:rPr>
        <w:t xml:space="preserve"> Chinese government (including its </w:t>
      </w:r>
      <w:r>
        <w:rPr>
          <w:rFonts w:eastAsia="Times New Roman"/>
          <w:i/>
          <w:iCs/>
          <w:color w:val="000000"/>
          <w:sz w:val="20"/>
          <w:szCs w:val="20"/>
        </w:rPr>
        <w:t>Made in China 2025</w:t>
      </w:r>
      <w:r>
        <w:rPr>
          <w:rFonts w:eastAsia="Times New Roman"/>
          <w:color w:val="000000"/>
          <w:sz w:val="20"/>
          <w:szCs w:val="20"/>
        </w:rPr>
        <w:t xml:space="preserve"> campaign), concerns over losing access to our integrated circuit products as a result of actual, threatened or potential U.S. or Chinese government actions or policies, including trade protection or nat</w:t>
      </w:r>
      <w:r>
        <w:rPr>
          <w:rFonts w:eastAsia="Times New Roman"/>
          <w:color w:val="000000"/>
          <w:sz w:val="20"/>
          <w:szCs w:val="20"/>
        </w:rPr>
        <w:t>ional security policies, or other reasons, some of our Chinese integrated circuit customers have developed, and others may in the future develop, their own integrated circuit products and use such integrated circuit products in their devices, or use our co</w:t>
      </w:r>
      <w:r>
        <w:rPr>
          <w:rFonts w:eastAsia="Times New Roman"/>
          <w:color w:val="000000"/>
          <w:sz w:val="20"/>
          <w:szCs w:val="20"/>
        </w:rPr>
        <w:t xml:space="preserve">mpetitors’ integrated circuit products in their devices, rather than our products. </w:t>
      </w:r>
    </w:p>
    <w:p w:rsidR="00000000" w:rsidRDefault="00786A01">
      <w:pPr>
        <w:jc w:val="center"/>
        <w:divId w:val="807480566"/>
        <w:rPr>
          <w:rFonts w:eastAsia="Times New Roman"/>
        </w:rPr>
      </w:pPr>
      <w:r>
        <w:rPr>
          <w:rFonts w:eastAsia="Times New Roman"/>
          <w:color w:val="000000"/>
          <w:sz w:val="20"/>
          <w:szCs w:val="20"/>
        </w:rPr>
        <w:t>37</w:t>
      </w:r>
    </w:p>
    <w:p w:rsidR="00000000" w:rsidRDefault="00786A01">
      <w:pPr>
        <w:rPr>
          <w:rFonts w:eastAsia="Times New Roman"/>
        </w:rPr>
      </w:pPr>
      <w:r>
        <w:rPr>
          <w:rFonts w:eastAsia="Times New Roman"/>
        </w:rPr>
        <w:pict>
          <v:rect id="_x0000_i1060" style="width:0;height:1.5pt" o:hralign="center" o:hrstd="t" o:hr="t" fillcolor="#a0a0a0" stroked="f"/>
        </w:pict>
      </w:r>
    </w:p>
    <w:p w:rsidR="00000000" w:rsidRDefault="00786A01">
      <w:pPr>
        <w:divId w:val="1276130815"/>
        <w:rPr>
          <w:rFonts w:eastAsia="Times New Roman"/>
        </w:rPr>
      </w:pPr>
    </w:p>
    <w:p w:rsidR="00000000" w:rsidRDefault="00786A01">
      <w:pPr>
        <w:ind w:firstLine="360"/>
        <w:divId w:val="511267030"/>
        <w:rPr>
          <w:rFonts w:eastAsia="Times New Roman"/>
        </w:rPr>
      </w:pPr>
      <w:r>
        <w:rPr>
          <w:rFonts w:eastAsia="Times New Roman"/>
          <w:color w:val="000000"/>
          <w:sz w:val="20"/>
          <w:szCs w:val="20"/>
        </w:rPr>
        <w:t>Political actions, including trade protection and national security policies of the U.S. and Chinese governments, such as tariffs,</w:t>
      </w:r>
      <w:r>
        <w:rPr>
          <w:rFonts w:eastAsia="Times New Roman"/>
          <w:color w:val="000000"/>
          <w:sz w:val="20"/>
          <w:szCs w:val="20"/>
        </w:rPr>
        <w:t xml:space="preserve"> bans or placing companies on restricted entity lists, have in the past, currently are and could in the future limit or prevent us from transacting business with certain of our Chinese customers or suppliers, limit, prevent or discourage certain of our Chi</w:t>
      </w:r>
      <w:r>
        <w:rPr>
          <w:rFonts w:eastAsia="Times New Roman"/>
          <w:color w:val="000000"/>
          <w:sz w:val="20"/>
          <w:szCs w:val="20"/>
        </w:rPr>
        <w:t xml:space="preserve">nese customers or suppliers from transacting business with us, or make it more expensive to do so. Given our revenue concentration in China, if, due to actual, threatened or potential U.S. or Chinese government actions or policies, we were further limited </w:t>
      </w:r>
      <w:r>
        <w:rPr>
          <w:rFonts w:eastAsia="Times New Roman"/>
          <w:color w:val="000000"/>
          <w:sz w:val="20"/>
          <w:szCs w:val="20"/>
        </w:rPr>
        <w:t xml:space="preserve">in, or prohibited from, selling our integrated circuit products to Chinese OEMs; if our non-Chinese OEM customers were limited in, or prohibited from, selling devices into China that incorporate our integrated circuit products; if Chinese OEMs develop and </w:t>
      </w:r>
      <w:r>
        <w:rPr>
          <w:rFonts w:eastAsia="Times New Roman"/>
          <w:color w:val="000000"/>
          <w:sz w:val="20"/>
          <w:szCs w:val="20"/>
        </w:rPr>
        <w:t>use their own integrated circuit products or use our competitors’ integrated circuit products in some (or all) of their devices rather than our integrated circuit products; if Chinese tariffs on our integrated circuit products or on devices which incorpora</w:t>
      </w:r>
      <w:r>
        <w:rPr>
          <w:rFonts w:eastAsia="Times New Roman"/>
          <w:color w:val="000000"/>
          <w:sz w:val="20"/>
          <w:szCs w:val="20"/>
        </w:rPr>
        <w:t>te our integrated circuit products made purchasing such products or devices more expensive to Chinese OEMs or Chinese consumers; or if our Chinese licensees delay or cease making payments of license fees they owe us, our business, revenues, results of oper</w:t>
      </w:r>
      <w:r>
        <w:rPr>
          <w:rFonts w:eastAsia="Times New Roman"/>
          <w:color w:val="000000"/>
          <w:sz w:val="20"/>
          <w:szCs w:val="20"/>
        </w:rPr>
        <w:t>ations, cash flows and financial position could be materially harmed. Similarly, if, due to U.S. or Chinese government actions or policies, we were limited in or prohibited from obtaining critical integrated circuit products from our suppliers in China, ou</w:t>
      </w:r>
      <w:r>
        <w:rPr>
          <w:rFonts w:eastAsia="Times New Roman"/>
          <w:color w:val="000000"/>
          <w:sz w:val="20"/>
          <w:szCs w:val="20"/>
        </w:rPr>
        <w:t xml:space="preserve">r business, revenues, results of operations, cash flows and financial position could be materially harmed. </w:t>
      </w:r>
    </w:p>
    <w:p w:rsidR="00000000" w:rsidRDefault="00786A01">
      <w:pPr>
        <w:ind w:firstLine="360"/>
        <w:divId w:val="928776264"/>
        <w:rPr>
          <w:rFonts w:eastAsia="Times New Roman"/>
        </w:rPr>
      </w:pPr>
      <w:r>
        <w:rPr>
          <w:rFonts w:eastAsia="Times New Roman"/>
          <w:color w:val="000000"/>
          <w:sz w:val="20"/>
          <w:szCs w:val="20"/>
        </w:rPr>
        <w:t>Finally, government policies in China that regulate the amount and timing of funds that may flow out of the country have impacted and may continue t</w:t>
      </w:r>
      <w:r>
        <w:rPr>
          <w:rFonts w:eastAsia="Times New Roman"/>
          <w:color w:val="000000"/>
          <w:sz w:val="20"/>
          <w:szCs w:val="20"/>
        </w:rPr>
        <w:t>o impact the timing of our receipt of, and/or ability to receive, payments from our customers and licensees in China, which may negatively impact our cash flows.</w:t>
      </w:r>
    </w:p>
    <w:p w:rsidR="00000000" w:rsidRDefault="00786A01">
      <w:pPr>
        <w:divId w:val="1373768566"/>
        <w:rPr>
          <w:rFonts w:eastAsia="Times New Roman"/>
        </w:rPr>
      </w:pPr>
      <w:r>
        <w:rPr>
          <w:rFonts w:eastAsia="Times New Roman"/>
          <w:b/>
          <w:bCs/>
          <w:color w:val="000000"/>
          <w:sz w:val="20"/>
          <w:szCs w:val="20"/>
        </w:rPr>
        <w:t xml:space="preserve">RISKS SPECIFIC TO OUR LICENSING BUSINESS </w:t>
      </w:r>
    </w:p>
    <w:p w:rsidR="00000000" w:rsidRDefault="00786A01">
      <w:pPr>
        <w:divId w:val="1019431541"/>
        <w:rPr>
          <w:rFonts w:eastAsia="Times New Roman"/>
        </w:rPr>
      </w:pPr>
      <w:r>
        <w:rPr>
          <w:rFonts w:eastAsia="Times New Roman"/>
          <w:b/>
          <w:bCs/>
          <w:i/>
          <w:iCs/>
          <w:color w:val="000000"/>
          <w:sz w:val="20"/>
          <w:szCs w:val="20"/>
        </w:rPr>
        <w:t>Efforts by some OEMs to avoid paying fair and reason</w:t>
      </w:r>
      <w:r>
        <w:rPr>
          <w:rFonts w:eastAsia="Times New Roman"/>
          <w:b/>
          <w:bCs/>
          <w:i/>
          <w:iCs/>
          <w:color w:val="000000"/>
          <w:sz w:val="20"/>
          <w:szCs w:val="20"/>
        </w:rPr>
        <w:t>able royalties for the use of our intellectual property may require the investment of substantial management time and financial resources and may result in legal decisions or actions by governments, courts, regulators or agencies, Standards Development Org</w:t>
      </w:r>
      <w:r>
        <w:rPr>
          <w:rFonts w:eastAsia="Times New Roman"/>
          <w:b/>
          <w:bCs/>
          <w:i/>
          <w:iCs/>
          <w:color w:val="000000"/>
          <w:sz w:val="20"/>
          <w:szCs w:val="20"/>
        </w:rPr>
        <w:t xml:space="preserve">anizations (SDOs) or other industry organizations that harm our business. </w:t>
      </w:r>
    </w:p>
    <w:p w:rsidR="00000000" w:rsidRDefault="00786A01">
      <w:pPr>
        <w:ind w:firstLine="360"/>
        <w:divId w:val="90123123"/>
        <w:rPr>
          <w:rFonts w:eastAsia="Times New Roman"/>
        </w:rPr>
      </w:pPr>
      <w:r>
        <w:rPr>
          <w:rFonts w:eastAsia="Times New Roman"/>
          <w:color w:val="000000"/>
          <w:sz w:val="20"/>
          <w:szCs w:val="20"/>
        </w:rPr>
        <w:t>From time to time, companies initiate various strategies to attempt to negotiate, renegotiate, reduce and/or eliminate their need to pay royalties to us for the use of our intellect</w:t>
      </w:r>
      <w:r>
        <w:rPr>
          <w:rFonts w:eastAsia="Times New Roman"/>
          <w:color w:val="000000"/>
          <w:sz w:val="20"/>
          <w:szCs w:val="20"/>
        </w:rPr>
        <w:t>ual property. These strategies have included: (i) litigation, often alleging infringement of patents held by such companies, patent misuse, patent exhaustion, patent invalidity or unenforceability of our patents or licenses, alleging that we do not license</w:t>
      </w:r>
      <w:r>
        <w:rPr>
          <w:rFonts w:eastAsia="Times New Roman"/>
          <w:color w:val="000000"/>
          <w:sz w:val="20"/>
          <w:szCs w:val="20"/>
        </w:rPr>
        <w:t xml:space="preserve"> our patents on fair, reasonable and nondiscriminatory (FRAND) terms, or alleging some form of unfair competition or competition law violation; (ii) taking positions contrary to our understanding (and/or the plain language) of their contracts with us; (iii</w:t>
      </w:r>
      <w:r>
        <w:rPr>
          <w:rFonts w:eastAsia="Times New Roman"/>
          <w:color w:val="000000"/>
          <w:sz w:val="20"/>
          <w:szCs w:val="20"/>
        </w:rPr>
        <w:t>) appeals to governmental authorities; (iv) collective action, including working with wireless operators, standards bodies, other like-minded companies and organizations, on both formal and informal bases, to adopt intellectual property policies and practi</w:t>
      </w:r>
      <w:r>
        <w:rPr>
          <w:rFonts w:eastAsia="Times New Roman"/>
          <w:color w:val="000000"/>
          <w:sz w:val="20"/>
          <w:szCs w:val="20"/>
        </w:rPr>
        <w:t>ces that could have the effect of limiting returns on intellectual property innovations; (v) lobbying governmental regulators and elected officials for the purpose of seeking the reduction of royalty rates or the base on which royalties are calculated, see</w:t>
      </w:r>
      <w:r>
        <w:rPr>
          <w:rFonts w:eastAsia="Times New Roman"/>
          <w:color w:val="000000"/>
          <w:sz w:val="20"/>
          <w:szCs w:val="20"/>
        </w:rPr>
        <w:t>king to impose some form of compulsory licensing or weakening a patent holder’s ability to enforce its rights or obtain a fair return for such rights; and (vi) attempts by licensees to shift their royalty obligation to their suppliers in order to lower the</w:t>
      </w:r>
      <w:r>
        <w:rPr>
          <w:rFonts w:eastAsia="Times New Roman"/>
          <w:color w:val="000000"/>
          <w:sz w:val="20"/>
          <w:szCs w:val="20"/>
        </w:rPr>
        <w:t xml:space="preserve"> wholesale (i.e., licensee’s) selling price on which the royalty is calculated.</w:t>
      </w:r>
    </w:p>
    <w:p w:rsidR="00000000" w:rsidRDefault="00786A01">
      <w:pPr>
        <w:ind w:firstLine="360"/>
        <w:divId w:val="1561557499"/>
        <w:rPr>
          <w:rFonts w:eastAsia="Times New Roman"/>
        </w:rPr>
      </w:pPr>
      <w:r>
        <w:rPr>
          <w:rFonts w:eastAsia="Times New Roman"/>
          <w:color w:val="000000"/>
          <w:sz w:val="20"/>
          <w:szCs w:val="20"/>
        </w:rPr>
        <w:t>In addition, certain licensees have disputed, underreported, underpaid, not reported or not paid royalties owed to us under their license agreements or reported to us in a mann</w:t>
      </w:r>
      <w:r>
        <w:rPr>
          <w:rFonts w:eastAsia="Times New Roman"/>
          <w:color w:val="000000"/>
          <w:sz w:val="20"/>
          <w:szCs w:val="20"/>
        </w:rPr>
        <w:t xml:space="preserve">er that is not in compliance with their contractual obligations, and certain companies have yet to enter into or have delayed entering into or renewing license agreements with us for their use of our intellectual property, and they or others may engage in </w:t>
      </w:r>
      <w:r>
        <w:rPr>
          <w:rFonts w:eastAsia="Times New Roman"/>
          <w:color w:val="000000"/>
          <w:sz w:val="20"/>
          <w:szCs w:val="20"/>
        </w:rPr>
        <w:t xml:space="preserve">such behavior in the future. The fact that one or more licensees dispute, underreport, underpay, do not report or do not pay royalties owed to us may encourage other licensees to take similar actions or not renew their existing license agreements, and may </w:t>
      </w:r>
      <w:r>
        <w:rPr>
          <w:rFonts w:eastAsia="Times New Roman"/>
          <w:color w:val="000000"/>
          <w:sz w:val="20"/>
          <w:szCs w:val="20"/>
        </w:rPr>
        <w:t>encourage other licensees or unlicensed companies to delay entering into, or to not enter into, new license agreements. Further, to the extent such licensees and companies increase their device share, the negative impact of their underreporting, underpayme</w:t>
      </w:r>
      <w:r>
        <w:rPr>
          <w:rFonts w:eastAsia="Times New Roman"/>
          <w:color w:val="000000"/>
          <w:sz w:val="20"/>
          <w:szCs w:val="20"/>
        </w:rPr>
        <w:t>nt, non-payment or non-reporting on our business, revenues, results of operations, cash flows and financial condition will be exacerbated.</w:t>
      </w:r>
    </w:p>
    <w:p w:rsidR="00000000" w:rsidRDefault="00786A01">
      <w:pPr>
        <w:ind w:firstLine="360"/>
        <w:divId w:val="758597055"/>
        <w:rPr>
          <w:rFonts w:eastAsia="Times New Roman"/>
        </w:rPr>
      </w:pPr>
      <w:r>
        <w:rPr>
          <w:rFonts w:eastAsia="Times New Roman"/>
          <w:color w:val="000000"/>
          <w:sz w:val="20"/>
          <w:szCs w:val="20"/>
        </w:rPr>
        <w:t>We have been in the past and are currently subject to various litigation and governmental investigations and proceedi</w:t>
      </w:r>
      <w:r>
        <w:rPr>
          <w:rFonts w:eastAsia="Times New Roman"/>
          <w:color w:val="000000"/>
          <w:sz w:val="20"/>
          <w:szCs w:val="20"/>
        </w:rPr>
        <w:t>ngs. Certain of these matters are described more fully in this Quarterly Report in “Notes to Condensed Consolidated Financial Statements, Note 5. Commitments and Contingencies.” We may become subject to other litigation or governmental investigations or pr</w:t>
      </w:r>
      <w:r>
        <w:rPr>
          <w:rFonts w:eastAsia="Times New Roman"/>
          <w:color w:val="000000"/>
          <w:sz w:val="20"/>
          <w:szCs w:val="20"/>
        </w:rPr>
        <w:t>oceedings in the future. Additionally, certain of our direct and indirect customers and licensees have pursued, and others may in the future pursue, litigation or arbitration against us related to our business. Unfavorable resolutions of one or more of the</w:t>
      </w:r>
      <w:r>
        <w:rPr>
          <w:rFonts w:eastAsia="Times New Roman"/>
          <w:color w:val="000000"/>
          <w:sz w:val="20"/>
          <w:szCs w:val="20"/>
        </w:rPr>
        <w:t xml:space="preserve">se matters have had and could in the future have a material adverse effect on our business, revenues, results of operations, cash flows and financial condition. See also the Risk Factors below titled </w:t>
      </w:r>
      <w:r>
        <w:rPr>
          <w:rFonts w:eastAsia="Times New Roman"/>
          <w:i/>
          <w:iCs/>
          <w:color w:val="000000"/>
          <w:sz w:val="20"/>
          <w:szCs w:val="20"/>
        </w:rPr>
        <w:t xml:space="preserve">“Changes in our patent licensing practices, whether due </w:t>
      </w:r>
      <w:r>
        <w:rPr>
          <w:rFonts w:eastAsia="Times New Roman"/>
          <w:i/>
          <w:iCs/>
          <w:color w:val="000000"/>
          <w:sz w:val="20"/>
          <w:szCs w:val="20"/>
        </w:rPr>
        <w:t xml:space="preserve">to governmental investigations or private legal proceedings challenging those </w:t>
      </w:r>
    </w:p>
    <w:p w:rsidR="00000000" w:rsidRDefault="00786A01">
      <w:pPr>
        <w:jc w:val="center"/>
        <w:divId w:val="1012146634"/>
        <w:rPr>
          <w:rFonts w:eastAsia="Times New Roman"/>
        </w:rPr>
      </w:pPr>
      <w:r>
        <w:rPr>
          <w:rFonts w:eastAsia="Times New Roman"/>
          <w:color w:val="000000"/>
          <w:sz w:val="20"/>
          <w:szCs w:val="20"/>
        </w:rPr>
        <w:t>38</w:t>
      </w:r>
    </w:p>
    <w:p w:rsidR="00000000" w:rsidRDefault="00786A01">
      <w:pPr>
        <w:rPr>
          <w:rFonts w:eastAsia="Times New Roman"/>
        </w:rPr>
      </w:pPr>
      <w:r>
        <w:rPr>
          <w:rFonts w:eastAsia="Times New Roman"/>
        </w:rPr>
        <w:pict>
          <v:rect id="_x0000_i1061" style="width:0;height:1.5pt" o:hralign="center" o:hrstd="t" o:hr="t" fillcolor="#a0a0a0" stroked="f"/>
        </w:pict>
      </w:r>
    </w:p>
    <w:p w:rsidR="00000000" w:rsidRDefault="00786A01">
      <w:pPr>
        <w:divId w:val="967318608"/>
        <w:rPr>
          <w:rFonts w:eastAsia="Times New Roman"/>
        </w:rPr>
      </w:pPr>
    </w:p>
    <w:p w:rsidR="00000000" w:rsidRDefault="00786A01">
      <w:pPr>
        <w:divId w:val="1548956779"/>
        <w:rPr>
          <w:rFonts w:eastAsia="Times New Roman"/>
        </w:rPr>
      </w:pPr>
      <w:r>
        <w:rPr>
          <w:rFonts w:eastAsia="Times New Roman"/>
          <w:i/>
          <w:iCs/>
          <w:color w:val="000000"/>
          <w:sz w:val="20"/>
          <w:szCs w:val="20"/>
        </w:rPr>
        <w:t>practices, or otherwise, could adversely impact our business and results of operations</w:t>
      </w:r>
      <w:r>
        <w:rPr>
          <w:rFonts w:eastAsia="Times New Roman"/>
          <w:color w:val="000000"/>
          <w:sz w:val="20"/>
          <w:szCs w:val="20"/>
        </w:rPr>
        <w:t>” and “</w:t>
      </w:r>
      <w:r>
        <w:rPr>
          <w:rFonts w:eastAsia="Times New Roman"/>
          <w:i/>
          <w:iCs/>
          <w:color w:val="000000"/>
          <w:sz w:val="20"/>
          <w:szCs w:val="20"/>
        </w:rPr>
        <w:t>Our business may suffer as a result of adve</w:t>
      </w:r>
      <w:r>
        <w:rPr>
          <w:rFonts w:eastAsia="Times New Roman"/>
          <w:i/>
          <w:iCs/>
          <w:color w:val="000000"/>
          <w:sz w:val="20"/>
          <w:szCs w:val="20"/>
        </w:rPr>
        <w:t>rse rulings in government investigations or proceedings.</w:t>
      </w:r>
      <w:r>
        <w:rPr>
          <w:rFonts w:eastAsia="Times New Roman"/>
          <w:color w:val="000000"/>
          <w:sz w:val="20"/>
          <w:szCs w:val="20"/>
        </w:rPr>
        <w:t>”</w:t>
      </w:r>
    </w:p>
    <w:p w:rsidR="00000000" w:rsidRDefault="00786A01">
      <w:pPr>
        <w:ind w:firstLine="360"/>
        <w:divId w:val="7562565"/>
        <w:rPr>
          <w:rFonts w:eastAsia="Times New Roman"/>
        </w:rPr>
      </w:pPr>
      <w:r>
        <w:rPr>
          <w:rFonts w:eastAsia="Times New Roman"/>
          <w:color w:val="000000"/>
          <w:sz w:val="20"/>
          <w:szCs w:val="20"/>
        </w:rPr>
        <w:t xml:space="preserve">In addition, in connection with our participation in SDOs, we, like other patent owners, generally have made contractual commitments to such organizations to license those of our patents that would </w:t>
      </w:r>
      <w:r>
        <w:rPr>
          <w:rFonts w:eastAsia="Times New Roman"/>
          <w:color w:val="000000"/>
          <w:sz w:val="20"/>
          <w:szCs w:val="20"/>
        </w:rPr>
        <w:t>necessarily be infringed by standard-compliant products as set forth in those commitments (referred to as standard-essential patents). Some manufacturers and users of standard-compliant products advance interpretations of these commitments that are adverse</w:t>
      </w:r>
      <w:r>
        <w:rPr>
          <w:rFonts w:eastAsia="Times New Roman"/>
          <w:color w:val="000000"/>
          <w:sz w:val="20"/>
          <w:szCs w:val="20"/>
        </w:rPr>
        <w:t xml:space="preserve"> to our licensing business, including interpretations that would limit the amount of royalties that we could collect on the licensing of our standard-essential patent portfolio.</w:t>
      </w:r>
    </w:p>
    <w:p w:rsidR="00000000" w:rsidRDefault="00786A01">
      <w:pPr>
        <w:ind w:firstLine="360"/>
        <w:divId w:val="535853988"/>
        <w:rPr>
          <w:rFonts w:eastAsia="Times New Roman"/>
        </w:rPr>
      </w:pPr>
      <w:r>
        <w:rPr>
          <w:rFonts w:eastAsia="Times New Roman"/>
          <w:color w:val="000000"/>
          <w:sz w:val="20"/>
          <w:szCs w:val="20"/>
        </w:rPr>
        <w:t>Further, some third parties have proposed significant changes to existing inte</w:t>
      </w:r>
      <w:r>
        <w:rPr>
          <w:rFonts w:eastAsia="Times New Roman"/>
          <w:color w:val="000000"/>
          <w:sz w:val="20"/>
          <w:szCs w:val="20"/>
        </w:rPr>
        <w:t>llectual property policies for implementation by SDOs and other industry organizations with the goal of significantly devaluing standard-essential patents. For example, some have put forth proposals which would require a maximum aggregate intellectual prop</w:t>
      </w:r>
      <w:r>
        <w:rPr>
          <w:rFonts w:eastAsia="Times New Roman"/>
          <w:color w:val="000000"/>
          <w:sz w:val="20"/>
          <w:szCs w:val="20"/>
        </w:rPr>
        <w:t>erty royalty rate for the use of all standard-essential patents owned by all of the member companies to be applied to the selling price of any product implementing the relevant standard. They have further proposed that such maximum aggregate royalty rate b</w:t>
      </w:r>
      <w:r>
        <w:rPr>
          <w:rFonts w:eastAsia="Times New Roman"/>
          <w:color w:val="000000"/>
          <w:sz w:val="20"/>
          <w:szCs w:val="20"/>
        </w:rPr>
        <w:t>e apportioned to each member company with standard-essential patents based upon the number of standard-essential patents held by such company. Others have proposed that injunctions should not be an available remedy for infringement of standard-essential pa</w:t>
      </w:r>
      <w:r>
        <w:rPr>
          <w:rFonts w:eastAsia="Times New Roman"/>
          <w:color w:val="000000"/>
          <w:sz w:val="20"/>
          <w:szCs w:val="20"/>
        </w:rPr>
        <w:t xml:space="preserve">tents and have made proposals that could severely limit damage awards and other remedies by courts for patent infringement (e.g., by severely limiting the base upon which the royalty rate may be applied). A number of these strategies are purportedly based </w:t>
      </w:r>
      <w:r>
        <w:rPr>
          <w:rFonts w:eastAsia="Times New Roman"/>
          <w:color w:val="000000"/>
          <w:sz w:val="20"/>
          <w:szCs w:val="20"/>
        </w:rPr>
        <w:t xml:space="preserve">on interpretations of the policies of certain SDOs concerning the licensing of patents that are or may be essential to industry standards and on our (or other companies’) alleged failure to abide by these policies. </w:t>
      </w:r>
    </w:p>
    <w:p w:rsidR="00000000" w:rsidRDefault="00786A01">
      <w:pPr>
        <w:ind w:firstLine="360"/>
        <w:divId w:val="2063097939"/>
        <w:rPr>
          <w:rFonts w:eastAsia="Times New Roman"/>
        </w:rPr>
      </w:pPr>
      <w:r>
        <w:rPr>
          <w:rFonts w:eastAsia="Times New Roman"/>
          <w:color w:val="000000"/>
          <w:sz w:val="20"/>
          <w:szCs w:val="20"/>
        </w:rPr>
        <w:t>Some SDOs, courts and governmental agenc</w:t>
      </w:r>
      <w:r>
        <w:rPr>
          <w:rFonts w:eastAsia="Times New Roman"/>
          <w:color w:val="000000"/>
          <w:sz w:val="20"/>
          <w:szCs w:val="20"/>
        </w:rPr>
        <w:t>ies have adopted, and may in the future adopt, some or all of these interpretations or proposals in a manner adverse to our interests, including in litigation to which we may not be a party. Further, SDOs in certain countries may attempt to modify widely a</w:t>
      </w:r>
      <w:r>
        <w:rPr>
          <w:rFonts w:eastAsia="Times New Roman"/>
          <w:color w:val="000000"/>
          <w:sz w:val="20"/>
          <w:szCs w:val="20"/>
        </w:rPr>
        <w:t>ccepted standards and claim the resulting standard as their own.</w:t>
      </w:r>
    </w:p>
    <w:p w:rsidR="00000000" w:rsidRDefault="00786A01">
      <w:pPr>
        <w:ind w:firstLine="360"/>
        <w:divId w:val="2036541033"/>
        <w:rPr>
          <w:rFonts w:eastAsia="Times New Roman"/>
        </w:rPr>
      </w:pPr>
      <w:r>
        <w:rPr>
          <w:rFonts w:eastAsia="Times New Roman"/>
          <w:color w:val="000000"/>
          <w:sz w:val="20"/>
          <w:szCs w:val="20"/>
        </w:rPr>
        <w:t>We expect that such proposals, interpretations and strategies will continue in the future, and if successful, our business model would be harmed, either by limiting or eliminating our ability to collect royalties (or by reducing the royalties we can collec</w:t>
      </w:r>
      <w:r>
        <w:rPr>
          <w:rFonts w:eastAsia="Times New Roman"/>
          <w:color w:val="000000"/>
          <w:sz w:val="20"/>
          <w:szCs w:val="20"/>
        </w:rPr>
        <w:t>t) on all or a portion of our standard-essential patent portfolio, limiting our return on investment with respect to new technologies, limiting our ability to seek injunctions against infringers of our standard-essential patents, constraining our ability t</w:t>
      </w:r>
      <w:r>
        <w:rPr>
          <w:rFonts w:eastAsia="Times New Roman"/>
          <w:color w:val="000000"/>
          <w:sz w:val="20"/>
          <w:szCs w:val="20"/>
        </w:rPr>
        <w:t>o make licensing commitments when submitting our technologies for inclusion in future standards (which could make our technologies less likely to be included in such standards) or forcing us to work outside of SDOs or other industry groups to promote our n</w:t>
      </w:r>
      <w:r>
        <w:rPr>
          <w:rFonts w:eastAsia="Times New Roman"/>
          <w:color w:val="000000"/>
          <w:sz w:val="20"/>
          <w:szCs w:val="20"/>
        </w:rPr>
        <w:t xml:space="preserve">ew technologies, and our revenues, results of operations and cash flows could be negatively impacted. In addition, the legal and other costs associated with asserting or defending our positions have been and continue to be significant. We expect that such </w:t>
      </w:r>
      <w:r>
        <w:rPr>
          <w:rFonts w:eastAsia="Times New Roman"/>
          <w:color w:val="000000"/>
          <w:sz w:val="20"/>
          <w:szCs w:val="20"/>
        </w:rPr>
        <w:t>challenges, regardless of their merits, will continue into the foreseeable future and will require the investment of substantial management time and financial resources.</w:t>
      </w:r>
    </w:p>
    <w:p w:rsidR="00000000" w:rsidRDefault="00786A01">
      <w:pPr>
        <w:divId w:val="383798023"/>
        <w:rPr>
          <w:rFonts w:eastAsia="Times New Roman"/>
        </w:rPr>
      </w:pPr>
      <w:r>
        <w:rPr>
          <w:rFonts w:eastAsia="Times New Roman"/>
          <w:b/>
          <w:bCs/>
          <w:i/>
          <w:iCs/>
          <w:color w:val="000000"/>
          <w:sz w:val="20"/>
          <w:szCs w:val="20"/>
        </w:rPr>
        <w:t>Changes in our patent licensing practices, whether due to</w:t>
      </w:r>
      <w:r>
        <w:rPr>
          <w:rFonts w:eastAsia="Times New Roman"/>
          <w:color w:val="000000"/>
          <w:sz w:val="20"/>
          <w:szCs w:val="20"/>
        </w:rPr>
        <w:t xml:space="preserve"> </w:t>
      </w:r>
      <w:r>
        <w:rPr>
          <w:rFonts w:eastAsia="Times New Roman"/>
          <w:b/>
          <w:bCs/>
          <w:i/>
          <w:iCs/>
          <w:color w:val="000000"/>
          <w:sz w:val="20"/>
          <w:szCs w:val="20"/>
        </w:rPr>
        <w:t>governmental investigations or private legal proceedings challenging those practices, or otherwise, could adversely impact our business and results of operations.</w:t>
      </w:r>
    </w:p>
    <w:p w:rsidR="00000000" w:rsidRDefault="00786A01">
      <w:pPr>
        <w:ind w:firstLine="360"/>
        <w:divId w:val="1814445033"/>
        <w:rPr>
          <w:rFonts w:eastAsia="Times New Roman"/>
        </w:rPr>
      </w:pPr>
      <w:r>
        <w:rPr>
          <w:rFonts w:eastAsia="Times New Roman"/>
          <w:color w:val="000000"/>
          <w:sz w:val="20"/>
          <w:szCs w:val="20"/>
        </w:rPr>
        <w:t>As described in the Risk Factor bel</w:t>
      </w:r>
      <w:r>
        <w:rPr>
          <w:rFonts w:eastAsia="Times New Roman"/>
          <w:color w:val="000000"/>
          <w:sz w:val="20"/>
          <w:szCs w:val="20"/>
        </w:rPr>
        <w:t>ow titled “</w:t>
      </w:r>
      <w:r>
        <w:rPr>
          <w:rFonts w:eastAsia="Times New Roman"/>
          <w:i/>
          <w:iCs/>
          <w:color w:val="000000"/>
          <w:sz w:val="20"/>
          <w:szCs w:val="20"/>
        </w:rPr>
        <w:t>Our business may suffer as a result of adverse rulings in government investigations or proceedings</w:t>
      </w:r>
      <w:r>
        <w:rPr>
          <w:rFonts w:eastAsia="Times New Roman"/>
          <w:color w:val="000000"/>
          <w:sz w:val="20"/>
          <w:szCs w:val="20"/>
        </w:rPr>
        <w:t>,” we have been in the past and are currently subject to various governmental investigations and proceedings, as well as private legal proceedings,</w:t>
      </w:r>
      <w:r>
        <w:rPr>
          <w:rFonts w:eastAsia="Times New Roman"/>
          <w:color w:val="000000"/>
          <w:sz w:val="20"/>
          <w:szCs w:val="20"/>
        </w:rPr>
        <w:t xml:space="preserve"> challenging our patent licensing and chipset sales practices. Certain of these matters are described more fully in this Quarterly Report in “Notes to Condensed Consolidated Financial Statements, Note 5. Commitments and Contingencies.” We believe that one </w:t>
      </w:r>
      <w:r>
        <w:rPr>
          <w:rFonts w:eastAsia="Times New Roman"/>
          <w:color w:val="000000"/>
          <w:sz w:val="20"/>
          <w:szCs w:val="20"/>
        </w:rPr>
        <w:t>intent of certain of these investigations and legal proceedings has been to reduce the amount of royalties that licensees are required to pay to us for their use of our intellectual property. We may become subject to other litigation or governmental invest</w:t>
      </w:r>
      <w:r>
        <w:rPr>
          <w:rFonts w:eastAsia="Times New Roman"/>
          <w:color w:val="000000"/>
          <w:sz w:val="20"/>
          <w:szCs w:val="20"/>
        </w:rPr>
        <w:t xml:space="preserve">igations or proceedings in the future. </w:t>
      </w:r>
    </w:p>
    <w:p w:rsidR="00000000" w:rsidRDefault="00786A01">
      <w:pPr>
        <w:ind w:firstLine="360"/>
        <w:divId w:val="2086800310"/>
        <w:rPr>
          <w:rFonts w:eastAsia="Times New Roman"/>
        </w:rPr>
      </w:pPr>
      <w:r>
        <w:rPr>
          <w:rFonts w:eastAsia="Times New Roman"/>
          <w:color w:val="000000"/>
          <w:sz w:val="20"/>
          <w:szCs w:val="20"/>
        </w:rPr>
        <w:t>If we were required to reduce the royalty rates in our patent license agreements, our revenues, earnings and cash flows would be negatively impacted absent a sufficient increase in the volume of sales of devices upon</w:t>
      </w:r>
      <w:r>
        <w:rPr>
          <w:rFonts w:eastAsia="Times New Roman"/>
          <w:color w:val="000000"/>
          <w:sz w:val="20"/>
          <w:szCs w:val="20"/>
        </w:rPr>
        <w:t xml:space="preserve"> which royalties are paid. Similarly, if we were required to reduce the base on which our royalties are calculated, our revenues, results of operations and cash flows would be negatively impacted unless there was a sufficient increase in the volume of sale</w:t>
      </w:r>
      <w:r>
        <w:rPr>
          <w:rFonts w:eastAsia="Times New Roman"/>
          <w:color w:val="000000"/>
          <w:sz w:val="20"/>
          <w:szCs w:val="20"/>
        </w:rPr>
        <w:t>s of devices upon which royalties are paid or we were able to increase our royalty rates to offset the decrease in revenues resulting from such lower royalty base (assuming the absolute royalty dollars were below any relevant royalty caps).</w:t>
      </w:r>
    </w:p>
    <w:p w:rsidR="00000000" w:rsidRDefault="00786A01">
      <w:pPr>
        <w:ind w:firstLine="360"/>
        <w:divId w:val="1270354400"/>
        <w:rPr>
          <w:rFonts w:eastAsia="Times New Roman"/>
        </w:rPr>
      </w:pPr>
      <w:r>
        <w:rPr>
          <w:rFonts w:eastAsia="Times New Roman"/>
          <w:color w:val="000000"/>
          <w:sz w:val="20"/>
          <w:szCs w:val="20"/>
        </w:rPr>
        <w:t>If we were requ</w:t>
      </w:r>
      <w:r>
        <w:rPr>
          <w:rFonts w:eastAsia="Times New Roman"/>
          <w:color w:val="000000"/>
          <w:sz w:val="20"/>
          <w:szCs w:val="20"/>
        </w:rPr>
        <w:t>ired to grant patent licenses to chipset manufacturers (which could lead to implementing a more complex, multi-level licensing structure in which we license certain portions of our patent portfolio to chipset manufacturers and other portions to OEMs), we w</w:t>
      </w:r>
      <w:r>
        <w:rPr>
          <w:rFonts w:eastAsia="Times New Roman"/>
          <w:color w:val="000000"/>
          <w:sz w:val="20"/>
          <w:szCs w:val="20"/>
        </w:rPr>
        <w:t xml:space="preserve">ould incur additional transaction costs, which may be significant, and we could incur delays in recognizing revenues until license negotiations were completed. In addition, our licensing revenues and earnings would be </w:t>
      </w:r>
    </w:p>
    <w:p w:rsidR="00000000" w:rsidRDefault="00786A01">
      <w:pPr>
        <w:jc w:val="center"/>
        <w:divId w:val="1522478313"/>
        <w:rPr>
          <w:rFonts w:eastAsia="Times New Roman"/>
        </w:rPr>
      </w:pPr>
      <w:r>
        <w:rPr>
          <w:rFonts w:eastAsia="Times New Roman"/>
          <w:color w:val="000000"/>
          <w:sz w:val="20"/>
          <w:szCs w:val="20"/>
        </w:rPr>
        <w:t>39</w:t>
      </w:r>
    </w:p>
    <w:p w:rsidR="00000000" w:rsidRDefault="00786A01">
      <w:pPr>
        <w:rPr>
          <w:rFonts w:eastAsia="Times New Roman"/>
        </w:rPr>
      </w:pPr>
      <w:r>
        <w:rPr>
          <w:rFonts w:eastAsia="Times New Roman"/>
        </w:rPr>
        <w:pict>
          <v:rect id="_x0000_i1062" style="width:0;height:1.5pt" o:hralign="center" o:hrstd="t" o:hr="t" fillcolor="#a0a0a0" stroked="f"/>
        </w:pict>
      </w:r>
    </w:p>
    <w:p w:rsidR="00000000" w:rsidRDefault="00786A01">
      <w:pPr>
        <w:divId w:val="663167551"/>
        <w:rPr>
          <w:rFonts w:eastAsia="Times New Roman"/>
        </w:rPr>
      </w:pPr>
    </w:p>
    <w:p w:rsidR="00000000" w:rsidRDefault="00786A01">
      <w:pPr>
        <w:divId w:val="947006042"/>
        <w:rPr>
          <w:rFonts w:eastAsia="Times New Roman"/>
        </w:rPr>
      </w:pPr>
      <w:r>
        <w:rPr>
          <w:rFonts w:eastAsia="Times New Roman"/>
          <w:color w:val="000000"/>
          <w:sz w:val="20"/>
          <w:szCs w:val="20"/>
        </w:rPr>
        <w:t>negatively impacted if we were not able to obtain, in the aggregate, equivalent revenues under such a multi-level licensing structure.</w:t>
      </w:r>
    </w:p>
    <w:p w:rsidR="00000000" w:rsidRDefault="00786A01">
      <w:pPr>
        <w:ind w:firstLine="360"/>
        <w:divId w:val="1618439939"/>
        <w:rPr>
          <w:rFonts w:eastAsia="Times New Roman"/>
        </w:rPr>
      </w:pPr>
      <w:r>
        <w:rPr>
          <w:rFonts w:eastAsia="Times New Roman"/>
          <w:color w:val="000000"/>
          <w:sz w:val="20"/>
          <w:szCs w:val="20"/>
        </w:rPr>
        <w:t>If we were required to sell chipsets to OEMs that do not have a license to our patents, our licensing program could b</w:t>
      </w:r>
      <w:r>
        <w:rPr>
          <w:rFonts w:eastAsia="Times New Roman"/>
          <w:color w:val="000000"/>
          <w:sz w:val="20"/>
          <w:szCs w:val="20"/>
        </w:rPr>
        <w:t>e negatively impacted by patent exhaustion claims raised by such unlicensed OEMs (i.e., claims that our sale of chipsets to such OEMs forecloses us from asserting any patents substantially embodied by the chipsets against such OEMs). Such sales would provi</w:t>
      </w:r>
      <w:r>
        <w:rPr>
          <w:rFonts w:eastAsia="Times New Roman"/>
          <w:color w:val="000000"/>
          <w:sz w:val="20"/>
          <w:szCs w:val="20"/>
        </w:rPr>
        <w:t>de OEMs with a defense in the event we asserted our patents against them to obtain licensing revenue for those patents. This could have a material adverse effect on our licensing program and our results of operations, cash flows and financial condition.</w:t>
      </w:r>
    </w:p>
    <w:p w:rsidR="00000000" w:rsidRDefault="00786A01">
      <w:pPr>
        <w:ind w:firstLine="360"/>
        <w:divId w:val="2043703118"/>
        <w:rPr>
          <w:rFonts w:eastAsia="Times New Roman"/>
        </w:rPr>
      </w:pPr>
      <w:r>
        <w:rPr>
          <w:rFonts w:eastAsia="Times New Roman"/>
          <w:color w:val="000000"/>
          <w:sz w:val="20"/>
          <w:szCs w:val="20"/>
        </w:rPr>
        <w:t>To</w:t>
      </w:r>
      <w:r>
        <w:rPr>
          <w:rFonts w:eastAsia="Times New Roman"/>
          <w:color w:val="000000"/>
          <w:sz w:val="20"/>
          <w:szCs w:val="20"/>
        </w:rPr>
        <w:t xml:space="preserve"> the extent that we were required to implement any of these new licensing and/or business practices, including by modifying or renegotiating our existing license agreements or pursuing other commercial arrangements, we would incur additional transaction co</w:t>
      </w:r>
      <w:r>
        <w:rPr>
          <w:rFonts w:eastAsia="Times New Roman"/>
          <w:color w:val="000000"/>
          <w:sz w:val="20"/>
          <w:szCs w:val="20"/>
        </w:rPr>
        <w:t>sts, which may be significant, we could incur delays in recognizing revenues until license negotiations were completed, and our business, revenues, results of operations, cash flows and financial condition could be harmed. The impact of any such changes to</w:t>
      </w:r>
      <w:r>
        <w:rPr>
          <w:rFonts w:eastAsia="Times New Roman"/>
          <w:color w:val="000000"/>
          <w:sz w:val="20"/>
          <w:szCs w:val="20"/>
        </w:rPr>
        <w:t xml:space="preserve"> our licensing practices could vary widely and by jurisdiction, depending on the specific outcomes and the geographic scope of such outcomes. In addition, if we were required to make modifications to our licensing practices in one jurisdiction, licensees o</w:t>
      </w:r>
      <w:r>
        <w:rPr>
          <w:rFonts w:eastAsia="Times New Roman"/>
          <w:color w:val="000000"/>
          <w:sz w:val="20"/>
          <w:szCs w:val="20"/>
        </w:rPr>
        <w:t>r governmental agencies in other jurisdictions may attempt to obtain similar outcomes for themselves or for such other jurisdictions, as applicable.</w:t>
      </w:r>
    </w:p>
    <w:p w:rsidR="00000000" w:rsidRDefault="00786A01">
      <w:pPr>
        <w:divId w:val="1009023317"/>
        <w:rPr>
          <w:rFonts w:eastAsia="Times New Roman"/>
        </w:rPr>
      </w:pPr>
      <w:r>
        <w:rPr>
          <w:rFonts w:eastAsia="Times New Roman"/>
          <w:b/>
          <w:bCs/>
          <w:i/>
          <w:iCs/>
          <w:color w:val="000000"/>
          <w:sz w:val="20"/>
          <w:szCs w:val="20"/>
        </w:rPr>
        <w:t>The continued and future success of our licensing programs requires us to continue to evolve our patent por</w:t>
      </w:r>
      <w:r>
        <w:rPr>
          <w:rFonts w:eastAsia="Times New Roman"/>
          <w:b/>
          <w:bCs/>
          <w:i/>
          <w:iCs/>
          <w:color w:val="000000"/>
          <w:sz w:val="20"/>
          <w:szCs w:val="20"/>
        </w:rPr>
        <w:t>tfolio and to renew or renegotiate license agreements that are expiring or to cover additional future patents.</w:t>
      </w:r>
    </w:p>
    <w:p w:rsidR="00000000" w:rsidRDefault="00786A01">
      <w:pPr>
        <w:ind w:firstLine="360"/>
        <w:divId w:val="1402021577"/>
        <w:rPr>
          <w:rFonts w:eastAsia="Times New Roman"/>
        </w:rPr>
      </w:pPr>
      <w:r>
        <w:rPr>
          <w:rFonts w:eastAsia="Times New Roman"/>
          <w:color w:val="000000"/>
          <w:sz w:val="20"/>
          <w:szCs w:val="20"/>
        </w:rPr>
        <w:t>We own a very strong portfolio of issued and pending patents related to 3G, 4G, 5G and other technologies. It is critical that we continue to evo</w:t>
      </w:r>
      <w:r>
        <w:rPr>
          <w:rFonts w:eastAsia="Times New Roman"/>
          <w:color w:val="000000"/>
          <w:sz w:val="20"/>
          <w:szCs w:val="20"/>
        </w:rPr>
        <w:t>lve our patent portfolio, particularly in 5G. If we do not maintain a strong portfolio that is applicable to current and future standards, products and services, our future licensing revenues could be negatively impacted.</w:t>
      </w:r>
    </w:p>
    <w:p w:rsidR="00000000" w:rsidRDefault="00786A01">
      <w:pPr>
        <w:ind w:firstLine="360"/>
        <w:divId w:val="58288196"/>
        <w:rPr>
          <w:rFonts w:eastAsia="Times New Roman"/>
        </w:rPr>
      </w:pPr>
      <w:r>
        <w:rPr>
          <w:rFonts w:eastAsia="Times New Roman"/>
          <w:color w:val="000000"/>
          <w:sz w:val="20"/>
          <w:szCs w:val="20"/>
        </w:rPr>
        <w:t>Further, the licenses granted to a</w:t>
      </w:r>
      <w:r>
        <w:rPr>
          <w:rFonts w:eastAsia="Times New Roman"/>
          <w:color w:val="000000"/>
          <w:sz w:val="20"/>
          <w:szCs w:val="20"/>
        </w:rPr>
        <w:t>nd from us under a number of our license agreements include only patents that are either filed or issued prior to a certain date. As a result, there are agreements with some licensees where later patents are not licensed by or to us. Additionally, our pate</w:t>
      </w:r>
      <w:r>
        <w:rPr>
          <w:rFonts w:eastAsia="Times New Roman"/>
          <w:color w:val="000000"/>
          <w:sz w:val="20"/>
          <w:szCs w:val="20"/>
        </w:rPr>
        <w:t>nt license agreements in effect that constitute a significant portion of our licensing revenues are effective for a specified term. In order to license or to obtain a license to such later patents, or after the expiration of the specified term, and to rece</w:t>
      </w:r>
      <w:r>
        <w:rPr>
          <w:rFonts w:eastAsia="Times New Roman"/>
          <w:color w:val="000000"/>
          <w:sz w:val="20"/>
          <w:szCs w:val="20"/>
        </w:rPr>
        <w:t xml:space="preserve">ive royalties after the expiration date of the specified term, we will need to extend or modify such license agreements or enter into new license agreements with such licensees more frequently than we have done historically. We might not be able to extend </w:t>
      </w:r>
      <w:r>
        <w:rPr>
          <w:rFonts w:eastAsia="Times New Roman"/>
          <w:color w:val="000000"/>
          <w:sz w:val="20"/>
          <w:szCs w:val="20"/>
        </w:rPr>
        <w:t>or modify license agreements, or enter into new license agreements, in the future without negatively affecting the material terms and conditions of our license agreements with such licensees, and such modifications or new agreements may negatively impact o</w:t>
      </w:r>
      <w:r>
        <w:rPr>
          <w:rFonts w:eastAsia="Times New Roman"/>
          <w:color w:val="000000"/>
          <w:sz w:val="20"/>
          <w:szCs w:val="20"/>
        </w:rPr>
        <w:t>ur revenues. In some circumstances, we may extend, modify or enter into new license agreements as a result of arbitration or litigation, and terms imposed by arbitrators or courts may be less favorable to us than existing terms and may impact the financial</w:t>
      </w:r>
      <w:r>
        <w:rPr>
          <w:rFonts w:eastAsia="Times New Roman"/>
          <w:color w:val="000000"/>
          <w:sz w:val="20"/>
          <w:szCs w:val="20"/>
        </w:rPr>
        <w:t xml:space="preserve"> or other terms of license agreements not subject to the litigation or arbitration. If there is a delay in extending, modifying or entering into a new license agreement with a licensee, there would be a delay in our ability to recognize revenues related to</w:t>
      </w:r>
      <w:r>
        <w:rPr>
          <w:rFonts w:eastAsia="Times New Roman"/>
          <w:color w:val="000000"/>
          <w:sz w:val="20"/>
          <w:szCs w:val="20"/>
        </w:rPr>
        <w:t xml:space="preserve"> that licensee’s product sales. Further, if we are unable to reach agreement on such modifications or new agreements, it could result in patent infringement litigation with such licensees.</w:t>
      </w:r>
    </w:p>
    <w:p w:rsidR="00000000" w:rsidRDefault="00786A01">
      <w:pPr>
        <w:divId w:val="539241319"/>
        <w:rPr>
          <w:rFonts w:eastAsia="Times New Roman"/>
        </w:rPr>
      </w:pPr>
      <w:r>
        <w:rPr>
          <w:rFonts w:eastAsia="Times New Roman"/>
          <w:b/>
          <w:bCs/>
          <w:color w:val="000000"/>
          <w:sz w:val="20"/>
          <w:szCs w:val="20"/>
        </w:rPr>
        <w:t xml:space="preserve">RISKS RELATED TO REGULATORY AND LEGAL CHALLENGES </w:t>
      </w:r>
    </w:p>
    <w:p w:rsidR="00000000" w:rsidRDefault="00786A01">
      <w:pPr>
        <w:divId w:val="598874023"/>
        <w:rPr>
          <w:rFonts w:eastAsia="Times New Roman"/>
        </w:rPr>
      </w:pPr>
      <w:r>
        <w:rPr>
          <w:rFonts w:eastAsia="Times New Roman"/>
          <w:b/>
          <w:bCs/>
          <w:i/>
          <w:iCs/>
          <w:color w:val="000000"/>
          <w:sz w:val="20"/>
          <w:szCs w:val="20"/>
        </w:rPr>
        <w:t xml:space="preserve">Our business may </w:t>
      </w:r>
      <w:r>
        <w:rPr>
          <w:rFonts w:eastAsia="Times New Roman"/>
          <w:b/>
          <w:bCs/>
          <w:i/>
          <w:iCs/>
          <w:color w:val="000000"/>
          <w:sz w:val="20"/>
          <w:szCs w:val="20"/>
        </w:rPr>
        <w:t>suffer as a result of adverse rulings in government investigations or proceedings.</w:t>
      </w:r>
    </w:p>
    <w:p w:rsidR="00000000" w:rsidRDefault="00786A01">
      <w:pPr>
        <w:ind w:firstLine="360"/>
        <w:divId w:val="33117899"/>
        <w:rPr>
          <w:rFonts w:eastAsia="Times New Roman"/>
        </w:rPr>
      </w:pPr>
      <w:r>
        <w:rPr>
          <w:rFonts w:eastAsia="Times New Roman"/>
          <w:color w:val="000000"/>
          <w:sz w:val="20"/>
          <w:szCs w:val="20"/>
        </w:rPr>
        <w:t>We have been in the past and are currently subject to various governmental investigations and proceedings. Certain of these matters are described more fully in this Quarterl</w:t>
      </w:r>
      <w:r>
        <w:rPr>
          <w:rFonts w:eastAsia="Times New Roman"/>
          <w:color w:val="000000"/>
          <w:sz w:val="20"/>
          <w:szCs w:val="20"/>
        </w:rPr>
        <w:t>y Report in “Notes to Condensed Consolidated Financial Statements, Note 5. Commitments and Contingencies.” Key allegations or findings in those matters include, among others, that we violate FRAND licensing commitments by refusing to grant licenses to chip</w:t>
      </w:r>
      <w:r>
        <w:rPr>
          <w:rFonts w:eastAsia="Times New Roman"/>
          <w:color w:val="000000"/>
          <w:sz w:val="20"/>
          <w:szCs w:val="20"/>
        </w:rPr>
        <w:t xml:space="preserve">set manufacturers; that our royalty rates are too high; that the base on which our royalties are calculated should be something less than the wholesale (i.e., licensee’s) selling price of the applicable device (minus certain permitted deductions); that we </w:t>
      </w:r>
      <w:r>
        <w:rPr>
          <w:rFonts w:eastAsia="Times New Roman"/>
          <w:color w:val="000000"/>
          <w:sz w:val="20"/>
          <w:szCs w:val="20"/>
        </w:rPr>
        <w:t>unlawfully require customers to execute a patent license before we sell them cellular modem chipsets; that we have entered into exclusive agreements with chipset customers that foreclose competition; that we leverage our position in baseband chipsets in th</w:t>
      </w:r>
      <w:r>
        <w:rPr>
          <w:rFonts w:eastAsia="Times New Roman"/>
          <w:color w:val="000000"/>
          <w:sz w:val="20"/>
          <w:szCs w:val="20"/>
        </w:rPr>
        <w:t xml:space="preserve">e RFFE space; and that we violate antitrust laws, and engage in anticompetitive conduct and unfair methods of competition. We may become subject to other litigation or governmental investigations or proceedings in the future. </w:t>
      </w:r>
    </w:p>
    <w:p w:rsidR="00000000" w:rsidRDefault="00786A01">
      <w:pPr>
        <w:ind w:firstLine="360"/>
        <w:divId w:val="1077903315"/>
        <w:rPr>
          <w:rFonts w:eastAsia="Times New Roman"/>
        </w:rPr>
      </w:pPr>
      <w:r>
        <w:rPr>
          <w:rFonts w:eastAsia="Times New Roman"/>
          <w:color w:val="000000"/>
          <w:sz w:val="20"/>
          <w:szCs w:val="20"/>
        </w:rPr>
        <w:t>Unfavorable resolutions of on</w:t>
      </w:r>
      <w:r>
        <w:rPr>
          <w:rFonts w:eastAsia="Times New Roman"/>
          <w:color w:val="000000"/>
          <w:sz w:val="20"/>
          <w:szCs w:val="20"/>
        </w:rPr>
        <w:t>e or more of these matters have had and could in the future have a material adverse effect on our business, revenues, results of operations, cash flows and financial condition. Depending on the matter, various remedies that could result from an unfavorable</w:t>
      </w:r>
      <w:r>
        <w:rPr>
          <w:rFonts w:eastAsia="Times New Roman"/>
          <w:color w:val="000000"/>
          <w:sz w:val="20"/>
          <w:szCs w:val="20"/>
        </w:rPr>
        <w:t xml:space="preserve"> resolution include, among others: the loss of our ability to enforce one or more of our patents; injunctions; monetary damages or fines or other orders to pay money; the issuance of orders to cease </w:t>
      </w:r>
    </w:p>
    <w:p w:rsidR="00000000" w:rsidRDefault="00786A01">
      <w:pPr>
        <w:jc w:val="center"/>
        <w:divId w:val="1734043385"/>
        <w:rPr>
          <w:rFonts w:eastAsia="Times New Roman"/>
        </w:rPr>
      </w:pPr>
      <w:r>
        <w:rPr>
          <w:rFonts w:eastAsia="Times New Roman"/>
          <w:color w:val="000000"/>
          <w:sz w:val="20"/>
          <w:szCs w:val="20"/>
        </w:rPr>
        <w:t>40</w:t>
      </w:r>
    </w:p>
    <w:p w:rsidR="00000000" w:rsidRDefault="00786A01">
      <w:pPr>
        <w:rPr>
          <w:rFonts w:eastAsia="Times New Roman"/>
        </w:rPr>
      </w:pPr>
      <w:r>
        <w:rPr>
          <w:rFonts w:eastAsia="Times New Roman"/>
        </w:rPr>
        <w:pict>
          <v:rect id="_x0000_i1063" style="width:0;height:1.5pt" o:hralign="center" o:hrstd="t" o:hr="t" fillcolor="#a0a0a0" stroked="f"/>
        </w:pict>
      </w:r>
    </w:p>
    <w:p w:rsidR="00000000" w:rsidRDefault="00786A01">
      <w:pPr>
        <w:divId w:val="2108230536"/>
        <w:rPr>
          <w:rFonts w:eastAsia="Times New Roman"/>
        </w:rPr>
      </w:pPr>
    </w:p>
    <w:p w:rsidR="00000000" w:rsidRDefault="00786A01">
      <w:pPr>
        <w:divId w:val="418644855"/>
        <w:rPr>
          <w:rFonts w:eastAsia="Times New Roman"/>
        </w:rPr>
      </w:pPr>
      <w:r>
        <w:rPr>
          <w:rFonts w:eastAsia="Times New Roman"/>
          <w:color w:val="000000"/>
          <w:sz w:val="20"/>
          <w:szCs w:val="20"/>
        </w:rPr>
        <w:t>certain conduc</w:t>
      </w:r>
      <w:r>
        <w:rPr>
          <w:rFonts w:eastAsia="Times New Roman"/>
          <w:color w:val="000000"/>
          <w:sz w:val="20"/>
          <w:szCs w:val="20"/>
        </w:rPr>
        <w:t>t or modify our business practices, such as requiring us to reduce our royalty rates, reduce the base on which our royalties are calculated, grant patent licenses to chipset manufacturers, sell chipsets to unlicensed OEMs or modify or renegotiate some or a</w:t>
      </w:r>
      <w:r>
        <w:rPr>
          <w:rFonts w:eastAsia="Times New Roman"/>
          <w:color w:val="000000"/>
          <w:sz w:val="20"/>
          <w:szCs w:val="20"/>
        </w:rPr>
        <w:t>ll of our existing license agreements; and determinations that some or all of our license agreements are invalid or unenforceable. If some or all of our license agreements are declared invalid or unenforceable and/or we are required to renegotiate these li</w:t>
      </w:r>
      <w:r>
        <w:rPr>
          <w:rFonts w:eastAsia="Times New Roman"/>
          <w:color w:val="000000"/>
          <w:sz w:val="20"/>
          <w:szCs w:val="20"/>
        </w:rPr>
        <w:t>cense agreements, we may not receive, or may not be able to recognize, some or any licensing or royalty revenues under the impacted license agreements unless and until we enter into new license agreements; and even licensees whose license agreements are no</w:t>
      </w:r>
      <w:r>
        <w:rPr>
          <w:rFonts w:eastAsia="Times New Roman"/>
          <w:color w:val="000000"/>
          <w:sz w:val="20"/>
          <w:szCs w:val="20"/>
        </w:rPr>
        <w:t>t impacted may demand to renegotiate their agreements or invoke the dispute resolution provision in their agreements, and we may not be able to recognize some or any licensing or royalty revenues under such agreements. The renegotiation of license agreemen</w:t>
      </w:r>
      <w:r>
        <w:rPr>
          <w:rFonts w:eastAsia="Times New Roman"/>
          <w:color w:val="000000"/>
          <w:sz w:val="20"/>
          <w:szCs w:val="20"/>
        </w:rPr>
        <w:t xml:space="preserve">ts could result in terms which are less favorable to us than existing terms, or lead to arbitration or litigation to resolve the licensing terms, which could also be less favorable to us than existing terms, and each of which could take months or possibly </w:t>
      </w:r>
      <w:r>
        <w:rPr>
          <w:rFonts w:eastAsia="Times New Roman"/>
          <w:color w:val="000000"/>
          <w:sz w:val="20"/>
          <w:szCs w:val="20"/>
        </w:rPr>
        <w:t>years. Licensees may underreport, underpay, not report or not pay royalties owed to us pending the conclusion of such negotiations, arbitration or litigation. In addition, we may be sued for alleged overpayments of past royalties paid to us, including priv</w:t>
      </w:r>
      <w:r>
        <w:rPr>
          <w:rFonts w:eastAsia="Times New Roman"/>
          <w:color w:val="000000"/>
          <w:sz w:val="20"/>
          <w:szCs w:val="20"/>
        </w:rPr>
        <w:t xml:space="preserve">ate antitrust actions seeking treble damages under U.S. antitrust laws. The occurrence of any of the above could have a material adverse effect on our business, revenues, results of operations, cash flows and financial condition, and our stock price could </w:t>
      </w:r>
      <w:r>
        <w:rPr>
          <w:rFonts w:eastAsia="Times New Roman"/>
          <w:color w:val="000000"/>
          <w:sz w:val="20"/>
          <w:szCs w:val="20"/>
        </w:rPr>
        <w:t>decline, possibly significantly, in which case we may have to significantly cut costs and other uses of cash, including in research and development, significantly impairing our ability to maintain product and technology leadership and invest in next genera</w:t>
      </w:r>
      <w:r>
        <w:rPr>
          <w:rFonts w:eastAsia="Times New Roman"/>
          <w:color w:val="000000"/>
          <w:sz w:val="20"/>
          <w:szCs w:val="20"/>
        </w:rPr>
        <w:t>tion technologies such as 5G. Further, depending on the breadth and severity of the circumstances above, we may have to reduce, suspend or eliminate our capital return programs, and our ability to timely pay our indebtedness may be impacted. In addition, a</w:t>
      </w:r>
      <w:r>
        <w:rPr>
          <w:rFonts w:eastAsia="Times New Roman"/>
          <w:color w:val="000000"/>
          <w:sz w:val="20"/>
          <w:szCs w:val="20"/>
        </w:rPr>
        <w:t xml:space="preserve"> governmental body in a particular country or region may successfully assert and impose remedies with effects that extend beyond the borders of that country or region. </w:t>
      </w:r>
    </w:p>
    <w:p w:rsidR="00000000" w:rsidRDefault="00786A01">
      <w:pPr>
        <w:ind w:firstLine="360"/>
        <w:divId w:val="2049989410"/>
        <w:rPr>
          <w:rFonts w:eastAsia="Times New Roman"/>
        </w:rPr>
      </w:pPr>
      <w:r>
        <w:rPr>
          <w:rFonts w:eastAsia="Times New Roman"/>
          <w:color w:val="000000"/>
          <w:sz w:val="20"/>
          <w:szCs w:val="20"/>
        </w:rPr>
        <w:t>These challenges have required, and we expect that they will continue to require, the i</w:t>
      </w:r>
      <w:r>
        <w:rPr>
          <w:rFonts w:eastAsia="Times New Roman"/>
          <w:color w:val="000000"/>
          <w:sz w:val="20"/>
          <w:szCs w:val="20"/>
        </w:rPr>
        <w:t xml:space="preserve">nvestment of significant management time and attention and have resulted, and we expect that they will continue to result, in significant legal costs until the respective matters are resolved. </w:t>
      </w:r>
    </w:p>
    <w:p w:rsidR="00000000" w:rsidRDefault="00786A01">
      <w:pPr>
        <w:divId w:val="1223902453"/>
        <w:rPr>
          <w:rFonts w:eastAsia="Times New Roman"/>
        </w:rPr>
      </w:pPr>
      <w:r>
        <w:rPr>
          <w:rFonts w:eastAsia="Times New Roman"/>
          <w:b/>
          <w:bCs/>
          <w:color w:val="000000"/>
          <w:sz w:val="20"/>
          <w:szCs w:val="20"/>
        </w:rPr>
        <w:t xml:space="preserve">RISKS RELATED TO SUPPLY AND MANUFACTURING </w:t>
      </w:r>
    </w:p>
    <w:p w:rsidR="00000000" w:rsidRDefault="00786A01">
      <w:pPr>
        <w:divId w:val="282810291"/>
        <w:rPr>
          <w:rFonts w:eastAsia="Times New Roman"/>
        </w:rPr>
      </w:pPr>
      <w:r>
        <w:rPr>
          <w:rFonts w:eastAsia="Times New Roman"/>
          <w:b/>
          <w:bCs/>
          <w:i/>
          <w:iCs/>
          <w:color w:val="000000"/>
          <w:sz w:val="20"/>
          <w:szCs w:val="20"/>
        </w:rPr>
        <w:t>We depend on a limi</w:t>
      </w:r>
      <w:r>
        <w:rPr>
          <w:rFonts w:eastAsia="Times New Roman"/>
          <w:b/>
          <w:bCs/>
          <w:i/>
          <w:iCs/>
          <w:color w:val="000000"/>
          <w:sz w:val="20"/>
          <w:szCs w:val="20"/>
        </w:rPr>
        <w:t>ted number of third-party suppliers for the procurement, manufacture and testing of our products manufactured in a fabless production model. If we fail to execute supply strategies that provide supply assurance, technology leadership and reasonable margins</w:t>
      </w:r>
      <w:r>
        <w:rPr>
          <w:rFonts w:eastAsia="Times New Roman"/>
          <w:b/>
          <w:bCs/>
          <w:i/>
          <w:iCs/>
          <w:color w:val="000000"/>
          <w:sz w:val="20"/>
          <w:szCs w:val="20"/>
        </w:rPr>
        <w:t>, our business and results of operations may be harmed. We are also subject to order and shipment uncertainties that could negatively impact our results of operations.</w:t>
      </w:r>
    </w:p>
    <w:p w:rsidR="00000000" w:rsidRDefault="00786A01">
      <w:pPr>
        <w:ind w:firstLine="360"/>
        <w:divId w:val="324162921"/>
        <w:rPr>
          <w:rFonts w:eastAsia="Times New Roman"/>
        </w:rPr>
      </w:pPr>
      <w:r>
        <w:rPr>
          <w:rFonts w:eastAsia="Times New Roman"/>
          <w:color w:val="000000"/>
          <w:sz w:val="20"/>
          <w:szCs w:val="20"/>
        </w:rPr>
        <w:t>We primarily utilize a fabless production model, which means that we do not own or opera</w:t>
      </w:r>
      <w:r>
        <w:rPr>
          <w:rFonts w:eastAsia="Times New Roman"/>
          <w:color w:val="000000"/>
          <w:sz w:val="20"/>
          <w:szCs w:val="20"/>
        </w:rPr>
        <w:t>te foundries for the production of silicon wafers from which our integrated circuits are made. Other than the facilities we own that manufacture certain of our RFFE modules and RF (radio frequency) filter products, we rely on third-party suppliers to perfo</w:t>
      </w:r>
      <w:r>
        <w:rPr>
          <w:rFonts w:eastAsia="Times New Roman"/>
          <w:color w:val="000000"/>
          <w:sz w:val="20"/>
          <w:szCs w:val="20"/>
        </w:rPr>
        <w:t>rm the manufacturing and assembly, and most of the testing, of our integrated circuits. Our suppliers are also responsible for the procurement of most of the raw materials used in the production of our integrated circuits. There are a limited number of suc</w:t>
      </w:r>
      <w:r>
        <w:rPr>
          <w:rFonts w:eastAsia="Times New Roman"/>
          <w:color w:val="000000"/>
          <w:sz w:val="20"/>
          <w:szCs w:val="20"/>
        </w:rPr>
        <w:t xml:space="preserve">h third-party suppliers, and even fewer who are capable of manufacturing at the leading process technology nodes. We employ both turnkey and two-stage manufacturing models to purchase our integrated circuits. Under the turnkey model, our foundry suppliers </w:t>
      </w:r>
      <w:r>
        <w:rPr>
          <w:rFonts w:eastAsia="Times New Roman"/>
          <w:color w:val="000000"/>
          <w:sz w:val="20"/>
          <w:szCs w:val="20"/>
        </w:rPr>
        <w:t>are responsible for delivering fully assembled and tested integrated circuits. Under the two-stage manufacturing model, we purchase die in singular or wafer form from semiconductor manufacturing foundries and contract with separate third-party suppliers fo</w:t>
      </w:r>
      <w:r>
        <w:rPr>
          <w:rFonts w:eastAsia="Times New Roman"/>
          <w:color w:val="000000"/>
          <w:sz w:val="20"/>
          <w:szCs w:val="20"/>
        </w:rPr>
        <w:t>r manufacturing services such as wafer bump, probe, assembly and the majority of our final test requirements. The semiconductor manufacturing foundries that supply our products are primarily located in Asia, as are our primary warehouses where we store fin</w:t>
      </w:r>
      <w:r>
        <w:rPr>
          <w:rFonts w:eastAsia="Times New Roman"/>
          <w:color w:val="000000"/>
          <w:sz w:val="20"/>
          <w:szCs w:val="20"/>
        </w:rPr>
        <w:t xml:space="preserve">ished goods for fulfillment of customer orders. </w:t>
      </w:r>
    </w:p>
    <w:p w:rsidR="00000000" w:rsidRDefault="00786A01">
      <w:pPr>
        <w:ind w:firstLine="360"/>
        <w:divId w:val="1343362605"/>
        <w:rPr>
          <w:rFonts w:eastAsia="Times New Roman"/>
        </w:rPr>
      </w:pPr>
      <w:r>
        <w:rPr>
          <w:rFonts w:eastAsia="Times New Roman"/>
          <w:color w:val="000000"/>
          <w:sz w:val="20"/>
          <w:szCs w:val="20"/>
        </w:rPr>
        <w:t>The following could have an adverse effect on our ability to meet customer demand and negatively impact our revenues, business operations, profitability and cash flows:</w:t>
      </w:r>
    </w:p>
    <w:p w:rsidR="00000000" w:rsidRDefault="00786A01">
      <w:pPr>
        <w:ind w:hanging="360"/>
        <w:divId w:val="1166167700"/>
        <w:rPr>
          <w:rFonts w:eastAsia="Times New Roman"/>
        </w:rPr>
      </w:pPr>
      <w:r>
        <w:rPr>
          <w:rFonts w:eastAsia="Times New Roman"/>
          <w:color w:val="000000"/>
          <w:sz w:val="20"/>
          <w:szCs w:val="20"/>
        </w:rPr>
        <w:t>•a reduction, interruption, delay or l</w:t>
      </w:r>
      <w:r>
        <w:rPr>
          <w:rFonts w:eastAsia="Times New Roman"/>
          <w:color w:val="000000"/>
          <w:sz w:val="20"/>
          <w:szCs w:val="20"/>
        </w:rPr>
        <w:t>imitation in our product supply sources;</w:t>
      </w:r>
    </w:p>
    <w:p w:rsidR="00000000" w:rsidRDefault="00786A01">
      <w:pPr>
        <w:ind w:hanging="360"/>
        <w:divId w:val="776485380"/>
        <w:rPr>
          <w:rFonts w:eastAsia="Times New Roman"/>
        </w:rPr>
      </w:pPr>
      <w:r>
        <w:rPr>
          <w:rFonts w:eastAsia="Times New Roman"/>
          <w:color w:val="000000"/>
          <w:sz w:val="20"/>
          <w:szCs w:val="20"/>
        </w:rPr>
        <w:t>•a failure by our suppliers to procure raw materials or allocate adequate raw materials for our products;</w:t>
      </w:r>
    </w:p>
    <w:p w:rsidR="00000000" w:rsidRDefault="00786A01">
      <w:pPr>
        <w:ind w:hanging="360"/>
        <w:divId w:val="1350986338"/>
        <w:rPr>
          <w:rFonts w:eastAsia="Times New Roman"/>
        </w:rPr>
      </w:pPr>
      <w:r>
        <w:rPr>
          <w:rFonts w:eastAsia="Times New Roman"/>
          <w:color w:val="000000"/>
          <w:sz w:val="20"/>
          <w:szCs w:val="20"/>
        </w:rPr>
        <w:t>•</w:t>
      </w:r>
      <w:r>
        <w:rPr>
          <w:rFonts w:eastAsia="Times New Roman"/>
          <w:color w:val="000000"/>
          <w:sz w:val="20"/>
          <w:szCs w:val="20"/>
        </w:rPr>
        <w:t>an inability to procure or utilize raw materials, components or products from our suppliers due to government prohibitions or restrictions on transactions with certain countries and/or companies, and alternative suppliers, raw material sources or raw mater</w:t>
      </w:r>
      <w:r>
        <w:rPr>
          <w:rFonts w:eastAsia="Times New Roman"/>
          <w:color w:val="000000"/>
          <w:sz w:val="20"/>
          <w:szCs w:val="20"/>
        </w:rPr>
        <w:t>ials are not available or not available in acceptable time frames or upon acceptable terms;</w:t>
      </w:r>
    </w:p>
    <w:p w:rsidR="00000000" w:rsidRDefault="00786A01">
      <w:pPr>
        <w:ind w:hanging="360"/>
        <w:divId w:val="1617981940"/>
        <w:rPr>
          <w:rFonts w:eastAsia="Times New Roman"/>
        </w:rPr>
      </w:pPr>
      <w:r>
        <w:rPr>
          <w:rFonts w:eastAsia="Times New Roman"/>
          <w:color w:val="000000"/>
          <w:sz w:val="20"/>
          <w:szCs w:val="20"/>
        </w:rPr>
        <w:t>•a failure by our suppliers to allocate adequate manufacturing or test capacity for our products;</w:t>
      </w:r>
    </w:p>
    <w:p w:rsidR="00000000" w:rsidRDefault="00786A01">
      <w:pPr>
        <w:ind w:hanging="360"/>
        <w:divId w:val="1026633822"/>
        <w:rPr>
          <w:rFonts w:eastAsia="Times New Roman"/>
        </w:rPr>
      </w:pPr>
      <w:r>
        <w:rPr>
          <w:rFonts w:eastAsia="Times New Roman"/>
          <w:color w:val="000000"/>
          <w:sz w:val="20"/>
          <w:szCs w:val="20"/>
        </w:rPr>
        <w:t xml:space="preserve">•our suppliers’ inability to react to shifts in product demand or </w:t>
      </w:r>
      <w:r>
        <w:rPr>
          <w:rFonts w:eastAsia="Times New Roman"/>
          <w:color w:val="000000"/>
          <w:sz w:val="20"/>
          <w:szCs w:val="20"/>
        </w:rPr>
        <w:t>an increase in raw material or component prices;</w:t>
      </w:r>
    </w:p>
    <w:p w:rsidR="00000000" w:rsidRDefault="00786A01">
      <w:pPr>
        <w:jc w:val="center"/>
        <w:divId w:val="456264927"/>
        <w:rPr>
          <w:rFonts w:eastAsia="Times New Roman"/>
        </w:rPr>
      </w:pPr>
      <w:r>
        <w:rPr>
          <w:rFonts w:eastAsia="Times New Roman"/>
          <w:color w:val="000000"/>
          <w:sz w:val="20"/>
          <w:szCs w:val="20"/>
        </w:rPr>
        <w:t>41</w:t>
      </w:r>
    </w:p>
    <w:p w:rsidR="00000000" w:rsidRDefault="00786A01">
      <w:pPr>
        <w:rPr>
          <w:rFonts w:eastAsia="Times New Roman"/>
        </w:rPr>
      </w:pPr>
      <w:r>
        <w:rPr>
          <w:rFonts w:eastAsia="Times New Roman"/>
        </w:rPr>
        <w:pict>
          <v:rect id="_x0000_i1064" style="width:0;height:1.5pt" o:hralign="center" o:hrstd="t" o:hr="t" fillcolor="#a0a0a0" stroked="f"/>
        </w:pict>
      </w:r>
    </w:p>
    <w:p w:rsidR="00000000" w:rsidRDefault="00786A01">
      <w:pPr>
        <w:divId w:val="48693800"/>
        <w:rPr>
          <w:rFonts w:eastAsia="Times New Roman"/>
        </w:rPr>
      </w:pPr>
    </w:p>
    <w:p w:rsidR="00000000" w:rsidRDefault="00786A01">
      <w:pPr>
        <w:ind w:hanging="360"/>
        <w:divId w:val="466362985"/>
        <w:rPr>
          <w:rFonts w:eastAsia="Times New Roman"/>
        </w:rPr>
      </w:pPr>
      <w:r>
        <w:rPr>
          <w:rFonts w:eastAsia="Times New Roman"/>
          <w:color w:val="000000"/>
          <w:sz w:val="20"/>
          <w:szCs w:val="20"/>
        </w:rPr>
        <w:t xml:space="preserve">•our suppliers’ </w:t>
      </w:r>
      <w:r>
        <w:rPr>
          <w:rFonts w:eastAsia="Times New Roman"/>
          <w:color w:val="000000"/>
          <w:sz w:val="20"/>
          <w:szCs w:val="20"/>
        </w:rPr>
        <w:t>inability to develop or maintain, or a delay in developing or building out manufacturing capacity for leading process technologies, including transitions to smaller geometry process technologies;</w:t>
      </w:r>
    </w:p>
    <w:p w:rsidR="00000000" w:rsidRDefault="00786A01">
      <w:pPr>
        <w:ind w:hanging="360"/>
        <w:divId w:val="892421768"/>
        <w:rPr>
          <w:rFonts w:eastAsia="Times New Roman"/>
        </w:rPr>
      </w:pPr>
      <w:r>
        <w:rPr>
          <w:rFonts w:eastAsia="Times New Roman"/>
          <w:color w:val="000000"/>
          <w:sz w:val="20"/>
          <w:szCs w:val="20"/>
        </w:rPr>
        <w:t>•the loss of a supplier or the inability of a supplier to me</w:t>
      </w:r>
      <w:r>
        <w:rPr>
          <w:rFonts w:eastAsia="Times New Roman"/>
          <w:color w:val="000000"/>
          <w:sz w:val="20"/>
          <w:szCs w:val="20"/>
        </w:rPr>
        <w:t xml:space="preserve">et performance, quality or yield specifications or delivery schedules; </w:t>
      </w:r>
    </w:p>
    <w:p w:rsidR="00000000" w:rsidRDefault="00786A01">
      <w:pPr>
        <w:ind w:hanging="360"/>
        <w:divId w:val="1595702493"/>
        <w:rPr>
          <w:rFonts w:eastAsia="Times New Roman"/>
        </w:rPr>
      </w:pPr>
      <w:r>
        <w:rPr>
          <w:rFonts w:eastAsia="Times New Roman"/>
          <w:color w:val="000000"/>
          <w:sz w:val="20"/>
          <w:szCs w:val="20"/>
        </w:rPr>
        <w:t>•additional expense or production delays as a result of qualifying a new supplier and commencing volume production or testing in the event of a loss of, or a decision to add or change,</w:t>
      </w:r>
      <w:r>
        <w:rPr>
          <w:rFonts w:eastAsia="Times New Roman"/>
          <w:color w:val="000000"/>
          <w:sz w:val="20"/>
          <w:szCs w:val="20"/>
        </w:rPr>
        <w:t xml:space="preserve"> a supplier;</w:t>
      </w:r>
    </w:p>
    <w:p w:rsidR="00000000" w:rsidRDefault="00786A01">
      <w:pPr>
        <w:ind w:hanging="360"/>
        <w:divId w:val="1160543101"/>
        <w:rPr>
          <w:rFonts w:eastAsia="Times New Roman"/>
        </w:rPr>
      </w:pPr>
      <w:r>
        <w:rPr>
          <w:rFonts w:eastAsia="Times New Roman"/>
          <w:color w:val="000000"/>
          <w:sz w:val="20"/>
          <w:szCs w:val="20"/>
        </w:rPr>
        <w:t xml:space="preserve">•natural disasters, the effects of climate change or geopolitical conflicts impacting our suppliers; </w:t>
      </w:r>
    </w:p>
    <w:p w:rsidR="00000000" w:rsidRDefault="00786A01">
      <w:pPr>
        <w:ind w:hanging="360"/>
        <w:divId w:val="564804751"/>
        <w:rPr>
          <w:rFonts w:eastAsia="Times New Roman"/>
        </w:rPr>
      </w:pPr>
      <w:r>
        <w:rPr>
          <w:rFonts w:eastAsia="Times New Roman"/>
          <w:color w:val="000000"/>
          <w:sz w:val="20"/>
          <w:szCs w:val="20"/>
        </w:rPr>
        <w:t xml:space="preserve">•health crises, including epidemics or pandemics, such as the COVID-19 pandemic, and government and business responses thereto, which impact </w:t>
      </w:r>
      <w:r>
        <w:rPr>
          <w:rFonts w:eastAsia="Times New Roman"/>
          <w:color w:val="000000"/>
          <w:sz w:val="20"/>
          <w:szCs w:val="20"/>
        </w:rPr>
        <w:t>our suppliers, including as a result of quarantines or closure; and</w:t>
      </w:r>
    </w:p>
    <w:p w:rsidR="00000000" w:rsidRDefault="00786A01">
      <w:pPr>
        <w:ind w:hanging="360"/>
        <w:divId w:val="1187215851"/>
        <w:rPr>
          <w:rFonts w:eastAsia="Times New Roman"/>
        </w:rPr>
      </w:pPr>
      <w:r>
        <w:rPr>
          <w:rFonts w:eastAsia="Times New Roman"/>
          <w:color w:val="000000"/>
          <w:sz w:val="20"/>
          <w:szCs w:val="20"/>
        </w:rPr>
        <w:t xml:space="preserve">•trade or national security protection policies, particularly U.S. or Chinese government policies, that limit or prevent us from transacting business with suppliers of critical integrated </w:t>
      </w:r>
      <w:r>
        <w:rPr>
          <w:rFonts w:eastAsia="Times New Roman"/>
          <w:color w:val="000000"/>
          <w:sz w:val="20"/>
          <w:szCs w:val="20"/>
        </w:rPr>
        <w:t>circuit products, or that limit or prevent such suppliers from transacting business with us or from procuring materials, machinery or technology necessary to manufacture goods for us.</w:t>
      </w:r>
    </w:p>
    <w:p w:rsidR="00000000" w:rsidRDefault="00786A01">
      <w:pPr>
        <w:ind w:firstLine="360"/>
        <w:divId w:val="1500730895"/>
        <w:rPr>
          <w:rFonts w:eastAsia="Times New Roman"/>
        </w:rPr>
      </w:pPr>
      <w:r>
        <w:rPr>
          <w:rFonts w:eastAsia="Times New Roman"/>
          <w:color w:val="000000"/>
          <w:sz w:val="20"/>
          <w:szCs w:val="20"/>
        </w:rPr>
        <w:t xml:space="preserve">While we have established alternate suppliers for certain technologies, </w:t>
      </w:r>
      <w:r>
        <w:rPr>
          <w:rFonts w:eastAsia="Times New Roman"/>
          <w:color w:val="000000"/>
          <w:sz w:val="20"/>
          <w:szCs w:val="20"/>
        </w:rPr>
        <w:t>there are a limited number of such suppliers, and even fewer who are capable of operating at the leading process technology nodes or who are willing to operate at older process technology nodes. We rely on sole- or limited-source suppliers for certain prod</w:t>
      </w:r>
      <w:r>
        <w:rPr>
          <w:rFonts w:eastAsia="Times New Roman"/>
          <w:color w:val="000000"/>
          <w:sz w:val="20"/>
          <w:szCs w:val="20"/>
        </w:rPr>
        <w:t>ucts, which may exacerbate the risks identified above, and subject us to other significant risks, including: poor product performance and reduced control over delivery schedules, manufacturing capability and yields, quality assurance, quantity and costs. T</w:t>
      </w:r>
      <w:r>
        <w:rPr>
          <w:rFonts w:eastAsia="Times New Roman"/>
          <w:color w:val="000000"/>
          <w:sz w:val="20"/>
          <w:szCs w:val="20"/>
        </w:rPr>
        <w:t>o the extent we have established or in the future establish alternate suppliers, these suppliers may require significant amounts of time and levels of support to bring such technologies to production, both of which may increase for complex or leading proce</w:t>
      </w:r>
      <w:r>
        <w:rPr>
          <w:rFonts w:eastAsia="Times New Roman"/>
          <w:color w:val="000000"/>
          <w:sz w:val="20"/>
          <w:szCs w:val="20"/>
        </w:rPr>
        <w:t>ss technologies. As a result, we may invest a significant amount of effort and resources and incur higher costs to support and maintain such alternate suppliers. Further, the elimination or limitation of a foundry supplier’s ability to manufacture componen</w:t>
      </w:r>
      <w:r>
        <w:rPr>
          <w:rFonts w:eastAsia="Times New Roman"/>
          <w:color w:val="000000"/>
          <w:sz w:val="20"/>
          <w:szCs w:val="20"/>
        </w:rPr>
        <w:t>ts or products for us due to trade or national security protection policies could increase our vulnerability to sole- or limited-source arrangements and limit or prevent us from procuring critical components or products from those suppliers. Future consoli</w:t>
      </w:r>
      <w:r>
        <w:rPr>
          <w:rFonts w:eastAsia="Times New Roman"/>
          <w:color w:val="000000"/>
          <w:sz w:val="20"/>
          <w:szCs w:val="20"/>
        </w:rPr>
        <w:t>dation of foundry suppliers could also increase our vulnerability to sole- or limited-source arrangements and reduce our suppliers’ willingness to negotiate pricing, which could negatively impact our ability to achieve cost reductions, increase our manufac</w:t>
      </w:r>
      <w:r>
        <w:rPr>
          <w:rFonts w:eastAsia="Times New Roman"/>
          <w:color w:val="000000"/>
          <w:sz w:val="20"/>
          <w:szCs w:val="20"/>
        </w:rPr>
        <w:t>turing costs and limit the amount of capacity available to us. Our arrangements with our suppliers may obligate us to incur costs to manufacture and test our products that do not decrease at the same rate as decreases in pricing to our customers. Our abili</w:t>
      </w:r>
      <w:r>
        <w:rPr>
          <w:rFonts w:eastAsia="Times New Roman"/>
          <w:color w:val="000000"/>
          <w:sz w:val="20"/>
          <w:szCs w:val="20"/>
        </w:rPr>
        <w:t xml:space="preserve">ty, and that of our suppliers, to develop or maintain leading process technologies, including transitions to smaller geometry process technologies (which adds risk to manufacturing yields and reliability), and to effectively compete with the manufacturing </w:t>
      </w:r>
      <w:r>
        <w:rPr>
          <w:rFonts w:eastAsia="Times New Roman"/>
          <w:color w:val="000000"/>
          <w:sz w:val="20"/>
          <w:szCs w:val="20"/>
        </w:rPr>
        <w:t>processes and performance of our competitors, could impact our ability to introduce new products and meet customer demand, could increase our costs (possibly decreasing our margins) and could subject us to the risk of excess inventories. Any of the above c</w:t>
      </w:r>
      <w:r>
        <w:rPr>
          <w:rFonts w:eastAsia="Times New Roman"/>
          <w:color w:val="000000"/>
          <w:sz w:val="20"/>
          <w:szCs w:val="20"/>
        </w:rPr>
        <w:t>ould negatively impact our business, results of operations and cash flows.</w:t>
      </w:r>
    </w:p>
    <w:p w:rsidR="00000000" w:rsidRDefault="00786A01">
      <w:pPr>
        <w:ind w:firstLine="360"/>
        <w:divId w:val="487940974"/>
        <w:rPr>
          <w:rFonts w:eastAsia="Times New Roman"/>
        </w:rPr>
      </w:pPr>
      <w:r>
        <w:rPr>
          <w:rFonts w:eastAsia="Times New Roman"/>
          <w:color w:val="000000"/>
          <w:sz w:val="20"/>
          <w:szCs w:val="20"/>
        </w:rPr>
        <w:t>Although we have long-term contracts with our suppliers, most of these contracts do not provide for long-term capacity commitments. To the extent we do not have firm commitments fro</w:t>
      </w:r>
      <w:r>
        <w:rPr>
          <w:rFonts w:eastAsia="Times New Roman"/>
          <w:color w:val="000000"/>
          <w:sz w:val="20"/>
          <w:szCs w:val="20"/>
        </w:rPr>
        <w:t>m our suppliers over a specific time period or for any specific quantity, our suppliers may allocate, and in the past have allocated, capacity to the production and testing of products for their other customers while reducing or limiting capacity to manufa</w:t>
      </w:r>
      <w:r>
        <w:rPr>
          <w:rFonts w:eastAsia="Times New Roman"/>
          <w:color w:val="000000"/>
          <w:sz w:val="20"/>
          <w:szCs w:val="20"/>
        </w:rPr>
        <w:t>cture or test our products, and such capacity may be limited based on our suppliers’ ability and willingness to invest in the capital required to manufacture in the leading process technologies. Accordingly, capacity for our products may not be available w</w:t>
      </w:r>
      <w:r>
        <w:rPr>
          <w:rFonts w:eastAsia="Times New Roman"/>
          <w:color w:val="000000"/>
          <w:sz w:val="20"/>
          <w:szCs w:val="20"/>
        </w:rPr>
        <w:t>hen we need it or at reasonable prices. To the extent we do obtain long-term capacity commitments, we may incur additional costs related to those commitments or make non-refundable payments for capacity commitments that are not used.</w:t>
      </w:r>
    </w:p>
    <w:p w:rsidR="00000000" w:rsidRDefault="00786A01">
      <w:pPr>
        <w:ind w:firstLine="360"/>
        <w:divId w:val="548344280"/>
        <w:rPr>
          <w:rFonts w:eastAsia="Times New Roman"/>
        </w:rPr>
      </w:pPr>
      <w:r>
        <w:rPr>
          <w:rFonts w:eastAsia="Times New Roman"/>
          <w:color w:val="000000"/>
          <w:sz w:val="20"/>
          <w:szCs w:val="20"/>
        </w:rPr>
        <w:t>Our suppliers or poten</w:t>
      </w:r>
      <w:r>
        <w:rPr>
          <w:rFonts w:eastAsia="Times New Roman"/>
          <w:color w:val="000000"/>
          <w:sz w:val="20"/>
          <w:szCs w:val="20"/>
        </w:rPr>
        <w:t>tial alternate suppliers may manufacture integrated circuits, for themselves or for other companies, that compete with our products. Such suppliers have in the past and could again elect to allocate raw materials and manufacturing capacity to their own pro</w:t>
      </w:r>
      <w:r>
        <w:rPr>
          <w:rFonts w:eastAsia="Times New Roman"/>
          <w:color w:val="000000"/>
          <w:sz w:val="20"/>
          <w:szCs w:val="20"/>
        </w:rPr>
        <w:t>ducts or products of our competitors and reduce or limit the production of our products.</w:t>
      </w:r>
    </w:p>
    <w:p w:rsidR="00000000" w:rsidRDefault="00786A01">
      <w:pPr>
        <w:ind w:firstLine="360"/>
        <w:divId w:val="270209230"/>
        <w:rPr>
          <w:rFonts w:eastAsia="Times New Roman"/>
        </w:rPr>
      </w:pPr>
      <w:r>
        <w:rPr>
          <w:rFonts w:eastAsia="Times New Roman"/>
          <w:color w:val="000000"/>
          <w:sz w:val="20"/>
          <w:szCs w:val="20"/>
        </w:rPr>
        <w:t>In addition, we may not receive reasonable pricing, manufacturing or delivery terms from our suppliers, and our ability to obtain favorable terms may be diminished dur</w:t>
      </w:r>
      <w:r>
        <w:rPr>
          <w:rFonts w:eastAsia="Times New Roman"/>
          <w:color w:val="000000"/>
          <w:sz w:val="20"/>
          <w:szCs w:val="20"/>
        </w:rPr>
        <w:t xml:space="preserve">ing times of high demand and/or limited manufacturing capacity for integrated circuit products. We cannot guarantee that the actions of our suppliers will not cause disruptions in our operations that could harm our ability to meet our delivery obligations </w:t>
      </w:r>
      <w:r>
        <w:rPr>
          <w:rFonts w:eastAsia="Times New Roman"/>
          <w:color w:val="000000"/>
          <w:sz w:val="20"/>
          <w:szCs w:val="20"/>
        </w:rPr>
        <w:t xml:space="preserve">to our customers or increase our cost of sales. To the extent we are unable to obtain adequate supply, we may be obligated to make payment to our customers for such shortfalls. </w:t>
      </w:r>
    </w:p>
    <w:p w:rsidR="00000000" w:rsidRDefault="00786A01">
      <w:pPr>
        <w:ind w:firstLine="360"/>
        <w:divId w:val="809518834"/>
        <w:rPr>
          <w:rFonts w:eastAsia="Times New Roman"/>
        </w:rPr>
      </w:pPr>
      <w:r>
        <w:rPr>
          <w:rFonts w:eastAsia="Times New Roman"/>
          <w:color w:val="000000"/>
          <w:sz w:val="20"/>
          <w:szCs w:val="20"/>
        </w:rPr>
        <w:t xml:space="preserve">Additionally, we place orders with our suppliers using our and our customers’ </w:t>
      </w:r>
      <w:r>
        <w:rPr>
          <w:rFonts w:eastAsia="Times New Roman"/>
          <w:color w:val="000000"/>
          <w:sz w:val="20"/>
          <w:szCs w:val="20"/>
        </w:rPr>
        <w:t xml:space="preserve">forecasts of demand for our products, which are based on a number of assumptions and estimates. As we move to smaller geometry process technologies, the </w:t>
      </w:r>
    </w:p>
    <w:p w:rsidR="00000000" w:rsidRDefault="00786A01">
      <w:pPr>
        <w:jc w:val="center"/>
        <w:divId w:val="1642881096"/>
        <w:rPr>
          <w:rFonts w:eastAsia="Times New Roman"/>
        </w:rPr>
      </w:pPr>
      <w:r>
        <w:rPr>
          <w:rFonts w:eastAsia="Times New Roman"/>
          <w:color w:val="000000"/>
          <w:sz w:val="20"/>
          <w:szCs w:val="20"/>
        </w:rPr>
        <w:t>42</w:t>
      </w:r>
    </w:p>
    <w:p w:rsidR="00000000" w:rsidRDefault="00786A01">
      <w:pPr>
        <w:rPr>
          <w:rFonts w:eastAsia="Times New Roman"/>
        </w:rPr>
      </w:pPr>
      <w:r>
        <w:rPr>
          <w:rFonts w:eastAsia="Times New Roman"/>
        </w:rPr>
        <w:pict>
          <v:rect id="_x0000_i1065" style="width:0;height:1.5pt" o:hralign="center" o:hrstd="t" o:hr="t" fillcolor="#a0a0a0" stroked="f"/>
        </w:pict>
      </w:r>
    </w:p>
    <w:p w:rsidR="00000000" w:rsidRDefault="00786A01">
      <w:pPr>
        <w:divId w:val="2137327954"/>
        <w:rPr>
          <w:rFonts w:eastAsia="Times New Roman"/>
        </w:rPr>
      </w:pPr>
    </w:p>
    <w:p w:rsidR="00000000" w:rsidRDefault="00786A01">
      <w:pPr>
        <w:divId w:val="734593496"/>
        <w:rPr>
          <w:rFonts w:eastAsia="Times New Roman"/>
        </w:rPr>
      </w:pPr>
      <w:r>
        <w:rPr>
          <w:rFonts w:eastAsia="Times New Roman"/>
          <w:color w:val="000000"/>
          <w:sz w:val="20"/>
          <w:szCs w:val="20"/>
        </w:rPr>
        <w:t>manufacturing lead-time increases. As a result, the orders w</w:t>
      </w:r>
      <w:r>
        <w:rPr>
          <w:rFonts w:eastAsia="Times New Roman"/>
          <w:color w:val="000000"/>
          <w:sz w:val="20"/>
          <w:szCs w:val="20"/>
        </w:rPr>
        <w:t>e place with our suppliers are generally only partially covered by commitments from our customers. If we, or our customers, overestimate demand, or if demand is impacted by factors outside of our or our customers’ control, such as the COVID-19 pandemic, th</w:t>
      </w:r>
      <w:r>
        <w:rPr>
          <w:rFonts w:eastAsia="Times New Roman"/>
          <w:color w:val="000000"/>
          <w:sz w:val="20"/>
          <w:szCs w:val="20"/>
        </w:rPr>
        <w:t>at is not under a binding commitment from our customers, we may experience increased excess or obsolete inventory, which would negatively impact our results of operations.</w:t>
      </w:r>
    </w:p>
    <w:p w:rsidR="00000000" w:rsidRDefault="00786A01">
      <w:pPr>
        <w:ind w:firstLine="360"/>
        <w:divId w:val="1265069288"/>
        <w:rPr>
          <w:rFonts w:eastAsia="Times New Roman"/>
        </w:rPr>
      </w:pPr>
      <w:r>
        <w:rPr>
          <w:rFonts w:eastAsia="Times New Roman"/>
          <w:color w:val="000000"/>
          <w:sz w:val="20"/>
          <w:szCs w:val="20"/>
        </w:rPr>
        <w:t>Conversely, if we or our customers underestimate demand, or if demand increases sign</w:t>
      </w:r>
      <w:r>
        <w:rPr>
          <w:rFonts w:eastAsia="Times New Roman"/>
          <w:color w:val="000000"/>
          <w:sz w:val="20"/>
          <w:szCs w:val="20"/>
        </w:rPr>
        <w:t>ificantly and/or rapidly, we have in the past been, currently are and may in the future be unable to obtain, on a timely basis or at all, the additional manufacturing and test capacity necessary to meet such demand, which could result in lost sales opportu</w:t>
      </w:r>
      <w:r>
        <w:rPr>
          <w:rFonts w:eastAsia="Times New Roman"/>
          <w:color w:val="000000"/>
          <w:sz w:val="20"/>
          <w:szCs w:val="20"/>
        </w:rPr>
        <w:t>nities, reduced revenue growth and harm to our customer relationships. Currently, the global semiconductor industry is experiencing demand for integrated circuits that exceeds the industry’s capacity to meet that demand.</w:t>
      </w:r>
    </w:p>
    <w:p w:rsidR="00000000" w:rsidRDefault="00786A01">
      <w:pPr>
        <w:ind w:firstLine="360"/>
        <w:divId w:val="829294993"/>
        <w:rPr>
          <w:rFonts w:eastAsia="Times New Roman"/>
        </w:rPr>
      </w:pPr>
      <w:r>
        <w:rPr>
          <w:rFonts w:eastAsia="Times New Roman"/>
          <w:color w:val="000000"/>
          <w:sz w:val="20"/>
          <w:szCs w:val="20"/>
        </w:rPr>
        <w:t>See also the Risk Factor below titl</w:t>
      </w:r>
      <w:r>
        <w:rPr>
          <w:rFonts w:eastAsia="Times New Roman"/>
          <w:color w:val="000000"/>
          <w:sz w:val="20"/>
          <w:szCs w:val="20"/>
        </w:rPr>
        <w:t xml:space="preserve">ed </w:t>
      </w:r>
      <w:r>
        <w:rPr>
          <w:rFonts w:eastAsia="Times New Roman"/>
          <w:i/>
          <w:iCs/>
          <w:color w:val="000000"/>
          <w:sz w:val="20"/>
          <w:szCs w:val="20"/>
        </w:rPr>
        <w:t>“There are numerous risks associated with the operation and control of our manufacturing facilities, including a higher portion of fixed costs relative to a fabless model, environmental compliance and liability, impacts related to climate change, exposu</w:t>
      </w:r>
      <w:r>
        <w:rPr>
          <w:rFonts w:eastAsia="Times New Roman"/>
          <w:i/>
          <w:iCs/>
          <w:color w:val="000000"/>
          <w:sz w:val="20"/>
          <w:szCs w:val="20"/>
        </w:rPr>
        <w:t xml:space="preserve">re to natural disasters, timely supply of equipment and materials, and various manufacturing issues” </w:t>
      </w:r>
      <w:r>
        <w:rPr>
          <w:rFonts w:eastAsia="Times New Roman"/>
          <w:color w:val="000000"/>
          <w:sz w:val="20"/>
          <w:szCs w:val="20"/>
        </w:rPr>
        <w:t xml:space="preserve">for additional risks that may also be applicable to our third-party suppliers’ manufacturing facilities, which could result in disruptions to our business </w:t>
      </w:r>
      <w:r>
        <w:rPr>
          <w:rFonts w:eastAsia="Times New Roman"/>
          <w:color w:val="000000"/>
          <w:sz w:val="20"/>
          <w:szCs w:val="20"/>
        </w:rPr>
        <w:t>or additional costs to us, and negatively impact our results of operations.</w:t>
      </w:r>
    </w:p>
    <w:p w:rsidR="00000000" w:rsidRDefault="00786A01">
      <w:pPr>
        <w:divId w:val="266932450"/>
        <w:rPr>
          <w:rFonts w:eastAsia="Times New Roman"/>
        </w:rPr>
      </w:pPr>
      <w:r>
        <w:rPr>
          <w:rFonts w:eastAsia="Times New Roman"/>
          <w:b/>
          <w:bCs/>
          <w:i/>
          <w:iCs/>
          <w:color w:val="000000"/>
          <w:sz w:val="20"/>
          <w:szCs w:val="20"/>
        </w:rPr>
        <w:t>There are numerous risks associated with the operation and control of our manufacturing facilities, including a higher portion of fixed costs relative to a fabless model, environme</w:t>
      </w:r>
      <w:r>
        <w:rPr>
          <w:rFonts w:eastAsia="Times New Roman"/>
          <w:b/>
          <w:bCs/>
          <w:i/>
          <w:iCs/>
          <w:color w:val="000000"/>
          <w:sz w:val="20"/>
          <w:szCs w:val="20"/>
        </w:rPr>
        <w:t>ntal compliance and liability, impacts related to climate change, exposure to natural disasters, timely supply of equipment and materials, and various manufacturing issues.</w:t>
      </w:r>
    </w:p>
    <w:p w:rsidR="00000000" w:rsidRDefault="00786A01">
      <w:pPr>
        <w:ind w:firstLine="360"/>
        <w:divId w:val="1021780914"/>
        <w:rPr>
          <w:rFonts w:eastAsia="Times New Roman"/>
        </w:rPr>
      </w:pPr>
      <w:r>
        <w:rPr>
          <w:rFonts w:eastAsia="Times New Roman"/>
          <w:color w:val="000000"/>
          <w:sz w:val="20"/>
          <w:szCs w:val="20"/>
        </w:rPr>
        <w:t xml:space="preserve">We own and operate various facilities that manufacture certain of our RFFE modules </w:t>
      </w:r>
      <w:r>
        <w:rPr>
          <w:rFonts w:eastAsia="Times New Roman"/>
          <w:color w:val="000000"/>
          <w:sz w:val="20"/>
          <w:szCs w:val="20"/>
        </w:rPr>
        <w:t>and RF filter products. Manufacturing facilities are characterized by a higher portion of fixed costs relative to a fabless model. We may be faced with a decline in the utilization rates of our manufacturing facilities due to decreases in demand for our pr</w:t>
      </w:r>
      <w:r>
        <w:rPr>
          <w:rFonts w:eastAsia="Times New Roman"/>
          <w:color w:val="000000"/>
          <w:sz w:val="20"/>
          <w:szCs w:val="20"/>
        </w:rPr>
        <w:t>oducts, including in less favorable industry environments, or due to our failure to win and/or retain designs with OEMs. During such periods, our manufacturing facilities could operate at lower capacity levels, while the fixed costs associated with such fa</w:t>
      </w:r>
      <w:r>
        <w:rPr>
          <w:rFonts w:eastAsia="Times New Roman"/>
          <w:color w:val="000000"/>
          <w:sz w:val="20"/>
          <w:szCs w:val="20"/>
        </w:rPr>
        <w:t>cilities would continue to be incurred, resulting in lower gross profit.</w:t>
      </w:r>
    </w:p>
    <w:p w:rsidR="00000000" w:rsidRDefault="00786A01">
      <w:pPr>
        <w:ind w:firstLine="360"/>
        <w:divId w:val="1853493151"/>
        <w:rPr>
          <w:rFonts w:eastAsia="Times New Roman"/>
        </w:rPr>
      </w:pPr>
      <w:r>
        <w:rPr>
          <w:rFonts w:eastAsia="Times New Roman"/>
          <w:color w:val="000000"/>
          <w:sz w:val="20"/>
          <w:szCs w:val="20"/>
        </w:rPr>
        <w:t>We are subject to many environmental, health and safety laws and regulations in each jurisdiction in which we operate our manufacturing facilities, which govern, among other things, e</w:t>
      </w:r>
      <w:r>
        <w:rPr>
          <w:rFonts w:eastAsia="Times New Roman"/>
          <w:color w:val="000000"/>
          <w:sz w:val="20"/>
          <w:szCs w:val="20"/>
        </w:rPr>
        <w:t xml:space="preserve">missions of pollutants into the air; wastewater discharges; the use, storage, generation, handling and disposal of hazardous substances and other waste; the investigation and remediation of soil and ground water contamination; and the health and safety of </w:t>
      </w:r>
      <w:r>
        <w:rPr>
          <w:rFonts w:eastAsia="Times New Roman"/>
          <w:color w:val="000000"/>
          <w:sz w:val="20"/>
          <w:szCs w:val="20"/>
        </w:rPr>
        <w:t>our employees. Certain environmental laws impose strict, and in certain circumstances joint and several, liability on current or previous owners or operators of real property, or parties who arranged for hazardous substances to be sent to disposal or treat</w:t>
      </w:r>
      <w:r>
        <w:rPr>
          <w:rFonts w:eastAsia="Times New Roman"/>
          <w:color w:val="000000"/>
          <w:sz w:val="20"/>
          <w:szCs w:val="20"/>
        </w:rPr>
        <w:t>ment facilities, for the cost of investigation, removal or remediation of hazardous substances. As a result, we may incur clean-up costs in connection with any such removal or remediation efforts, as well as other third-party claims in connection with cont</w:t>
      </w:r>
      <w:r>
        <w:rPr>
          <w:rFonts w:eastAsia="Times New Roman"/>
          <w:color w:val="000000"/>
          <w:sz w:val="20"/>
          <w:szCs w:val="20"/>
        </w:rPr>
        <w:t>aminated sites. In addition, we could be held liable for consequences arising out of human exposure to hazardous substances or other environmental damage. If we, or companies or facilities we acquire or have acquired, in the past failed or in the future fa</w:t>
      </w:r>
      <w:r>
        <w:rPr>
          <w:rFonts w:eastAsia="Times New Roman"/>
          <w:color w:val="000000"/>
          <w:sz w:val="20"/>
          <w:szCs w:val="20"/>
        </w:rPr>
        <w:t>il to comply with any such laws and regulations, then we could incur liabilities, fines or prohibitions on the sale of products we manufacture, and our operations could be suspended. Such laws and regulations could also restrict our ability to modify or ex</w:t>
      </w:r>
      <w:r>
        <w:rPr>
          <w:rFonts w:eastAsia="Times New Roman"/>
          <w:color w:val="000000"/>
          <w:sz w:val="20"/>
          <w:szCs w:val="20"/>
        </w:rPr>
        <w:t>pand our facilities, could require us to acquire costly equipment, or could require other significant expenditures. We are also required to obtain and maintain environmental permits from governmental authorities for certain of our operations. While we have</w:t>
      </w:r>
      <w:r>
        <w:rPr>
          <w:rFonts w:eastAsia="Times New Roman"/>
          <w:color w:val="000000"/>
          <w:sz w:val="20"/>
          <w:szCs w:val="20"/>
        </w:rPr>
        <w:t xml:space="preserve"> policies and procedures designed to ensure compliance with applicable laws, regulations and permits, we cannot make assurances that we, or our employees, contractors or agents, will at all times be in compliance with such laws, regulations and permits, or</w:t>
      </w:r>
      <w:r>
        <w:rPr>
          <w:rFonts w:eastAsia="Times New Roman"/>
          <w:color w:val="000000"/>
          <w:sz w:val="20"/>
          <w:szCs w:val="20"/>
        </w:rPr>
        <w:t xml:space="preserve"> our related policies and procedures.</w:t>
      </w:r>
    </w:p>
    <w:p w:rsidR="00000000" w:rsidRDefault="00786A01">
      <w:pPr>
        <w:ind w:firstLine="360"/>
        <w:divId w:val="1325400402"/>
        <w:rPr>
          <w:rFonts w:eastAsia="Times New Roman"/>
        </w:rPr>
      </w:pPr>
      <w:r>
        <w:rPr>
          <w:rFonts w:eastAsia="Times New Roman"/>
          <w:color w:val="000000"/>
          <w:sz w:val="20"/>
          <w:szCs w:val="20"/>
        </w:rPr>
        <w:t>Climate change concerns and the potential resulting environmental impact may result in new environmental, health and safety laws and regulations that may affect us, our suppliers and our customers. Such laws or regulations could cause us to incur additiona</w:t>
      </w:r>
      <w:r>
        <w:rPr>
          <w:rFonts w:eastAsia="Times New Roman"/>
          <w:color w:val="000000"/>
          <w:sz w:val="20"/>
          <w:szCs w:val="20"/>
        </w:rPr>
        <w:t>l direct costs for compliance, including costs associated with changes to manufacturing processes or the procurement of raw materials used in manufacturing processes, as well as increased indirect costs resulting from our customers, suppliers or both incur</w:t>
      </w:r>
      <w:r>
        <w:rPr>
          <w:rFonts w:eastAsia="Times New Roman"/>
          <w:color w:val="000000"/>
          <w:sz w:val="20"/>
          <w:szCs w:val="20"/>
        </w:rPr>
        <w:t>ring additional compliance costs that are passed on to us. These costs may adversely impact our results of operations and financial condition. In addition, climate change could cause certain natural disasters, such as drought, wildfires, storms, flooding o</w:t>
      </w:r>
      <w:r>
        <w:rPr>
          <w:rFonts w:eastAsia="Times New Roman"/>
          <w:color w:val="000000"/>
          <w:sz w:val="20"/>
          <w:szCs w:val="20"/>
        </w:rPr>
        <w:t xml:space="preserve">r rising sea levels, to occur more frequently or with greater intensity, which could pose physical risks to our manufacturing facilities or our suppliers’ facilities; could disrupt the availability of water necessary for the operation of our manufacturing </w:t>
      </w:r>
      <w:r>
        <w:rPr>
          <w:rFonts w:eastAsia="Times New Roman"/>
          <w:color w:val="000000"/>
          <w:sz w:val="20"/>
          <w:szCs w:val="20"/>
        </w:rPr>
        <w:t>facilities or our suppliers’ facilities; and could increase or decrease temperatures resulting in increased operating costs and/or business disruption.</w:t>
      </w:r>
    </w:p>
    <w:p w:rsidR="00000000" w:rsidRDefault="00786A01">
      <w:pPr>
        <w:jc w:val="center"/>
        <w:divId w:val="911279472"/>
        <w:rPr>
          <w:rFonts w:eastAsia="Times New Roman"/>
        </w:rPr>
      </w:pPr>
      <w:r>
        <w:rPr>
          <w:rFonts w:eastAsia="Times New Roman"/>
          <w:color w:val="000000"/>
          <w:sz w:val="20"/>
          <w:szCs w:val="20"/>
        </w:rPr>
        <w:t>43</w:t>
      </w:r>
    </w:p>
    <w:p w:rsidR="00000000" w:rsidRDefault="00786A01">
      <w:pPr>
        <w:rPr>
          <w:rFonts w:eastAsia="Times New Roman"/>
        </w:rPr>
      </w:pPr>
      <w:r>
        <w:rPr>
          <w:rFonts w:eastAsia="Times New Roman"/>
        </w:rPr>
        <w:pict>
          <v:rect id="_x0000_i1066" style="width:0;height:1.5pt" o:hralign="center" o:hrstd="t" o:hr="t" fillcolor="#a0a0a0" stroked="f"/>
        </w:pict>
      </w:r>
    </w:p>
    <w:p w:rsidR="00000000" w:rsidRDefault="00786A01">
      <w:pPr>
        <w:divId w:val="159855562"/>
        <w:rPr>
          <w:rFonts w:eastAsia="Times New Roman"/>
        </w:rPr>
      </w:pPr>
    </w:p>
    <w:p w:rsidR="00000000" w:rsidRDefault="00786A01">
      <w:pPr>
        <w:ind w:firstLine="360"/>
        <w:divId w:val="119691722"/>
        <w:rPr>
          <w:rFonts w:eastAsia="Times New Roman"/>
        </w:rPr>
      </w:pPr>
      <w:r>
        <w:rPr>
          <w:rFonts w:eastAsia="Times New Roman"/>
          <w:color w:val="000000"/>
          <w:sz w:val="20"/>
          <w:szCs w:val="20"/>
        </w:rPr>
        <w:t>We have manufacturing facilities in Asia and Europe. If tsunam</w:t>
      </w:r>
      <w:r>
        <w:rPr>
          <w:rFonts w:eastAsia="Times New Roman"/>
          <w:color w:val="000000"/>
          <w:sz w:val="20"/>
          <w:szCs w:val="20"/>
        </w:rPr>
        <w:t>is, flooding, earthquakes, volcanic eruptions, drought or other natural disasters, effects of climate change or geopolitical conflicts, were to damage, destroy or disrupt our manufacturing facilities, it could disrupt our operations, delay production and s</w:t>
      </w:r>
      <w:r>
        <w:rPr>
          <w:rFonts w:eastAsia="Times New Roman"/>
          <w:color w:val="000000"/>
          <w:sz w:val="20"/>
          <w:szCs w:val="20"/>
        </w:rPr>
        <w:t>hipments of inventory and result in costly repairs, replacements or other costs. In addition, natural disasters, effects of climate change or geopolitical conflicts may result in disruptions in transportation, distribution channels and supply chains, and s</w:t>
      </w:r>
      <w:r>
        <w:rPr>
          <w:rFonts w:eastAsia="Times New Roman"/>
          <w:color w:val="000000"/>
          <w:sz w:val="20"/>
          <w:szCs w:val="20"/>
        </w:rPr>
        <w:t>ignificant increases in the prices of raw materials. Further, health crises, including epidemics or pandemics, such as the COVID-19 pandemic, and government and business responses thereto, could affect our manufacturing facilities, including by resulting i</w:t>
      </w:r>
      <w:r>
        <w:rPr>
          <w:rFonts w:eastAsia="Times New Roman"/>
          <w:color w:val="000000"/>
          <w:sz w:val="20"/>
          <w:szCs w:val="20"/>
        </w:rPr>
        <w:t>n quarantines and/or closures, which would result in disruptions to and potential closures of our manufacturing operations.</w:t>
      </w:r>
    </w:p>
    <w:p w:rsidR="00000000" w:rsidRDefault="00786A01">
      <w:pPr>
        <w:ind w:firstLine="360"/>
        <w:divId w:val="1308513887"/>
        <w:rPr>
          <w:rFonts w:eastAsia="Times New Roman"/>
        </w:rPr>
      </w:pPr>
      <w:r>
        <w:rPr>
          <w:rFonts w:eastAsia="Times New Roman"/>
          <w:color w:val="000000"/>
          <w:sz w:val="20"/>
          <w:szCs w:val="20"/>
        </w:rPr>
        <w:t>Our manufacturing operations depend on securing raw materials and other supplies in adequate quality and quantity in a timely manner</w:t>
      </w:r>
      <w:r>
        <w:rPr>
          <w:rFonts w:eastAsia="Times New Roman"/>
          <w:color w:val="000000"/>
          <w:sz w:val="20"/>
          <w:szCs w:val="20"/>
        </w:rPr>
        <w:t xml:space="preserve"> from multiple suppliers, and in some cases, we rely on a limited number of suppliers, including in some cases sole suppliers, particularly in Asia. There may be cases where supplies of raw materials and other products are interrupted by disaster, accident</w:t>
      </w:r>
      <w:r>
        <w:rPr>
          <w:rFonts w:eastAsia="Times New Roman"/>
          <w:color w:val="000000"/>
          <w:sz w:val="20"/>
          <w:szCs w:val="20"/>
        </w:rPr>
        <w:t xml:space="preserve"> or some other event at a supplier; supply is suspended due to quality or other issues; there is a shortage of supply due to a rapid increase in demand; and/or we or our suppliers are prohibited from utilizing certain raw materials, or products or componen</w:t>
      </w:r>
      <w:r>
        <w:rPr>
          <w:rFonts w:eastAsia="Times New Roman"/>
          <w:color w:val="000000"/>
          <w:sz w:val="20"/>
          <w:szCs w:val="20"/>
        </w:rPr>
        <w:t>ts that incorporate such raw materials, due to government restrictions related to the countries from which such raw materials originate, and acceptable alternative suppliers, raw materials or raw materials sources are not available or not available in acce</w:t>
      </w:r>
      <w:r>
        <w:rPr>
          <w:rFonts w:eastAsia="Times New Roman"/>
          <w:color w:val="000000"/>
          <w:sz w:val="20"/>
          <w:szCs w:val="20"/>
        </w:rPr>
        <w:t>ptable time frames or upon acceptable terms, among others, which could impact production and prevent us from supplying our products to our customers. If the supply-demand balance is disrupted, it may considerably increase costs of manufacturing due to incr</w:t>
      </w:r>
      <w:r>
        <w:rPr>
          <w:rFonts w:eastAsia="Times New Roman"/>
          <w:color w:val="000000"/>
          <w:sz w:val="20"/>
          <w:szCs w:val="20"/>
        </w:rPr>
        <w:t>eased prices we pay for raw materials. From time to time, suppliers may extend lead times, limit amounts supplied to us or increase prices due to capacity constraints or other factors. Additionally, supply and costs of raw materials may be negatively impac</w:t>
      </w:r>
      <w:r>
        <w:rPr>
          <w:rFonts w:eastAsia="Times New Roman"/>
          <w:color w:val="000000"/>
          <w:sz w:val="20"/>
          <w:szCs w:val="20"/>
        </w:rPr>
        <w:t>ted by trade and/or national security protection policies, such as tariffs, or actions by governments that limit or prevent us from transacting business with certain countries or companies or that limit or prevent certain companies from transacting busines</w:t>
      </w:r>
      <w:r>
        <w:rPr>
          <w:rFonts w:eastAsia="Times New Roman"/>
          <w:color w:val="000000"/>
          <w:sz w:val="20"/>
          <w:szCs w:val="20"/>
        </w:rPr>
        <w:t>s with us, or trade tensions, particularly with countries in Asia. Further, it may be difficult or impossible to substitute one piece of equipment for another or replace one type of material with another. A failure by our suppliers to deliver our requireme</w:t>
      </w:r>
      <w:r>
        <w:rPr>
          <w:rFonts w:eastAsia="Times New Roman"/>
          <w:color w:val="000000"/>
          <w:sz w:val="20"/>
          <w:szCs w:val="20"/>
        </w:rPr>
        <w:t>nts could result in disruptions to our manufacturing operations.</w:t>
      </w:r>
    </w:p>
    <w:p w:rsidR="00000000" w:rsidRDefault="00786A01">
      <w:pPr>
        <w:ind w:firstLine="360"/>
        <w:divId w:val="621500170"/>
        <w:rPr>
          <w:rFonts w:eastAsia="Times New Roman"/>
        </w:rPr>
      </w:pPr>
      <w:r>
        <w:rPr>
          <w:rFonts w:eastAsia="Times New Roman"/>
          <w:color w:val="000000"/>
          <w:sz w:val="20"/>
          <w:szCs w:val="20"/>
        </w:rPr>
        <w:t>Our manufacturing processes are highly complex, require advanced and costly equipment and must be continuously modified to improve yields and performance. Difficulties in the production proce</w:t>
      </w:r>
      <w:r>
        <w:rPr>
          <w:rFonts w:eastAsia="Times New Roman"/>
          <w:color w:val="000000"/>
          <w:sz w:val="20"/>
          <w:szCs w:val="20"/>
        </w:rPr>
        <w:t>ss can reduce yields or interrupt production, and as a result, we may not be able to deliver our products or do so in a timely, cost-effective or competitive manner. Further, to remain competitive and meet customer demand, we may be required to improve our</w:t>
      </w:r>
      <w:r>
        <w:rPr>
          <w:rFonts w:eastAsia="Times New Roman"/>
          <w:color w:val="000000"/>
          <w:sz w:val="20"/>
          <w:szCs w:val="20"/>
        </w:rPr>
        <w:t xml:space="preserve"> facilities and process technologies and carry out extensive research and development, each of which may require investment of significant amounts of capital and may have a material adverse effect on our results of operations, cash flows and financial cond</w:t>
      </w:r>
      <w:r>
        <w:rPr>
          <w:rFonts w:eastAsia="Times New Roman"/>
          <w:color w:val="000000"/>
          <w:sz w:val="20"/>
          <w:szCs w:val="20"/>
        </w:rPr>
        <w:t xml:space="preserve">ition. </w:t>
      </w:r>
    </w:p>
    <w:p w:rsidR="00000000" w:rsidRDefault="00786A01">
      <w:pPr>
        <w:ind w:firstLine="360"/>
        <w:divId w:val="871111984"/>
        <w:rPr>
          <w:rFonts w:eastAsia="Times New Roman"/>
        </w:rPr>
      </w:pPr>
      <w:r>
        <w:rPr>
          <w:rFonts w:eastAsia="Times New Roman"/>
          <w:color w:val="000000"/>
          <w:sz w:val="20"/>
          <w:szCs w:val="20"/>
        </w:rPr>
        <w:t>Finally, we typically begin manufacturing our products using our or our customers’ forecasts of demand for our products, which are based on a number of assumptions and estimates and are generally not covered by purchase commitments. As a result, we</w:t>
      </w:r>
      <w:r>
        <w:rPr>
          <w:rFonts w:eastAsia="Times New Roman"/>
          <w:color w:val="000000"/>
          <w:sz w:val="20"/>
          <w:szCs w:val="20"/>
        </w:rPr>
        <w:t xml:space="preserve"> incur inventory and manufacturing costs in advance of anticipated sales, which sales ultimately may not materialize or may be lower than expected. If we or our customers overestimate demand, or if demand is impacted by factors outside of our or our custom</w:t>
      </w:r>
      <w:r>
        <w:rPr>
          <w:rFonts w:eastAsia="Times New Roman"/>
          <w:color w:val="000000"/>
          <w:sz w:val="20"/>
          <w:szCs w:val="20"/>
        </w:rPr>
        <w:t>ers’ control such as the COVID-19 pandemic or trade or national security protection policies, that is not under a binding commitment from our customers, we may experience higher inventory carrying and operating costs and/or increased excess or obsolete inv</w:t>
      </w:r>
      <w:r>
        <w:rPr>
          <w:rFonts w:eastAsia="Times New Roman"/>
          <w:color w:val="000000"/>
          <w:sz w:val="20"/>
          <w:szCs w:val="20"/>
        </w:rPr>
        <w:t xml:space="preserve">entory, which would negatively impact our results of operations. </w:t>
      </w:r>
    </w:p>
    <w:p w:rsidR="00000000" w:rsidRDefault="00786A01">
      <w:pPr>
        <w:divId w:val="1169710049"/>
        <w:rPr>
          <w:rFonts w:eastAsia="Times New Roman"/>
        </w:rPr>
      </w:pPr>
      <w:r>
        <w:rPr>
          <w:rFonts w:eastAsia="Times New Roman"/>
          <w:b/>
          <w:bCs/>
          <w:color w:val="000000"/>
          <w:sz w:val="20"/>
          <w:szCs w:val="20"/>
        </w:rPr>
        <w:t xml:space="preserve">RISKS RELATED TO NEW AND ADJACENT INITIATIVES </w:t>
      </w:r>
    </w:p>
    <w:p w:rsidR="00000000" w:rsidRDefault="00786A01">
      <w:pPr>
        <w:divId w:val="1497065619"/>
        <w:rPr>
          <w:rFonts w:eastAsia="Times New Roman"/>
        </w:rPr>
      </w:pPr>
      <w:r>
        <w:rPr>
          <w:rFonts w:eastAsia="Times New Roman"/>
          <w:b/>
          <w:bCs/>
          <w:i/>
          <w:iCs/>
          <w:color w:val="000000"/>
          <w:sz w:val="20"/>
          <w:szCs w:val="20"/>
        </w:rPr>
        <w:t>Our growth depends in part on our ability to extend our technologies and products into new and expanded product areas, and adjacent industry se</w:t>
      </w:r>
      <w:r>
        <w:rPr>
          <w:rFonts w:eastAsia="Times New Roman"/>
          <w:b/>
          <w:bCs/>
          <w:i/>
          <w:iCs/>
          <w:color w:val="000000"/>
          <w:sz w:val="20"/>
          <w:szCs w:val="20"/>
        </w:rPr>
        <w:t>gments and applications beyond mobile. Our research, development and other investments in these new and expanded product areas, industry segments and applications, and related technologies and products, as well as in our existing technologies and products,</w:t>
      </w:r>
      <w:r>
        <w:rPr>
          <w:rFonts w:eastAsia="Times New Roman"/>
          <w:b/>
          <w:bCs/>
          <w:i/>
          <w:iCs/>
          <w:color w:val="000000"/>
          <w:sz w:val="20"/>
          <w:szCs w:val="20"/>
        </w:rPr>
        <w:t xml:space="preserve"> and new technologies, may not generate operating income or contribute to future results of operations that meet our expectations.</w:t>
      </w:r>
    </w:p>
    <w:p w:rsidR="00000000" w:rsidRDefault="00786A01">
      <w:pPr>
        <w:ind w:firstLine="360"/>
        <w:divId w:val="1885629289"/>
        <w:rPr>
          <w:rFonts w:eastAsia="Times New Roman"/>
        </w:rPr>
      </w:pPr>
      <w:r>
        <w:rPr>
          <w:rFonts w:eastAsia="Times New Roman"/>
          <w:color w:val="000000"/>
          <w:sz w:val="20"/>
          <w:szCs w:val="20"/>
        </w:rPr>
        <w:t xml:space="preserve">While we continue to invest significant resources toward advancements primarily in support of 4G- and 5G-based technologies, </w:t>
      </w:r>
      <w:r>
        <w:rPr>
          <w:rFonts w:eastAsia="Times New Roman"/>
          <w:color w:val="000000"/>
          <w:sz w:val="20"/>
          <w:szCs w:val="20"/>
        </w:rPr>
        <w:t>we also invest in new and expanded product areas, and adjacent industry segments and applications, by utilizing our existing technical and business expertise and through acquisitions.</w:t>
      </w:r>
    </w:p>
    <w:p w:rsidR="00000000" w:rsidRDefault="00786A01">
      <w:pPr>
        <w:ind w:firstLine="360"/>
        <w:divId w:val="1297835695"/>
        <w:rPr>
          <w:rFonts w:eastAsia="Times New Roman"/>
        </w:rPr>
      </w:pPr>
      <w:r>
        <w:rPr>
          <w:rFonts w:eastAsia="Times New Roman"/>
          <w:color w:val="000000"/>
          <w:sz w:val="20"/>
          <w:szCs w:val="20"/>
        </w:rPr>
        <w:t>In particular, our future growth depends in part on new and expanded pro</w:t>
      </w:r>
      <w:r>
        <w:rPr>
          <w:rFonts w:eastAsia="Times New Roman"/>
          <w:color w:val="000000"/>
          <w:sz w:val="20"/>
          <w:szCs w:val="20"/>
        </w:rPr>
        <w:t xml:space="preserve">duct areas, such as RFFE, and adjacent industry segments and applications beyond mobile, such as automotive and IoT; our ability to develop leading and cost-effective technologies and products for new and expanded product areas, adjacent industry segments </w:t>
      </w:r>
      <w:r>
        <w:rPr>
          <w:rFonts w:eastAsia="Times New Roman"/>
          <w:color w:val="000000"/>
          <w:sz w:val="20"/>
          <w:szCs w:val="20"/>
        </w:rPr>
        <w:t>and applications; and third parties incorporating our technologies and products into devices used in these product areas, industry segments and applications. Accordingly, we intend to continue to make substantial investments in these new and expanded produ</w:t>
      </w:r>
      <w:r>
        <w:rPr>
          <w:rFonts w:eastAsia="Times New Roman"/>
          <w:color w:val="000000"/>
          <w:sz w:val="20"/>
          <w:szCs w:val="20"/>
        </w:rPr>
        <w:t xml:space="preserve">ct areas and adjacent industry segments and applications, and in developing new products and technologies for these product areas, industry </w:t>
      </w:r>
    </w:p>
    <w:p w:rsidR="00000000" w:rsidRDefault="00786A01">
      <w:pPr>
        <w:jc w:val="center"/>
        <w:divId w:val="19746069"/>
        <w:rPr>
          <w:rFonts w:eastAsia="Times New Roman"/>
        </w:rPr>
      </w:pPr>
      <w:r>
        <w:rPr>
          <w:rFonts w:eastAsia="Times New Roman"/>
          <w:color w:val="000000"/>
          <w:sz w:val="20"/>
          <w:szCs w:val="20"/>
        </w:rPr>
        <w:t>44</w:t>
      </w:r>
    </w:p>
    <w:p w:rsidR="00000000" w:rsidRDefault="00786A01">
      <w:pPr>
        <w:rPr>
          <w:rFonts w:eastAsia="Times New Roman"/>
        </w:rPr>
      </w:pPr>
      <w:r>
        <w:rPr>
          <w:rFonts w:eastAsia="Times New Roman"/>
        </w:rPr>
        <w:pict>
          <v:rect id="_x0000_i1067" style="width:0;height:1.5pt" o:hralign="center" o:hrstd="t" o:hr="t" fillcolor="#a0a0a0" stroked="f"/>
        </w:pict>
      </w:r>
    </w:p>
    <w:p w:rsidR="00000000" w:rsidRDefault="00786A01">
      <w:pPr>
        <w:divId w:val="129056167"/>
        <w:rPr>
          <w:rFonts w:eastAsia="Times New Roman"/>
        </w:rPr>
      </w:pPr>
    </w:p>
    <w:p w:rsidR="00000000" w:rsidRDefault="00786A01">
      <w:pPr>
        <w:divId w:val="184905783"/>
        <w:rPr>
          <w:rFonts w:eastAsia="Times New Roman"/>
        </w:rPr>
      </w:pPr>
      <w:r>
        <w:rPr>
          <w:rFonts w:eastAsia="Times New Roman"/>
          <w:color w:val="000000"/>
          <w:sz w:val="20"/>
          <w:szCs w:val="20"/>
        </w:rPr>
        <w:t>segments and applications. Our growth also depends significantly on our ab</w:t>
      </w:r>
      <w:r>
        <w:rPr>
          <w:rFonts w:eastAsia="Times New Roman"/>
          <w:color w:val="000000"/>
          <w:sz w:val="20"/>
          <w:szCs w:val="20"/>
        </w:rPr>
        <w:t>ility to develop and patent 5G technologies, and to develop and commercialize products using 5G technologies.</w:t>
      </w:r>
    </w:p>
    <w:p w:rsidR="00000000" w:rsidRDefault="00786A01">
      <w:pPr>
        <w:ind w:firstLine="360"/>
        <w:divId w:val="276987282"/>
        <w:rPr>
          <w:rFonts w:eastAsia="Times New Roman"/>
        </w:rPr>
      </w:pPr>
      <w:r>
        <w:rPr>
          <w:rFonts w:eastAsia="Times New Roman"/>
          <w:color w:val="000000"/>
          <w:sz w:val="20"/>
          <w:szCs w:val="20"/>
        </w:rPr>
        <w:t xml:space="preserve">However, our research, development and other investments in these new and expanded product areas and adjacent industry segments and applications, </w:t>
      </w:r>
      <w:r>
        <w:rPr>
          <w:rFonts w:eastAsia="Times New Roman"/>
          <w:color w:val="000000"/>
          <w:sz w:val="20"/>
          <w:szCs w:val="20"/>
        </w:rPr>
        <w:t>and corresponding technologies and products, as well as in our existing, technologies and products and new technologies, such as 5G, use of licensed, shared and unlicensed spectrum and convergence of cellular and Wi-Fi, may not succeed because, among other</w:t>
      </w:r>
      <w:r>
        <w:rPr>
          <w:rFonts w:eastAsia="Times New Roman"/>
          <w:color w:val="000000"/>
          <w:sz w:val="20"/>
          <w:szCs w:val="20"/>
        </w:rPr>
        <w:t xml:space="preserve"> reasons: we may not be issued patents on the technologies we develop; the technologies we develop may not be incorporated into relevant standards; new and expanded product areas, adjacent industry segments and applications, and consumer demand therein, ma</w:t>
      </w:r>
      <w:r>
        <w:rPr>
          <w:rFonts w:eastAsia="Times New Roman"/>
          <w:color w:val="000000"/>
          <w:sz w:val="20"/>
          <w:szCs w:val="20"/>
        </w:rPr>
        <w:t>y not develop or grow as anticipated; our strategies or the strategies of our customers, licensees or partners may not be successful; alternate technologies may be better or may reduce the advantages we anticipate from our investments; competitors’ technol</w:t>
      </w:r>
      <w:r>
        <w:rPr>
          <w:rFonts w:eastAsia="Times New Roman"/>
          <w:color w:val="000000"/>
          <w:sz w:val="20"/>
          <w:szCs w:val="20"/>
        </w:rPr>
        <w:t>ogies or products may be more cost effective, have more capabilities or fewer limitations or be brought to market faster than our new technologies or products; we may not be able to develop, or our competitors may have more established and/or stronger, cus</w:t>
      </w:r>
      <w:r>
        <w:rPr>
          <w:rFonts w:eastAsia="Times New Roman"/>
          <w:color w:val="000000"/>
          <w:sz w:val="20"/>
          <w:szCs w:val="20"/>
        </w:rPr>
        <w:t>tomer, vendor, distributor or other channel relationships; and competitors may have longer operating histories in industry segments and applications that are new to us. We may also underestimate the costs of or overestimate the future revenues or margins t</w:t>
      </w:r>
      <w:r>
        <w:rPr>
          <w:rFonts w:eastAsia="Times New Roman"/>
          <w:color w:val="000000"/>
          <w:sz w:val="20"/>
          <w:szCs w:val="20"/>
        </w:rPr>
        <w:t xml:space="preserve">hat could result from these investments, and these investments may not, or may take many years to, generate material returns. </w:t>
      </w:r>
    </w:p>
    <w:p w:rsidR="00000000" w:rsidRDefault="00786A01">
      <w:pPr>
        <w:ind w:firstLine="360"/>
        <w:divId w:val="1943607869"/>
        <w:rPr>
          <w:rFonts w:eastAsia="Times New Roman"/>
        </w:rPr>
      </w:pPr>
      <w:r>
        <w:rPr>
          <w:rFonts w:eastAsia="Times New Roman"/>
          <w:color w:val="000000"/>
          <w:sz w:val="20"/>
          <w:szCs w:val="20"/>
        </w:rPr>
        <w:t xml:space="preserve">Further, the automotive industry is subject to long design-in time frames, long product life cycles and a high degree of regulatory and safety requirements, necessitating suppliers to the industry to comply with stringent qualification processes, very low </w:t>
      </w:r>
      <w:r>
        <w:rPr>
          <w:rFonts w:eastAsia="Times New Roman"/>
          <w:color w:val="000000"/>
          <w:sz w:val="20"/>
          <w:szCs w:val="20"/>
        </w:rPr>
        <w:t>defect rates and high reliability standards, all of which results in significant barriers to entry and increased costs.</w:t>
      </w:r>
    </w:p>
    <w:p w:rsidR="00000000" w:rsidRDefault="00786A01">
      <w:pPr>
        <w:ind w:firstLine="360"/>
        <w:divId w:val="579559692"/>
        <w:rPr>
          <w:rFonts w:eastAsia="Times New Roman"/>
        </w:rPr>
      </w:pPr>
      <w:r>
        <w:rPr>
          <w:rFonts w:eastAsia="Times New Roman"/>
          <w:color w:val="000000"/>
          <w:sz w:val="20"/>
          <w:szCs w:val="20"/>
        </w:rPr>
        <w:t>If our new technologies and products are not successful, or are not successful in the time frames we anticipate, we may incur significan</w:t>
      </w:r>
      <w:r>
        <w:rPr>
          <w:rFonts w:eastAsia="Times New Roman"/>
          <w:color w:val="000000"/>
          <w:sz w:val="20"/>
          <w:szCs w:val="20"/>
        </w:rPr>
        <w:t>t costs and asset impairments, our business and revenues may not grow or grow as anticipated, our revenues and margins may be negatively impacted, our stock price may decline and our reputation may be harmed.</w:t>
      </w:r>
    </w:p>
    <w:p w:rsidR="00000000" w:rsidRDefault="00786A01">
      <w:pPr>
        <w:divId w:val="718940478"/>
        <w:rPr>
          <w:rFonts w:eastAsia="Times New Roman"/>
        </w:rPr>
      </w:pPr>
      <w:r>
        <w:rPr>
          <w:rFonts w:eastAsia="Times New Roman"/>
          <w:b/>
          <w:bCs/>
          <w:i/>
          <w:iCs/>
          <w:color w:val="000000"/>
          <w:sz w:val="20"/>
          <w:szCs w:val="20"/>
        </w:rPr>
        <w:t>We may engage in strategic acquisitions and oth</w:t>
      </w:r>
      <w:r>
        <w:rPr>
          <w:rFonts w:eastAsia="Times New Roman"/>
          <w:b/>
          <w:bCs/>
          <w:i/>
          <w:iCs/>
          <w:color w:val="000000"/>
          <w:sz w:val="20"/>
          <w:szCs w:val="20"/>
        </w:rPr>
        <w:t>er transactions or make investments, or be unable to consummate planned strategic acquisitions, which could adversely affect our results of operations or fail to enhance stockholder value.</w:t>
      </w:r>
    </w:p>
    <w:p w:rsidR="00000000" w:rsidRDefault="00786A01">
      <w:pPr>
        <w:ind w:firstLine="360"/>
        <w:divId w:val="1387535702"/>
        <w:rPr>
          <w:rFonts w:eastAsia="Times New Roman"/>
        </w:rPr>
      </w:pPr>
      <w:r>
        <w:rPr>
          <w:rFonts w:eastAsia="Times New Roman"/>
          <w:color w:val="000000"/>
          <w:sz w:val="20"/>
          <w:szCs w:val="20"/>
        </w:rPr>
        <w:t>We engage in strategic acquisitions and other transactions, includi</w:t>
      </w:r>
      <w:r>
        <w:rPr>
          <w:rFonts w:eastAsia="Times New Roman"/>
          <w:color w:val="000000"/>
          <w:sz w:val="20"/>
          <w:szCs w:val="20"/>
        </w:rPr>
        <w:t>ng joint ventures, and make investments, which we believe are important to the future of our business, with the goal of maximizing stockholder value. From time to time, we acquire businesses and other assets, including patents, technology and other intangi</w:t>
      </w:r>
      <w:r>
        <w:rPr>
          <w:rFonts w:eastAsia="Times New Roman"/>
          <w:color w:val="000000"/>
          <w:sz w:val="20"/>
          <w:szCs w:val="20"/>
        </w:rPr>
        <w:t>ble assets, enter into joint ventures or other strategic transactions and purchase minority equity interests in or make loans to companies, including those that may be private and early-stage. Our strategic activities are generally focused on opening or ex</w:t>
      </w:r>
      <w:r>
        <w:rPr>
          <w:rFonts w:eastAsia="Times New Roman"/>
          <w:color w:val="000000"/>
          <w:sz w:val="20"/>
          <w:szCs w:val="20"/>
        </w:rPr>
        <w:t>panding opportunities for our products and technologies and supporting the design and introduction of new products (or enhancing existing products) for mobile, and for new industry segments and applications beyond mobile. Many of our strategic activities e</w:t>
      </w:r>
      <w:r>
        <w:rPr>
          <w:rFonts w:eastAsia="Times New Roman"/>
          <w:color w:val="000000"/>
          <w:sz w:val="20"/>
          <w:szCs w:val="20"/>
        </w:rPr>
        <w:t>ntail a high degree of risk and require the use of significant amounts of capital, and investments may not become liquid for several years after the date of the investment, if at all. Our strategic activities may not generate financial returns or result in</w:t>
      </w:r>
      <w:r>
        <w:rPr>
          <w:rFonts w:eastAsia="Times New Roman"/>
          <w:color w:val="000000"/>
          <w:sz w:val="20"/>
          <w:szCs w:val="20"/>
        </w:rPr>
        <w:t xml:space="preserve"> increased adoption or continued use of our technologies or products. We may underestimate the costs or overestimate the benefits, including product, revenue, cost and other synergies and growth opportunities that we expect to realize, and we may not achie</w:t>
      </w:r>
      <w:r>
        <w:rPr>
          <w:rFonts w:eastAsia="Times New Roman"/>
          <w:color w:val="000000"/>
          <w:sz w:val="20"/>
          <w:szCs w:val="20"/>
        </w:rPr>
        <w:t>ve those benefits. In some cases, we may be required to consolidate or record our share of the earnings or losses of companies in which we have acquired ownership interests. In addition, we have in the past and may record impairment charges in the future r</w:t>
      </w:r>
      <w:r>
        <w:rPr>
          <w:rFonts w:eastAsia="Times New Roman"/>
          <w:color w:val="000000"/>
          <w:sz w:val="20"/>
          <w:szCs w:val="20"/>
        </w:rPr>
        <w:t>elated to our strategic activities. Any losses or impairment charges that we incur related to strategic activities will have a negative impact on our results of operations and financial condition, and we may continue to incur new or additional losses relat</w:t>
      </w:r>
      <w:r>
        <w:rPr>
          <w:rFonts w:eastAsia="Times New Roman"/>
          <w:color w:val="000000"/>
          <w:sz w:val="20"/>
          <w:szCs w:val="20"/>
        </w:rPr>
        <w:t>ed to strategic assets or investments that we have not fully impaired or exited.</w:t>
      </w:r>
    </w:p>
    <w:p w:rsidR="00000000" w:rsidRDefault="00786A01">
      <w:pPr>
        <w:ind w:firstLine="360"/>
        <w:divId w:val="113915180"/>
        <w:rPr>
          <w:rFonts w:eastAsia="Times New Roman"/>
        </w:rPr>
      </w:pPr>
      <w:r>
        <w:rPr>
          <w:rFonts w:eastAsia="Times New Roman"/>
          <w:color w:val="000000"/>
          <w:sz w:val="20"/>
          <w:szCs w:val="20"/>
        </w:rPr>
        <w:t>Achieving the anticipated benefits of business acquisitions, including joint ventures and other strategic investments in which we have management and operational control, depe</w:t>
      </w:r>
      <w:r>
        <w:rPr>
          <w:rFonts w:eastAsia="Times New Roman"/>
          <w:color w:val="000000"/>
          <w:sz w:val="20"/>
          <w:szCs w:val="20"/>
        </w:rPr>
        <w:t>nds in part upon our ability to integrate the businesses in an efficient and effective manner and achieve anticipated synergies, and we may not be successful in these efforts. Such integration is complex and time consuming and involves significant challeng</w:t>
      </w:r>
      <w:r>
        <w:rPr>
          <w:rFonts w:eastAsia="Times New Roman"/>
          <w:color w:val="000000"/>
          <w:sz w:val="20"/>
          <w:szCs w:val="20"/>
        </w:rPr>
        <w:t>es, including, among others: retaining key employees; successfully integrating new employees, facilities, technology, products, processes, operations (including supply and manufacturing operations), sales and distribution channels, business models and busi</w:t>
      </w:r>
      <w:r>
        <w:rPr>
          <w:rFonts w:eastAsia="Times New Roman"/>
          <w:color w:val="000000"/>
          <w:sz w:val="20"/>
          <w:szCs w:val="20"/>
        </w:rPr>
        <w:t>ness systems; retaining customers and suppliers of the businesses; consolidating research and development operations; minimizing the diversion of management’s attention from ongoing business matters; consolidating corporate and administrative infrastructur</w:t>
      </w:r>
      <w:r>
        <w:rPr>
          <w:rFonts w:eastAsia="Times New Roman"/>
          <w:color w:val="000000"/>
          <w:sz w:val="20"/>
          <w:szCs w:val="20"/>
        </w:rPr>
        <w:t>es; and managing the increased scale, complexity and globalization of our business, operations and employee base. We may not derive any commercial value from associated technologies or products or from future technologies or products based on these technol</w:t>
      </w:r>
      <w:r>
        <w:rPr>
          <w:rFonts w:eastAsia="Times New Roman"/>
          <w:color w:val="000000"/>
          <w:sz w:val="20"/>
          <w:szCs w:val="20"/>
        </w:rPr>
        <w:t>ogies, and we may be subject to liabilities that are not covered by indemnification protection that we may obtain, and we may become subject to litigation. Additionally, we may not be successful in entering or expanding into new sales or distribution chann</w:t>
      </w:r>
      <w:r>
        <w:rPr>
          <w:rFonts w:eastAsia="Times New Roman"/>
          <w:color w:val="000000"/>
          <w:sz w:val="20"/>
          <w:szCs w:val="20"/>
        </w:rPr>
        <w:t>els, business or operational models, geographic regions, industry segments and applications served by or adjacent to the associated businesses or in addressing potential new opportunities that may arise out of our strategic acquisitions.</w:t>
      </w:r>
    </w:p>
    <w:p w:rsidR="00000000" w:rsidRDefault="00786A01">
      <w:pPr>
        <w:jc w:val="center"/>
        <w:divId w:val="2122608344"/>
        <w:rPr>
          <w:rFonts w:eastAsia="Times New Roman"/>
        </w:rPr>
      </w:pPr>
      <w:r>
        <w:rPr>
          <w:rFonts w:eastAsia="Times New Roman"/>
          <w:color w:val="000000"/>
          <w:sz w:val="20"/>
          <w:szCs w:val="20"/>
        </w:rPr>
        <w:t>45</w:t>
      </w:r>
    </w:p>
    <w:p w:rsidR="00000000" w:rsidRDefault="00786A01">
      <w:pPr>
        <w:rPr>
          <w:rFonts w:eastAsia="Times New Roman"/>
        </w:rPr>
      </w:pPr>
      <w:r>
        <w:rPr>
          <w:rFonts w:eastAsia="Times New Roman"/>
        </w:rPr>
        <w:pict>
          <v:rect id="_x0000_i1068" style="width:0;height:1.5pt" o:hralign="center" o:hrstd="t" o:hr="t" fillcolor="#a0a0a0" stroked="f"/>
        </w:pict>
      </w:r>
    </w:p>
    <w:p w:rsidR="00000000" w:rsidRDefault="00786A01">
      <w:pPr>
        <w:divId w:val="706832511"/>
        <w:rPr>
          <w:rFonts w:eastAsia="Times New Roman"/>
        </w:rPr>
      </w:pPr>
    </w:p>
    <w:p w:rsidR="00000000" w:rsidRDefault="00786A01">
      <w:pPr>
        <w:ind w:firstLine="360"/>
        <w:divId w:val="2056662715"/>
        <w:rPr>
          <w:rFonts w:eastAsia="Times New Roman"/>
        </w:rPr>
      </w:pPr>
      <w:r>
        <w:rPr>
          <w:rFonts w:eastAsia="Times New Roman"/>
          <w:color w:val="000000"/>
          <w:sz w:val="20"/>
          <w:szCs w:val="20"/>
        </w:rPr>
        <w:t>If we do not achieve the anticipated benefits of business acquisitions or other strategic activities, our business and results of operations may be adversely affected, and we may not enhance stockholder value by engaging in these tr</w:t>
      </w:r>
      <w:r>
        <w:rPr>
          <w:rFonts w:eastAsia="Times New Roman"/>
          <w:color w:val="000000"/>
          <w:sz w:val="20"/>
          <w:szCs w:val="20"/>
        </w:rPr>
        <w:t>ansactions.</w:t>
      </w:r>
    </w:p>
    <w:p w:rsidR="00000000" w:rsidRDefault="00786A01">
      <w:pPr>
        <w:ind w:firstLine="360"/>
        <w:divId w:val="1344168914"/>
        <w:rPr>
          <w:rFonts w:eastAsia="Times New Roman"/>
        </w:rPr>
      </w:pPr>
      <w:r>
        <w:rPr>
          <w:rFonts w:eastAsia="Times New Roman"/>
          <w:color w:val="000000"/>
          <w:sz w:val="20"/>
          <w:szCs w:val="20"/>
        </w:rPr>
        <w:t>Many of our acquisitions and other strategic investments require approval by the United States and foreign government agencies. Certain agencies in the past have, and may in the future, deny the transaction or fail to approve in a timely manner</w:t>
      </w:r>
      <w:r>
        <w:rPr>
          <w:rFonts w:eastAsia="Times New Roman"/>
          <w:color w:val="000000"/>
          <w:sz w:val="20"/>
          <w:szCs w:val="20"/>
        </w:rPr>
        <w:t>, resulting in us not realizing the anticipated benefits of the proposed transaction. Future acquisitions or other strategic investments may be more difficult, complex or expensive to the extent that our reputation for our ability to consummate acquisition</w:t>
      </w:r>
      <w:r>
        <w:rPr>
          <w:rFonts w:eastAsia="Times New Roman"/>
          <w:color w:val="000000"/>
          <w:sz w:val="20"/>
          <w:szCs w:val="20"/>
        </w:rPr>
        <w:t>s has been harmed. Further, if U.S./China relations remain strained, our ability to consummate any transaction that would require approval from the relevant regulatory agency(ies) in China may be severely impacted.</w:t>
      </w:r>
    </w:p>
    <w:p w:rsidR="00000000" w:rsidRDefault="00786A01">
      <w:pPr>
        <w:divId w:val="372274195"/>
        <w:rPr>
          <w:rFonts w:eastAsia="Times New Roman"/>
        </w:rPr>
      </w:pPr>
      <w:r>
        <w:rPr>
          <w:rFonts w:eastAsia="Times New Roman"/>
          <w:b/>
          <w:bCs/>
          <w:color w:val="000000"/>
          <w:sz w:val="20"/>
          <w:szCs w:val="20"/>
        </w:rPr>
        <w:t>RISKS RELATED TO CYBERSECURITY OR MISAPPR</w:t>
      </w:r>
      <w:r>
        <w:rPr>
          <w:rFonts w:eastAsia="Times New Roman"/>
          <w:b/>
          <w:bCs/>
          <w:color w:val="000000"/>
          <w:sz w:val="20"/>
          <w:szCs w:val="20"/>
        </w:rPr>
        <w:t xml:space="preserve">OPRIATION OF OUR CRITICAL INFORMATION </w:t>
      </w:r>
    </w:p>
    <w:p w:rsidR="00000000" w:rsidRDefault="00786A01">
      <w:pPr>
        <w:divId w:val="754520461"/>
        <w:rPr>
          <w:rFonts w:eastAsia="Times New Roman"/>
        </w:rPr>
      </w:pPr>
      <w:r>
        <w:rPr>
          <w:rFonts w:eastAsia="Times New Roman"/>
          <w:b/>
          <w:bCs/>
          <w:i/>
          <w:iCs/>
          <w:color w:val="000000"/>
          <w:sz w:val="20"/>
          <w:szCs w:val="20"/>
        </w:rPr>
        <w:t>Our business and operations could suffer in the event of security breaches of our information technology systems, or other misappropriation of our technology, intellectual property or other proprietary or confidential information.</w:t>
      </w:r>
    </w:p>
    <w:p w:rsidR="00000000" w:rsidRDefault="00786A01">
      <w:pPr>
        <w:ind w:firstLine="360"/>
        <w:divId w:val="1535000429"/>
        <w:rPr>
          <w:rFonts w:eastAsia="Times New Roman"/>
        </w:rPr>
      </w:pPr>
      <w:r>
        <w:rPr>
          <w:rFonts w:eastAsia="Times New Roman"/>
          <w:color w:val="000000"/>
          <w:sz w:val="20"/>
          <w:szCs w:val="20"/>
        </w:rPr>
        <w:t>Third parties regularly a</w:t>
      </w:r>
      <w:r>
        <w:rPr>
          <w:rFonts w:eastAsia="Times New Roman"/>
          <w:color w:val="000000"/>
          <w:sz w:val="20"/>
          <w:szCs w:val="20"/>
        </w:rPr>
        <w:t>ttempt to gain unauthorized access to our information technology systems, and many such attempts are increasingly more sophisticated. The perception that the COVID-19 pandemic has made companies’ information technology systems more vulnerable has increased</w:t>
      </w:r>
      <w:r>
        <w:rPr>
          <w:rFonts w:eastAsia="Times New Roman"/>
          <w:color w:val="000000"/>
          <w:sz w:val="20"/>
          <w:szCs w:val="20"/>
        </w:rPr>
        <w:t xml:space="preserve"> the already significant volume of such attempts. These attempts, which might be related to industrial, corporate or other espionage, criminal hackers or state-sponsored intrusions, include trying to covertly introduce malware to our computers and networks</w:t>
      </w:r>
      <w:r>
        <w:rPr>
          <w:rFonts w:eastAsia="Times New Roman"/>
          <w:color w:val="000000"/>
          <w:sz w:val="20"/>
          <w:szCs w:val="20"/>
        </w:rPr>
        <w:t>, including those in our manufacturing operations, and impersonating authorized users, among others. We may also be subject to ransom-style cyber-attacks, which could impact our information technology systems and cause widespread disruption to our business</w:t>
      </w:r>
      <w:r>
        <w:rPr>
          <w:rFonts w:eastAsia="Times New Roman"/>
          <w:color w:val="000000"/>
          <w:sz w:val="20"/>
          <w:szCs w:val="20"/>
        </w:rPr>
        <w:t>, including our manufacturing operations, and expose our confidential or propriety information. In addition, third parties that we may rely on to store and/or process our confidential information may also be subject to similar threats. Such threats could r</w:t>
      </w:r>
      <w:r>
        <w:rPr>
          <w:rFonts w:eastAsia="Times New Roman"/>
          <w:color w:val="000000"/>
          <w:sz w:val="20"/>
          <w:szCs w:val="20"/>
        </w:rPr>
        <w:t>esult in the misappropriation, theft, misuse, disclosure, loss or destruction of the technology, intellectual property, or the proprietary, confidential or personal information, of us or our employees, customers, licensees, suppliers or other third parties</w:t>
      </w:r>
      <w:r>
        <w:rPr>
          <w:rFonts w:eastAsia="Times New Roman"/>
          <w:color w:val="000000"/>
          <w:sz w:val="20"/>
          <w:szCs w:val="20"/>
        </w:rPr>
        <w:t>, as well as damage to or disruptions in our information technology systems. We believe that we have a robust cybersecurity program that is aligned to international cybersecurity frameworks, and that we leverage industry best practices across people, proce</w:t>
      </w:r>
      <w:r>
        <w:rPr>
          <w:rFonts w:eastAsia="Times New Roman"/>
          <w:color w:val="000000"/>
          <w:sz w:val="20"/>
          <w:szCs w:val="20"/>
        </w:rPr>
        <w:t>sses and technologies in an attempt to mitigate cybersecurity threats. However, we may not be able to anticipate, detect, repel or implement effective preventative measures against all cybersecurity threats, particularly because the techniques used are inc</w:t>
      </w:r>
      <w:r>
        <w:rPr>
          <w:rFonts w:eastAsia="Times New Roman"/>
          <w:color w:val="000000"/>
          <w:sz w:val="20"/>
          <w:szCs w:val="20"/>
        </w:rPr>
        <w:t>reasingly sophisticated and constantly evolving. Attempts to gain unauthorized access to our information technology systems or other attacks have in the past, in certain instances and to certain degrees, been successful (but have not caused significant har</w:t>
      </w:r>
      <w:r>
        <w:rPr>
          <w:rFonts w:eastAsia="Times New Roman"/>
          <w:color w:val="000000"/>
          <w:sz w:val="20"/>
          <w:szCs w:val="20"/>
        </w:rPr>
        <w:t xml:space="preserve">m), and may in the future be successful, and in some cases, we might be unaware of an incident or its magnitude and effects. </w:t>
      </w:r>
    </w:p>
    <w:p w:rsidR="00000000" w:rsidRDefault="00786A01">
      <w:pPr>
        <w:ind w:firstLine="360"/>
        <w:divId w:val="1549880470"/>
        <w:rPr>
          <w:rFonts w:eastAsia="Times New Roman"/>
        </w:rPr>
      </w:pPr>
      <w:r>
        <w:rPr>
          <w:rFonts w:eastAsia="Times New Roman"/>
          <w:color w:val="000000"/>
          <w:sz w:val="20"/>
          <w:szCs w:val="20"/>
        </w:rPr>
        <w:t>In addition, employees and former employees, in particular former employees who become employees of our competitors, customers, li</w:t>
      </w:r>
      <w:r>
        <w:rPr>
          <w:rFonts w:eastAsia="Times New Roman"/>
          <w:color w:val="000000"/>
          <w:sz w:val="20"/>
          <w:szCs w:val="20"/>
        </w:rPr>
        <w:t>censees or other third parties, including state actors, have in the past and may in the future misappropriate, use, publish or provide to our competitors, customers, licensees or other third parties, including state actors, our technology, intellectual pro</w:t>
      </w:r>
      <w:r>
        <w:rPr>
          <w:rFonts w:eastAsia="Times New Roman"/>
          <w:color w:val="000000"/>
          <w:sz w:val="20"/>
          <w:szCs w:val="20"/>
        </w:rPr>
        <w:t xml:space="preserve">perty or other proprietary or confidential information. This risk is exacerbated as competitors for talent, particularly engineering talent, increasingly attempt to hire our employees. See also the Risk Factor titled </w:t>
      </w:r>
      <w:r>
        <w:rPr>
          <w:rFonts w:eastAsia="Times New Roman"/>
          <w:i/>
          <w:iCs/>
          <w:color w:val="000000"/>
          <w:sz w:val="20"/>
          <w:szCs w:val="20"/>
        </w:rPr>
        <w:t>“We may not be able to attract and reta</w:t>
      </w:r>
      <w:r>
        <w:rPr>
          <w:rFonts w:eastAsia="Times New Roman"/>
          <w:i/>
          <w:iCs/>
          <w:color w:val="000000"/>
          <w:sz w:val="20"/>
          <w:szCs w:val="20"/>
        </w:rPr>
        <w:t>in qualified employees.”</w:t>
      </w:r>
      <w:r>
        <w:rPr>
          <w:rFonts w:eastAsia="Times New Roman"/>
          <w:color w:val="000000"/>
          <w:sz w:val="20"/>
          <w:szCs w:val="20"/>
        </w:rPr>
        <w:t xml:space="preserve"> Similarly, we provide access to certain of our technology, intellectual property and other proprietary or confidential information to our direct and indirect customers and licensees and certain of our consultants, who have in the p</w:t>
      </w:r>
      <w:r>
        <w:rPr>
          <w:rFonts w:eastAsia="Times New Roman"/>
          <w:color w:val="000000"/>
          <w:sz w:val="20"/>
          <w:szCs w:val="20"/>
        </w:rPr>
        <w:t>ast and may in the future wrongfully use such technology, intellectual property or information, or wrongfully disclose such technology, intellectual property or information to third parties, including our competitors or state actors. We also provide access</w:t>
      </w:r>
      <w:r>
        <w:rPr>
          <w:rFonts w:eastAsia="Times New Roman"/>
          <w:color w:val="000000"/>
          <w:sz w:val="20"/>
          <w:szCs w:val="20"/>
        </w:rPr>
        <w:t xml:space="preserve"> to certain of our technology, intellectual property and other proprietary or confidential information to certain of our joint venture partners, including those affiliated with state actors and including in foreign jurisdictions where ownership restriction</w:t>
      </w:r>
      <w:r>
        <w:rPr>
          <w:rFonts w:eastAsia="Times New Roman"/>
          <w:color w:val="000000"/>
          <w:sz w:val="20"/>
          <w:szCs w:val="20"/>
        </w:rPr>
        <w:t xml:space="preserve">s may require us to take a minority ownership interest in the joint venture. Such joint venture partners may wrongfully use such technology, intellectual property or information, or wrongfully disclose such technology, intellectual property or information </w:t>
      </w:r>
      <w:r>
        <w:rPr>
          <w:rFonts w:eastAsia="Times New Roman"/>
          <w:color w:val="000000"/>
          <w:sz w:val="20"/>
          <w:szCs w:val="20"/>
        </w:rPr>
        <w:t>to third parties, including our competitors or state actors.</w:t>
      </w:r>
    </w:p>
    <w:p w:rsidR="00000000" w:rsidRDefault="00786A01">
      <w:pPr>
        <w:ind w:firstLine="360"/>
        <w:divId w:val="622351143"/>
        <w:rPr>
          <w:rFonts w:eastAsia="Times New Roman"/>
        </w:rPr>
      </w:pPr>
      <w:r>
        <w:rPr>
          <w:rFonts w:eastAsia="Times New Roman"/>
          <w:color w:val="000000"/>
          <w:sz w:val="20"/>
          <w:szCs w:val="20"/>
        </w:rPr>
        <w:t>The misappropriation, theft, misuse, disclosure, loss or destruction of the technology, intellectual property, or the proprietary, confidential or personal information, of us or our employees, cu</w:t>
      </w:r>
      <w:r>
        <w:rPr>
          <w:rFonts w:eastAsia="Times New Roman"/>
          <w:color w:val="000000"/>
          <w:sz w:val="20"/>
          <w:szCs w:val="20"/>
        </w:rPr>
        <w:t>stomers, licensees, suppliers or other third parties, could harm our competitive position, reduce the value of our investment in research and development and other strategic initiatives, cause us to lose business, damage our reputation, subject us to legal</w:t>
      </w:r>
      <w:r>
        <w:rPr>
          <w:rFonts w:eastAsia="Times New Roman"/>
          <w:color w:val="000000"/>
          <w:sz w:val="20"/>
          <w:szCs w:val="20"/>
        </w:rPr>
        <w:t xml:space="preserve"> or regulatory proceedings, cause us to incur other loss or liability and otherwise adversely affect our business. We expect to continue to devote significant resources to the security of our information technology systems, and our technology, intellectual</w:t>
      </w:r>
      <w:r>
        <w:rPr>
          <w:rFonts w:eastAsia="Times New Roman"/>
          <w:color w:val="000000"/>
          <w:sz w:val="20"/>
          <w:szCs w:val="20"/>
        </w:rPr>
        <w:t xml:space="preserve"> property and proprietary and confidential information.</w:t>
      </w:r>
    </w:p>
    <w:p w:rsidR="00000000" w:rsidRDefault="00786A01">
      <w:pPr>
        <w:ind w:firstLine="360"/>
        <w:divId w:val="696080025"/>
        <w:rPr>
          <w:rFonts w:eastAsia="Times New Roman"/>
        </w:rPr>
      </w:pPr>
      <w:r>
        <w:rPr>
          <w:rFonts w:eastAsia="Times New Roman"/>
          <w:color w:val="000000"/>
          <w:sz w:val="20"/>
          <w:szCs w:val="20"/>
        </w:rPr>
        <w:t>Further, China has implemented, and other countries or regions may implement, cybersecurity laws that require our overall information technology security environment to meet certain standards and/or b</w:t>
      </w:r>
      <w:r>
        <w:rPr>
          <w:rFonts w:eastAsia="Times New Roman"/>
          <w:color w:val="000000"/>
          <w:sz w:val="20"/>
          <w:szCs w:val="20"/>
        </w:rPr>
        <w:t xml:space="preserve">e certified. Such laws may be </w:t>
      </w:r>
    </w:p>
    <w:p w:rsidR="00000000" w:rsidRDefault="00786A01">
      <w:pPr>
        <w:jc w:val="center"/>
        <w:divId w:val="1411006131"/>
        <w:rPr>
          <w:rFonts w:eastAsia="Times New Roman"/>
        </w:rPr>
      </w:pPr>
      <w:r>
        <w:rPr>
          <w:rFonts w:eastAsia="Times New Roman"/>
          <w:color w:val="000000"/>
          <w:sz w:val="20"/>
          <w:szCs w:val="20"/>
        </w:rPr>
        <w:t>46</w:t>
      </w:r>
    </w:p>
    <w:p w:rsidR="00000000" w:rsidRDefault="00786A01">
      <w:pPr>
        <w:rPr>
          <w:rFonts w:eastAsia="Times New Roman"/>
        </w:rPr>
      </w:pPr>
      <w:r>
        <w:rPr>
          <w:rFonts w:eastAsia="Times New Roman"/>
        </w:rPr>
        <w:pict>
          <v:rect id="_x0000_i1069" style="width:0;height:1.5pt" o:hralign="center" o:hrstd="t" o:hr="t" fillcolor="#a0a0a0" stroked="f"/>
        </w:pict>
      </w:r>
    </w:p>
    <w:p w:rsidR="00000000" w:rsidRDefault="00786A01">
      <w:pPr>
        <w:divId w:val="834994553"/>
        <w:rPr>
          <w:rFonts w:eastAsia="Times New Roman"/>
        </w:rPr>
      </w:pPr>
    </w:p>
    <w:p w:rsidR="00000000" w:rsidRDefault="00786A01">
      <w:pPr>
        <w:divId w:val="1393196703"/>
        <w:rPr>
          <w:rFonts w:eastAsia="Times New Roman"/>
        </w:rPr>
      </w:pPr>
      <w:r>
        <w:rPr>
          <w:rFonts w:eastAsia="Times New Roman"/>
          <w:color w:val="000000"/>
          <w:sz w:val="20"/>
          <w:szCs w:val="20"/>
        </w:rPr>
        <w:t>complex, ambiguous and subject to interpretation, which may create uncertainty regarding compliance. As a result, our efforts to comply with such laws may be expensive and may fail, wh</w:t>
      </w:r>
      <w:r>
        <w:rPr>
          <w:rFonts w:eastAsia="Times New Roman"/>
          <w:color w:val="000000"/>
          <w:sz w:val="20"/>
          <w:szCs w:val="20"/>
        </w:rPr>
        <w:t xml:space="preserve">ich could adversely affect our business, results of operations and cash flows. </w:t>
      </w:r>
    </w:p>
    <w:p w:rsidR="00000000" w:rsidRDefault="00786A01">
      <w:pPr>
        <w:divId w:val="1336298307"/>
        <w:rPr>
          <w:rFonts w:eastAsia="Times New Roman"/>
        </w:rPr>
      </w:pPr>
      <w:r>
        <w:rPr>
          <w:rFonts w:eastAsia="Times New Roman"/>
          <w:b/>
          <w:bCs/>
          <w:color w:val="000000"/>
          <w:sz w:val="20"/>
          <w:szCs w:val="20"/>
        </w:rPr>
        <w:t xml:space="preserve">RISKS RELATED TO INTELLECTUAL PROPERTY </w:t>
      </w:r>
    </w:p>
    <w:p w:rsidR="00000000" w:rsidRDefault="00786A01">
      <w:pPr>
        <w:divId w:val="1507134035"/>
        <w:rPr>
          <w:rFonts w:eastAsia="Times New Roman"/>
        </w:rPr>
      </w:pPr>
      <w:r>
        <w:rPr>
          <w:rFonts w:eastAsia="Times New Roman"/>
          <w:b/>
          <w:bCs/>
          <w:i/>
          <w:iCs/>
          <w:color w:val="000000"/>
          <w:sz w:val="20"/>
          <w:szCs w:val="20"/>
        </w:rPr>
        <w:t>The enforcement and protection of our intellectual property may be expensive, could fail to prevent misappropriation or unauthorized use</w:t>
      </w:r>
      <w:r>
        <w:rPr>
          <w:rFonts w:eastAsia="Times New Roman"/>
          <w:b/>
          <w:bCs/>
          <w:i/>
          <w:iCs/>
          <w:color w:val="000000"/>
          <w:sz w:val="20"/>
          <w:szCs w:val="20"/>
        </w:rPr>
        <w:t xml:space="preserve"> of our intellectual property, could result in the loss of our ability to enforce one or more patents, and could be adversely affected by changes in patent laws, by laws in certain foreign jurisdictions that may not effectively protect our intellectual pro</w:t>
      </w:r>
      <w:r>
        <w:rPr>
          <w:rFonts w:eastAsia="Times New Roman"/>
          <w:b/>
          <w:bCs/>
          <w:i/>
          <w:iCs/>
          <w:color w:val="000000"/>
          <w:sz w:val="20"/>
          <w:szCs w:val="20"/>
        </w:rPr>
        <w:t>perty and by ineffective enforcement of laws in such jurisdictions.</w:t>
      </w:r>
    </w:p>
    <w:p w:rsidR="00000000" w:rsidRDefault="00786A01">
      <w:pPr>
        <w:ind w:firstLine="360"/>
        <w:divId w:val="754060508"/>
        <w:rPr>
          <w:rFonts w:eastAsia="Times New Roman"/>
        </w:rPr>
      </w:pPr>
      <w:r>
        <w:rPr>
          <w:rFonts w:eastAsia="Times New Roman"/>
          <w:color w:val="000000"/>
          <w:sz w:val="20"/>
          <w:szCs w:val="20"/>
        </w:rPr>
        <w:t>We rely primarily on patent, copyright, trademark and trade secret laws, as well as nondisclosure and confidentiality agreements, international treaties and other methods, to protect our i</w:t>
      </w:r>
      <w:r>
        <w:rPr>
          <w:rFonts w:eastAsia="Times New Roman"/>
          <w:color w:val="000000"/>
          <w:sz w:val="20"/>
          <w:szCs w:val="20"/>
        </w:rPr>
        <w:t>ntellectual property, including our patent portfolio. Policing unauthorized use of our products, technologies and intellectual property is difficult and time consuming. The steps we have taken have not always prevented, and we cannot be certain the steps w</w:t>
      </w:r>
      <w:r>
        <w:rPr>
          <w:rFonts w:eastAsia="Times New Roman"/>
          <w:color w:val="000000"/>
          <w:sz w:val="20"/>
          <w:szCs w:val="20"/>
        </w:rPr>
        <w:t>e will take in the future will prevent, the misappropriation or unauthorized use of our products, technologies or intellectual property, particularly in foreign countries where the laws may not protect our rights as fully or as readily as U.S. laws or wher</w:t>
      </w:r>
      <w:r>
        <w:rPr>
          <w:rFonts w:eastAsia="Times New Roman"/>
          <w:color w:val="000000"/>
          <w:sz w:val="20"/>
          <w:szCs w:val="20"/>
        </w:rPr>
        <w:t xml:space="preserve">e the enforcement of such laws may be lacking or ineffective. See also the Risk Factor titled </w:t>
      </w:r>
      <w:r>
        <w:rPr>
          <w:rFonts w:eastAsia="Times New Roman"/>
          <w:i/>
          <w:iCs/>
          <w:color w:val="000000"/>
          <w:sz w:val="20"/>
          <w:szCs w:val="20"/>
        </w:rPr>
        <w:t>“Our business and operations could suffer in the event of security breaches of our information technology systems, or other misappropriation of our technology, in</w:t>
      </w:r>
      <w:r>
        <w:rPr>
          <w:rFonts w:eastAsia="Times New Roman"/>
          <w:i/>
          <w:iCs/>
          <w:color w:val="000000"/>
          <w:sz w:val="20"/>
          <w:szCs w:val="20"/>
        </w:rPr>
        <w:t>tellectual property or other proprietary or confidential information.”</w:t>
      </w:r>
    </w:p>
    <w:p w:rsidR="00000000" w:rsidRDefault="00786A01">
      <w:pPr>
        <w:ind w:firstLine="360"/>
        <w:divId w:val="1320422907"/>
        <w:rPr>
          <w:rFonts w:eastAsia="Times New Roman"/>
        </w:rPr>
      </w:pPr>
      <w:r>
        <w:rPr>
          <w:rFonts w:eastAsia="Times New Roman"/>
          <w:color w:val="000000"/>
          <w:sz w:val="20"/>
          <w:szCs w:val="20"/>
        </w:rPr>
        <w:t>Some industry participants who have a vested interest in devaluing patents in general, or standard-essential patents in particular, have mounted attacks on certain patent systems, incre</w:t>
      </w:r>
      <w:r>
        <w:rPr>
          <w:rFonts w:eastAsia="Times New Roman"/>
          <w:color w:val="000000"/>
          <w:sz w:val="20"/>
          <w:szCs w:val="20"/>
        </w:rPr>
        <w:t>asing the likelihood of changes to established patent laws. In the United States, there is continued discussion regarding potential patent law changes and current and potential future litigation regarding patents, the outcomes of which could be detrimental</w:t>
      </w:r>
      <w:r>
        <w:rPr>
          <w:rFonts w:eastAsia="Times New Roman"/>
          <w:color w:val="000000"/>
          <w:sz w:val="20"/>
          <w:szCs w:val="20"/>
        </w:rPr>
        <w:t xml:space="preserve"> to our licensing business. The laws in certain foreign countries in which our products are or may be manufactured or sold, including certain countries in Asia, may not protect our intellectual property rights to the same extent as the laws in the United S</w:t>
      </w:r>
      <w:r>
        <w:rPr>
          <w:rFonts w:eastAsia="Times New Roman"/>
          <w:color w:val="000000"/>
          <w:sz w:val="20"/>
          <w:szCs w:val="20"/>
        </w:rPr>
        <w:t xml:space="preserve">tates. We cannot predict with certainty the long-term effects of any potential changes. In addition, we cannot be certain that the laws and policies of any country or the practices of any standards bodies, foreign or domestic, with respect to intellectual </w:t>
      </w:r>
      <w:r>
        <w:rPr>
          <w:rFonts w:eastAsia="Times New Roman"/>
          <w:color w:val="000000"/>
          <w:sz w:val="20"/>
          <w:szCs w:val="20"/>
        </w:rPr>
        <w:t>property enforcement or licensing or the adoption of standards, will not be changed in the future in a way detrimental to our licensing program or to the sale or use of our products or technologies.</w:t>
      </w:r>
    </w:p>
    <w:p w:rsidR="00000000" w:rsidRDefault="00786A01">
      <w:pPr>
        <w:ind w:firstLine="360"/>
        <w:divId w:val="1955207095"/>
        <w:rPr>
          <w:rFonts w:eastAsia="Times New Roman"/>
        </w:rPr>
      </w:pPr>
      <w:r>
        <w:rPr>
          <w:rFonts w:eastAsia="Times New Roman"/>
          <w:color w:val="000000"/>
          <w:sz w:val="20"/>
          <w:szCs w:val="20"/>
        </w:rPr>
        <w:t>We have had and may in the future have difficulty in cert</w:t>
      </w:r>
      <w:r>
        <w:rPr>
          <w:rFonts w:eastAsia="Times New Roman"/>
          <w:color w:val="000000"/>
          <w:sz w:val="20"/>
          <w:szCs w:val="20"/>
        </w:rPr>
        <w:t>ain circumstances in protecting or enforcing our intellectual property and contracts, including collecting royalties for use of our patent portfolio due to, among others: refusal by certain licensees to report and pay all or a portion of the royalties they</w:t>
      </w:r>
      <w:r>
        <w:rPr>
          <w:rFonts w:eastAsia="Times New Roman"/>
          <w:color w:val="000000"/>
          <w:sz w:val="20"/>
          <w:szCs w:val="20"/>
        </w:rPr>
        <w:t xml:space="preserve"> owe to us; policies or political actions of governments, including trade protection and national security policies; challenges to our licensing practices under competition laws; adoption of mandatory licensing provisions by foreign jurisdictions; failure </w:t>
      </w:r>
      <w:r>
        <w:rPr>
          <w:rFonts w:eastAsia="Times New Roman"/>
          <w:color w:val="000000"/>
          <w:sz w:val="20"/>
          <w:szCs w:val="20"/>
        </w:rPr>
        <w:t>of foreign courts to recognize and enforce judgments of contract breach and damages issued by courts in the United States; and challenges before competition agencies to our licensing business and the pricing and integration of additional features and funct</w:t>
      </w:r>
      <w:r>
        <w:rPr>
          <w:rFonts w:eastAsia="Times New Roman"/>
          <w:color w:val="000000"/>
          <w:sz w:val="20"/>
          <w:szCs w:val="20"/>
        </w:rPr>
        <w:t>ionality into our chipset products. See also the Risk Factors titled “</w:t>
      </w:r>
      <w:r>
        <w:rPr>
          <w:rFonts w:eastAsia="Times New Roman"/>
          <w:i/>
          <w:iCs/>
          <w:color w:val="000000"/>
          <w:sz w:val="20"/>
          <w:szCs w:val="20"/>
        </w:rPr>
        <w:t>Efforts by some OEMs to avoid paying fair and reasonable royalties for the use of our intellectual property may require the investment of substantial management time and financial resour</w:t>
      </w:r>
      <w:r>
        <w:rPr>
          <w:rFonts w:eastAsia="Times New Roman"/>
          <w:i/>
          <w:iCs/>
          <w:color w:val="000000"/>
          <w:sz w:val="20"/>
          <w:szCs w:val="20"/>
        </w:rPr>
        <w:t>ces and may result in legal decisions or actions by governments, courts, regulators or agencies, Standards Development Organizations (SDOs) or other industry organizations that harm our business</w:t>
      </w:r>
      <w:r>
        <w:rPr>
          <w:rFonts w:eastAsia="Times New Roman"/>
          <w:color w:val="000000"/>
          <w:sz w:val="20"/>
          <w:szCs w:val="20"/>
        </w:rPr>
        <w:t>” and “</w:t>
      </w:r>
      <w:r>
        <w:rPr>
          <w:rFonts w:eastAsia="Times New Roman"/>
          <w:i/>
          <w:iCs/>
          <w:color w:val="000000"/>
          <w:sz w:val="20"/>
          <w:szCs w:val="20"/>
        </w:rPr>
        <w:t xml:space="preserve">Our business may suffer as a result of adverse rulings </w:t>
      </w:r>
      <w:r>
        <w:rPr>
          <w:rFonts w:eastAsia="Times New Roman"/>
          <w:i/>
          <w:iCs/>
          <w:color w:val="000000"/>
          <w:sz w:val="20"/>
          <w:szCs w:val="20"/>
        </w:rPr>
        <w:t>in government investigations or proceedings</w:t>
      </w:r>
      <w:r>
        <w:rPr>
          <w:rFonts w:eastAsia="Times New Roman"/>
          <w:color w:val="000000"/>
          <w:sz w:val="20"/>
          <w:szCs w:val="20"/>
        </w:rPr>
        <w:t xml:space="preserve">.” </w:t>
      </w:r>
    </w:p>
    <w:p w:rsidR="00000000" w:rsidRDefault="00786A01">
      <w:pPr>
        <w:ind w:firstLine="360"/>
        <w:divId w:val="1577284751"/>
        <w:rPr>
          <w:rFonts w:eastAsia="Times New Roman"/>
        </w:rPr>
      </w:pPr>
      <w:r>
        <w:rPr>
          <w:rFonts w:eastAsia="Times New Roman"/>
          <w:color w:val="000000"/>
          <w:sz w:val="20"/>
          <w:szCs w:val="20"/>
        </w:rPr>
        <w:t>We have engaged in litigation and arbitration in the past and may need to further litigate or arbitrate in the future to enforce our contract and intellectual property rights, protect our trade secrets or dete</w:t>
      </w:r>
      <w:r>
        <w:rPr>
          <w:rFonts w:eastAsia="Times New Roman"/>
          <w:color w:val="000000"/>
          <w:sz w:val="20"/>
          <w:szCs w:val="20"/>
        </w:rPr>
        <w:t>rmine the validity and scope of proprietary rights of others. As a result of any such litigation or arbitration, we could lose our ability to enforce one or more patents, portions of our license agreements could be determined to be invalid or unenforceable</w:t>
      </w:r>
      <w:r>
        <w:rPr>
          <w:rFonts w:eastAsia="Times New Roman"/>
          <w:color w:val="000000"/>
          <w:sz w:val="20"/>
          <w:szCs w:val="20"/>
        </w:rPr>
        <w:t xml:space="preserve"> (which may in turn result in other licensees either not complying with their existing license agreements or initiating litigation or arbitration), license terms (including but not limited to royalty rates for the use of our intellectual property) could be</w:t>
      </w:r>
      <w:r>
        <w:rPr>
          <w:rFonts w:eastAsia="Times New Roman"/>
          <w:color w:val="000000"/>
          <w:sz w:val="20"/>
          <w:szCs w:val="20"/>
        </w:rPr>
        <w:t xml:space="preserve"> imposed that are less favorable to us than existing terms, and we could incur substantial costs. Any action we take to enforce our contract or intellectual property rights could be costly and could absorb significant management time and attention, which, </w:t>
      </w:r>
      <w:r>
        <w:rPr>
          <w:rFonts w:eastAsia="Times New Roman"/>
          <w:color w:val="000000"/>
          <w:sz w:val="20"/>
          <w:szCs w:val="20"/>
        </w:rPr>
        <w:t>in turn, could negatively impact our results of operations and cash flows. Further, even a positive resolution to our enforcement efforts may take time to conclude, which may reduce our revenues and cash resources available for other purposes, such as rese</w:t>
      </w:r>
      <w:r>
        <w:rPr>
          <w:rFonts w:eastAsia="Times New Roman"/>
          <w:color w:val="000000"/>
          <w:sz w:val="20"/>
          <w:szCs w:val="20"/>
        </w:rPr>
        <w:t xml:space="preserve">arch and development, in the periods prior to conclusion. </w:t>
      </w:r>
    </w:p>
    <w:p w:rsidR="00000000" w:rsidRDefault="00786A01">
      <w:pPr>
        <w:ind w:firstLine="360"/>
        <w:divId w:val="1199775953"/>
        <w:rPr>
          <w:rFonts w:eastAsia="Times New Roman"/>
        </w:rPr>
      </w:pPr>
      <w:r>
        <w:rPr>
          <w:rFonts w:eastAsia="Times New Roman"/>
          <w:color w:val="000000"/>
          <w:sz w:val="20"/>
          <w:szCs w:val="20"/>
        </w:rPr>
        <w:t>Additionally, although our license agreements generally provide us with the right to audit the books and records of licensees, audits can be expensive, time consuming, incomplete and subject to dis</w:t>
      </w:r>
      <w:r>
        <w:rPr>
          <w:rFonts w:eastAsia="Times New Roman"/>
          <w:color w:val="000000"/>
          <w:sz w:val="20"/>
          <w:szCs w:val="20"/>
        </w:rPr>
        <w:t xml:space="preserve">pute. Further, certain licensees may not comply with the obligation to provide full access to their books and records. To the extent we do not aggressively enforce our </w:t>
      </w:r>
    </w:p>
    <w:p w:rsidR="00000000" w:rsidRDefault="00786A01">
      <w:pPr>
        <w:jc w:val="center"/>
        <w:divId w:val="153499656"/>
        <w:rPr>
          <w:rFonts w:eastAsia="Times New Roman"/>
        </w:rPr>
      </w:pPr>
      <w:r>
        <w:rPr>
          <w:rFonts w:eastAsia="Times New Roman"/>
          <w:color w:val="000000"/>
          <w:sz w:val="20"/>
          <w:szCs w:val="20"/>
        </w:rPr>
        <w:t>47</w:t>
      </w:r>
    </w:p>
    <w:p w:rsidR="00000000" w:rsidRDefault="00786A01">
      <w:pPr>
        <w:rPr>
          <w:rFonts w:eastAsia="Times New Roman"/>
        </w:rPr>
      </w:pPr>
      <w:r>
        <w:rPr>
          <w:rFonts w:eastAsia="Times New Roman"/>
        </w:rPr>
        <w:pict>
          <v:rect id="_x0000_i1070" style="width:0;height:1.5pt" o:hralign="center" o:hrstd="t" o:hr="t" fillcolor="#a0a0a0" stroked="f"/>
        </w:pict>
      </w:r>
    </w:p>
    <w:p w:rsidR="00000000" w:rsidRDefault="00786A01">
      <w:pPr>
        <w:divId w:val="1148981106"/>
        <w:rPr>
          <w:rFonts w:eastAsia="Times New Roman"/>
        </w:rPr>
      </w:pPr>
    </w:p>
    <w:p w:rsidR="00000000" w:rsidRDefault="00786A01">
      <w:pPr>
        <w:divId w:val="1575772102"/>
        <w:rPr>
          <w:rFonts w:eastAsia="Times New Roman"/>
        </w:rPr>
      </w:pPr>
      <w:r>
        <w:rPr>
          <w:rFonts w:eastAsia="Times New Roman"/>
          <w:color w:val="000000"/>
          <w:sz w:val="20"/>
          <w:szCs w:val="20"/>
        </w:rPr>
        <w:t>rights under our license agreements, licensees</w:t>
      </w:r>
      <w:r>
        <w:rPr>
          <w:rFonts w:eastAsia="Times New Roman"/>
          <w:color w:val="000000"/>
          <w:sz w:val="20"/>
          <w:szCs w:val="20"/>
        </w:rPr>
        <w:t xml:space="preserve"> may not comply with their existing license agreements, and to the extent we do not aggressively pursue unlicensed companies to enter into license agreements with us for their use of our intellectual property, other unlicensed companies may not enter into </w:t>
      </w:r>
      <w:r>
        <w:rPr>
          <w:rFonts w:eastAsia="Times New Roman"/>
          <w:color w:val="000000"/>
          <w:sz w:val="20"/>
          <w:szCs w:val="20"/>
        </w:rPr>
        <w:t>license agreements. Similarly, we provide access to certain of our intellectual property and proprietary and confidential business information to our direct and indirect customers and licensees, who have in the past and may in the future wrongfully use suc</w:t>
      </w:r>
      <w:r>
        <w:rPr>
          <w:rFonts w:eastAsia="Times New Roman"/>
          <w:color w:val="000000"/>
          <w:sz w:val="20"/>
          <w:szCs w:val="20"/>
        </w:rPr>
        <w:t>h intellectual property and information or wrongfully disclose such intellectual property and information to third parties, including our competitors. See also the Risk Factor titled “</w:t>
      </w:r>
      <w:r>
        <w:rPr>
          <w:rFonts w:eastAsia="Times New Roman"/>
          <w:i/>
          <w:iCs/>
          <w:color w:val="000000"/>
          <w:sz w:val="20"/>
          <w:szCs w:val="20"/>
        </w:rPr>
        <w:t>Efforts by some OEMs to avoid paying fair and reasonable royalties for t</w:t>
      </w:r>
      <w:r>
        <w:rPr>
          <w:rFonts w:eastAsia="Times New Roman"/>
          <w:i/>
          <w:iCs/>
          <w:color w:val="000000"/>
          <w:sz w:val="20"/>
          <w:szCs w:val="20"/>
        </w:rPr>
        <w:t>he use of our intellectual property may require the investment of substantial management time and financial resources and may result in legal decisions or actions by governments, courts, regulators or agencies, Standards Development Organizations (SDOs) or</w:t>
      </w:r>
      <w:r>
        <w:rPr>
          <w:rFonts w:eastAsia="Times New Roman"/>
          <w:i/>
          <w:iCs/>
          <w:color w:val="000000"/>
          <w:sz w:val="20"/>
          <w:szCs w:val="20"/>
        </w:rPr>
        <w:t xml:space="preserve"> other industry organizations that harm our business</w:t>
      </w:r>
      <w:r>
        <w:rPr>
          <w:rFonts w:eastAsia="Times New Roman"/>
          <w:color w:val="000000"/>
          <w:sz w:val="20"/>
          <w:szCs w:val="20"/>
        </w:rPr>
        <w:t>.”</w:t>
      </w:r>
    </w:p>
    <w:p w:rsidR="00000000" w:rsidRDefault="00786A01">
      <w:pPr>
        <w:divId w:val="1601642637"/>
        <w:rPr>
          <w:rFonts w:eastAsia="Times New Roman"/>
        </w:rPr>
      </w:pPr>
      <w:r>
        <w:rPr>
          <w:rFonts w:eastAsia="Times New Roman"/>
          <w:b/>
          <w:bCs/>
          <w:i/>
          <w:iCs/>
          <w:color w:val="000000"/>
          <w:sz w:val="20"/>
          <w:szCs w:val="20"/>
        </w:rPr>
        <w:t>Claims by other companies that we infringe their intellectual property could adversely affect our business.</w:t>
      </w:r>
    </w:p>
    <w:p w:rsidR="00000000" w:rsidRDefault="00786A01">
      <w:pPr>
        <w:ind w:firstLine="360"/>
        <w:divId w:val="1694070184"/>
        <w:rPr>
          <w:rFonts w:eastAsia="Times New Roman"/>
        </w:rPr>
      </w:pPr>
      <w:r>
        <w:rPr>
          <w:rFonts w:eastAsia="Times New Roman"/>
          <w:color w:val="000000"/>
          <w:sz w:val="20"/>
          <w:szCs w:val="20"/>
        </w:rPr>
        <w:t>From time to time, companies have asserted, and may again assert, patent, copyright and other</w:t>
      </w:r>
      <w:r>
        <w:rPr>
          <w:rFonts w:eastAsia="Times New Roman"/>
          <w:color w:val="000000"/>
          <w:sz w:val="20"/>
          <w:szCs w:val="20"/>
        </w:rPr>
        <w:t xml:space="preserve"> intellectual property claims against our products or products using our technologies or other technologies used in our industry. These claims have resulted and may again result in our involvement in litigation. We may not prevail in such litigation given,</w:t>
      </w:r>
      <w:r>
        <w:rPr>
          <w:rFonts w:eastAsia="Times New Roman"/>
          <w:color w:val="000000"/>
          <w:sz w:val="20"/>
          <w:szCs w:val="20"/>
        </w:rPr>
        <w:t xml:space="preserve"> among other factors, the complex technical issues and inherent uncertainties in intellectual property litigation. If any of our products were found to infringe another company’s intellectual property, we could be subject to an injunction or be required to</w:t>
      </w:r>
      <w:r>
        <w:rPr>
          <w:rFonts w:eastAsia="Times New Roman"/>
          <w:color w:val="000000"/>
          <w:sz w:val="20"/>
          <w:szCs w:val="20"/>
        </w:rPr>
        <w:t xml:space="preserve"> redesign our products, or to license such intellectual property or pay damages or other compensation to such other company (any of which could be costly). If we are unable to redesign our products, license such intellectual property used in our products o</w:t>
      </w:r>
      <w:r>
        <w:rPr>
          <w:rFonts w:eastAsia="Times New Roman"/>
          <w:color w:val="000000"/>
          <w:sz w:val="20"/>
          <w:szCs w:val="20"/>
        </w:rPr>
        <w:t>r otherwise distribute our products (e.g., through a licensed supplier), we could be prohibited from making and selling our products. Similarly, our suppliers could be found to infringe another company’s intellectual property, and such suppliers could then</w:t>
      </w:r>
      <w:r>
        <w:rPr>
          <w:rFonts w:eastAsia="Times New Roman"/>
          <w:color w:val="000000"/>
          <w:sz w:val="20"/>
          <w:szCs w:val="20"/>
        </w:rPr>
        <w:t xml:space="preserve"> be enjoined from providing products or services to us.</w:t>
      </w:r>
    </w:p>
    <w:p w:rsidR="00000000" w:rsidRDefault="00786A01">
      <w:pPr>
        <w:ind w:firstLine="360"/>
        <w:divId w:val="1715228489"/>
        <w:rPr>
          <w:rFonts w:eastAsia="Times New Roman"/>
        </w:rPr>
      </w:pPr>
      <w:r>
        <w:rPr>
          <w:rFonts w:eastAsia="Times New Roman"/>
          <w:color w:val="000000"/>
          <w:sz w:val="20"/>
          <w:szCs w:val="20"/>
        </w:rPr>
        <w:t>In any potential dispute involving us and another company’</w:t>
      </w:r>
      <w:r>
        <w:rPr>
          <w:rFonts w:eastAsia="Times New Roman"/>
          <w:color w:val="000000"/>
          <w:sz w:val="20"/>
          <w:szCs w:val="20"/>
        </w:rPr>
        <w:t>s patents or other intellectual property, our chipset foundries, semiconductor assembly and test providers and customers could also become the targets of litigation. We are contingently liable under certain product sales, services, license and other agreem</w:t>
      </w:r>
      <w:r>
        <w:rPr>
          <w:rFonts w:eastAsia="Times New Roman"/>
          <w:color w:val="000000"/>
          <w:sz w:val="20"/>
          <w:szCs w:val="20"/>
        </w:rPr>
        <w:t>ents to indemnify certain customers, chipset foundries and semiconductor assembly and test service providers against certain types of liability and damages arising from qualifying claims of patent infringement by products sold by us, or by intellectual pro</w:t>
      </w:r>
      <w:r>
        <w:rPr>
          <w:rFonts w:eastAsia="Times New Roman"/>
          <w:color w:val="000000"/>
          <w:sz w:val="20"/>
          <w:szCs w:val="20"/>
        </w:rPr>
        <w:t>perty provided by us to our chipset foundries and semiconductor assembly and test service providers. Reimbursements under indemnification arrangements could have an adverse effect on our results of operations and cash flows. Furthermore, any such litigatio</w:t>
      </w:r>
      <w:r>
        <w:rPr>
          <w:rFonts w:eastAsia="Times New Roman"/>
          <w:color w:val="000000"/>
          <w:sz w:val="20"/>
          <w:szCs w:val="20"/>
        </w:rPr>
        <w:t>n could severely disrupt the supply of our products and the businesses of our chipset customers and their customers, which in turn could harm our relationships with them and could result in a decline in our chipset sales or a reduction in our licensees’ sa</w:t>
      </w:r>
      <w:r>
        <w:rPr>
          <w:rFonts w:eastAsia="Times New Roman"/>
          <w:color w:val="000000"/>
          <w:sz w:val="20"/>
          <w:szCs w:val="20"/>
        </w:rPr>
        <w:t>les, causing a corresponding decline in our chipset or licensing revenues. Any claims, regardless of their merit, could be time consuming to address, result in costly litigation, divert the efforts of our technical and management personnel or cause product</w:t>
      </w:r>
      <w:r>
        <w:rPr>
          <w:rFonts w:eastAsia="Times New Roman"/>
          <w:color w:val="000000"/>
          <w:sz w:val="20"/>
          <w:szCs w:val="20"/>
        </w:rPr>
        <w:t xml:space="preserve"> release or shipment delays, any of which could have an adverse effect on our results of operations and cash flows.</w:t>
      </w:r>
    </w:p>
    <w:p w:rsidR="00000000" w:rsidRDefault="00786A01">
      <w:pPr>
        <w:ind w:firstLine="360"/>
        <w:divId w:val="931360351"/>
        <w:rPr>
          <w:rFonts w:eastAsia="Times New Roman"/>
        </w:rPr>
      </w:pPr>
      <w:r>
        <w:rPr>
          <w:rFonts w:eastAsia="Times New Roman"/>
          <w:color w:val="000000"/>
          <w:sz w:val="20"/>
          <w:szCs w:val="20"/>
        </w:rPr>
        <w:t>We may continue to be involved in litigation and may have to appear in front of administrative bodies (such as the United States Internation</w:t>
      </w:r>
      <w:r>
        <w:rPr>
          <w:rFonts w:eastAsia="Times New Roman"/>
          <w:color w:val="000000"/>
          <w:sz w:val="20"/>
          <w:szCs w:val="20"/>
        </w:rPr>
        <w:t>al Trade Commission) to defend against patent assertions against our products by companies, some of whom are attempting to gain competitive advantage or leverage in licensing negotiations. We may not be successful in such proceedings, and if we are not, th</w:t>
      </w:r>
      <w:r>
        <w:rPr>
          <w:rFonts w:eastAsia="Times New Roman"/>
          <w:color w:val="000000"/>
          <w:sz w:val="20"/>
          <w:szCs w:val="20"/>
        </w:rPr>
        <w:t>e range of possible outcomes is very broad and may include, for example, monetary damages or fines or other orders to pay money, royalty payments, injunctions on the sale of certain of our integrated circuit products (or on the sale of our customers’ devic</w:t>
      </w:r>
      <w:r>
        <w:rPr>
          <w:rFonts w:eastAsia="Times New Roman"/>
          <w:color w:val="000000"/>
          <w:sz w:val="20"/>
          <w:szCs w:val="20"/>
        </w:rPr>
        <w:t>es using such products) or the issuance of orders to cease certain conduct or modify our business practices. Further, a governmental body in a particular country or region may assert, and may be successful in imposing, remedies with effects that extend bey</w:t>
      </w:r>
      <w:r>
        <w:rPr>
          <w:rFonts w:eastAsia="Times New Roman"/>
          <w:color w:val="000000"/>
          <w:sz w:val="20"/>
          <w:szCs w:val="20"/>
        </w:rPr>
        <w:t>ond the borders of that country or region. In addition, a negative outcome in any such proceeding could severely disrupt the business of our chipset customers and their wireless operator customers, which in turn could harm our relationships with them and c</w:t>
      </w:r>
      <w:r>
        <w:rPr>
          <w:rFonts w:eastAsia="Times New Roman"/>
          <w:color w:val="000000"/>
          <w:sz w:val="20"/>
          <w:szCs w:val="20"/>
        </w:rPr>
        <w:t>ould result in a decline in our chipset sales or a reduction in our licensees’ sales, causing corresponding declines in our chipset or licensing revenues.</w:t>
      </w:r>
    </w:p>
    <w:p w:rsidR="00000000" w:rsidRDefault="00786A01">
      <w:pPr>
        <w:ind w:firstLine="360"/>
        <w:divId w:val="1718894061"/>
        <w:rPr>
          <w:rFonts w:eastAsia="Times New Roman"/>
        </w:rPr>
      </w:pPr>
      <w:r>
        <w:rPr>
          <w:rFonts w:eastAsia="Times New Roman"/>
          <w:color w:val="000000"/>
          <w:sz w:val="20"/>
          <w:szCs w:val="20"/>
        </w:rPr>
        <w:t>Certain legal matters, which may include certain claims by other companies that we infringe their int</w:t>
      </w:r>
      <w:r>
        <w:rPr>
          <w:rFonts w:eastAsia="Times New Roman"/>
          <w:color w:val="000000"/>
          <w:sz w:val="20"/>
          <w:szCs w:val="20"/>
        </w:rPr>
        <w:t>ellectual property, are described more fully in this Quarterly Report in “Notes to Condensed Consolidated Financial Statements, Note 5. Commitments and Contingencies.”</w:t>
      </w:r>
    </w:p>
    <w:p w:rsidR="00000000" w:rsidRDefault="00786A01">
      <w:pPr>
        <w:divId w:val="993676553"/>
        <w:rPr>
          <w:rFonts w:eastAsia="Times New Roman"/>
        </w:rPr>
      </w:pPr>
      <w:r>
        <w:rPr>
          <w:rFonts w:eastAsia="Times New Roman"/>
          <w:b/>
          <w:bCs/>
          <w:i/>
          <w:iCs/>
          <w:color w:val="000000"/>
          <w:sz w:val="20"/>
          <w:szCs w:val="20"/>
        </w:rPr>
        <w:t>Our use of open source software may harm our business.</w:t>
      </w:r>
    </w:p>
    <w:p w:rsidR="00000000" w:rsidRDefault="00786A01">
      <w:pPr>
        <w:ind w:firstLine="360"/>
        <w:divId w:val="24063801"/>
        <w:rPr>
          <w:rFonts w:eastAsia="Times New Roman"/>
        </w:rPr>
      </w:pPr>
      <w:r>
        <w:rPr>
          <w:rFonts w:eastAsia="Times New Roman"/>
          <w:color w:val="000000"/>
          <w:sz w:val="20"/>
          <w:szCs w:val="20"/>
        </w:rPr>
        <w:t>Certain of our software and our s</w:t>
      </w:r>
      <w:r>
        <w:rPr>
          <w:rFonts w:eastAsia="Times New Roman"/>
          <w:color w:val="000000"/>
          <w:sz w:val="20"/>
          <w:szCs w:val="20"/>
        </w:rPr>
        <w:t>uppliers’ software may contain or may be derived from “open source” software, and we have seen, and believe that we will continue to see, customers request that we develop products, including software associated with our integrated circuit products, that i</w:t>
      </w:r>
      <w:r>
        <w:rPr>
          <w:rFonts w:eastAsia="Times New Roman"/>
          <w:color w:val="000000"/>
          <w:sz w:val="20"/>
          <w:szCs w:val="20"/>
        </w:rPr>
        <w:t>ncorporate open source software elements and operate in an open source environment, which, under certain open source licenses, may offer accessibility to a portion of our products’ source code and may expose our related intellectual property to adverse lic</w:t>
      </w:r>
      <w:r>
        <w:rPr>
          <w:rFonts w:eastAsia="Times New Roman"/>
          <w:color w:val="000000"/>
          <w:sz w:val="20"/>
          <w:szCs w:val="20"/>
        </w:rPr>
        <w:t xml:space="preserve">ensing conditions. Licensing of such software may impose certain </w:t>
      </w:r>
    </w:p>
    <w:p w:rsidR="00000000" w:rsidRDefault="00786A01">
      <w:pPr>
        <w:jc w:val="center"/>
        <w:divId w:val="566114270"/>
        <w:rPr>
          <w:rFonts w:eastAsia="Times New Roman"/>
        </w:rPr>
      </w:pPr>
      <w:r>
        <w:rPr>
          <w:rFonts w:eastAsia="Times New Roman"/>
          <w:color w:val="000000"/>
          <w:sz w:val="20"/>
          <w:szCs w:val="20"/>
        </w:rPr>
        <w:t>48</w:t>
      </w:r>
    </w:p>
    <w:p w:rsidR="00000000" w:rsidRDefault="00786A01">
      <w:pPr>
        <w:rPr>
          <w:rFonts w:eastAsia="Times New Roman"/>
        </w:rPr>
      </w:pPr>
      <w:r>
        <w:rPr>
          <w:rFonts w:eastAsia="Times New Roman"/>
        </w:rPr>
        <w:pict>
          <v:rect id="_x0000_i1071" style="width:0;height:1.5pt" o:hralign="center" o:hrstd="t" o:hr="t" fillcolor="#a0a0a0" stroked="f"/>
        </w:pict>
      </w:r>
    </w:p>
    <w:p w:rsidR="00000000" w:rsidRDefault="00786A01">
      <w:pPr>
        <w:divId w:val="287668377"/>
        <w:rPr>
          <w:rFonts w:eastAsia="Times New Roman"/>
        </w:rPr>
      </w:pPr>
    </w:p>
    <w:p w:rsidR="00000000" w:rsidRDefault="00786A01">
      <w:pPr>
        <w:divId w:val="2019305503"/>
        <w:rPr>
          <w:rFonts w:eastAsia="Times New Roman"/>
        </w:rPr>
      </w:pPr>
      <w:r>
        <w:rPr>
          <w:rFonts w:eastAsia="Times New Roman"/>
          <w:color w:val="000000"/>
          <w:sz w:val="20"/>
          <w:szCs w:val="20"/>
        </w:rPr>
        <w:t>obligations on us if we were to distribute derivative works of that software. For example, these obligations may require us to make source code for the derivative works available to our customers in a manner that allow</w:t>
      </w:r>
      <w:r>
        <w:rPr>
          <w:rFonts w:eastAsia="Times New Roman"/>
          <w:color w:val="000000"/>
          <w:sz w:val="20"/>
          <w:szCs w:val="20"/>
        </w:rPr>
        <w:t>s them to make such source code available to their customers or license such derivative works under a particular type of license that is different than what we customarily use to license our software. Furthermore, in the course of product development, we m</w:t>
      </w:r>
      <w:r>
        <w:rPr>
          <w:rFonts w:eastAsia="Times New Roman"/>
          <w:color w:val="000000"/>
          <w:sz w:val="20"/>
          <w:szCs w:val="20"/>
        </w:rPr>
        <w:t>ay make contributions to third-party open source projects that could subject our intellectual property to adverse licensing conditions. For example, to encourage the growth of a software ecosystem that is interoperable with our products, we may need to con</w:t>
      </w:r>
      <w:r>
        <w:rPr>
          <w:rFonts w:eastAsia="Times New Roman"/>
          <w:color w:val="000000"/>
          <w:sz w:val="20"/>
          <w:szCs w:val="20"/>
        </w:rPr>
        <w:t>tribute certain implementations under the open source licensing terms that govern such projects, which may adversely impact our associated intellectual property. Developing open source products, while adequately protecting the intellectual property upon wh</w:t>
      </w:r>
      <w:r>
        <w:rPr>
          <w:rFonts w:eastAsia="Times New Roman"/>
          <w:color w:val="000000"/>
          <w:sz w:val="20"/>
          <w:szCs w:val="20"/>
        </w:rPr>
        <w:t>ich our licensing program depends, may prove burdensome and time-consuming under certain circumstances, thereby placing us at a competitive disadvantage, and we may not adequately protect our intellectual property. Also, our use and our customers’ use of o</w:t>
      </w:r>
      <w:r>
        <w:rPr>
          <w:rFonts w:eastAsia="Times New Roman"/>
          <w:color w:val="000000"/>
          <w:sz w:val="20"/>
          <w:szCs w:val="20"/>
        </w:rPr>
        <w:t xml:space="preserve">pen source software may subject our products and our customers’ products to governmental and third-party scrutiny and delays in product certification, which could cause customers to view our products as less desirable than our competitors’ products. While </w:t>
      </w:r>
      <w:r>
        <w:rPr>
          <w:rFonts w:eastAsia="Times New Roman"/>
          <w:color w:val="000000"/>
          <w:sz w:val="20"/>
          <w:szCs w:val="20"/>
        </w:rPr>
        <w:t>we believe we have taken appropriate steps and employ adequate controls to protect our intellectual property, our contributions to and use of open source software presents risks that could have an adverse effect on these and on our business.</w:t>
      </w:r>
    </w:p>
    <w:p w:rsidR="00000000" w:rsidRDefault="00786A01">
      <w:pPr>
        <w:divId w:val="772819688"/>
        <w:rPr>
          <w:rFonts w:eastAsia="Times New Roman"/>
        </w:rPr>
      </w:pPr>
      <w:r>
        <w:rPr>
          <w:rFonts w:eastAsia="Times New Roman"/>
          <w:b/>
          <w:bCs/>
          <w:color w:val="000000"/>
          <w:sz w:val="20"/>
          <w:szCs w:val="20"/>
        </w:rPr>
        <w:t xml:space="preserve">RISKS RELATED </w:t>
      </w:r>
      <w:r>
        <w:rPr>
          <w:rFonts w:eastAsia="Times New Roman"/>
          <w:b/>
          <w:bCs/>
          <w:color w:val="000000"/>
          <w:sz w:val="20"/>
          <w:szCs w:val="20"/>
        </w:rPr>
        <w:t xml:space="preserve">TO HUMAN CAPITAL MANAGEMENT </w:t>
      </w:r>
    </w:p>
    <w:p w:rsidR="00000000" w:rsidRDefault="00786A01">
      <w:pPr>
        <w:divId w:val="1031492234"/>
        <w:rPr>
          <w:rFonts w:eastAsia="Times New Roman"/>
        </w:rPr>
      </w:pPr>
      <w:r>
        <w:rPr>
          <w:rFonts w:eastAsia="Times New Roman"/>
          <w:b/>
          <w:bCs/>
          <w:i/>
          <w:iCs/>
          <w:color w:val="000000"/>
          <w:sz w:val="20"/>
          <w:szCs w:val="20"/>
        </w:rPr>
        <w:t>We may not be able to attract and retain qualified employees.</w:t>
      </w:r>
    </w:p>
    <w:p w:rsidR="00000000" w:rsidRDefault="00786A01">
      <w:pPr>
        <w:ind w:firstLine="360"/>
        <w:divId w:val="491262922"/>
        <w:rPr>
          <w:rFonts w:eastAsia="Times New Roman"/>
        </w:rPr>
      </w:pPr>
      <w:r>
        <w:rPr>
          <w:rFonts w:eastAsia="Times New Roman"/>
          <w:color w:val="000000"/>
          <w:sz w:val="20"/>
          <w:szCs w:val="20"/>
        </w:rPr>
        <w:t>Our future success depends upon the continued service of our executive officers and other key management and technical personnel, and on our ability to continue to i</w:t>
      </w:r>
      <w:r>
        <w:rPr>
          <w:rFonts w:eastAsia="Times New Roman"/>
          <w:color w:val="000000"/>
          <w:sz w:val="20"/>
          <w:szCs w:val="20"/>
        </w:rPr>
        <w:t>dentify, attract, retain and motivate them. Implementing our business strategy requires specialized engineering and other talent, as our revenues are highly dependent on technological and product innovations. The market for employees in our industry is ext</w:t>
      </w:r>
      <w:r>
        <w:rPr>
          <w:rFonts w:eastAsia="Times New Roman"/>
          <w:color w:val="000000"/>
          <w:sz w:val="20"/>
          <w:szCs w:val="20"/>
        </w:rPr>
        <w:t xml:space="preserve">remely competitive, and competitors for talent, particularly engineering talent, increasingly attempt to hire, and to varying degrees have been successful in hiring, our employees, including by establishing or expanding local offices near our headquarters </w:t>
      </w:r>
      <w:r>
        <w:rPr>
          <w:rFonts w:eastAsia="Times New Roman"/>
          <w:color w:val="000000"/>
          <w:sz w:val="20"/>
          <w:szCs w:val="20"/>
        </w:rPr>
        <w:t>in San Diego, California or by allowing employees to permanently work from home. A number of such competitors for talent are significantly larger than us and are able to offer compensation in excess of what we are able to offer. Further, existing immigrati</w:t>
      </w:r>
      <w:r>
        <w:rPr>
          <w:rFonts w:eastAsia="Times New Roman"/>
          <w:color w:val="000000"/>
          <w:sz w:val="20"/>
          <w:szCs w:val="20"/>
        </w:rPr>
        <w:t>on laws make it more difficult for us to recruit and retain highly skilled foreign national graduates of universities in the United States, making the pool of available talent even smaller. If we are unable to attract and retain qualified employees, our bu</w:t>
      </w:r>
      <w:r>
        <w:rPr>
          <w:rFonts w:eastAsia="Times New Roman"/>
          <w:color w:val="000000"/>
          <w:sz w:val="20"/>
          <w:szCs w:val="20"/>
        </w:rPr>
        <w:t>siness may be harmed.</w:t>
      </w:r>
    </w:p>
    <w:p w:rsidR="00000000" w:rsidRDefault="00786A01">
      <w:pPr>
        <w:divId w:val="699163724"/>
        <w:rPr>
          <w:rFonts w:eastAsia="Times New Roman"/>
        </w:rPr>
      </w:pPr>
      <w:r>
        <w:rPr>
          <w:rFonts w:eastAsia="Times New Roman"/>
          <w:b/>
          <w:bCs/>
          <w:color w:val="000000"/>
          <w:sz w:val="20"/>
          <w:szCs w:val="20"/>
        </w:rPr>
        <w:t xml:space="preserve">RISKS RELATED TO PRODUCT DEFECTS OR SECURITY VULNERABILITIES </w:t>
      </w:r>
    </w:p>
    <w:p w:rsidR="00000000" w:rsidRDefault="00786A01">
      <w:pPr>
        <w:divId w:val="1632706737"/>
        <w:rPr>
          <w:rFonts w:eastAsia="Times New Roman"/>
        </w:rPr>
      </w:pPr>
      <w:r>
        <w:rPr>
          <w:rFonts w:eastAsia="Times New Roman"/>
          <w:b/>
          <w:bCs/>
          <w:i/>
          <w:iCs/>
          <w:color w:val="000000"/>
          <w:sz w:val="20"/>
          <w:szCs w:val="20"/>
        </w:rPr>
        <w:t>Failures in our products, or in the products of our customers or licensees, including those resulting from security vulnerabilities, defects or errors, could harm our busin</w:t>
      </w:r>
      <w:r>
        <w:rPr>
          <w:rFonts w:eastAsia="Times New Roman"/>
          <w:b/>
          <w:bCs/>
          <w:i/>
          <w:iCs/>
          <w:color w:val="000000"/>
          <w:sz w:val="20"/>
          <w:szCs w:val="20"/>
        </w:rPr>
        <w:t>ess.</w:t>
      </w:r>
    </w:p>
    <w:p w:rsidR="00000000" w:rsidRDefault="00786A01">
      <w:pPr>
        <w:ind w:firstLine="360"/>
        <w:divId w:val="777260882"/>
        <w:rPr>
          <w:rFonts w:eastAsia="Times New Roman"/>
        </w:rPr>
      </w:pPr>
      <w:r>
        <w:rPr>
          <w:rFonts w:eastAsia="Times New Roman"/>
          <w:color w:val="000000"/>
          <w:sz w:val="20"/>
          <w:szCs w:val="20"/>
        </w:rPr>
        <w:t xml:space="preserve">Our products (including related software) and the technology we use (which may be developed by us or third parties, and may be designed to meet industry standards) are complex and may contain defects, errors or security vulnerabilities, or experience </w:t>
      </w:r>
      <w:r>
        <w:rPr>
          <w:rFonts w:eastAsia="Times New Roman"/>
          <w:color w:val="000000"/>
          <w:sz w:val="20"/>
          <w:szCs w:val="20"/>
        </w:rPr>
        <w:t>failures or unsatisfactory performance, due to any number of issues, including issues in materials, design, fabrication, packaging and/or use within a system. Further, because of the complexity of our products, defects, errors or security vulnerabilities m</w:t>
      </w:r>
      <w:r>
        <w:rPr>
          <w:rFonts w:eastAsia="Times New Roman"/>
          <w:color w:val="000000"/>
          <w:sz w:val="20"/>
          <w:szCs w:val="20"/>
        </w:rPr>
        <w:t>ight only be detected when the products are in use. Development of products in new domains of technology, such as the transition to 5G, and the migration to integrated circuit technologies with smaller geometric feature sizes, increases complexity and adds</w:t>
      </w:r>
      <w:r>
        <w:rPr>
          <w:rFonts w:eastAsia="Times New Roman"/>
          <w:color w:val="000000"/>
          <w:sz w:val="20"/>
          <w:szCs w:val="20"/>
        </w:rPr>
        <w:t xml:space="preserve"> risk to manufacturing yields and reliability, and increases the likelihood of product defects, errors or security vulnerabilities. Risks associated with product or technology defects, errors or security vulnerabilities are exacerbated by the fact that our</w:t>
      </w:r>
      <w:r>
        <w:rPr>
          <w:rFonts w:eastAsia="Times New Roman"/>
          <w:color w:val="000000"/>
          <w:sz w:val="20"/>
          <w:szCs w:val="20"/>
        </w:rPr>
        <w:t xml:space="preserve"> customers typically integrate our products into consumer and other devices.</w:t>
      </w:r>
    </w:p>
    <w:p w:rsidR="00000000" w:rsidRDefault="00786A01">
      <w:pPr>
        <w:ind w:firstLine="360"/>
        <w:divId w:val="1262294335"/>
        <w:rPr>
          <w:rFonts w:eastAsia="Times New Roman"/>
        </w:rPr>
      </w:pPr>
      <w:r>
        <w:rPr>
          <w:rFonts w:eastAsia="Times New Roman"/>
          <w:color w:val="000000"/>
          <w:sz w:val="20"/>
          <w:szCs w:val="20"/>
        </w:rPr>
        <w:t xml:space="preserve">The use of devices containing our products to interact with untrusted systems or otherwise access untrusted content creates a risk of exposing the system hardware and software in </w:t>
      </w:r>
      <w:r>
        <w:rPr>
          <w:rFonts w:eastAsia="Times New Roman"/>
          <w:color w:val="000000"/>
          <w:sz w:val="20"/>
          <w:szCs w:val="20"/>
        </w:rPr>
        <w:t>those devices to malicious attacks. Security vulnerabilities in our products or the technologies we use could expose our customers or end users to hackers or other unscrupulous third parties who develop and deploy viruses, worms and other malicious softwar</w:t>
      </w:r>
      <w:r>
        <w:rPr>
          <w:rFonts w:eastAsia="Times New Roman"/>
          <w:color w:val="000000"/>
          <w:sz w:val="20"/>
          <w:szCs w:val="20"/>
        </w:rPr>
        <w:t>e programs that could attack our products or those of our customers. While we continue to focus on this issue and take measures to safeguard our products from cybersecurity threats, device capabilities continue to evolve, enabling more elaborate functional</w:t>
      </w:r>
      <w:r>
        <w:rPr>
          <w:rFonts w:eastAsia="Times New Roman"/>
          <w:color w:val="000000"/>
          <w:sz w:val="20"/>
          <w:szCs w:val="20"/>
        </w:rPr>
        <w:t>ity and applications, and increasing the risk of security failures, and techniques used to perpetrate cybersecurity attacks are increasingly sophisticated and constantly evolving.</w:t>
      </w:r>
    </w:p>
    <w:p w:rsidR="00000000" w:rsidRDefault="00786A01">
      <w:pPr>
        <w:ind w:firstLine="360"/>
        <w:divId w:val="520553541"/>
        <w:rPr>
          <w:rFonts w:eastAsia="Times New Roman"/>
        </w:rPr>
      </w:pPr>
      <w:r>
        <w:rPr>
          <w:rFonts w:eastAsia="Times New Roman"/>
          <w:color w:val="000000"/>
          <w:sz w:val="20"/>
          <w:szCs w:val="20"/>
        </w:rPr>
        <w:t>Our products may be responsible for critical functions in our customers’ pro</w:t>
      </w:r>
      <w:r>
        <w:rPr>
          <w:rFonts w:eastAsia="Times New Roman"/>
          <w:color w:val="000000"/>
          <w:sz w:val="20"/>
          <w:szCs w:val="20"/>
        </w:rPr>
        <w:t>ducts and networks. Failure of our products to perform to specifications, or other product defects, errors or security vulnerabilities, could lead to substantial damage to the products we sell to our customers, the devices into which our products are integ</w:t>
      </w:r>
      <w:r>
        <w:rPr>
          <w:rFonts w:eastAsia="Times New Roman"/>
          <w:color w:val="000000"/>
          <w:sz w:val="20"/>
          <w:szCs w:val="20"/>
        </w:rPr>
        <w:t xml:space="preserve">rated and to the end users of such devices. Such defects, errors or security vulnerabilities could give rise to significant costs, including costs related to developing </w:t>
      </w:r>
    </w:p>
    <w:p w:rsidR="00000000" w:rsidRDefault="00786A01">
      <w:pPr>
        <w:jc w:val="center"/>
        <w:divId w:val="1376657805"/>
        <w:rPr>
          <w:rFonts w:eastAsia="Times New Roman"/>
        </w:rPr>
      </w:pPr>
      <w:r>
        <w:rPr>
          <w:rFonts w:eastAsia="Times New Roman"/>
          <w:color w:val="000000"/>
          <w:sz w:val="20"/>
          <w:szCs w:val="20"/>
        </w:rPr>
        <w:t>49</w:t>
      </w:r>
    </w:p>
    <w:p w:rsidR="00000000" w:rsidRDefault="00786A01">
      <w:pPr>
        <w:rPr>
          <w:rFonts w:eastAsia="Times New Roman"/>
        </w:rPr>
      </w:pPr>
      <w:r>
        <w:rPr>
          <w:rFonts w:eastAsia="Times New Roman"/>
        </w:rPr>
        <w:pict>
          <v:rect id="_x0000_i1072" style="width:0;height:1.5pt" o:hralign="center" o:hrstd="t" o:hr="t" fillcolor="#a0a0a0" stroked="f"/>
        </w:pict>
      </w:r>
    </w:p>
    <w:p w:rsidR="00000000" w:rsidRDefault="00786A01">
      <w:pPr>
        <w:divId w:val="736704854"/>
        <w:rPr>
          <w:rFonts w:eastAsia="Times New Roman"/>
        </w:rPr>
      </w:pPr>
    </w:p>
    <w:p w:rsidR="00000000" w:rsidRDefault="00786A01">
      <w:pPr>
        <w:divId w:val="1211108539"/>
        <w:rPr>
          <w:rFonts w:eastAsia="Times New Roman"/>
        </w:rPr>
      </w:pPr>
      <w:r>
        <w:rPr>
          <w:rFonts w:eastAsia="Times New Roman"/>
          <w:color w:val="000000"/>
          <w:sz w:val="20"/>
          <w:szCs w:val="20"/>
        </w:rPr>
        <w:t xml:space="preserve">solutions, recalling products, repairing or </w:t>
      </w:r>
      <w:r>
        <w:rPr>
          <w:rFonts w:eastAsia="Times New Roman"/>
          <w:color w:val="000000"/>
          <w:sz w:val="20"/>
          <w:szCs w:val="20"/>
        </w:rPr>
        <w:t>replacing defective products, writing down defective inventory, or indemnification obligations under our agreements, and could result in the loss of sales and divert the attention of our engineering personnel from our product development efforts. In additi</w:t>
      </w:r>
      <w:r>
        <w:rPr>
          <w:rFonts w:eastAsia="Times New Roman"/>
          <w:color w:val="000000"/>
          <w:sz w:val="20"/>
          <w:szCs w:val="20"/>
        </w:rPr>
        <w:t>on, defects, errors or security vulnerabilities in our products could result in failure to achieve market acceptance, a loss of design wins, a shifting of business to our competitors, and litigation or regulatory action against us, and could harm our reput</w:t>
      </w:r>
      <w:r>
        <w:rPr>
          <w:rFonts w:eastAsia="Times New Roman"/>
          <w:color w:val="000000"/>
          <w:sz w:val="20"/>
          <w:szCs w:val="20"/>
        </w:rPr>
        <w:t>ation, our relationships with customers and partners and our ability to attract new customers, as well as the perceptions of our brand. Other potential adverse impacts of product defects, errors or security vulnerabilities include shipment delays, write-of</w:t>
      </w:r>
      <w:r>
        <w:rPr>
          <w:rFonts w:eastAsia="Times New Roman"/>
          <w:color w:val="000000"/>
          <w:sz w:val="20"/>
          <w:szCs w:val="20"/>
        </w:rPr>
        <w:t xml:space="preserve">fs of property, plant and equipment and intangible assets, and losses on unfavorable purchase commitments. In addition, defects, errors or security vulnerabilities in the products of our customers or licensees could cause a delay or decrease in demand for </w:t>
      </w:r>
      <w:r>
        <w:rPr>
          <w:rFonts w:eastAsia="Times New Roman"/>
          <w:color w:val="000000"/>
          <w:sz w:val="20"/>
          <w:szCs w:val="20"/>
        </w:rPr>
        <w:t>the products into which our products are integrated, and thus for our products.</w:t>
      </w:r>
    </w:p>
    <w:p w:rsidR="00000000" w:rsidRDefault="00786A01">
      <w:pPr>
        <w:ind w:firstLine="360"/>
        <w:divId w:val="2043508651"/>
        <w:rPr>
          <w:rFonts w:eastAsia="Times New Roman"/>
        </w:rPr>
      </w:pPr>
      <w:r>
        <w:rPr>
          <w:rFonts w:eastAsia="Times New Roman"/>
          <w:color w:val="000000"/>
          <w:sz w:val="20"/>
          <w:szCs w:val="20"/>
        </w:rPr>
        <w:t>In addition, the occurrence of defects, errors or security vulnerabilities may give rise to product liability claims, particularly if such defects, errors or security vulnerabi</w:t>
      </w:r>
      <w:r>
        <w:rPr>
          <w:rFonts w:eastAsia="Times New Roman"/>
          <w:color w:val="000000"/>
          <w:sz w:val="20"/>
          <w:szCs w:val="20"/>
        </w:rPr>
        <w:t>lities in our products or the technology we use, or the products into which they are integrated, result in personal injury or death, and could result in significant costs, expenses and losses. If a product liability claim is brought against us, the cost of</w:t>
      </w:r>
      <w:r>
        <w:rPr>
          <w:rFonts w:eastAsia="Times New Roman"/>
          <w:color w:val="000000"/>
          <w:sz w:val="20"/>
          <w:szCs w:val="20"/>
        </w:rPr>
        <w:t xml:space="preserve"> defending the claim could be significant, and could divert the efforts of our technical and management personnel and harm our business, even if we are successful. We may be named in product liability claims even if there is no evidence that our products c</w:t>
      </w:r>
      <w:r>
        <w:rPr>
          <w:rFonts w:eastAsia="Times New Roman"/>
          <w:color w:val="000000"/>
          <w:sz w:val="20"/>
          <w:szCs w:val="20"/>
        </w:rPr>
        <w:t>aused the damage in question, and even though we may have indemnity from our customers, and such claims could result in significant costs and expenses. Further, our business liability insurance may be inadequate, or future coverage may be unavailable on ac</w:t>
      </w:r>
      <w:r>
        <w:rPr>
          <w:rFonts w:eastAsia="Times New Roman"/>
          <w:color w:val="000000"/>
          <w:sz w:val="20"/>
          <w:szCs w:val="20"/>
        </w:rPr>
        <w:t>ceptable terms, which could adversely impact our financial results. The above is exacerbated by the fact that our products may be used, and perform critical functions, in various high-risk applications such as automobiles, including autonomous driver assis</w:t>
      </w:r>
      <w:r>
        <w:rPr>
          <w:rFonts w:eastAsia="Times New Roman"/>
          <w:color w:val="000000"/>
          <w:sz w:val="20"/>
          <w:szCs w:val="20"/>
        </w:rPr>
        <w:t>tance programs; cameras and artificial intelligence, including home and enterprise security; home automation, including smoke and noxious gas detectors; medical condition monitoring; location and asset tracking and management, including wearables for child</w:t>
      </w:r>
      <w:r>
        <w:rPr>
          <w:rFonts w:eastAsia="Times New Roman"/>
          <w:color w:val="000000"/>
          <w:sz w:val="20"/>
          <w:szCs w:val="20"/>
        </w:rPr>
        <w:t xml:space="preserve"> safety and elderly health; robotics, including public safety drones and autonomous municipality vehicles; and extended reality (XR) for treatment of phobias or PTSD, early detection of disorders or special needs, among others.</w:t>
      </w:r>
    </w:p>
    <w:p w:rsidR="00000000" w:rsidRDefault="00786A01">
      <w:pPr>
        <w:ind w:firstLine="360"/>
        <w:divId w:val="351808821"/>
        <w:rPr>
          <w:rFonts w:eastAsia="Times New Roman"/>
        </w:rPr>
      </w:pPr>
      <w:r>
        <w:rPr>
          <w:rFonts w:eastAsia="Times New Roman"/>
          <w:color w:val="000000"/>
          <w:sz w:val="20"/>
          <w:szCs w:val="20"/>
        </w:rPr>
        <w:t>Accordingly, defects, errors</w:t>
      </w:r>
      <w:r>
        <w:rPr>
          <w:rFonts w:eastAsia="Times New Roman"/>
          <w:color w:val="000000"/>
          <w:sz w:val="20"/>
          <w:szCs w:val="20"/>
        </w:rPr>
        <w:t xml:space="preserve"> or security vulnerabilities in our products or the technologies we use could have an adverse impact on us, on our customers and the end users of our customers’ products. If any of these risks materialize, there could be a material adverse effect on our bu</w:t>
      </w:r>
      <w:r>
        <w:rPr>
          <w:rFonts w:eastAsia="Times New Roman"/>
          <w:color w:val="000000"/>
          <w:sz w:val="20"/>
          <w:szCs w:val="20"/>
        </w:rPr>
        <w:t>siness, results of operations and financial condition.</w:t>
      </w:r>
    </w:p>
    <w:p w:rsidR="00000000" w:rsidRDefault="00786A01">
      <w:pPr>
        <w:divId w:val="1373724754"/>
        <w:rPr>
          <w:rFonts w:eastAsia="Times New Roman"/>
        </w:rPr>
      </w:pPr>
      <w:r>
        <w:rPr>
          <w:rFonts w:eastAsia="Times New Roman"/>
          <w:b/>
          <w:bCs/>
          <w:color w:val="000000"/>
          <w:sz w:val="20"/>
          <w:szCs w:val="20"/>
        </w:rPr>
        <w:t xml:space="preserve">GENERAL RISK FACTORS </w:t>
      </w:r>
    </w:p>
    <w:p w:rsidR="00000000" w:rsidRDefault="00786A01">
      <w:pPr>
        <w:divId w:val="1089889890"/>
        <w:rPr>
          <w:rFonts w:eastAsia="Times New Roman"/>
        </w:rPr>
      </w:pPr>
      <w:r>
        <w:rPr>
          <w:rFonts w:eastAsia="Times New Roman"/>
          <w:b/>
          <w:bCs/>
          <w:i/>
          <w:iCs/>
          <w:color w:val="000000"/>
          <w:sz w:val="20"/>
          <w:szCs w:val="20"/>
        </w:rPr>
        <w:t>We operate in the highly cyclical semiconductor industry, which is subject to significant downturns. We are also susceptible to declines in global, regional and local economic con</w:t>
      </w:r>
      <w:r>
        <w:rPr>
          <w:rFonts w:eastAsia="Times New Roman"/>
          <w:b/>
          <w:bCs/>
          <w:i/>
          <w:iCs/>
          <w:color w:val="000000"/>
          <w:sz w:val="20"/>
          <w:szCs w:val="20"/>
        </w:rPr>
        <w:t>ditions generally. Our stock price and financial results are subject to substantial quarterly and annual fluctuations due to these dynamics, among others.</w:t>
      </w:r>
    </w:p>
    <w:p w:rsidR="00000000" w:rsidRDefault="00786A01">
      <w:pPr>
        <w:ind w:firstLine="360"/>
        <w:divId w:val="1862620901"/>
        <w:rPr>
          <w:rFonts w:eastAsia="Times New Roman"/>
        </w:rPr>
      </w:pPr>
      <w:r>
        <w:rPr>
          <w:rFonts w:eastAsia="Times New Roman"/>
          <w:color w:val="000000"/>
          <w:sz w:val="20"/>
          <w:szCs w:val="20"/>
        </w:rPr>
        <w:t>The semiconductor industry is highly cyclical, volatile, subject to downturns and characterized by co</w:t>
      </w:r>
      <w:r>
        <w:rPr>
          <w:rFonts w:eastAsia="Times New Roman"/>
          <w:color w:val="000000"/>
          <w:sz w:val="20"/>
          <w:szCs w:val="20"/>
        </w:rPr>
        <w:t>nstant and rapid technological change, price erosion, evolving technical standards, frequent new product introductions, short product life cycles and fluctuations in product supply and demand. Periods of downturns have been characterized by diminished dema</w:t>
      </w:r>
      <w:r>
        <w:rPr>
          <w:rFonts w:eastAsia="Times New Roman"/>
          <w:color w:val="000000"/>
          <w:sz w:val="20"/>
          <w:szCs w:val="20"/>
        </w:rPr>
        <w:t>nd for end-user products, high inventory levels, excess or obsolete inventory adjustments, underutilization of manufacturing capacity, changes in revenue mix and erosion of average selling prices. We expect our business to continue to be subject to such cy</w:t>
      </w:r>
      <w:r>
        <w:rPr>
          <w:rFonts w:eastAsia="Times New Roman"/>
          <w:color w:val="000000"/>
          <w:sz w:val="20"/>
          <w:szCs w:val="20"/>
        </w:rPr>
        <w:t>clical downturns. Consequently, our revenues may decline, and our results of operations and financial condition may be adversely impacted.</w:t>
      </w:r>
    </w:p>
    <w:p w:rsidR="00000000" w:rsidRDefault="00786A01">
      <w:pPr>
        <w:ind w:firstLine="360"/>
        <w:divId w:val="1090128367"/>
        <w:rPr>
          <w:rFonts w:eastAsia="Times New Roman"/>
        </w:rPr>
      </w:pPr>
      <w:r>
        <w:rPr>
          <w:rFonts w:eastAsia="Times New Roman"/>
          <w:color w:val="000000"/>
          <w:sz w:val="20"/>
          <w:szCs w:val="20"/>
        </w:rPr>
        <w:t>A decline in global, regional or local economic conditions or a slow-down in economic growth, particularly in geograp</w:t>
      </w:r>
      <w:r>
        <w:rPr>
          <w:rFonts w:eastAsia="Times New Roman"/>
          <w:color w:val="000000"/>
          <w:sz w:val="20"/>
          <w:szCs w:val="20"/>
        </w:rPr>
        <w:t xml:space="preserve">hic regions with high concentrations of wireless voice and data users or high concentrations of our customers or licensees, could have adverse, wide-ranging effects on our business and financial results, including a decrease in demand for our products and </w:t>
      </w:r>
      <w:r>
        <w:rPr>
          <w:rFonts w:eastAsia="Times New Roman"/>
          <w:color w:val="000000"/>
          <w:sz w:val="20"/>
          <w:szCs w:val="20"/>
        </w:rPr>
        <w:t>technologies; a decrease in demand for the products and services of our customers or licensees; the inability of our suppliers to deliver on their supply commitments to us, our inability to supply our products to our customers and/or the inability of our c</w:t>
      </w:r>
      <w:r>
        <w:rPr>
          <w:rFonts w:eastAsia="Times New Roman"/>
          <w:color w:val="000000"/>
          <w:sz w:val="20"/>
          <w:szCs w:val="20"/>
        </w:rPr>
        <w:t>ustomers or licensees to supply their products to end users; the insolvency of key suppliers, customers or licensees; delays in reporting or payments from our customers or licensees; failures by counterparties; and/or negative effects on wireless device in</w:t>
      </w:r>
      <w:r>
        <w:rPr>
          <w:rFonts w:eastAsia="Times New Roman"/>
          <w:color w:val="000000"/>
          <w:sz w:val="20"/>
          <w:szCs w:val="20"/>
        </w:rPr>
        <w:t>ventories. In addition, our customers’ and licensees’ ability to purchase or pay for our products and intellectual property and network operators’ ability to upgrade their wireless networks could be adversely affected, potentially leading to a reduction, c</w:t>
      </w:r>
      <w:r>
        <w:rPr>
          <w:rFonts w:eastAsia="Times New Roman"/>
          <w:color w:val="000000"/>
          <w:sz w:val="20"/>
          <w:szCs w:val="20"/>
        </w:rPr>
        <w:t>ancellation or delay of orders for our products.</w:t>
      </w:r>
    </w:p>
    <w:p w:rsidR="00000000" w:rsidRDefault="00786A01">
      <w:pPr>
        <w:ind w:firstLine="360"/>
        <w:divId w:val="368143214"/>
        <w:rPr>
          <w:rFonts w:eastAsia="Times New Roman"/>
        </w:rPr>
      </w:pPr>
      <w:r>
        <w:rPr>
          <w:rFonts w:eastAsia="Times New Roman"/>
          <w:color w:val="000000"/>
          <w:sz w:val="20"/>
          <w:szCs w:val="20"/>
        </w:rPr>
        <w:t>Our stock price and financial results have fluctuated in the past and are likely to fluctuate in the future. Factors that may have a significant impact on the market price of our stock and our financial resu</w:t>
      </w:r>
      <w:r>
        <w:rPr>
          <w:rFonts w:eastAsia="Times New Roman"/>
          <w:color w:val="000000"/>
          <w:sz w:val="20"/>
          <w:szCs w:val="20"/>
        </w:rPr>
        <w:t>lts include those identified above and throughout this Risk Factors section; volatility of the stock market in general and technology and semiconductor companies in particular; announcements concerning us, our suppliers, our competitors or our customers or</w:t>
      </w:r>
      <w:r>
        <w:rPr>
          <w:rFonts w:eastAsia="Times New Roman"/>
          <w:color w:val="000000"/>
          <w:sz w:val="20"/>
          <w:szCs w:val="20"/>
        </w:rPr>
        <w:t xml:space="preserve"> licensees; and variations between our actual financial results or guidance and expectations of securities analysts or investors, among others. In the past, </w:t>
      </w:r>
    </w:p>
    <w:p w:rsidR="00000000" w:rsidRDefault="00786A01">
      <w:pPr>
        <w:jc w:val="center"/>
        <w:divId w:val="346252765"/>
        <w:rPr>
          <w:rFonts w:eastAsia="Times New Roman"/>
        </w:rPr>
      </w:pPr>
      <w:r>
        <w:rPr>
          <w:rFonts w:eastAsia="Times New Roman"/>
          <w:color w:val="000000"/>
          <w:sz w:val="20"/>
          <w:szCs w:val="20"/>
        </w:rPr>
        <w:t>50</w:t>
      </w:r>
    </w:p>
    <w:p w:rsidR="00000000" w:rsidRDefault="00786A01">
      <w:pPr>
        <w:rPr>
          <w:rFonts w:eastAsia="Times New Roman"/>
        </w:rPr>
      </w:pPr>
      <w:r>
        <w:rPr>
          <w:rFonts w:eastAsia="Times New Roman"/>
        </w:rPr>
        <w:pict>
          <v:rect id="_x0000_i1073" style="width:0;height:1.5pt" o:hralign="center" o:hrstd="t" o:hr="t" fillcolor="#a0a0a0" stroked="f"/>
        </w:pict>
      </w:r>
    </w:p>
    <w:p w:rsidR="00000000" w:rsidRDefault="00786A01">
      <w:pPr>
        <w:divId w:val="816262541"/>
        <w:rPr>
          <w:rFonts w:eastAsia="Times New Roman"/>
        </w:rPr>
      </w:pPr>
    </w:p>
    <w:p w:rsidR="00000000" w:rsidRDefault="00786A01">
      <w:pPr>
        <w:divId w:val="1426420746"/>
        <w:rPr>
          <w:rFonts w:eastAsia="Times New Roman"/>
        </w:rPr>
      </w:pPr>
      <w:r>
        <w:rPr>
          <w:rFonts w:eastAsia="Times New Roman"/>
          <w:color w:val="000000"/>
          <w:sz w:val="20"/>
          <w:szCs w:val="20"/>
        </w:rPr>
        <w:t>securities class action litigation has been brought agai</w:t>
      </w:r>
      <w:r>
        <w:rPr>
          <w:rFonts w:eastAsia="Times New Roman"/>
          <w:color w:val="000000"/>
          <w:sz w:val="20"/>
          <w:szCs w:val="20"/>
        </w:rPr>
        <w:t>nst companies following periods of volatility in the market price of their securities, among other reasons. We are and may in the future be the target of securities litigation. Securities litigation could result in substantial uninsured costs and divert ma</w:t>
      </w:r>
      <w:r>
        <w:rPr>
          <w:rFonts w:eastAsia="Times New Roman"/>
          <w:color w:val="000000"/>
          <w:sz w:val="20"/>
          <w:szCs w:val="20"/>
        </w:rPr>
        <w:t>nagement’s attention and our resources. Certain legal matters, including certain securities litigation brought against us, are described more fully in this Quarterly Report in “Notes to Condensed Consolidated Financial Statements, Note 5. Commitments and C</w:t>
      </w:r>
      <w:r>
        <w:rPr>
          <w:rFonts w:eastAsia="Times New Roman"/>
          <w:color w:val="000000"/>
          <w:sz w:val="20"/>
          <w:szCs w:val="20"/>
        </w:rPr>
        <w:t>ontingencies.”</w:t>
      </w:r>
    </w:p>
    <w:p w:rsidR="00000000" w:rsidRDefault="00786A01">
      <w:pPr>
        <w:divId w:val="1446001192"/>
        <w:rPr>
          <w:rFonts w:eastAsia="Times New Roman"/>
        </w:rPr>
      </w:pPr>
      <w:r>
        <w:rPr>
          <w:rFonts w:eastAsia="Times New Roman"/>
          <w:b/>
          <w:bCs/>
          <w:i/>
          <w:iCs/>
          <w:color w:val="000000"/>
          <w:sz w:val="20"/>
          <w:szCs w:val="20"/>
        </w:rPr>
        <w:t>Our business may suffer due to the impact of, or our failure to comply with, the various existing, new or amended laws, regulations, policies or standards to which we are subject.</w:t>
      </w:r>
    </w:p>
    <w:p w:rsidR="00000000" w:rsidRDefault="00786A01">
      <w:pPr>
        <w:ind w:firstLine="360"/>
        <w:divId w:val="911352286"/>
        <w:rPr>
          <w:rFonts w:eastAsia="Times New Roman"/>
        </w:rPr>
      </w:pPr>
      <w:r>
        <w:rPr>
          <w:rFonts w:eastAsia="Times New Roman"/>
          <w:color w:val="000000"/>
          <w:sz w:val="20"/>
          <w:szCs w:val="20"/>
        </w:rPr>
        <w:t>Our business and products, and those of our customers and lic</w:t>
      </w:r>
      <w:r>
        <w:rPr>
          <w:rFonts w:eastAsia="Times New Roman"/>
          <w:color w:val="000000"/>
          <w:sz w:val="20"/>
          <w:szCs w:val="20"/>
        </w:rPr>
        <w:t>ensees, are subject to various laws, rules and regulations globally as well as government policies and the specifications of international, national and regional communications standards bodies (collectively, Regulations). Compliance with, or changes in th</w:t>
      </w:r>
      <w:r>
        <w:rPr>
          <w:rFonts w:eastAsia="Times New Roman"/>
          <w:color w:val="000000"/>
          <w:sz w:val="20"/>
          <w:szCs w:val="20"/>
        </w:rPr>
        <w:t>e interpretation of, existing Regulations, changes in the oversight of our activities by governments or standards bodies, or rulings in court, regulatory, administrative or other proceedings relating to such Regulations, including, among others, Regulation</w:t>
      </w:r>
      <w:r>
        <w:rPr>
          <w:rFonts w:eastAsia="Times New Roman"/>
          <w:color w:val="000000"/>
          <w:sz w:val="20"/>
          <w:szCs w:val="20"/>
        </w:rPr>
        <w:t>s affecting patent licensing practices; antitrust, competition and competitive business practices; the flow of funds out of certain countries (e.g., China); cybersecurity; import and export regulations such as the U.S. Export Administration Regulations adm</w:t>
      </w:r>
      <w:r>
        <w:rPr>
          <w:rFonts w:eastAsia="Times New Roman"/>
          <w:color w:val="000000"/>
          <w:sz w:val="20"/>
          <w:szCs w:val="20"/>
        </w:rPr>
        <w:t>inistered by the U.S. Department of Commerce; protection of intellectual property; trade and trade protection including tariffs; foreign policy and national security; environmental protection, health and safety; supply chain, responsible sourcing, includin</w:t>
      </w:r>
      <w:r>
        <w:rPr>
          <w:rFonts w:eastAsia="Times New Roman"/>
          <w:color w:val="000000"/>
          <w:sz w:val="20"/>
          <w:szCs w:val="20"/>
        </w:rPr>
        <w:t>g the use of conflict minerals, and human rights; spectrum availability and license issuance; adoption of standards; taxation; privacy and data protection; labor, employment and human capital; corporate governance; public disclosure; or business conduct, c</w:t>
      </w:r>
      <w:r>
        <w:rPr>
          <w:rFonts w:eastAsia="Times New Roman"/>
          <w:color w:val="000000"/>
          <w:sz w:val="20"/>
          <w:szCs w:val="20"/>
        </w:rPr>
        <w:t>ould have an adverse effect on our business and results of operations.</w:t>
      </w:r>
      <w:r>
        <w:rPr>
          <w:rFonts w:eastAsia="Times New Roman"/>
          <w:i/>
          <w:iCs/>
          <w:color w:val="000000"/>
          <w:sz w:val="20"/>
          <w:szCs w:val="20"/>
        </w:rPr>
        <w:t xml:space="preserve"> </w:t>
      </w:r>
      <w:r>
        <w:rPr>
          <w:rFonts w:eastAsia="Times New Roman"/>
          <w:color w:val="000000"/>
          <w:sz w:val="20"/>
          <w:szCs w:val="20"/>
        </w:rPr>
        <w:t>See also the Risk Factors titled “</w:t>
      </w:r>
      <w:r>
        <w:rPr>
          <w:rFonts w:eastAsia="Times New Roman"/>
          <w:i/>
          <w:iCs/>
          <w:color w:val="000000"/>
          <w:sz w:val="20"/>
          <w:szCs w:val="20"/>
        </w:rPr>
        <w:t>Our business may suffer as a result of adverse rulings in government investigations or proceedings,</w:t>
      </w:r>
      <w:r>
        <w:rPr>
          <w:rFonts w:eastAsia="Times New Roman"/>
          <w:color w:val="000000"/>
          <w:sz w:val="20"/>
          <w:szCs w:val="20"/>
        </w:rPr>
        <w:t>” “</w:t>
      </w:r>
      <w:r>
        <w:rPr>
          <w:rFonts w:eastAsia="Times New Roman"/>
          <w:i/>
          <w:iCs/>
          <w:color w:val="000000"/>
          <w:sz w:val="20"/>
          <w:szCs w:val="20"/>
        </w:rPr>
        <w:t>Changes in our patent licensing practices, whethe</w:t>
      </w:r>
      <w:r>
        <w:rPr>
          <w:rFonts w:eastAsia="Times New Roman"/>
          <w:i/>
          <w:iCs/>
          <w:color w:val="000000"/>
          <w:sz w:val="20"/>
          <w:szCs w:val="20"/>
        </w:rPr>
        <w:t>r due to governmental investigations or private legal proceedings challenging those practices, or otherwise, could adversely impact our business and results of operations,</w:t>
      </w:r>
      <w:r>
        <w:rPr>
          <w:rFonts w:eastAsia="Times New Roman"/>
          <w:color w:val="000000"/>
          <w:sz w:val="20"/>
          <w:szCs w:val="20"/>
        </w:rPr>
        <w:t>” “</w:t>
      </w:r>
      <w:r>
        <w:rPr>
          <w:rFonts w:eastAsia="Times New Roman"/>
          <w:i/>
          <w:iCs/>
          <w:color w:val="000000"/>
          <w:sz w:val="20"/>
          <w:szCs w:val="20"/>
        </w:rPr>
        <w:t>A significant portion of our business is concentrated in China, and the risks of s</w:t>
      </w:r>
      <w:r>
        <w:rPr>
          <w:rFonts w:eastAsia="Times New Roman"/>
          <w:i/>
          <w:iCs/>
          <w:color w:val="000000"/>
          <w:sz w:val="20"/>
          <w:szCs w:val="20"/>
        </w:rPr>
        <w:t>uch concentration are exacerbated by U.S./China trade and national security tensions,</w:t>
      </w:r>
      <w:r>
        <w:rPr>
          <w:rFonts w:eastAsia="Times New Roman"/>
          <w:color w:val="000000"/>
          <w:sz w:val="20"/>
          <w:szCs w:val="20"/>
        </w:rPr>
        <w:t>” “</w:t>
      </w:r>
      <w:r>
        <w:rPr>
          <w:rFonts w:eastAsia="Times New Roman"/>
          <w:i/>
          <w:iCs/>
          <w:color w:val="000000"/>
          <w:sz w:val="20"/>
          <w:szCs w:val="20"/>
        </w:rPr>
        <w:t>There are numerous risks associated with the operation and control of our manufacturing facilities, including a higher portion of fixed costs relative to a fabless model, environmental compliance and liability, issues related to climate change, exposure to</w:t>
      </w:r>
      <w:r>
        <w:rPr>
          <w:rFonts w:eastAsia="Times New Roman"/>
          <w:i/>
          <w:iCs/>
          <w:color w:val="000000"/>
          <w:sz w:val="20"/>
          <w:szCs w:val="20"/>
        </w:rPr>
        <w:t xml:space="preserve"> natural disasters, timely supply of equipment and materials, and various manufacturing issues,</w:t>
      </w:r>
      <w:r>
        <w:rPr>
          <w:rFonts w:eastAsia="Times New Roman"/>
          <w:color w:val="000000"/>
          <w:sz w:val="20"/>
          <w:szCs w:val="20"/>
        </w:rPr>
        <w:t>” and “</w:t>
      </w:r>
      <w:r>
        <w:rPr>
          <w:rFonts w:eastAsia="Times New Roman"/>
          <w:i/>
          <w:iCs/>
          <w:color w:val="000000"/>
          <w:sz w:val="20"/>
          <w:szCs w:val="20"/>
        </w:rPr>
        <w:t>Tax liabilities could adversely affect our results of operations.</w:t>
      </w:r>
      <w:r>
        <w:rPr>
          <w:rFonts w:eastAsia="Times New Roman"/>
          <w:color w:val="000000"/>
          <w:sz w:val="20"/>
          <w:szCs w:val="20"/>
        </w:rPr>
        <w:t>”</w:t>
      </w:r>
    </w:p>
    <w:p w:rsidR="00000000" w:rsidRDefault="00786A01">
      <w:pPr>
        <w:ind w:firstLine="360"/>
        <w:divId w:val="1607157968"/>
        <w:rPr>
          <w:rFonts w:eastAsia="Times New Roman"/>
        </w:rPr>
      </w:pPr>
      <w:r>
        <w:rPr>
          <w:rFonts w:eastAsia="Times New Roman"/>
          <w:color w:val="000000"/>
          <w:sz w:val="20"/>
          <w:szCs w:val="20"/>
        </w:rPr>
        <w:t>Regulations are complex and changing (which may create uncertainty regarding compliance), are subject to varying interpretations, and their application in practice may evolve over time. As a result, our efforts to comply with Regulations may fail, particul</w:t>
      </w:r>
      <w:r>
        <w:rPr>
          <w:rFonts w:eastAsia="Times New Roman"/>
          <w:color w:val="000000"/>
          <w:sz w:val="20"/>
          <w:szCs w:val="20"/>
        </w:rPr>
        <w:t>arly if there is ambiguity as to how they should be applied in practice. Failure to comply with any Regulation may adversely affect our business, results of operations and cash flows. New Regulations or evolving interpretations thereof, may cause us to inc</w:t>
      </w:r>
      <w:r>
        <w:rPr>
          <w:rFonts w:eastAsia="Times New Roman"/>
          <w:color w:val="000000"/>
          <w:sz w:val="20"/>
          <w:szCs w:val="20"/>
        </w:rPr>
        <w:t>ur higher costs as we revise current practices, policies or procedures and may divert management time and attention to compliance activities.</w:t>
      </w:r>
    </w:p>
    <w:p w:rsidR="00000000" w:rsidRDefault="00786A01">
      <w:pPr>
        <w:divId w:val="1961566098"/>
        <w:rPr>
          <w:rFonts w:eastAsia="Times New Roman"/>
        </w:rPr>
      </w:pPr>
      <w:r>
        <w:rPr>
          <w:rFonts w:eastAsia="Times New Roman"/>
          <w:b/>
          <w:bCs/>
          <w:i/>
          <w:iCs/>
          <w:color w:val="000000"/>
          <w:sz w:val="20"/>
          <w:szCs w:val="20"/>
        </w:rPr>
        <w:t>There are risks associated with our debt.</w:t>
      </w:r>
    </w:p>
    <w:p w:rsidR="00000000" w:rsidRDefault="00786A01">
      <w:pPr>
        <w:ind w:firstLine="360"/>
        <w:divId w:val="1142191316"/>
        <w:rPr>
          <w:rFonts w:eastAsia="Times New Roman"/>
        </w:rPr>
      </w:pPr>
      <w:r>
        <w:rPr>
          <w:rFonts w:eastAsia="Times New Roman"/>
          <w:color w:val="000000"/>
          <w:sz w:val="20"/>
          <w:szCs w:val="20"/>
        </w:rPr>
        <w:t xml:space="preserve">Our outstanding debt and any additional debt we incur may have negative </w:t>
      </w:r>
      <w:r>
        <w:rPr>
          <w:rFonts w:eastAsia="Times New Roman"/>
          <w:color w:val="000000"/>
          <w:sz w:val="20"/>
          <w:szCs w:val="20"/>
        </w:rPr>
        <w:t>consequences on our business, including, among others: requiring us to use cash to pay the principal of and interest on our debt, thereby reducing the amount of cash available for other purposes; limiting our ability to obtain additional financing for work</w:t>
      </w:r>
      <w:r>
        <w:rPr>
          <w:rFonts w:eastAsia="Times New Roman"/>
          <w:color w:val="000000"/>
          <w:sz w:val="20"/>
          <w:szCs w:val="20"/>
        </w:rPr>
        <w:t>ing capital, capital expenditures, acquisitions, stock repurchases, dividends, general corporate or other purposes; and limiting our flexibility in planning for, or reacting to, changes in our business, industries or the market. Our ability to make payment</w:t>
      </w:r>
      <w:r>
        <w:rPr>
          <w:rFonts w:eastAsia="Times New Roman"/>
          <w:color w:val="000000"/>
          <w:sz w:val="20"/>
          <w:szCs w:val="20"/>
        </w:rPr>
        <w:t>s of principal and interest on our indebtedness depends upon our future performance, which is subject to economic and political conditions, industry cycles and financial, business and other factors, many of which are beyond our control. If we are unable to</w:t>
      </w:r>
      <w:r>
        <w:rPr>
          <w:rFonts w:eastAsia="Times New Roman"/>
          <w:color w:val="000000"/>
          <w:sz w:val="20"/>
          <w:szCs w:val="20"/>
        </w:rPr>
        <w:t xml:space="preserve"> generate sufficient cash flow from operations to service our debt, we may be required to, among other things: refinance or restructure all or a portion of our debt; reduce or delay planned capital or operating expenditures; reduce, suspend or eliminate ou</w:t>
      </w:r>
      <w:r>
        <w:rPr>
          <w:rFonts w:eastAsia="Times New Roman"/>
          <w:color w:val="000000"/>
          <w:sz w:val="20"/>
          <w:szCs w:val="20"/>
        </w:rPr>
        <w:t>r dividend payments and/or our stock repurchase program; or sell selected assets. Such measures might not be sufficient to enable us to service our debt. In addition, any such refinancing, restructuring or sale of assets might not be available on economica</w:t>
      </w:r>
      <w:r>
        <w:rPr>
          <w:rFonts w:eastAsia="Times New Roman"/>
          <w:color w:val="000000"/>
          <w:sz w:val="20"/>
          <w:szCs w:val="20"/>
        </w:rPr>
        <w:t>lly favorable terms or at all, and if prevailing interest rates at the time of any such refinancing or restructuring are higher than our current rates, interest expense related to such refinancing or restructuring would increase. Further, if there are adve</w:t>
      </w:r>
      <w:r>
        <w:rPr>
          <w:rFonts w:eastAsia="Times New Roman"/>
          <w:color w:val="000000"/>
          <w:sz w:val="20"/>
          <w:szCs w:val="20"/>
        </w:rPr>
        <w:t>rse changes in the ratings assigned to our debt securities by credit rating agencies, our borrowing costs, our ability to access debt financing in the future and the terms of such debt could be adversely affected.</w:t>
      </w:r>
    </w:p>
    <w:p w:rsidR="00000000" w:rsidRDefault="00786A01">
      <w:pPr>
        <w:divId w:val="411970812"/>
        <w:rPr>
          <w:rFonts w:eastAsia="Times New Roman"/>
        </w:rPr>
      </w:pPr>
      <w:r>
        <w:rPr>
          <w:rFonts w:eastAsia="Times New Roman"/>
          <w:b/>
          <w:bCs/>
          <w:i/>
          <w:iCs/>
          <w:color w:val="000000"/>
          <w:sz w:val="20"/>
          <w:szCs w:val="20"/>
        </w:rPr>
        <w:t>Tax liabilities could adversely affect our</w:t>
      </w:r>
      <w:r>
        <w:rPr>
          <w:rFonts w:eastAsia="Times New Roman"/>
          <w:b/>
          <w:bCs/>
          <w:i/>
          <w:iCs/>
          <w:color w:val="000000"/>
          <w:sz w:val="20"/>
          <w:szCs w:val="20"/>
        </w:rPr>
        <w:t xml:space="preserve"> results of operations.</w:t>
      </w:r>
    </w:p>
    <w:p w:rsidR="00000000" w:rsidRDefault="00786A01">
      <w:pPr>
        <w:ind w:firstLine="360"/>
        <w:divId w:val="1161039108"/>
        <w:rPr>
          <w:rFonts w:eastAsia="Times New Roman"/>
        </w:rPr>
      </w:pPr>
      <w:r>
        <w:rPr>
          <w:rFonts w:eastAsia="Times New Roman"/>
          <w:color w:val="000000"/>
          <w:sz w:val="20"/>
          <w:szCs w:val="20"/>
        </w:rPr>
        <w:t>We are subject to income taxes in the United States and numerous foreign jurisdictions. Significant judgment is required in determining our provision for income taxes. We regularly are subject to examination of our tax returns and r</w:t>
      </w:r>
      <w:r>
        <w:rPr>
          <w:rFonts w:eastAsia="Times New Roman"/>
          <w:color w:val="000000"/>
          <w:sz w:val="20"/>
          <w:szCs w:val="20"/>
        </w:rPr>
        <w:t xml:space="preserve">eports by taxing authorities in the United States federal jurisdiction and various state and foreign jurisdictions, most notably in </w:t>
      </w:r>
    </w:p>
    <w:p w:rsidR="00000000" w:rsidRDefault="00786A01">
      <w:pPr>
        <w:jc w:val="center"/>
        <w:divId w:val="1528912135"/>
        <w:rPr>
          <w:rFonts w:eastAsia="Times New Roman"/>
        </w:rPr>
      </w:pPr>
      <w:r>
        <w:rPr>
          <w:rFonts w:eastAsia="Times New Roman"/>
          <w:color w:val="000000"/>
          <w:sz w:val="20"/>
          <w:szCs w:val="20"/>
        </w:rPr>
        <w:t>51</w:t>
      </w:r>
    </w:p>
    <w:p w:rsidR="00000000" w:rsidRDefault="00786A01">
      <w:pPr>
        <w:rPr>
          <w:rFonts w:eastAsia="Times New Roman"/>
        </w:rPr>
      </w:pPr>
      <w:r>
        <w:rPr>
          <w:rFonts w:eastAsia="Times New Roman"/>
        </w:rPr>
        <w:pict>
          <v:rect id="_x0000_i1074" style="width:0;height:1.5pt" o:hralign="center" o:hrstd="t" o:hr="t" fillcolor="#a0a0a0" stroked="f"/>
        </w:pict>
      </w:r>
    </w:p>
    <w:p w:rsidR="00000000" w:rsidRDefault="00786A01">
      <w:pPr>
        <w:divId w:val="2051567355"/>
        <w:rPr>
          <w:rFonts w:eastAsia="Times New Roman"/>
        </w:rPr>
      </w:pPr>
    </w:p>
    <w:p w:rsidR="00000000" w:rsidRDefault="00786A01">
      <w:pPr>
        <w:divId w:val="630132236"/>
        <w:rPr>
          <w:rFonts w:eastAsia="Times New Roman"/>
        </w:rPr>
      </w:pPr>
      <w:r>
        <w:rPr>
          <w:rFonts w:eastAsia="Times New Roman"/>
          <w:color w:val="000000"/>
          <w:sz w:val="20"/>
          <w:szCs w:val="20"/>
        </w:rPr>
        <w:t>countries where we earn a routine return and the tax authorities believe substanti</w:t>
      </w:r>
      <w:r>
        <w:rPr>
          <w:rFonts w:eastAsia="Times New Roman"/>
          <w:color w:val="000000"/>
          <w:sz w:val="20"/>
          <w:szCs w:val="20"/>
        </w:rPr>
        <w:t xml:space="preserve">al value-add activities are performed, as well as countries where we own intellectual property. Although we believe that our tax estimates are reasonable, the final determination of tax audits and any related legal proceedings could materially differ from </w:t>
      </w:r>
      <w:r>
        <w:rPr>
          <w:rFonts w:eastAsia="Times New Roman"/>
          <w:color w:val="000000"/>
          <w:sz w:val="20"/>
          <w:szCs w:val="20"/>
        </w:rPr>
        <w:t>amounts reflected in our income tax provisions and accruals. In such case, our income tax provision, results of operations and cash flows in the period or periods in which that determination is made could be negatively affected.</w:t>
      </w:r>
    </w:p>
    <w:p w:rsidR="00000000" w:rsidRDefault="00786A01">
      <w:pPr>
        <w:ind w:firstLine="360"/>
        <w:divId w:val="1904214116"/>
        <w:rPr>
          <w:rFonts w:eastAsia="Times New Roman"/>
        </w:rPr>
      </w:pPr>
      <w:r>
        <w:rPr>
          <w:rFonts w:eastAsia="Times New Roman"/>
          <w:color w:val="000000"/>
          <w:sz w:val="20"/>
          <w:szCs w:val="20"/>
        </w:rPr>
        <w:t>Tax rules may change in a m</w:t>
      </w:r>
      <w:r>
        <w:rPr>
          <w:rFonts w:eastAsia="Times New Roman"/>
          <w:color w:val="000000"/>
          <w:sz w:val="20"/>
          <w:szCs w:val="20"/>
        </w:rPr>
        <w:t>anner that adversely affects our future reported results of operations or the way we conduct our business. In response to the 2017 Tax Cuts and Jobs Act and to better align our profits with our activities, we implemented certain restructuring in fiscal 201</w:t>
      </w:r>
      <w:r>
        <w:rPr>
          <w:rFonts w:eastAsia="Times New Roman"/>
          <w:color w:val="000000"/>
          <w:sz w:val="20"/>
          <w:szCs w:val="20"/>
        </w:rPr>
        <w:t xml:space="preserve">8 and 2019. After our restructuring, most of our income is taxable in the United States with a significant portion qualifying for preferential treatment as FDII (foreign-derived intangible income). Beginning in fiscal 2027, the effective tax rate for FDII </w:t>
      </w:r>
      <w:r>
        <w:rPr>
          <w:rFonts w:eastAsia="Times New Roman"/>
          <w:color w:val="000000"/>
          <w:sz w:val="20"/>
          <w:szCs w:val="20"/>
        </w:rPr>
        <w:t>increases from 13% to 16%. Further, if U.S. tax rates increase and/or the FDII deduction is eliminated or reduced, both of which have been proposed by the current U.S. presidential administration and Congress, our provision for income taxes, results of ope</w:t>
      </w:r>
      <w:r>
        <w:rPr>
          <w:rFonts w:eastAsia="Times New Roman"/>
          <w:color w:val="000000"/>
          <w:sz w:val="20"/>
          <w:szCs w:val="20"/>
        </w:rPr>
        <w:t xml:space="preserve">rations and cash flows would be adversely (potentially materially) affected. Also, if our customers move manufacturing operations to the United States, our FDII deduction may be reduced. </w:t>
      </w:r>
    </w:p>
    <w:p w:rsidR="00000000" w:rsidRDefault="00786A01">
      <w:pPr>
        <w:ind w:firstLine="360"/>
        <w:divId w:val="176773662"/>
        <w:rPr>
          <w:rFonts w:eastAsia="Times New Roman"/>
        </w:rPr>
      </w:pPr>
      <w:r>
        <w:rPr>
          <w:rFonts w:eastAsia="Times New Roman"/>
          <w:color w:val="000000"/>
          <w:sz w:val="20"/>
          <w:szCs w:val="20"/>
        </w:rPr>
        <w:t>We have tax incentives in Singapore that require we meet specified e</w:t>
      </w:r>
      <w:r>
        <w:rPr>
          <w:rFonts w:eastAsia="Times New Roman"/>
          <w:color w:val="000000"/>
          <w:sz w:val="20"/>
          <w:szCs w:val="20"/>
        </w:rPr>
        <w:t>mployment and other criteria. Although our profit in Singapore has declined as a result of our 2018 restructuring, failure to meet these incentive requirements through March 2022 could result in a retroactive Singapore tax increase for 2017 and 2018.</w:t>
      </w:r>
    </w:p>
    <w:p w:rsidR="00000000" w:rsidRDefault="00786A01">
      <w:pPr>
        <w:ind w:firstLine="360"/>
        <w:divId w:val="1098714098"/>
        <w:rPr>
          <w:rFonts w:eastAsia="Times New Roman"/>
        </w:rPr>
      </w:pPr>
      <w:r>
        <w:rPr>
          <w:rFonts w:eastAsia="Times New Roman"/>
          <w:color w:val="000000"/>
          <w:sz w:val="20"/>
          <w:szCs w:val="20"/>
        </w:rPr>
        <w:t>Furth</w:t>
      </w:r>
      <w:r>
        <w:rPr>
          <w:rFonts w:eastAsia="Times New Roman"/>
          <w:color w:val="000000"/>
          <w:sz w:val="20"/>
          <w:szCs w:val="20"/>
        </w:rPr>
        <w:t>er changes in the tax laws of foreign jurisdictions could arise as a result of the base erosion and profit shifting (BEPS) project that was undertaken by the Organization for Economic Co-operation and Development (OECD). The OECD, which represents a coalit</w:t>
      </w:r>
      <w:r>
        <w:rPr>
          <w:rFonts w:eastAsia="Times New Roman"/>
          <w:color w:val="000000"/>
          <w:sz w:val="20"/>
          <w:szCs w:val="20"/>
        </w:rPr>
        <w:t xml:space="preserve">ion of member countries, recommended changes to numerous long-standing tax principles related to transfer pricing and continues to develop new proposals including allocating greater taxing rights to countries where customers are located and establishing a </w:t>
      </w:r>
      <w:r>
        <w:rPr>
          <w:rFonts w:eastAsia="Times New Roman"/>
          <w:color w:val="000000"/>
          <w:sz w:val="20"/>
          <w:szCs w:val="20"/>
        </w:rPr>
        <w:t>minimum tax on global income. These changes, as adopted by countries, may increase tax uncertainty and may adversely affect our provision for income taxes, results of operations and cash flows. Partially to address BEPS, we moved certain intellectual prope</w:t>
      </w:r>
      <w:r>
        <w:rPr>
          <w:rFonts w:eastAsia="Times New Roman"/>
          <w:color w:val="000000"/>
          <w:sz w:val="20"/>
          <w:szCs w:val="20"/>
        </w:rPr>
        <w:t xml:space="preserve">rty from Singapore to the United States as part of our 2018 and 2019 restructuring. </w:t>
      </w:r>
    </w:p>
    <w:p w:rsidR="00000000" w:rsidRDefault="00786A01">
      <w:pPr>
        <w:divId w:val="1008403709"/>
        <w:rPr>
          <w:rFonts w:eastAsia="Times New Roman"/>
        </w:rPr>
      </w:pPr>
      <w:r>
        <w:rPr>
          <w:rFonts w:eastAsia="Times New Roman"/>
          <w:b/>
          <w:bCs/>
          <w:color w:val="000000"/>
          <w:sz w:val="20"/>
          <w:szCs w:val="20"/>
        </w:rPr>
        <w:t>ITEM 3. QUANTITATIVE AND QUALITATIVE DISCLOSURES ABOUT MARKET RISK</w:t>
      </w:r>
    </w:p>
    <w:p w:rsidR="00000000" w:rsidRDefault="00786A01">
      <w:pPr>
        <w:ind w:firstLine="360"/>
        <w:divId w:val="1852139585"/>
        <w:rPr>
          <w:rFonts w:eastAsia="Times New Roman"/>
        </w:rPr>
      </w:pPr>
      <w:r>
        <w:rPr>
          <w:rFonts w:eastAsia="Times New Roman"/>
          <w:color w:val="000000"/>
          <w:sz w:val="20"/>
          <w:szCs w:val="20"/>
        </w:rPr>
        <w:t xml:space="preserve">Financial market risks related to interest rates, foreign currency exchange rates and equity prices are </w:t>
      </w:r>
      <w:r>
        <w:rPr>
          <w:rFonts w:eastAsia="Times New Roman"/>
          <w:color w:val="000000"/>
          <w:sz w:val="20"/>
          <w:szCs w:val="20"/>
        </w:rPr>
        <w:t>described in our 2020 Annual Report on Form 10-K. At March 28, 2021, the recorded value of our marketable equity securities was $336 million, which primarily consisted of holdings in certain Chinese companies that we may be required to divest by November 1</w:t>
      </w:r>
      <w:r>
        <w:rPr>
          <w:rFonts w:eastAsia="Times New Roman"/>
          <w:color w:val="000000"/>
          <w:sz w:val="20"/>
          <w:szCs w:val="20"/>
        </w:rPr>
        <w:t>1, 2021 as a result of regulations in the U.S., which are subject to pending litigation between one of the Chinese companies and the U.S. government. As a result, the price and/or volatility of such investments may be affected in the future. At March 28, 2</w:t>
      </w:r>
      <w:r>
        <w:rPr>
          <w:rFonts w:eastAsia="Times New Roman"/>
          <w:color w:val="000000"/>
          <w:sz w:val="20"/>
          <w:szCs w:val="20"/>
        </w:rPr>
        <w:t xml:space="preserve">021, there have been no other material changes to the financial market risks described at September 27, 2020. We do not currently anticipate any other near-term changes in the nature of our financial market risk exposures or in management’s objectives and </w:t>
      </w:r>
      <w:r>
        <w:rPr>
          <w:rFonts w:eastAsia="Times New Roman"/>
          <w:color w:val="000000"/>
          <w:sz w:val="20"/>
          <w:szCs w:val="20"/>
        </w:rPr>
        <w:t>strategies wi</w:t>
      </w:r>
      <w:r>
        <w:rPr>
          <w:rFonts w:eastAsia="Times New Roman"/>
          <w:color w:val="000000"/>
          <w:sz w:val="20"/>
          <w:szCs w:val="20"/>
          <w:shd w:val="clear" w:color="auto" w:fill="FFFFFF"/>
        </w:rPr>
        <w:t>th respect to managing such exposures.</w:t>
      </w:r>
    </w:p>
    <w:p w:rsidR="00000000" w:rsidRDefault="00786A01">
      <w:pPr>
        <w:divId w:val="430664921"/>
        <w:rPr>
          <w:rFonts w:eastAsia="Times New Roman"/>
        </w:rPr>
      </w:pPr>
      <w:r>
        <w:rPr>
          <w:rFonts w:eastAsia="Times New Roman"/>
          <w:b/>
          <w:bCs/>
          <w:color w:val="000000"/>
          <w:sz w:val="20"/>
          <w:szCs w:val="20"/>
        </w:rPr>
        <w:t>ITEM 4. CONTROLS AND PROCEDURES</w:t>
      </w:r>
    </w:p>
    <w:p w:rsidR="00000000" w:rsidRDefault="00786A01">
      <w:pPr>
        <w:ind w:firstLine="360"/>
        <w:divId w:val="1593198432"/>
        <w:rPr>
          <w:rFonts w:eastAsia="Times New Roman"/>
        </w:rPr>
      </w:pPr>
      <w:r>
        <w:rPr>
          <w:rFonts w:eastAsia="Times New Roman"/>
          <w:b/>
          <w:bCs/>
          <w:i/>
          <w:iCs/>
          <w:color w:val="000000"/>
          <w:sz w:val="20"/>
          <w:szCs w:val="20"/>
        </w:rPr>
        <w:t>Evaluation of Disclosure Controls and Procedures.</w:t>
      </w:r>
      <w:r>
        <w:rPr>
          <w:rFonts w:eastAsia="Times New Roman"/>
          <w:color w:val="000000"/>
          <w:sz w:val="20"/>
          <w:szCs w:val="20"/>
        </w:rPr>
        <w:t xml:space="preserve"> Under the supervision and with the participation of our management, including our principal executive officer and principa</w:t>
      </w:r>
      <w:r>
        <w:rPr>
          <w:rFonts w:eastAsia="Times New Roman"/>
          <w:color w:val="000000"/>
          <w:sz w:val="20"/>
          <w:szCs w:val="20"/>
        </w:rPr>
        <w:t>l financial officer, we conducted an evaluation of our disclosure controls and procedures, as such terms are defined under Rule 13a-15(e) promulgated under the Securities Exchange Act of 1934, as amended. Based on this evaluation, our principal executive o</w:t>
      </w:r>
      <w:r>
        <w:rPr>
          <w:rFonts w:eastAsia="Times New Roman"/>
          <w:color w:val="000000"/>
          <w:sz w:val="20"/>
          <w:szCs w:val="20"/>
        </w:rPr>
        <w:t>fficer and our principal financial officer concluded that our disclosure controls and procedures were effective as of the end of the period covered by this Quarterly Report.</w:t>
      </w:r>
    </w:p>
    <w:p w:rsidR="00000000" w:rsidRDefault="00786A01">
      <w:pPr>
        <w:ind w:firstLine="360"/>
        <w:divId w:val="1182359854"/>
        <w:rPr>
          <w:rFonts w:eastAsia="Times New Roman"/>
        </w:rPr>
      </w:pPr>
      <w:r>
        <w:rPr>
          <w:rFonts w:eastAsia="Times New Roman"/>
          <w:b/>
          <w:bCs/>
          <w:i/>
          <w:iCs/>
          <w:color w:val="000000"/>
          <w:sz w:val="20"/>
          <w:szCs w:val="20"/>
        </w:rPr>
        <w:t>Changes in Internal Control over Financial Reporting.</w:t>
      </w:r>
      <w:r>
        <w:rPr>
          <w:rFonts w:eastAsia="Times New Roman"/>
          <w:color w:val="000000"/>
          <w:sz w:val="20"/>
          <w:szCs w:val="20"/>
        </w:rPr>
        <w:t xml:space="preserve"> There were no changes in our</w:t>
      </w:r>
      <w:r>
        <w:rPr>
          <w:rFonts w:eastAsia="Times New Roman"/>
          <w:color w:val="000000"/>
          <w:sz w:val="20"/>
          <w:szCs w:val="20"/>
        </w:rPr>
        <w:t xml:space="preserve"> internal control over financial reporting in the second quarter of fiscal 2021 that have materially affected, or are reasonably likely to materially affect, our internal control over financial reporting.</w:t>
      </w:r>
    </w:p>
    <w:p w:rsidR="00000000" w:rsidRDefault="00786A01">
      <w:pPr>
        <w:divId w:val="1325474311"/>
        <w:rPr>
          <w:rFonts w:eastAsia="Times New Roman"/>
        </w:rPr>
      </w:pPr>
      <w:r>
        <w:rPr>
          <w:rFonts w:eastAsia="Times New Roman"/>
          <w:b/>
          <w:bCs/>
          <w:color w:val="000000"/>
          <w:sz w:val="20"/>
          <w:szCs w:val="20"/>
        </w:rPr>
        <w:t>PART II. OTHER INFORMATION</w:t>
      </w:r>
    </w:p>
    <w:p w:rsidR="00000000" w:rsidRDefault="00786A01">
      <w:pPr>
        <w:divId w:val="1715696255"/>
        <w:rPr>
          <w:rFonts w:eastAsia="Times New Roman"/>
        </w:rPr>
      </w:pPr>
      <w:r>
        <w:rPr>
          <w:rFonts w:eastAsia="Times New Roman"/>
          <w:b/>
          <w:bCs/>
          <w:color w:val="000000"/>
          <w:sz w:val="20"/>
          <w:szCs w:val="20"/>
        </w:rPr>
        <w:t>ITEM 1. LEGAL PROCEEDING</w:t>
      </w:r>
      <w:r>
        <w:rPr>
          <w:rFonts w:eastAsia="Times New Roman"/>
          <w:b/>
          <w:bCs/>
          <w:color w:val="000000"/>
          <w:sz w:val="20"/>
          <w:szCs w:val="20"/>
        </w:rPr>
        <w:t>S</w:t>
      </w:r>
    </w:p>
    <w:p w:rsidR="00000000" w:rsidRDefault="00786A01">
      <w:pPr>
        <w:ind w:firstLine="360"/>
        <w:divId w:val="503084812"/>
        <w:rPr>
          <w:rFonts w:eastAsia="Times New Roman"/>
        </w:rPr>
      </w:pPr>
      <w:r>
        <w:rPr>
          <w:rFonts w:eastAsia="Times New Roman"/>
          <w:color w:val="000000"/>
          <w:sz w:val="20"/>
          <w:szCs w:val="20"/>
        </w:rPr>
        <w:t>Information regarding certain legal proceedings is provided in this Quarterly Report in “Notes to Condensed Consolidated Financial Statements, Note 5. Commitments and Contingencies.” We are also engaged in numerous other legal actions arising in the ordi</w:t>
      </w:r>
      <w:r>
        <w:rPr>
          <w:rFonts w:eastAsia="Times New Roman"/>
          <w:color w:val="000000"/>
          <w:sz w:val="20"/>
          <w:szCs w:val="20"/>
        </w:rPr>
        <w:t>nary course of our business and, while there can be no assurance, we believe that the ultimate outcome of these other legal actions will not have a material adverse effect on our business, results of operations, financial condition or cash flows.</w:t>
      </w:r>
    </w:p>
    <w:p w:rsidR="00000000" w:rsidRDefault="00786A01">
      <w:pPr>
        <w:jc w:val="center"/>
        <w:divId w:val="1068580166"/>
        <w:rPr>
          <w:rFonts w:eastAsia="Times New Roman"/>
        </w:rPr>
      </w:pPr>
      <w:r>
        <w:rPr>
          <w:rFonts w:eastAsia="Times New Roman"/>
          <w:color w:val="000000"/>
          <w:sz w:val="20"/>
          <w:szCs w:val="20"/>
        </w:rPr>
        <w:t>52</w:t>
      </w:r>
    </w:p>
    <w:p w:rsidR="00000000" w:rsidRDefault="00786A01">
      <w:pPr>
        <w:rPr>
          <w:rFonts w:eastAsia="Times New Roman"/>
        </w:rPr>
      </w:pPr>
      <w:r>
        <w:rPr>
          <w:rFonts w:eastAsia="Times New Roman"/>
        </w:rPr>
        <w:pict>
          <v:rect id="_x0000_i1075" style="width:0;height:1.5pt" o:hralign="center" o:hrstd="t" o:hr="t" fillcolor="#a0a0a0" stroked="f"/>
        </w:pict>
      </w:r>
    </w:p>
    <w:p w:rsidR="00000000" w:rsidRDefault="00786A01">
      <w:pPr>
        <w:divId w:val="1616910652"/>
        <w:rPr>
          <w:rFonts w:eastAsia="Times New Roman"/>
        </w:rPr>
      </w:pPr>
    </w:p>
    <w:p w:rsidR="00000000" w:rsidRDefault="00786A01">
      <w:pPr>
        <w:divId w:val="908080592"/>
        <w:rPr>
          <w:rFonts w:eastAsia="Times New Roman"/>
        </w:rPr>
      </w:pPr>
      <w:r>
        <w:rPr>
          <w:rFonts w:eastAsia="Times New Roman"/>
          <w:b/>
          <w:bCs/>
          <w:color w:val="000000"/>
          <w:sz w:val="20"/>
          <w:szCs w:val="20"/>
        </w:rPr>
        <w:t>ITEM 1A. RISK FACTORS</w:t>
      </w:r>
    </w:p>
    <w:p w:rsidR="00000000" w:rsidRDefault="00786A01">
      <w:pPr>
        <w:ind w:firstLine="360"/>
        <w:divId w:val="373891788"/>
        <w:rPr>
          <w:rFonts w:eastAsia="Times New Roman"/>
        </w:rPr>
      </w:pPr>
      <w:r>
        <w:rPr>
          <w:rFonts w:eastAsia="Times New Roman"/>
          <w:color w:val="000000"/>
          <w:sz w:val="20"/>
          <w:szCs w:val="20"/>
        </w:rPr>
        <w:t xml:space="preserve">We have provided updated Risk Factors in the section labeled “Risk Factors” in “Part I, Item 2, Management’s Discussion and Analysis of Financial Condition and Results of Operations.” We do not believe </w:t>
      </w:r>
      <w:r>
        <w:rPr>
          <w:rFonts w:eastAsia="Times New Roman"/>
          <w:color w:val="000000"/>
          <w:sz w:val="20"/>
          <w:szCs w:val="20"/>
        </w:rPr>
        <w:t>those updates have materially changed the type or magnitude of the risks we face in comparison to the disclosure provided in our 2020 Annual Report on Form 10-K.</w:t>
      </w:r>
    </w:p>
    <w:p w:rsidR="00000000" w:rsidRDefault="00786A01">
      <w:pPr>
        <w:divId w:val="290326741"/>
        <w:rPr>
          <w:rFonts w:eastAsia="Times New Roman"/>
        </w:rPr>
      </w:pPr>
      <w:r>
        <w:rPr>
          <w:rFonts w:eastAsia="Times New Roman"/>
          <w:b/>
          <w:bCs/>
          <w:color w:val="000000"/>
          <w:sz w:val="20"/>
          <w:szCs w:val="20"/>
        </w:rPr>
        <w:t>ITEM 2. UNREGISTERED SALES OF EQUITY SECURITIES AND USE OF PROCEEDS</w:t>
      </w:r>
    </w:p>
    <w:p w:rsidR="00000000" w:rsidRDefault="00786A01">
      <w:pPr>
        <w:ind w:firstLine="360"/>
        <w:divId w:val="1748528105"/>
        <w:rPr>
          <w:rFonts w:eastAsia="Times New Roman"/>
        </w:rPr>
      </w:pPr>
      <w:r>
        <w:rPr>
          <w:rFonts w:eastAsia="Times New Roman"/>
          <w:color w:val="000000"/>
          <w:sz w:val="20"/>
          <w:szCs w:val="20"/>
        </w:rPr>
        <w:t>In January 2021, we entere</w:t>
      </w:r>
      <w:r>
        <w:rPr>
          <w:rFonts w:eastAsia="Times New Roman"/>
          <w:color w:val="000000"/>
          <w:sz w:val="20"/>
          <w:szCs w:val="20"/>
        </w:rPr>
        <w:t>d into an Agreement and Plan of Merger (the Merger Agreement) for the acquisition of NuVia, Inc. (NUVIA), which transaction closed in March 2021. Pursuant to the Merger Agreement, we are obligated to issue shares of our common stock to three specific found</w:t>
      </w:r>
      <w:r>
        <w:rPr>
          <w:rFonts w:eastAsia="Times New Roman"/>
          <w:color w:val="000000"/>
          <w:sz w:val="20"/>
          <w:szCs w:val="20"/>
        </w:rPr>
        <w:t>ers of NUVIA and certain affiliated entities of such founders from time to time upon the satisfaction of certain conditions specified in the Merger Agreement. These shares will be issued in transactions not involving a public offering pursuant to the exemp</w:t>
      </w:r>
      <w:r>
        <w:rPr>
          <w:rFonts w:eastAsia="Times New Roman"/>
          <w:color w:val="000000"/>
          <w:sz w:val="20"/>
          <w:szCs w:val="20"/>
        </w:rPr>
        <w:t>tion from registration set forth in Section 4(a)(2) of the Securities Act. During the quarter ended March 28, 2021, we became obligated to issue an aggregate of 104,013 shares of our common stock to the three founders of NUVIA and their affiliates, each of</w:t>
      </w:r>
      <w:r>
        <w:rPr>
          <w:rFonts w:eastAsia="Times New Roman"/>
          <w:color w:val="000000"/>
          <w:sz w:val="20"/>
          <w:szCs w:val="20"/>
        </w:rPr>
        <w:t xml:space="preserve"> whom had advised us that he or such entity was an accredited investor. </w:t>
      </w:r>
    </w:p>
    <w:p w:rsidR="00000000" w:rsidRDefault="00786A01">
      <w:pPr>
        <w:ind w:firstLine="360"/>
        <w:divId w:val="1964460224"/>
        <w:rPr>
          <w:rFonts w:eastAsia="Times New Roman"/>
        </w:rPr>
      </w:pPr>
      <w:r>
        <w:rPr>
          <w:rFonts w:eastAsia="Times New Roman"/>
          <w:color w:val="000000"/>
          <w:sz w:val="20"/>
          <w:szCs w:val="20"/>
        </w:rPr>
        <w:t>Our purchases of our equity securities in the second quarter of fiscal 2021 were:</w:t>
      </w:r>
    </w:p>
    <w:tbl>
      <w:tblPr>
        <w:tblW w:w="4992" w:type="pct"/>
        <w:tblCellMar>
          <w:top w:w="15" w:type="dxa"/>
          <w:left w:w="15" w:type="dxa"/>
          <w:bottom w:w="15" w:type="dxa"/>
          <w:right w:w="15" w:type="dxa"/>
        </w:tblCellMar>
        <w:tblLook w:val="04A0" w:firstRow="1" w:lastRow="0" w:firstColumn="1" w:lastColumn="0" w:noHBand="0" w:noVBand="1"/>
      </w:tblPr>
      <w:tblGrid>
        <w:gridCol w:w="50"/>
        <w:gridCol w:w="3090"/>
        <w:gridCol w:w="36"/>
        <w:gridCol w:w="56"/>
        <w:gridCol w:w="1142"/>
        <w:gridCol w:w="36"/>
        <w:gridCol w:w="36"/>
        <w:gridCol w:w="36"/>
        <w:gridCol w:w="36"/>
        <w:gridCol w:w="110"/>
        <w:gridCol w:w="729"/>
        <w:gridCol w:w="36"/>
        <w:gridCol w:w="36"/>
        <w:gridCol w:w="36"/>
        <w:gridCol w:w="36"/>
        <w:gridCol w:w="62"/>
        <w:gridCol w:w="1089"/>
        <w:gridCol w:w="36"/>
        <w:gridCol w:w="36"/>
        <w:gridCol w:w="36"/>
        <w:gridCol w:w="36"/>
        <w:gridCol w:w="111"/>
        <w:gridCol w:w="1350"/>
        <w:gridCol w:w="36"/>
      </w:tblGrid>
      <w:tr w:rsidR="00000000">
        <w:trPr>
          <w:divId w:val="939335246"/>
        </w:trPr>
        <w:tc>
          <w:tcPr>
            <w:tcW w:w="50" w:type="pct"/>
            <w:vAlign w:val="center"/>
            <w:hideMark/>
          </w:tcPr>
          <w:p w:rsidR="00000000" w:rsidRDefault="00786A01">
            <w:pPr>
              <w:ind w:firstLine="360"/>
              <w:rPr>
                <w:rFonts w:eastAsia="Times New Roman"/>
              </w:rPr>
            </w:pPr>
          </w:p>
        </w:tc>
        <w:tc>
          <w:tcPr>
            <w:tcW w:w="188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71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474"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69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846"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939335246"/>
        </w:trPr>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Total Number of</w:t>
            </w:r>
          </w:p>
          <w:p w:rsidR="00000000" w:rsidRDefault="00786A01">
            <w:pPr>
              <w:jc w:val="center"/>
              <w:rPr>
                <w:rFonts w:eastAsia="Times New Roman"/>
              </w:rPr>
            </w:pPr>
            <w:r>
              <w:rPr>
                <w:rFonts w:eastAsia="Times New Roman"/>
                <w:b/>
                <w:bCs/>
                <w:color w:val="000000"/>
                <w:sz w:val="18"/>
                <w:szCs w:val="18"/>
              </w:rPr>
              <w:t>Shares Purchased</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 xml:space="preserve">Average Price Paid Per Share </w:t>
            </w:r>
            <w:r>
              <w:rPr>
                <w:rFonts w:eastAsia="Times New Roman"/>
                <w:b/>
                <w:bCs/>
                <w:color w:val="000000"/>
                <w:sz w:val="18"/>
                <w:szCs w:val="18"/>
              </w:rPr>
              <w:br/>
              <w:t>(1)</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Approximate Dollar Value of Shares that May Yet Be</w:t>
            </w:r>
            <w:r>
              <w:rPr>
                <w:rFonts w:eastAsia="Times New Roman"/>
                <w:b/>
                <w:bCs/>
                <w:color w:val="000000"/>
                <w:sz w:val="18"/>
                <w:szCs w:val="18"/>
              </w:rPr>
              <w:br/>
              <w:t xml:space="preserve">Purchased Under the Plans or Programs </w:t>
            </w:r>
            <w:r>
              <w:rPr>
                <w:rFonts w:eastAsia="Times New Roman"/>
                <w:b/>
                <w:bCs/>
                <w:color w:val="000000"/>
                <w:sz w:val="18"/>
                <w:szCs w:val="18"/>
              </w:rPr>
              <w:br/>
              <w:t>(2)</w:t>
            </w:r>
          </w:p>
        </w:tc>
      </w:tr>
      <w:tr w:rsidR="00000000">
        <w:trPr>
          <w:divId w:val="939335246"/>
        </w:trPr>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(In thousands)</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(In thousands)</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(In millions)</w:t>
            </w:r>
          </w:p>
        </w:tc>
      </w:tr>
      <w:tr w:rsidR="00000000">
        <w:trPr>
          <w:divId w:val="939335246"/>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December 28, 2020 to January 24, 2021</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1,383 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154.23 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1,383 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86A0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3,957 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939335246"/>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January 25, 2021 to February 21, 2021</w:t>
            </w: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3,949 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148.98 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3,949 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3,368 </w:t>
            </w:r>
          </w:p>
        </w:tc>
        <w:tc>
          <w:tcPr>
            <w:tcW w:w="0" w:type="auto"/>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939335246"/>
        </w:trPr>
        <w:tc>
          <w:tcPr>
            <w:tcW w:w="0" w:type="auto"/>
            <w:gridSpan w:val="3"/>
            <w:shd w:val="clear" w:color="auto" w:fill="CCEE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February 22, 2021 to March 28, 2021</w:t>
            </w: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5,209 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138.18 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5,209 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2,649 </w:t>
            </w:r>
          </w:p>
        </w:tc>
        <w:tc>
          <w:tcPr>
            <w:tcW w:w="0" w:type="auto"/>
            <w:shd w:val="clear" w:color="auto" w:fill="CCEEFF"/>
            <w:tcMar>
              <w:top w:w="30" w:type="dxa"/>
              <w:left w:w="0" w:type="dxa"/>
              <w:bottom w:w="30" w:type="dxa"/>
              <w:right w:w="20" w:type="dxa"/>
            </w:tcMar>
            <w:vAlign w:val="bottom"/>
            <w:hideMark/>
          </w:tcPr>
          <w:p w:rsidR="00000000" w:rsidRDefault="00786A01">
            <w:pPr>
              <w:jc w:val="right"/>
              <w:rPr>
                <w:rFonts w:eastAsia="Times New Roman"/>
              </w:rPr>
            </w:pPr>
          </w:p>
        </w:tc>
      </w:tr>
      <w:tr w:rsidR="00000000">
        <w:trPr>
          <w:divId w:val="939335246"/>
        </w:trPr>
        <w:tc>
          <w:tcPr>
            <w:tcW w:w="0" w:type="auto"/>
            <w:gridSpan w:val="3"/>
            <w:vAlign w:val="center"/>
            <w:hideMark/>
          </w:tcPr>
          <w:p w:rsidR="00000000" w:rsidRDefault="00786A01">
            <w:pPr>
              <w:jc w:val="right"/>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939335246"/>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939335246"/>
        </w:trPr>
        <w:tc>
          <w:tcPr>
            <w:tcW w:w="0" w:type="auto"/>
            <w:gridSpan w:val="3"/>
            <w:shd w:val="clear" w:color="auto" w:fill="FFFFFF"/>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18"/>
                <w:szCs w:val="18"/>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10,541 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86A01">
            <w:pPr>
              <w:jc w:val="right"/>
              <w:rPr>
                <w:rFonts w:eastAsia="Times New Roman"/>
              </w:rPr>
            </w:pPr>
            <w:r>
              <w:rPr>
                <w:rFonts w:eastAsia="Times New Roman"/>
                <w:color w:val="000000"/>
                <w:sz w:val="18"/>
                <w:szCs w:val="18"/>
              </w:rPr>
              <w:t>10,541 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86A0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bl>
    <w:p w:rsidR="00000000" w:rsidRDefault="00786A01">
      <w:pPr>
        <w:ind w:hanging="360"/>
        <w:divId w:val="627711568"/>
        <w:rPr>
          <w:rFonts w:eastAsia="Times New Roman"/>
        </w:rPr>
      </w:pPr>
      <w:r>
        <w:rPr>
          <w:rFonts w:eastAsia="Times New Roman"/>
          <w:color w:val="000000"/>
          <w:sz w:val="18"/>
          <w:szCs w:val="18"/>
        </w:rPr>
        <w:t>(1)</w:t>
      </w:r>
      <w:r>
        <w:rPr>
          <w:rFonts w:eastAsia="Times New Roman"/>
          <w:color w:val="000000"/>
          <w:sz w:val="18"/>
          <w:szCs w:val="18"/>
        </w:rPr>
        <w:t>Average Price Paid Per Share excludes cash paid for commissions.</w:t>
      </w:r>
    </w:p>
    <w:p w:rsidR="00000000" w:rsidRDefault="00786A01">
      <w:pPr>
        <w:ind w:hanging="360"/>
        <w:divId w:val="1723216440"/>
        <w:rPr>
          <w:rFonts w:eastAsia="Times New Roman"/>
        </w:rPr>
      </w:pPr>
      <w:r>
        <w:rPr>
          <w:rFonts w:eastAsia="Times New Roman"/>
          <w:color w:val="000000"/>
          <w:sz w:val="18"/>
          <w:szCs w:val="18"/>
        </w:rPr>
        <w:t>(2)On July </w:t>
      </w:r>
      <w:r>
        <w:rPr>
          <w:rFonts w:eastAsia="Times New Roman"/>
          <w:color w:val="000000"/>
          <w:sz w:val="18"/>
          <w:szCs w:val="18"/>
        </w:rPr>
        <w:t>26, 2018, we announced a repurchase program authorizing us to repurchase up to $30 billion of our common stock. At March 28, 2021, $2.6 billion remained authorized for repurchase. The stock repurchase program has no expiration date. Shares withheld to sati</w:t>
      </w:r>
      <w:r>
        <w:rPr>
          <w:rFonts w:eastAsia="Times New Roman"/>
          <w:color w:val="000000"/>
          <w:sz w:val="18"/>
          <w:szCs w:val="18"/>
        </w:rPr>
        <w:t>sfy statutory tax withholding requirements related to the vesting of share-based awards are not issued or considered stock repurchases under our stock repurchase program and, therefore, are excluded from the table above.</w:t>
      </w:r>
    </w:p>
    <w:p w:rsidR="00000000" w:rsidRDefault="00786A01">
      <w:pPr>
        <w:divId w:val="394668712"/>
        <w:rPr>
          <w:rFonts w:eastAsia="Times New Roman"/>
        </w:rPr>
      </w:pPr>
      <w:r>
        <w:rPr>
          <w:rFonts w:eastAsia="Times New Roman"/>
          <w:b/>
          <w:bCs/>
          <w:color w:val="000000"/>
          <w:sz w:val="20"/>
          <w:szCs w:val="20"/>
        </w:rPr>
        <w:t>ITEM 3. DEFAULTS UPON SENIOR SECURI</w:t>
      </w:r>
      <w:r>
        <w:rPr>
          <w:rFonts w:eastAsia="Times New Roman"/>
          <w:b/>
          <w:bCs/>
          <w:color w:val="000000"/>
          <w:sz w:val="20"/>
          <w:szCs w:val="20"/>
        </w:rPr>
        <w:t>TIES</w:t>
      </w:r>
    </w:p>
    <w:p w:rsidR="00000000" w:rsidRDefault="00786A01">
      <w:pPr>
        <w:ind w:firstLine="360"/>
        <w:divId w:val="75901586"/>
        <w:rPr>
          <w:rFonts w:eastAsia="Times New Roman"/>
        </w:rPr>
      </w:pPr>
      <w:r>
        <w:rPr>
          <w:rFonts w:eastAsia="Times New Roman"/>
          <w:color w:val="000000"/>
          <w:sz w:val="20"/>
          <w:szCs w:val="20"/>
        </w:rPr>
        <w:t>Not applicable.</w:t>
      </w:r>
    </w:p>
    <w:p w:rsidR="00000000" w:rsidRDefault="00786A01">
      <w:pPr>
        <w:divId w:val="653265143"/>
        <w:rPr>
          <w:rFonts w:eastAsia="Times New Roman"/>
        </w:rPr>
      </w:pPr>
      <w:r>
        <w:rPr>
          <w:rFonts w:eastAsia="Times New Roman"/>
          <w:b/>
          <w:bCs/>
          <w:color w:val="000000"/>
          <w:sz w:val="20"/>
          <w:szCs w:val="20"/>
        </w:rPr>
        <w:t>ITEM 4. MINE SAFETY DISCLOSURES</w:t>
      </w:r>
    </w:p>
    <w:p w:rsidR="00000000" w:rsidRDefault="00786A01">
      <w:pPr>
        <w:ind w:firstLine="360"/>
        <w:divId w:val="1942493357"/>
        <w:rPr>
          <w:rFonts w:eastAsia="Times New Roman"/>
        </w:rPr>
      </w:pPr>
      <w:r>
        <w:rPr>
          <w:rFonts w:eastAsia="Times New Roman"/>
          <w:color w:val="000000"/>
          <w:sz w:val="20"/>
          <w:szCs w:val="20"/>
        </w:rPr>
        <w:t>Not applicable.</w:t>
      </w:r>
    </w:p>
    <w:p w:rsidR="00000000" w:rsidRDefault="00786A01">
      <w:pPr>
        <w:divId w:val="792753940"/>
        <w:rPr>
          <w:rFonts w:eastAsia="Times New Roman"/>
        </w:rPr>
      </w:pPr>
      <w:r>
        <w:rPr>
          <w:rFonts w:eastAsia="Times New Roman"/>
          <w:b/>
          <w:bCs/>
          <w:color w:val="000000"/>
          <w:sz w:val="20"/>
          <w:szCs w:val="20"/>
        </w:rPr>
        <w:t>ITEM 5. OTHER INFORMATION</w:t>
      </w:r>
    </w:p>
    <w:p w:rsidR="00000000" w:rsidRDefault="00786A01">
      <w:pPr>
        <w:ind w:firstLine="360"/>
        <w:divId w:val="1795169466"/>
        <w:rPr>
          <w:rFonts w:eastAsia="Times New Roman"/>
        </w:rPr>
      </w:pPr>
      <w:r>
        <w:rPr>
          <w:rFonts w:eastAsia="Times New Roman"/>
          <w:color w:val="000000"/>
          <w:sz w:val="20"/>
          <w:szCs w:val="20"/>
        </w:rPr>
        <w:t>Not applicable.</w:t>
      </w:r>
    </w:p>
    <w:p w:rsidR="00000000" w:rsidRDefault="00786A01">
      <w:pPr>
        <w:jc w:val="center"/>
        <w:divId w:val="521240330"/>
        <w:rPr>
          <w:rFonts w:eastAsia="Times New Roman"/>
        </w:rPr>
      </w:pPr>
      <w:r>
        <w:rPr>
          <w:rFonts w:eastAsia="Times New Roman"/>
          <w:color w:val="000000"/>
          <w:sz w:val="20"/>
          <w:szCs w:val="20"/>
        </w:rPr>
        <w:t>53</w:t>
      </w:r>
    </w:p>
    <w:p w:rsidR="00000000" w:rsidRDefault="00786A01">
      <w:pPr>
        <w:rPr>
          <w:rFonts w:eastAsia="Times New Roman"/>
        </w:rPr>
      </w:pPr>
      <w:r>
        <w:rPr>
          <w:rFonts w:eastAsia="Times New Roman"/>
        </w:rPr>
        <w:pict>
          <v:rect id="_x0000_i1076" style="width:0;height:1.5pt" o:hralign="center" o:hrstd="t" o:hr="t" fillcolor="#a0a0a0" stroked="f"/>
        </w:pict>
      </w:r>
    </w:p>
    <w:p w:rsidR="00000000" w:rsidRDefault="00786A01">
      <w:pPr>
        <w:divId w:val="240913507"/>
        <w:rPr>
          <w:rFonts w:eastAsia="Times New Roman"/>
        </w:rPr>
      </w:pPr>
    </w:p>
    <w:p w:rsidR="00000000" w:rsidRDefault="00786A01">
      <w:pPr>
        <w:divId w:val="1625649139"/>
        <w:rPr>
          <w:rFonts w:eastAsia="Times New Roman"/>
        </w:rPr>
      </w:pPr>
      <w:r>
        <w:rPr>
          <w:rFonts w:eastAsia="Times New Roman"/>
          <w:b/>
          <w:bCs/>
          <w:color w:val="000000"/>
          <w:sz w:val="20"/>
          <w:szCs w:val="20"/>
        </w:rPr>
        <w:t>ITEM 6. EXHIBITS</w:t>
      </w:r>
    </w:p>
    <w:tbl>
      <w:tblPr>
        <w:tblW w:w="4985" w:type="pct"/>
        <w:tblCellMar>
          <w:top w:w="15" w:type="dxa"/>
          <w:left w:w="15" w:type="dxa"/>
          <w:bottom w:w="15" w:type="dxa"/>
          <w:right w:w="15" w:type="dxa"/>
        </w:tblCellMar>
        <w:tblLook w:val="04A0" w:firstRow="1" w:lastRow="0" w:firstColumn="1" w:lastColumn="0" w:noHBand="0" w:noVBand="1"/>
      </w:tblPr>
      <w:tblGrid>
        <w:gridCol w:w="67"/>
        <w:gridCol w:w="724"/>
        <w:gridCol w:w="36"/>
        <w:gridCol w:w="36"/>
        <w:gridCol w:w="36"/>
        <w:gridCol w:w="36"/>
        <w:gridCol w:w="38"/>
        <w:gridCol w:w="3458"/>
        <w:gridCol w:w="37"/>
        <w:gridCol w:w="36"/>
        <w:gridCol w:w="36"/>
        <w:gridCol w:w="36"/>
        <w:gridCol w:w="47"/>
        <w:gridCol w:w="714"/>
        <w:gridCol w:w="36"/>
        <w:gridCol w:w="36"/>
        <w:gridCol w:w="36"/>
        <w:gridCol w:w="36"/>
        <w:gridCol w:w="71"/>
        <w:gridCol w:w="753"/>
        <w:gridCol w:w="37"/>
        <w:gridCol w:w="36"/>
        <w:gridCol w:w="36"/>
        <w:gridCol w:w="36"/>
        <w:gridCol w:w="65"/>
        <w:gridCol w:w="736"/>
        <w:gridCol w:w="36"/>
        <w:gridCol w:w="36"/>
        <w:gridCol w:w="36"/>
        <w:gridCol w:w="36"/>
        <w:gridCol w:w="68"/>
        <w:gridCol w:w="782"/>
        <w:gridCol w:w="36"/>
      </w:tblGrid>
      <w:tr w:rsidR="00000000">
        <w:trPr>
          <w:divId w:val="199249470"/>
        </w:trPr>
        <w:tc>
          <w:tcPr>
            <w:tcW w:w="50" w:type="pct"/>
            <w:vAlign w:val="center"/>
            <w:hideMark/>
          </w:tcPr>
          <w:p w:rsidR="00000000" w:rsidRDefault="00786A01">
            <w:pPr>
              <w:rPr>
                <w:rFonts w:eastAsia="Times New Roman"/>
              </w:rPr>
            </w:pPr>
          </w:p>
        </w:tc>
        <w:tc>
          <w:tcPr>
            <w:tcW w:w="45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2101"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45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48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474"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04"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99249470"/>
        </w:trPr>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 xml:space="preserve">Exhibit </w:t>
            </w:r>
            <w:r>
              <w:rPr>
                <w:rFonts w:eastAsia="Times New Roman"/>
                <w:b/>
                <w:bCs/>
                <w:color w:val="000000"/>
                <w:sz w:val="18"/>
                <w:szCs w:val="18"/>
              </w:rPr>
              <w:br/>
              <w:t>Number</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Exhibit Description</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Form</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Date of First Filing</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Exhibit Number</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Filed Herewith</w:t>
            </w:r>
          </w:p>
        </w:tc>
      </w:tr>
      <w:tr w:rsidR="00000000">
        <w:trPr>
          <w:divId w:val="199249470"/>
        </w:trPr>
        <w:tc>
          <w:tcPr>
            <w:tcW w:w="0" w:type="auto"/>
            <w:gridSpan w:val="3"/>
            <w:vAlign w:val="center"/>
            <w:hideMark/>
          </w:tcPr>
          <w:p w:rsidR="00000000" w:rsidRDefault="00786A01">
            <w:pPr>
              <w:jc w:val="center"/>
              <w:rPr>
                <w:rFonts w:eastAsia="Times New Roman"/>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99249470"/>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99249470"/>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99249470"/>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2.1</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86A01">
            <w:pPr>
              <w:divId w:val="1869295742"/>
              <w:rPr>
                <w:rFonts w:eastAsia="Times New Roman"/>
              </w:rPr>
            </w:pPr>
            <w:hyperlink r:id="rId4" w:history="1">
              <w:r>
                <w:rPr>
                  <w:rStyle w:val="a3"/>
                  <w:rFonts w:eastAsia="Times New Roman"/>
                  <w:sz w:val="18"/>
                  <w:szCs w:val="18"/>
                </w:rPr>
                <w:t>Agreement and Plan of Merger, dated as of January 12, 2021, among Qualcomm Technologies, Inc., Nile Acquisition Corporation and NuVia, Inc. (1)</w:t>
              </w:r>
            </w:hyperlink>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1/13/2021</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2.1</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3.1</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divId w:val="1529299716"/>
              <w:rPr>
                <w:rFonts w:eastAsia="Times New Roman"/>
              </w:rPr>
            </w:pPr>
            <w:hyperlink r:id="rId5" w:history="1">
              <w:r>
                <w:rPr>
                  <w:rStyle w:val="a3"/>
                  <w:rFonts w:eastAsia="Times New Roman"/>
                  <w:sz w:val="18"/>
                  <w:szCs w:val="18"/>
                </w:rPr>
                <w:t>Amended and Restated Certificate of Incorporation</w:t>
              </w:r>
            </w:hyperlink>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4/20/2018</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3.1</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3.2</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divId w:val="2083290386"/>
              <w:rPr>
                <w:rFonts w:eastAsia="Times New Roman"/>
              </w:rPr>
            </w:pPr>
            <w:hyperlink r:id="rId6" w:history="1">
              <w:r>
                <w:rPr>
                  <w:rStyle w:val="a3"/>
                  <w:rFonts w:eastAsia="Times New Roman"/>
                  <w:sz w:val="18"/>
                  <w:szCs w:val="18"/>
                </w:rPr>
                <w:t>Amended and Restated Bylaws</w:t>
              </w:r>
            </w:hyperlink>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7/17/2018</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3.1</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4.1</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divId w:val="1304191857"/>
              <w:rPr>
                <w:rFonts w:eastAsia="Times New Roman"/>
              </w:rPr>
            </w:pPr>
            <w:hyperlink r:id="rId7" w:history="1">
              <w:r>
                <w:rPr>
                  <w:rStyle w:val="a3"/>
                  <w:rFonts w:eastAsia="Times New Roman"/>
                  <w:sz w:val="18"/>
                  <w:szCs w:val="18"/>
                </w:rPr>
                <w:t xml:space="preserve">Indenture, dated May 20, 2015, between the Company and U.S. Bank National Association, as trustee. </w:t>
              </w:r>
            </w:hyperlink>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5/21/2015</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4.1</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4.2</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divId w:val="347952064"/>
              <w:rPr>
                <w:rFonts w:eastAsia="Times New Roman"/>
              </w:rPr>
            </w:pPr>
            <w:hyperlink r:id="rId8" w:history="1">
              <w:r>
                <w:rPr>
                  <w:rStyle w:val="a3"/>
                  <w:rFonts w:eastAsia="Times New Roman"/>
                  <w:sz w:val="18"/>
                  <w:szCs w:val="18"/>
                </w:rPr>
                <w:t>Officers’ Certificate, dated May 20, 2015, for the Floating Rate Notes due 2018, the Floating Rate Notes due 2020, the 1.400% Notes due 2018, the 2.250% Notes</w:t>
              </w:r>
              <w:r>
                <w:rPr>
                  <w:rStyle w:val="a3"/>
                  <w:rFonts w:eastAsia="Times New Roman"/>
                  <w:sz w:val="18"/>
                  <w:szCs w:val="18"/>
                </w:rPr>
                <w:t xml:space="preserve"> due 2020, the 3.000% Notes due 2022, the 3.450% Notes due 2025, the 4.650% Notes due 2035 and the 4.800% Notes due 2045. </w:t>
              </w:r>
            </w:hyperlink>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5/21/2015</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4.2</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4.3</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divId w:val="535000066"/>
              <w:rPr>
                <w:rFonts w:eastAsia="Times New Roman"/>
              </w:rPr>
            </w:pPr>
            <w:hyperlink r:id="rId9" w:history="1">
              <w:r>
                <w:rPr>
                  <w:rStyle w:val="a3"/>
                  <w:rFonts w:eastAsia="Times New Roman"/>
                  <w:sz w:val="18"/>
                  <w:szCs w:val="18"/>
                </w:rPr>
                <w:t xml:space="preserve">Form of 3.000% Notes due 2022. </w:t>
              </w:r>
            </w:hyperlink>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5/21/2015</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4.7</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4.4</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divId w:val="335151606"/>
              <w:rPr>
                <w:rFonts w:eastAsia="Times New Roman"/>
              </w:rPr>
            </w:pPr>
            <w:hyperlink r:id="rId10" w:history="1">
              <w:r>
                <w:rPr>
                  <w:rStyle w:val="a3"/>
                  <w:rFonts w:eastAsia="Times New Roman"/>
                  <w:sz w:val="18"/>
                  <w:szCs w:val="18"/>
                </w:rPr>
                <w:t xml:space="preserve">Form of 3.450% Notes due 2025. </w:t>
              </w:r>
            </w:hyperlink>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5/21/2015</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4.8</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4.5</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divId w:val="1410730247"/>
              <w:rPr>
                <w:rFonts w:eastAsia="Times New Roman"/>
              </w:rPr>
            </w:pPr>
            <w:hyperlink r:id="rId11" w:history="1">
              <w:r>
                <w:rPr>
                  <w:rStyle w:val="a3"/>
                  <w:rFonts w:eastAsia="Times New Roman"/>
                  <w:sz w:val="18"/>
                  <w:szCs w:val="18"/>
                </w:rPr>
                <w:t xml:space="preserve">Form of 4.650% Notes due 2035. </w:t>
              </w:r>
            </w:hyperlink>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5/21/2015</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4.9</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4.6</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divId w:val="1791779015"/>
              <w:rPr>
                <w:rFonts w:eastAsia="Times New Roman"/>
              </w:rPr>
            </w:pPr>
            <w:hyperlink r:id="rId12" w:history="1">
              <w:r>
                <w:rPr>
                  <w:rStyle w:val="a3"/>
                  <w:rFonts w:eastAsia="Times New Roman"/>
                  <w:sz w:val="18"/>
                  <w:szCs w:val="18"/>
                </w:rPr>
                <w:t xml:space="preserve">Form of 4.800% Notes due 2045. </w:t>
              </w:r>
            </w:hyperlink>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5/21/2015</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4.10</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4.7</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divId w:val="1193542091"/>
              <w:rPr>
                <w:rFonts w:eastAsia="Times New Roman"/>
              </w:rPr>
            </w:pPr>
            <w:hyperlink r:id="rId13" w:history="1">
              <w:r>
                <w:rPr>
                  <w:rStyle w:val="a3"/>
                  <w:rFonts w:eastAsia="Times New Roman"/>
                  <w:sz w:val="18"/>
                  <w:szCs w:val="18"/>
                </w:rPr>
                <w:t>Officers’ Certificate, dated May 26, 2017, for the Floating Rate Notes due 2019, the Floating Rate Notes due 2020, the Floating Rate Notes due 2023, the 1.850</w:t>
              </w:r>
              <w:r>
                <w:rPr>
                  <w:rStyle w:val="a3"/>
                  <w:rFonts w:eastAsia="Times New Roman"/>
                  <w:sz w:val="18"/>
                  <w:szCs w:val="18"/>
                </w:rPr>
                <w:t xml:space="preserve">% Notes due 2019, the 2.100% Notes due 2020, the 2.600% Notes due 2023, the 2.900% Notes due 2024, the 3.250% Notes due 2027 and the 4.300% Notes due 2047. </w:t>
              </w:r>
            </w:hyperlink>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5/31/2017</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4.2</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99249470"/>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4.8</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divId w:val="1052658933"/>
              <w:rPr>
                <w:rFonts w:eastAsia="Times New Roman"/>
              </w:rPr>
            </w:pPr>
            <w:hyperlink r:id="rId14" w:history="1">
              <w:r>
                <w:rPr>
                  <w:rStyle w:val="a3"/>
                  <w:rFonts w:eastAsia="Times New Roman"/>
                  <w:sz w:val="18"/>
                  <w:szCs w:val="18"/>
                </w:rPr>
                <w:t>Form of Floating Rate Notes due 2023.</w:t>
              </w:r>
            </w:hyperlink>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5/31/2017</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4.5</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99249470"/>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4.9</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divId w:val="1759597608"/>
              <w:rPr>
                <w:rFonts w:eastAsia="Times New Roman"/>
              </w:rPr>
            </w:pPr>
            <w:hyperlink r:id="rId15" w:history="1">
              <w:r>
                <w:rPr>
                  <w:rStyle w:val="a3"/>
                  <w:rFonts w:eastAsia="Times New Roman"/>
                  <w:sz w:val="18"/>
                  <w:szCs w:val="18"/>
                </w:rPr>
                <w:t>Form of 2.600% Notes due 2023.</w:t>
              </w:r>
            </w:hyperlink>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5/31/2017</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4.8</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4.10</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divId w:val="561062604"/>
              <w:rPr>
                <w:rFonts w:eastAsia="Times New Roman"/>
              </w:rPr>
            </w:pPr>
            <w:hyperlink r:id="rId16" w:history="1">
              <w:r>
                <w:rPr>
                  <w:rStyle w:val="a3"/>
                  <w:rFonts w:eastAsia="Times New Roman"/>
                  <w:sz w:val="18"/>
                  <w:szCs w:val="18"/>
                </w:rPr>
                <w:t>Form of 2.900% Notes due 2024.</w:t>
              </w:r>
            </w:hyperlink>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5/31/2017</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4.9</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4.11</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divId w:val="93402424"/>
              <w:rPr>
                <w:rFonts w:eastAsia="Times New Roman"/>
              </w:rPr>
            </w:pPr>
            <w:hyperlink r:id="rId17" w:history="1">
              <w:r>
                <w:rPr>
                  <w:rStyle w:val="a3"/>
                  <w:rFonts w:eastAsia="Times New Roman"/>
                  <w:sz w:val="18"/>
                  <w:szCs w:val="18"/>
                </w:rPr>
                <w:t>Form of 3.250% Notes due 2027.</w:t>
              </w:r>
            </w:hyperlink>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5/31/2017</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4.10</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4.12</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divId w:val="946430021"/>
              <w:rPr>
                <w:rFonts w:eastAsia="Times New Roman"/>
              </w:rPr>
            </w:pPr>
            <w:hyperlink r:id="rId18" w:history="1">
              <w:r>
                <w:rPr>
                  <w:rStyle w:val="a3"/>
                  <w:rFonts w:eastAsia="Times New Roman"/>
                  <w:sz w:val="18"/>
                  <w:szCs w:val="18"/>
                </w:rPr>
                <w:t>Form of 4.300% Notes due 2047.</w:t>
              </w:r>
            </w:hyperlink>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5/31/2017</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4.11</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4.13</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divId w:val="1837378067"/>
              <w:rPr>
                <w:rFonts w:eastAsia="Times New Roman"/>
              </w:rPr>
            </w:pPr>
            <w:hyperlink r:id="rId19" w:history="1">
              <w:r>
                <w:rPr>
                  <w:rStyle w:val="a3"/>
                  <w:rFonts w:eastAsia="Times New Roman"/>
                  <w:sz w:val="18"/>
                  <w:szCs w:val="18"/>
                </w:rPr>
                <w:t>Officers’ Certificate, dated May 8, 2020, for the 2.150% Notes due 2030 and the 3.250% Notes due 2050.</w:t>
              </w:r>
            </w:hyperlink>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5/11/2020</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4.2</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4.14</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divId w:val="605239553"/>
              <w:rPr>
                <w:rFonts w:eastAsia="Times New Roman"/>
              </w:rPr>
            </w:pPr>
            <w:hyperlink r:id="rId20" w:history="1">
              <w:r>
                <w:rPr>
                  <w:rStyle w:val="a3"/>
                  <w:rFonts w:eastAsia="Times New Roman"/>
                  <w:sz w:val="18"/>
                  <w:szCs w:val="18"/>
                </w:rPr>
                <w:t>Form of 2.150% Notes due 2030.</w:t>
              </w:r>
            </w:hyperlink>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5/11/2020</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4.3</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4.15</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divId w:val="2010136333"/>
              <w:rPr>
                <w:rFonts w:eastAsia="Times New Roman"/>
              </w:rPr>
            </w:pPr>
            <w:hyperlink r:id="rId21" w:history="1">
              <w:r>
                <w:rPr>
                  <w:rStyle w:val="a3"/>
                  <w:rFonts w:eastAsia="Times New Roman"/>
                  <w:sz w:val="18"/>
                  <w:szCs w:val="18"/>
                </w:rPr>
                <w:t>Form of 3.250% Notes due 2050.</w:t>
              </w:r>
            </w:hyperlink>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5/11/2020</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4.4</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4.16</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divId w:val="29230348"/>
              <w:rPr>
                <w:rFonts w:eastAsia="Times New Roman"/>
              </w:rPr>
            </w:pPr>
            <w:hyperlink r:id="rId22" w:history="1">
              <w:r>
                <w:rPr>
                  <w:rStyle w:val="a3"/>
                  <w:rFonts w:eastAsia="Times New Roman"/>
                  <w:sz w:val="18"/>
                  <w:szCs w:val="18"/>
                </w:rPr>
                <w:t>Officers’ Certificate, dated August 14, 2020, for the 1.300% Notes due 2028 and the 1.650% Notes due 2032.</w:t>
              </w:r>
            </w:hyperlink>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8/18/2020</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4.2</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4.17</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divId w:val="940338938"/>
              <w:rPr>
                <w:rFonts w:eastAsia="Times New Roman"/>
              </w:rPr>
            </w:pPr>
            <w:hyperlink r:id="rId23" w:history="1">
              <w:r>
                <w:rPr>
                  <w:rStyle w:val="a3"/>
                  <w:rFonts w:eastAsia="Times New Roman"/>
                  <w:sz w:val="18"/>
                  <w:szCs w:val="18"/>
                </w:rPr>
                <w:t>Form of 1.300% Rule 144A Global Notes due 2028.</w:t>
              </w:r>
            </w:hyperlink>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8/18/2020</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4.3</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4.18</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divId w:val="666321138"/>
              <w:rPr>
                <w:rFonts w:eastAsia="Times New Roman"/>
              </w:rPr>
            </w:pPr>
            <w:hyperlink r:id="rId24" w:history="1">
              <w:r>
                <w:rPr>
                  <w:rStyle w:val="a3"/>
                  <w:rFonts w:eastAsia="Times New Roman"/>
                  <w:sz w:val="18"/>
                  <w:szCs w:val="18"/>
                </w:rPr>
                <w:t>Form of 1.300% Regulation S Global Notes due 2028.</w:t>
              </w:r>
            </w:hyperlink>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8/18/2020</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4.4</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4.19</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divId w:val="375399737"/>
              <w:rPr>
                <w:rFonts w:eastAsia="Times New Roman"/>
              </w:rPr>
            </w:pPr>
            <w:hyperlink r:id="rId25" w:history="1">
              <w:r>
                <w:rPr>
                  <w:rStyle w:val="a3"/>
                  <w:rFonts w:eastAsia="Times New Roman"/>
                  <w:sz w:val="18"/>
                  <w:szCs w:val="18"/>
                </w:rPr>
                <w:t>Form of 1.650% Rule 144A Global Notes due 2032.</w:t>
              </w:r>
            </w:hyperlink>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8/18/2020</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4.5</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4.20</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divId w:val="281152837"/>
              <w:rPr>
                <w:rFonts w:eastAsia="Times New Roman"/>
              </w:rPr>
            </w:pPr>
            <w:hyperlink r:id="rId26" w:history="1">
              <w:r>
                <w:rPr>
                  <w:rStyle w:val="a3"/>
                  <w:rFonts w:eastAsia="Times New Roman"/>
                  <w:sz w:val="18"/>
                  <w:szCs w:val="18"/>
                </w:rPr>
                <w:t>Form of 1.650% Regulation S Global Notes due 2032.</w:t>
              </w:r>
            </w:hyperlink>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8/18/2020</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4.6</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4.21</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divId w:val="342704881"/>
              <w:rPr>
                <w:rFonts w:eastAsia="Times New Roman"/>
              </w:rPr>
            </w:pPr>
            <w:hyperlink r:id="rId27" w:history="1">
              <w:r>
                <w:rPr>
                  <w:rStyle w:val="a3"/>
                  <w:rFonts w:eastAsia="Times New Roman"/>
                  <w:sz w:val="18"/>
                  <w:szCs w:val="18"/>
                </w:rPr>
                <w:t>Registration Rights Agreement, dated as of August 14, 2020.</w:t>
              </w:r>
            </w:hyperlink>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8/18/2020</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4.7</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199249470"/>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bl>
    <w:p w:rsidR="00000000" w:rsidRDefault="00786A01">
      <w:pPr>
        <w:jc w:val="center"/>
        <w:divId w:val="1041176654"/>
        <w:rPr>
          <w:rFonts w:eastAsia="Times New Roman"/>
        </w:rPr>
      </w:pPr>
      <w:r>
        <w:rPr>
          <w:rFonts w:eastAsia="Times New Roman"/>
          <w:color w:val="000000"/>
          <w:sz w:val="20"/>
          <w:szCs w:val="20"/>
        </w:rPr>
        <w:t>54</w:t>
      </w:r>
    </w:p>
    <w:p w:rsidR="00000000" w:rsidRDefault="00786A01">
      <w:pPr>
        <w:rPr>
          <w:rFonts w:eastAsia="Times New Roman"/>
        </w:rPr>
      </w:pPr>
      <w:r>
        <w:rPr>
          <w:rFonts w:eastAsia="Times New Roman"/>
        </w:rPr>
        <w:pict>
          <v:rect id="_x0000_i1077" style="width:0;height:1.5pt" o:hralign="center" o:hrstd="t" o:hr="t" fillcolor="#a0a0a0" stroked="f"/>
        </w:pict>
      </w:r>
    </w:p>
    <w:p w:rsidR="00000000" w:rsidRDefault="00786A01">
      <w:pPr>
        <w:divId w:val="793452138"/>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70"/>
        <w:gridCol w:w="721"/>
        <w:gridCol w:w="36"/>
        <w:gridCol w:w="36"/>
        <w:gridCol w:w="36"/>
        <w:gridCol w:w="36"/>
        <w:gridCol w:w="38"/>
        <w:gridCol w:w="3458"/>
        <w:gridCol w:w="37"/>
        <w:gridCol w:w="36"/>
        <w:gridCol w:w="36"/>
        <w:gridCol w:w="36"/>
        <w:gridCol w:w="47"/>
        <w:gridCol w:w="714"/>
        <w:gridCol w:w="36"/>
        <w:gridCol w:w="36"/>
        <w:gridCol w:w="36"/>
        <w:gridCol w:w="36"/>
        <w:gridCol w:w="63"/>
        <w:gridCol w:w="761"/>
        <w:gridCol w:w="37"/>
        <w:gridCol w:w="36"/>
        <w:gridCol w:w="36"/>
        <w:gridCol w:w="36"/>
        <w:gridCol w:w="65"/>
        <w:gridCol w:w="736"/>
        <w:gridCol w:w="36"/>
        <w:gridCol w:w="36"/>
        <w:gridCol w:w="36"/>
        <w:gridCol w:w="36"/>
        <w:gridCol w:w="68"/>
        <w:gridCol w:w="782"/>
        <w:gridCol w:w="36"/>
      </w:tblGrid>
      <w:tr w:rsidR="00000000">
        <w:trPr>
          <w:divId w:val="707149531"/>
        </w:trPr>
        <w:tc>
          <w:tcPr>
            <w:tcW w:w="50" w:type="pct"/>
            <w:vAlign w:val="center"/>
            <w:hideMark/>
          </w:tcPr>
          <w:p w:rsidR="00000000" w:rsidRDefault="00786A01">
            <w:pPr>
              <w:rPr>
                <w:rFonts w:eastAsia="Times New Roman"/>
              </w:rPr>
            </w:pPr>
          </w:p>
        </w:tc>
        <w:tc>
          <w:tcPr>
            <w:tcW w:w="45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2101"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452"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489"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474"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27"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504"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707149531"/>
        </w:trPr>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 xml:space="preserve">Exhibit </w:t>
            </w:r>
            <w:r>
              <w:rPr>
                <w:rFonts w:eastAsia="Times New Roman"/>
                <w:b/>
                <w:bCs/>
                <w:color w:val="000000"/>
                <w:sz w:val="18"/>
                <w:szCs w:val="18"/>
              </w:rPr>
              <w:br/>
              <w:t>Number</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Exhibit Description</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Form</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Date of First Filing</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Exhibit Number</w:t>
            </w:r>
          </w:p>
        </w:tc>
        <w:tc>
          <w:tcPr>
            <w:tcW w:w="0" w:type="auto"/>
            <w:gridSpan w:val="3"/>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6A01">
            <w:pPr>
              <w:jc w:val="center"/>
              <w:rPr>
                <w:rFonts w:eastAsia="Times New Roman"/>
              </w:rPr>
            </w:pPr>
            <w:r>
              <w:rPr>
                <w:rFonts w:eastAsia="Times New Roman"/>
                <w:b/>
                <w:bCs/>
                <w:color w:val="000000"/>
                <w:sz w:val="18"/>
                <w:szCs w:val="18"/>
              </w:rPr>
              <w:t>Filed Herewith</w:t>
            </w:r>
          </w:p>
        </w:tc>
      </w:tr>
      <w:tr w:rsidR="00000000">
        <w:trPr>
          <w:divId w:val="707149531"/>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4.23</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86A01">
            <w:pPr>
              <w:divId w:val="49035176"/>
              <w:rPr>
                <w:rFonts w:eastAsia="Times New Roman"/>
              </w:rPr>
            </w:pPr>
            <w:hyperlink r:id="rId28" w:history="1">
              <w:r>
                <w:rPr>
                  <w:rStyle w:val="a3"/>
                  <w:rFonts w:eastAsia="Times New Roman"/>
                  <w:sz w:val="18"/>
                  <w:szCs w:val="18"/>
                </w:rPr>
                <w:t>Officers’ Certificate, dated January 6, 2021, for the 1.300% Notes due 2028 and the 1.650% Notes due 2032.</w:t>
              </w:r>
            </w:hyperlink>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2/3/2021</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4.23</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707149531"/>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4.24</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divId w:val="1199273291"/>
              <w:rPr>
                <w:rFonts w:eastAsia="Times New Roman"/>
              </w:rPr>
            </w:pPr>
            <w:hyperlink r:id="rId29" w:history="1">
              <w:r>
                <w:rPr>
                  <w:rStyle w:val="a3"/>
                  <w:rFonts w:eastAsia="Times New Roman"/>
                  <w:sz w:val="18"/>
                  <w:szCs w:val="18"/>
                </w:rPr>
                <w:t>Form of 1.300% Notes due 2028.</w:t>
              </w:r>
            </w:hyperlink>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2/3/2021</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4.24</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707149531"/>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4.25</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divId w:val="1589580579"/>
              <w:rPr>
                <w:rFonts w:eastAsia="Times New Roman"/>
              </w:rPr>
            </w:pPr>
            <w:hyperlink r:id="rId30" w:history="1">
              <w:r>
                <w:rPr>
                  <w:rStyle w:val="a3"/>
                  <w:rFonts w:eastAsia="Times New Roman"/>
                  <w:sz w:val="18"/>
                  <w:szCs w:val="18"/>
                </w:rPr>
                <w:t>Form of 1.650% Notes due 2032.</w:t>
              </w:r>
            </w:hyperlink>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2/3/2021</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4.25</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divId w:val="969898737"/>
              <w:rPr>
                <w:rFonts w:eastAsia="Times New Roman"/>
              </w:rPr>
            </w:pPr>
            <w:hyperlink r:id="rId31" w:history="1">
              <w:r>
                <w:rPr>
                  <w:rStyle w:val="a3"/>
                  <w:rFonts w:eastAsia="Times New Roman"/>
                  <w:sz w:val="18"/>
                  <w:szCs w:val="18"/>
                </w:rPr>
                <w:t>Forms of Non-Employee Director Deferred Stock Unit Grant Notices and Non-Employee Director Deferred Stock Unit Agreements under the 2016 Long-Term Incentive Plan for Non-Employee Directors in Hong Kong. (2)</w:t>
              </w:r>
            </w:hyperlink>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X</w:t>
            </w:r>
          </w:p>
        </w:tc>
      </w:tr>
      <w:tr w:rsidR="00000000">
        <w:trPr>
          <w:divId w:val="707149531"/>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10.8</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divId w:val="364329753"/>
              <w:rPr>
                <w:rFonts w:eastAsia="Times New Roman"/>
              </w:rPr>
            </w:pPr>
            <w:hyperlink r:id="rId32" w:history="1">
              <w:r>
                <w:rPr>
                  <w:rStyle w:val="a3"/>
                  <w:rFonts w:eastAsia="Times New Roman"/>
                  <w:sz w:val="18"/>
                  <w:szCs w:val="18"/>
                </w:rPr>
                <w:t>Forms of Non-Employee Director Deferred Stock Unit Grant Notices and Non-Employee Director Deferred Stock Unit Agreements under the 2016 Long-Term Incentive Plan for Non-Employee Directors in Singapore. (2)</w:t>
              </w:r>
            </w:hyperlink>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X</w:t>
            </w:r>
          </w:p>
        </w:tc>
      </w:tr>
      <w:tr w:rsidR="00000000">
        <w:trPr>
          <w:divId w:val="707149531"/>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10.23</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divId w:val="1514223664"/>
              <w:rPr>
                <w:rFonts w:eastAsia="Times New Roman"/>
              </w:rPr>
            </w:pPr>
            <w:hyperlink r:id="rId33" w:history="1">
              <w:r>
                <w:rPr>
                  <w:rStyle w:val="a3"/>
                  <w:rFonts w:eastAsia="Times New Roman"/>
                  <w:sz w:val="18"/>
                  <w:szCs w:val="18"/>
                </w:rPr>
                <w:t>Special Advisor Employment Agreement between the Company and Steven M. Mollenkopf dated as of January 4, 2021. (2)</w:t>
              </w:r>
            </w:hyperlink>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X</w:t>
            </w:r>
          </w:p>
        </w:tc>
      </w:tr>
      <w:tr w:rsidR="00000000">
        <w:trPr>
          <w:divId w:val="707149531"/>
        </w:trPr>
        <w:tc>
          <w:tcPr>
            <w:tcW w:w="0" w:type="auto"/>
            <w:gridSpan w:val="3"/>
            <w:vAlign w:val="center"/>
            <w:hideMark/>
          </w:tcPr>
          <w:p w:rsidR="00000000" w:rsidRDefault="00786A01">
            <w:pPr>
              <w:jc w:val="center"/>
              <w:rPr>
                <w:rFonts w:eastAsia="Times New Roman"/>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c>
          <w:tcPr>
            <w:tcW w:w="0" w:type="auto"/>
            <w:gridSpan w:val="3"/>
            <w:vAlign w:val="center"/>
            <w:hideMark/>
          </w:tcPr>
          <w:p w:rsidR="00000000" w:rsidRDefault="00786A01">
            <w:pPr>
              <w:rPr>
                <w:rFonts w:eastAsia="Times New Roman"/>
                <w:sz w:val="20"/>
                <w:szCs w:val="20"/>
              </w:rPr>
            </w:pPr>
          </w:p>
        </w:tc>
      </w:tr>
      <w:tr w:rsidR="00000000">
        <w:trPr>
          <w:divId w:val="707149531"/>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31.1</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divId w:val="710148358"/>
              <w:rPr>
                <w:rFonts w:eastAsia="Times New Roman"/>
              </w:rPr>
            </w:pPr>
            <w:hyperlink r:id="rId34" w:history="1">
              <w:r>
                <w:rPr>
                  <w:rStyle w:val="a3"/>
                  <w:rFonts w:eastAsia="Times New Roman"/>
                  <w:sz w:val="18"/>
                  <w:szCs w:val="18"/>
                </w:rPr>
                <w:t>Certification pursuant to Section 302 of the Sarbanes-Oxley Act of 2002 for Steve Mollenkopf.</w:t>
              </w:r>
            </w:hyperlink>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X</w:t>
            </w:r>
          </w:p>
        </w:tc>
      </w:tr>
      <w:tr w:rsidR="00000000">
        <w:trPr>
          <w:divId w:val="707149531"/>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31.2</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divId w:val="949894468"/>
              <w:rPr>
                <w:rFonts w:eastAsia="Times New Roman"/>
              </w:rPr>
            </w:pPr>
            <w:hyperlink r:id="rId35" w:history="1">
              <w:r>
                <w:rPr>
                  <w:rStyle w:val="a3"/>
                  <w:rFonts w:eastAsia="Times New Roman"/>
                  <w:sz w:val="18"/>
                  <w:szCs w:val="18"/>
                </w:rPr>
                <w:t>Certification pursuant to Section 302 of the Sarbanes-Oxley Act of 2002 for Akash Palkhiwala.</w:t>
              </w:r>
            </w:hyperlink>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X</w:t>
            </w:r>
          </w:p>
        </w:tc>
      </w:tr>
      <w:tr w:rsidR="00000000">
        <w:trPr>
          <w:divId w:val="707149531"/>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32.1</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divId w:val="1991129219"/>
              <w:rPr>
                <w:rFonts w:eastAsia="Times New Roman"/>
              </w:rPr>
            </w:pPr>
            <w:hyperlink r:id="rId36" w:history="1">
              <w:r>
                <w:rPr>
                  <w:rStyle w:val="a3"/>
                  <w:rFonts w:eastAsia="Times New Roman"/>
                  <w:sz w:val="18"/>
                  <w:szCs w:val="18"/>
                </w:rPr>
                <w:t>Certification pursuant to 18 U.S.C. Section 1350, as adopted pursuant to Section 906 of the Sarbanes-Oxley Act of 2002, for Steve Mollenkopf.</w:t>
              </w:r>
            </w:hyperlink>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X</w:t>
            </w:r>
          </w:p>
        </w:tc>
      </w:tr>
      <w:tr w:rsidR="00000000">
        <w:trPr>
          <w:divId w:val="707149531"/>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32.2</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divId w:val="2143845816"/>
              <w:rPr>
                <w:rFonts w:eastAsia="Times New Roman"/>
              </w:rPr>
            </w:pPr>
            <w:hyperlink r:id="rId37" w:history="1">
              <w:r>
                <w:rPr>
                  <w:rStyle w:val="a3"/>
                  <w:rFonts w:eastAsia="Times New Roman"/>
                  <w:sz w:val="18"/>
                  <w:szCs w:val="18"/>
                </w:rPr>
                <w:t>Certification pursuant to 18 U.S.C. Section 1350, as adopted pursuant to Section 906 of the Sarbanes-Oxley Act of 2002, for Akash Palkhiwala.</w:t>
              </w:r>
            </w:hyperlink>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X</w:t>
            </w:r>
          </w:p>
        </w:tc>
      </w:tr>
      <w:tr w:rsidR="00000000">
        <w:trPr>
          <w:divId w:val="707149531"/>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101.INS</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rPr>
                <w:rFonts w:eastAsia="Times New Roman"/>
              </w:rPr>
            </w:pPr>
            <w:r>
              <w:rPr>
                <w:rFonts w:eastAsia="Times New Roman"/>
                <w:color w:val="000000"/>
                <w:sz w:val="18"/>
                <w:szCs w:val="18"/>
              </w:rPr>
              <w:t>XBRL Instance Document - the instance document does not appear in the Interactive Data File because its XBRL tags are embedded within the Inline XBRL document.</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X</w:t>
            </w:r>
          </w:p>
        </w:tc>
      </w:tr>
      <w:tr w:rsidR="00000000">
        <w:trPr>
          <w:divId w:val="707149531"/>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101.SCH</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rPr>
                <w:rFonts w:eastAsia="Times New Roman"/>
              </w:rPr>
            </w:pPr>
            <w:r>
              <w:rPr>
                <w:rFonts w:eastAsia="Times New Roman"/>
                <w:color w:val="000000"/>
                <w:sz w:val="18"/>
                <w:szCs w:val="18"/>
              </w:rPr>
              <w:t>XBRL Taxonomy Extension Schema.</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X</w:t>
            </w:r>
          </w:p>
        </w:tc>
      </w:tr>
      <w:tr w:rsidR="00000000">
        <w:trPr>
          <w:divId w:val="707149531"/>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101.CAL</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rPr>
                <w:rFonts w:eastAsia="Times New Roman"/>
              </w:rPr>
            </w:pPr>
            <w:r>
              <w:rPr>
                <w:rFonts w:eastAsia="Times New Roman"/>
                <w:color w:val="000000"/>
                <w:sz w:val="18"/>
                <w:szCs w:val="18"/>
              </w:rPr>
              <w:t>XBRL Taxonomy Extension Calculation Linkbase.</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X</w:t>
            </w:r>
          </w:p>
        </w:tc>
      </w:tr>
      <w:tr w:rsidR="00000000">
        <w:trPr>
          <w:divId w:val="707149531"/>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101.LAB</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rPr>
                <w:rFonts w:eastAsia="Times New Roman"/>
              </w:rPr>
            </w:pPr>
            <w:r>
              <w:rPr>
                <w:rFonts w:eastAsia="Times New Roman"/>
                <w:color w:val="000000"/>
                <w:sz w:val="18"/>
                <w:szCs w:val="18"/>
              </w:rPr>
              <w:t>XBRL Taxonomy Extension Labels Linkbase.</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X</w:t>
            </w:r>
          </w:p>
        </w:tc>
      </w:tr>
      <w:tr w:rsidR="00000000">
        <w:trPr>
          <w:divId w:val="707149531"/>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101.PRE</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rPr>
                <w:rFonts w:eastAsia="Times New Roman"/>
              </w:rPr>
            </w:pPr>
            <w:r>
              <w:rPr>
                <w:rFonts w:eastAsia="Times New Roman"/>
                <w:color w:val="000000"/>
                <w:sz w:val="18"/>
                <w:szCs w:val="18"/>
              </w:rPr>
              <w:t>XBRL Taxonomy Extension Presentation Linkbase.</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X</w:t>
            </w:r>
          </w:p>
        </w:tc>
      </w:tr>
      <w:tr w:rsidR="00000000">
        <w:trPr>
          <w:divId w:val="707149531"/>
        </w:trPr>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101.DEF</w:t>
            </w:r>
          </w:p>
        </w:tc>
        <w:tc>
          <w:tcPr>
            <w:tcW w:w="0" w:type="auto"/>
            <w:gridSpan w:val="3"/>
            <w:shd w:val="clear" w:color="auto" w:fill="FFFF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86A01">
            <w:pPr>
              <w:rPr>
                <w:rFonts w:eastAsia="Times New Roman"/>
              </w:rPr>
            </w:pPr>
            <w:r>
              <w:rPr>
                <w:rFonts w:eastAsia="Times New Roman"/>
                <w:color w:val="000000"/>
                <w:sz w:val="18"/>
                <w:szCs w:val="18"/>
              </w:rPr>
              <w:t>XBRL Taxonomy Extension Definition Linkbase.</w:t>
            </w: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X</w:t>
            </w:r>
          </w:p>
        </w:tc>
      </w:tr>
      <w:tr w:rsidR="00000000">
        <w:trPr>
          <w:divId w:val="707149531"/>
        </w:trPr>
        <w:tc>
          <w:tcPr>
            <w:tcW w:w="0" w:type="auto"/>
            <w:gridSpan w:val="3"/>
            <w:shd w:val="clear" w:color="auto" w:fill="CCEEFF"/>
            <w:tcMar>
              <w:top w:w="30" w:type="dxa"/>
              <w:left w:w="20" w:type="dxa"/>
              <w:bottom w:w="30" w:type="dxa"/>
              <w:right w:w="20" w:type="dxa"/>
            </w:tcMar>
            <w:hideMark/>
          </w:tcPr>
          <w:p w:rsidR="00000000" w:rsidRDefault="00786A01">
            <w:pPr>
              <w:jc w:val="center"/>
              <w:rPr>
                <w:rFonts w:eastAsia="Times New Roman"/>
              </w:rPr>
            </w:pPr>
            <w:r>
              <w:rPr>
                <w:rFonts w:eastAsia="Times New Roman"/>
                <w:color w:val="000000"/>
                <w:sz w:val="18"/>
                <w:szCs w:val="18"/>
              </w:rPr>
              <w:t>104</w:t>
            </w:r>
          </w:p>
        </w:tc>
        <w:tc>
          <w:tcPr>
            <w:tcW w:w="0" w:type="auto"/>
            <w:gridSpan w:val="3"/>
            <w:shd w:val="clear" w:color="auto" w:fill="CCEEFF"/>
            <w:tcMar>
              <w:top w:w="0" w:type="dxa"/>
              <w:left w:w="20" w:type="dxa"/>
              <w:bottom w:w="0" w:type="dxa"/>
              <w:right w:w="20" w:type="dxa"/>
            </w:tcMar>
            <w:vAlign w:val="center"/>
            <w:hideMark/>
          </w:tcPr>
          <w:p w:rsidR="00000000" w:rsidRDefault="00786A01">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86A01">
            <w:pPr>
              <w:rPr>
                <w:rFonts w:eastAsia="Times New Roman"/>
              </w:rPr>
            </w:pPr>
            <w:r>
              <w:rPr>
                <w:rFonts w:eastAsia="Times New Roman"/>
                <w:color w:val="000000"/>
                <w:sz w:val="18"/>
                <w:szCs w:val="18"/>
              </w:rPr>
              <w:t>Cover Page Interactive Data File (formatted as Inline XBRL and contained in Exhibit 101).</w:t>
            </w: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86A01">
            <w:pPr>
              <w:rPr>
                <w:rFonts w:eastAsia="Times New Roman"/>
                <w:sz w:val="20"/>
                <w:szCs w:val="20"/>
              </w:rPr>
            </w:pPr>
          </w:p>
        </w:tc>
      </w:tr>
    </w:tbl>
    <w:p w:rsidR="00000000" w:rsidRDefault="00786A01">
      <w:pPr>
        <w:ind w:hanging="360"/>
        <w:divId w:val="2071079343"/>
        <w:rPr>
          <w:rFonts w:eastAsia="Times New Roman"/>
        </w:rPr>
      </w:pPr>
      <w:r>
        <w:rPr>
          <w:rFonts w:eastAsia="Times New Roman"/>
          <w:color w:val="000000"/>
          <w:sz w:val="18"/>
          <w:szCs w:val="18"/>
        </w:rPr>
        <w:t>(1)</w:t>
      </w:r>
      <w:r>
        <w:rPr>
          <w:rFonts w:eastAsia="Times New Roman"/>
          <w:color w:val="000000"/>
          <w:sz w:val="18"/>
          <w:szCs w:val="18"/>
        </w:rPr>
        <w:t>We shall furnish supplementally a copy of any omitted schedule to the Commission upon request.</w:t>
      </w:r>
    </w:p>
    <w:p w:rsidR="00000000" w:rsidRDefault="00786A01">
      <w:pPr>
        <w:ind w:hanging="360"/>
        <w:divId w:val="611060386"/>
        <w:rPr>
          <w:rFonts w:eastAsia="Times New Roman"/>
        </w:rPr>
      </w:pPr>
      <w:r>
        <w:rPr>
          <w:rFonts w:eastAsia="Times New Roman"/>
          <w:color w:val="000000"/>
          <w:sz w:val="18"/>
          <w:szCs w:val="18"/>
        </w:rPr>
        <w:t>(2)Indicates management contract or compensatory plan or arrangement required to be identified pursuant to Item 15(a).</w:t>
      </w:r>
    </w:p>
    <w:p w:rsidR="00000000" w:rsidRDefault="00786A01">
      <w:pPr>
        <w:jc w:val="center"/>
        <w:divId w:val="1775438901"/>
        <w:rPr>
          <w:rFonts w:eastAsia="Times New Roman"/>
        </w:rPr>
      </w:pPr>
      <w:r>
        <w:rPr>
          <w:rFonts w:eastAsia="Times New Roman"/>
          <w:color w:val="000000"/>
          <w:sz w:val="20"/>
          <w:szCs w:val="20"/>
        </w:rPr>
        <w:t>55</w:t>
      </w:r>
    </w:p>
    <w:p w:rsidR="00000000" w:rsidRDefault="00786A01">
      <w:pPr>
        <w:rPr>
          <w:rFonts w:eastAsia="Times New Roman"/>
        </w:rPr>
      </w:pPr>
      <w:r>
        <w:rPr>
          <w:rFonts w:eastAsia="Times New Roman"/>
        </w:rPr>
        <w:pict>
          <v:rect id="_x0000_i1078" style="width:0;height:1.5pt" o:hralign="center" o:hrstd="t" o:hr="t" fillcolor="#a0a0a0" stroked="f"/>
        </w:pict>
      </w:r>
    </w:p>
    <w:p w:rsidR="00000000" w:rsidRDefault="00786A01">
      <w:pPr>
        <w:divId w:val="197816098"/>
        <w:rPr>
          <w:rFonts w:eastAsia="Times New Roman"/>
        </w:rPr>
      </w:pPr>
    </w:p>
    <w:p w:rsidR="00000000" w:rsidRDefault="00786A01">
      <w:pPr>
        <w:jc w:val="center"/>
        <w:rPr>
          <w:rFonts w:eastAsia="Times New Roman"/>
        </w:rPr>
      </w:pPr>
      <w:r>
        <w:rPr>
          <w:rFonts w:eastAsia="Times New Roman"/>
          <w:b/>
          <w:bCs/>
          <w:color w:val="000000"/>
          <w:sz w:val="20"/>
          <w:szCs w:val="20"/>
        </w:rPr>
        <w:t>SIGNATURES</w:t>
      </w:r>
    </w:p>
    <w:p w:rsidR="00000000" w:rsidRDefault="00786A01">
      <w:pPr>
        <w:ind w:firstLine="360"/>
        <w:divId w:val="575020193"/>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1537503742"/>
        </w:trPr>
        <w:tc>
          <w:tcPr>
            <w:tcW w:w="50" w:type="pct"/>
            <w:vAlign w:val="center"/>
            <w:hideMark/>
          </w:tcPr>
          <w:p w:rsidR="00000000" w:rsidRDefault="00786A01">
            <w:pPr>
              <w:ind w:firstLine="360"/>
              <w:rPr>
                <w:rFonts w:eastAsia="Times New Roman"/>
              </w:rPr>
            </w:pPr>
          </w:p>
        </w:tc>
        <w:tc>
          <w:tcPr>
            <w:tcW w:w="24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c>
          <w:tcPr>
            <w:tcW w:w="50" w:type="pct"/>
            <w:vAlign w:val="center"/>
            <w:hideMark/>
          </w:tcPr>
          <w:p w:rsidR="00000000" w:rsidRDefault="00786A01">
            <w:pPr>
              <w:rPr>
                <w:rFonts w:eastAsia="Times New Roman"/>
                <w:sz w:val="20"/>
                <w:szCs w:val="20"/>
              </w:rPr>
            </w:pPr>
          </w:p>
        </w:tc>
        <w:tc>
          <w:tcPr>
            <w:tcW w:w="2445" w:type="pct"/>
            <w:vAlign w:val="center"/>
            <w:hideMark/>
          </w:tcPr>
          <w:p w:rsidR="00000000" w:rsidRDefault="00786A01">
            <w:pPr>
              <w:rPr>
                <w:rFonts w:eastAsia="Times New Roman"/>
                <w:sz w:val="20"/>
                <w:szCs w:val="20"/>
              </w:rPr>
            </w:pPr>
          </w:p>
        </w:tc>
        <w:tc>
          <w:tcPr>
            <w:tcW w:w="5" w:type="pct"/>
            <w:vAlign w:val="center"/>
            <w:hideMark/>
          </w:tcPr>
          <w:p w:rsidR="00000000" w:rsidRDefault="00786A01">
            <w:pPr>
              <w:rPr>
                <w:rFonts w:eastAsia="Times New Roman"/>
                <w:sz w:val="20"/>
                <w:szCs w:val="20"/>
              </w:rPr>
            </w:pPr>
          </w:p>
        </w:tc>
      </w:tr>
      <w:tr w:rsidR="00000000">
        <w:trPr>
          <w:divId w:val="1537503742"/>
        </w:trPr>
        <w:tc>
          <w:tcPr>
            <w:tcW w:w="0" w:type="auto"/>
            <w:gridSpan w:val="3"/>
            <w:tcMar>
              <w:top w:w="30" w:type="dxa"/>
              <w:left w:w="20" w:type="dxa"/>
              <w:bottom w:w="30" w:type="dxa"/>
              <w:right w:w="20" w:type="dxa"/>
            </w:tcMar>
            <w:hideMark/>
          </w:tcPr>
          <w:p w:rsidR="00000000" w:rsidRDefault="00786A0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86A01">
            <w:pPr>
              <w:divId w:val="1630554401"/>
              <w:rPr>
                <w:rFonts w:eastAsia="Times New Roman"/>
              </w:rPr>
            </w:pPr>
            <w:r>
              <w:rPr>
                <w:rFonts w:eastAsia="Times New Roman"/>
                <w:color w:val="000000"/>
                <w:sz w:val="20"/>
                <w:szCs w:val="20"/>
              </w:rPr>
              <w:t>QUALCOMM Incorporated</w:t>
            </w:r>
          </w:p>
          <w:p w:rsidR="00000000" w:rsidRDefault="00786A01">
            <w:pPr>
              <w:divId w:val="362482419"/>
              <w:rPr>
                <w:rFonts w:eastAsia="Times New Roman"/>
              </w:rPr>
            </w:pPr>
            <w:r>
              <w:rPr>
                <w:rFonts w:eastAsia="Times New Roman"/>
                <w:color w:val="000000"/>
                <w:sz w:val="20"/>
                <w:szCs w:val="20"/>
              </w:rPr>
              <w:t> </w:t>
            </w:r>
          </w:p>
        </w:tc>
      </w:tr>
      <w:tr w:rsidR="00000000">
        <w:trPr>
          <w:divId w:val="1537503742"/>
        </w:trPr>
        <w:tc>
          <w:tcPr>
            <w:tcW w:w="0" w:type="auto"/>
            <w:gridSpan w:val="3"/>
            <w:tcMar>
              <w:top w:w="30" w:type="dxa"/>
              <w:left w:w="20" w:type="dxa"/>
              <w:bottom w:w="30" w:type="dxa"/>
              <w:right w:w="20" w:type="dxa"/>
            </w:tcMar>
            <w:vAlign w:val="bottom"/>
            <w:hideMark/>
          </w:tcPr>
          <w:p w:rsidR="00000000" w:rsidRDefault="00786A01">
            <w:pPr>
              <w:divId w:val="323779194"/>
              <w:rPr>
                <w:rFonts w:eastAsia="Times New Roman"/>
              </w:rPr>
            </w:pPr>
            <w:r>
              <w:rPr>
                <w:rFonts w:eastAsia="Times New Roman"/>
                <w:color w:val="000000"/>
                <w:sz w:val="20"/>
                <w:szCs w:val="20"/>
              </w:rPr>
              <w:t> Dated: April 28, 2021</w:t>
            </w:r>
          </w:p>
        </w:tc>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20"/>
                <w:szCs w:val="20"/>
              </w:rPr>
              <w:t>/s/ Akash Palkhiwala</w:t>
            </w:r>
          </w:p>
        </w:tc>
      </w:tr>
      <w:tr w:rsidR="00000000">
        <w:trPr>
          <w:divId w:val="1537503742"/>
        </w:trPr>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20"/>
                <w:szCs w:val="20"/>
              </w:rPr>
              <w:t>Akash Palkhiwala</w:t>
            </w:r>
          </w:p>
        </w:tc>
      </w:tr>
      <w:tr w:rsidR="00000000">
        <w:trPr>
          <w:divId w:val="1537503742"/>
        </w:trPr>
        <w:tc>
          <w:tcPr>
            <w:tcW w:w="0" w:type="auto"/>
            <w:gridSpan w:val="3"/>
            <w:tcMar>
              <w:top w:w="0" w:type="dxa"/>
              <w:left w:w="20" w:type="dxa"/>
              <w:bottom w:w="0" w:type="dxa"/>
              <w:right w:w="20" w:type="dxa"/>
            </w:tcMar>
            <w:vAlign w:val="center"/>
            <w:hideMark/>
          </w:tcPr>
          <w:p w:rsidR="00000000" w:rsidRDefault="00786A01">
            <w:pPr>
              <w:rPr>
                <w:rFonts w:eastAsia="Times New Roman"/>
              </w:rPr>
            </w:pPr>
          </w:p>
        </w:tc>
        <w:tc>
          <w:tcPr>
            <w:tcW w:w="0" w:type="auto"/>
            <w:gridSpan w:val="3"/>
            <w:tcMar>
              <w:top w:w="30" w:type="dxa"/>
              <w:left w:w="20" w:type="dxa"/>
              <w:bottom w:w="30" w:type="dxa"/>
              <w:right w:w="20" w:type="dxa"/>
            </w:tcMar>
            <w:vAlign w:val="bottom"/>
            <w:hideMark/>
          </w:tcPr>
          <w:p w:rsidR="00000000" w:rsidRDefault="00786A01">
            <w:pPr>
              <w:rPr>
                <w:rFonts w:eastAsia="Times New Roman"/>
              </w:rPr>
            </w:pPr>
            <w:r>
              <w:rPr>
                <w:rFonts w:eastAsia="Times New Roman"/>
                <w:color w:val="000000"/>
                <w:sz w:val="20"/>
                <w:szCs w:val="20"/>
              </w:rPr>
              <w:t xml:space="preserve">Executive Vice President and </w:t>
            </w:r>
            <w:r>
              <w:rPr>
                <w:rFonts w:eastAsia="Times New Roman"/>
                <w:color w:val="000000"/>
                <w:sz w:val="20"/>
                <w:szCs w:val="20"/>
              </w:rPr>
              <w:br/>
              <w:t>Chief Financial Officer</w:t>
            </w:r>
          </w:p>
        </w:tc>
      </w:tr>
    </w:tbl>
    <w:p w:rsidR="00786A01" w:rsidRDefault="00786A01">
      <w:pPr>
        <w:jc w:val="center"/>
        <w:divId w:val="933980171"/>
        <w:rPr>
          <w:rFonts w:eastAsia="Times New Roman"/>
        </w:rPr>
      </w:pPr>
      <w:r>
        <w:rPr>
          <w:rFonts w:eastAsia="Times New Roman"/>
          <w:color w:val="000000"/>
          <w:sz w:val="20"/>
          <w:szCs w:val="20"/>
        </w:rPr>
        <w:t>56</w:t>
      </w:r>
    </w:p>
    <w:sectPr w:rsidR="00786A0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86A01"/>
    <w:rsid w:val="00786A01"/>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2003/linkbase"/>
  <w:attachedSchema w:val="http://www.sec.gov/inlineXBRL/transformation/2015-08-31"/>
  <w:attachedSchema w:val="http://www.w3.org/1999/xlink"/>
  <w:attachedSchema w:val="http://xbrl.sec.gov/dei/2020-01-31"/>
  <w:attachedSchema w:val="http://www.xbrl.org/2003/instance"/>
  <w:attachedSchema w:val="http://www.qualcomm.com/20210328"/>
  <w:attachedSchema w:val="http://xbrl.sec.gov/currency/2020-01-31"/>
  <w:attachedSchema w:val="http://www.xbrl.org/2003/iso4217"/>
  <w:attachedSchema w:val="http://www.xbrl.org/inlineXBRL/transformation/2015-02-26"/>
  <w:attachedSchema w:val="http://fasb.org/srt/2020-01-31"/>
  <w:attachedSchema w:val="http://xbrl.org/2006/xbrldi"/>
  <w:attachedSchema w:val="http://fasb.org/us-gaap/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425">
      <w:marLeft w:val="0"/>
      <w:marRight w:val="0"/>
      <w:marTop w:val="0"/>
      <w:marBottom w:val="120"/>
      <w:divBdr>
        <w:top w:val="none" w:sz="0" w:space="0" w:color="auto"/>
        <w:left w:val="none" w:sz="0" w:space="0" w:color="auto"/>
        <w:bottom w:val="none" w:sz="0" w:space="0" w:color="auto"/>
        <w:right w:val="none" w:sz="0" w:space="0" w:color="auto"/>
      </w:divBdr>
    </w:div>
    <w:div w:id="4674388">
      <w:marLeft w:val="0"/>
      <w:marRight w:val="0"/>
      <w:marTop w:val="120"/>
      <w:marBottom w:val="0"/>
      <w:divBdr>
        <w:top w:val="none" w:sz="0" w:space="0" w:color="auto"/>
        <w:left w:val="none" w:sz="0" w:space="0" w:color="auto"/>
        <w:bottom w:val="none" w:sz="0" w:space="0" w:color="auto"/>
        <w:right w:val="none" w:sz="0" w:space="0" w:color="auto"/>
      </w:divBdr>
    </w:div>
    <w:div w:id="7487481">
      <w:marLeft w:val="0"/>
      <w:marRight w:val="0"/>
      <w:marTop w:val="0"/>
      <w:marBottom w:val="0"/>
      <w:divBdr>
        <w:top w:val="none" w:sz="0" w:space="0" w:color="auto"/>
        <w:left w:val="none" w:sz="0" w:space="0" w:color="auto"/>
        <w:bottom w:val="none" w:sz="0" w:space="0" w:color="auto"/>
        <w:right w:val="none" w:sz="0" w:space="0" w:color="auto"/>
      </w:divBdr>
    </w:div>
    <w:div w:id="7562565">
      <w:marLeft w:val="0"/>
      <w:marRight w:val="0"/>
      <w:marTop w:val="120"/>
      <w:marBottom w:val="0"/>
      <w:divBdr>
        <w:top w:val="none" w:sz="0" w:space="0" w:color="auto"/>
        <w:left w:val="none" w:sz="0" w:space="0" w:color="auto"/>
        <w:bottom w:val="none" w:sz="0" w:space="0" w:color="auto"/>
        <w:right w:val="none" w:sz="0" w:space="0" w:color="auto"/>
      </w:divBdr>
    </w:div>
    <w:div w:id="13071778">
      <w:marLeft w:val="0"/>
      <w:marRight w:val="0"/>
      <w:marTop w:val="120"/>
      <w:marBottom w:val="0"/>
      <w:divBdr>
        <w:top w:val="none" w:sz="0" w:space="0" w:color="auto"/>
        <w:left w:val="none" w:sz="0" w:space="0" w:color="auto"/>
        <w:bottom w:val="none" w:sz="0" w:space="0" w:color="auto"/>
        <w:right w:val="none" w:sz="0" w:space="0" w:color="auto"/>
      </w:divBdr>
    </w:div>
    <w:div w:id="14115039">
      <w:marLeft w:val="0"/>
      <w:marRight w:val="0"/>
      <w:marTop w:val="120"/>
      <w:marBottom w:val="120"/>
      <w:divBdr>
        <w:top w:val="none" w:sz="0" w:space="0" w:color="auto"/>
        <w:left w:val="none" w:sz="0" w:space="0" w:color="auto"/>
        <w:bottom w:val="none" w:sz="0" w:space="0" w:color="auto"/>
        <w:right w:val="none" w:sz="0" w:space="0" w:color="auto"/>
      </w:divBdr>
    </w:div>
    <w:div w:id="14426469">
      <w:marLeft w:val="0"/>
      <w:marRight w:val="0"/>
      <w:marTop w:val="120"/>
      <w:marBottom w:val="120"/>
      <w:divBdr>
        <w:top w:val="none" w:sz="0" w:space="0" w:color="auto"/>
        <w:left w:val="none" w:sz="0" w:space="0" w:color="auto"/>
        <w:bottom w:val="none" w:sz="0" w:space="0" w:color="auto"/>
        <w:right w:val="none" w:sz="0" w:space="0" w:color="auto"/>
      </w:divBdr>
    </w:div>
    <w:div w:id="14506454">
      <w:marLeft w:val="0"/>
      <w:marRight w:val="0"/>
      <w:marTop w:val="120"/>
      <w:marBottom w:val="0"/>
      <w:divBdr>
        <w:top w:val="none" w:sz="0" w:space="0" w:color="auto"/>
        <w:left w:val="none" w:sz="0" w:space="0" w:color="auto"/>
        <w:bottom w:val="none" w:sz="0" w:space="0" w:color="auto"/>
        <w:right w:val="none" w:sz="0" w:space="0" w:color="auto"/>
      </w:divBdr>
    </w:div>
    <w:div w:id="23867599">
      <w:marLeft w:val="0"/>
      <w:marRight w:val="0"/>
      <w:marTop w:val="0"/>
      <w:marBottom w:val="0"/>
      <w:divBdr>
        <w:top w:val="none" w:sz="0" w:space="0" w:color="auto"/>
        <w:left w:val="none" w:sz="0" w:space="0" w:color="auto"/>
        <w:bottom w:val="none" w:sz="0" w:space="0" w:color="auto"/>
        <w:right w:val="none" w:sz="0" w:space="0" w:color="auto"/>
      </w:divBdr>
    </w:div>
    <w:div w:id="24063801">
      <w:marLeft w:val="0"/>
      <w:marRight w:val="0"/>
      <w:marTop w:val="120"/>
      <w:marBottom w:val="0"/>
      <w:divBdr>
        <w:top w:val="none" w:sz="0" w:space="0" w:color="auto"/>
        <w:left w:val="none" w:sz="0" w:space="0" w:color="auto"/>
        <w:bottom w:val="none" w:sz="0" w:space="0" w:color="auto"/>
        <w:right w:val="none" w:sz="0" w:space="0" w:color="auto"/>
      </w:divBdr>
    </w:div>
    <w:div w:id="33117899">
      <w:marLeft w:val="0"/>
      <w:marRight w:val="0"/>
      <w:marTop w:val="120"/>
      <w:marBottom w:val="0"/>
      <w:divBdr>
        <w:top w:val="none" w:sz="0" w:space="0" w:color="auto"/>
        <w:left w:val="none" w:sz="0" w:space="0" w:color="auto"/>
        <w:bottom w:val="none" w:sz="0" w:space="0" w:color="auto"/>
        <w:right w:val="none" w:sz="0" w:space="0" w:color="auto"/>
      </w:divBdr>
    </w:div>
    <w:div w:id="35547171">
      <w:marLeft w:val="0"/>
      <w:marRight w:val="0"/>
      <w:marTop w:val="120"/>
      <w:marBottom w:val="0"/>
      <w:divBdr>
        <w:top w:val="none" w:sz="0" w:space="0" w:color="auto"/>
        <w:left w:val="none" w:sz="0" w:space="0" w:color="auto"/>
        <w:bottom w:val="none" w:sz="0" w:space="0" w:color="auto"/>
        <w:right w:val="none" w:sz="0" w:space="0" w:color="auto"/>
      </w:divBdr>
    </w:div>
    <w:div w:id="38475593">
      <w:marLeft w:val="0"/>
      <w:marRight w:val="0"/>
      <w:marTop w:val="120"/>
      <w:marBottom w:val="0"/>
      <w:divBdr>
        <w:top w:val="none" w:sz="0" w:space="0" w:color="auto"/>
        <w:left w:val="none" w:sz="0" w:space="0" w:color="auto"/>
        <w:bottom w:val="none" w:sz="0" w:space="0" w:color="auto"/>
        <w:right w:val="none" w:sz="0" w:space="0" w:color="auto"/>
      </w:divBdr>
    </w:div>
    <w:div w:id="43217740">
      <w:marLeft w:val="0"/>
      <w:marRight w:val="0"/>
      <w:marTop w:val="120"/>
      <w:marBottom w:val="120"/>
      <w:divBdr>
        <w:top w:val="none" w:sz="0" w:space="0" w:color="auto"/>
        <w:left w:val="none" w:sz="0" w:space="0" w:color="auto"/>
        <w:bottom w:val="none" w:sz="0" w:space="0" w:color="auto"/>
        <w:right w:val="none" w:sz="0" w:space="0" w:color="auto"/>
      </w:divBdr>
    </w:div>
    <w:div w:id="45296079">
      <w:marLeft w:val="0"/>
      <w:marRight w:val="0"/>
      <w:marTop w:val="120"/>
      <w:marBottom w:val="0"/>
      <w:divBdr>
        <w:top w:val="none" w:sz="0" w:space="0" w:color="auto"/>
        <w:left w:val="none" w:sz="0" w:space="0" w:color="auto"/>
        <w:bottom w:val="none" w:sz="0" w:space="0" w:color="auto"/>
        <w:right w:val="none" w:sz="0" w:space="0" w:color="auto"/>
      </w:divBdr>
    </w:div>
    <w:div w:id="49306164">
      <w:marLeft w:val="0"/>
      <w:marRight w:val="0"/>
      <w:marTop w:val="0"/>
      <w:marBottom w:val="0"/>
      <w:divBdr>
        <w:top w:val="none" w:sz="0" w:space="0" w:color="auto"/>
        <w:left w:val="none" w:sz="0" w:space="0" w:color="auto"/>
        <w:bottom w:val="none" w:sz="0" w:space="0" w:color="auto"/>
        <w:right w:val="none" w:sz="0" w:space="0" w:color="auto"/>
      </w:divBdr>
      <w:divsChild>
        <w:div w:id="1411006131">
          <w:marLeft w:val="0"/>
          <w:marRight w:val="0"/>
          <w:marTop w:val="0"/>
          <w:marBottom w:val="0"/>
          <w:divBdr>
            <w:top w:val="none" w:sz="0" w:space="0" w:color="auto"/>
            <w:left w:val="none" w:sz="0" w:space="0" w:color="auto"/>
            <w:bottom w:val="none" w:sz="0" w:space="0" w:color="auto"/>
            <w:right w:val="none" w:sz="0" w:space="0" w:color="auto"/>
          </w:divBdr>
        </w:div>
      </w:divsChild>
    </w:div>
    <w:div w:id="56899997">
      <w:marLeft w:val="0"/>
      <w:marRight w:val="0"/>
      <w:marTop w:val="0"/>
      <w:marBottom w:val="0"/>
      <w:divBdr>
        <w:top w:val="none" w:sz="0" w:space="0" w:color="auto"/>
        <w:left w:val="none" w:sz="0" w:space="0" w:color="auto"/>
        <w:bottom w:val="none" w:sz="0" w:space="0" w:color="auto"/>
        <w:right w:val="none" w:sz="0" w:space="0" w:color="auto"/>
      </w:divBdr>
    </w:div>
    <w:div w:id="58288196">
      <w:marLeft w:val="0"/>
      <w:marRight w:val="0"/>
      <w:marTop w:val="120"/>
      <w:marBottom w:val="0"/>
      <w:divBdr>
        <w:top w:val="none" w:sz="0" w:space="0" w:color="auto"/>
        <w:left w:val="none" w:sz="0" w:space="0" w:color="auto"/>
        <w:bottom w:val="none" w:sz="0" w:space="0" w:color="auto"/>
        <w:right w:val="none" w:sz="0" w:space="0" w:color="auto"/>
      </w:divBdr>
    </w:div>
    <w:div w:id="59139994">
      <w:marLeft w:val="0"/>
      <w:marRight w:val="0"/>
      <w:marTop w:val="120"/>
      <w:marBottom w:val="0"/>
      <w:divBdr>
        <w:top w:val="none" w:sz="0" w:space="0" w:color="auto"/>
        <w:left w:val="none" w:sz="0" w:space="0" w:color="auto"/>
        <w:bottom w:val="none" w:sz="0" w:space="0" w:color="auto"/>
        <w:right w:val="none" w:sz="0" w:space="0" w:color="auto"/>
      </w:divBdr>
    </w:div>
    <w:div w:id="60103296">
      <w:marLeft w:val="0"/>
      <w:marRight w:val="0"/>
      <w:marTop w:val="0"/>
      <w:marBottom w:val="0"/>
      <w:divBdr>
        <w:top w:val="none" w:sz="0" w:space="0" w:color="auto"/>
        <w:left w:val="none" w:sz="0" w:space="0" w:color="auto"/>
        <w:bottom w:val="none" w:sz="0" w:space="0" w:color="auto"/>
        <w:right w:val="none" w:sz="0" w:space="0" w:color="auto"/>
      </w:divBdr>
      <w:divsChild>
        <w:div w:id="346252765">
          <w:marLeft w:val="0"/>
          <w:marRight w:val="0"/>
          <w:marTop w:val="0"/>
          <w:marBottom w:val="0"/>
          <w:divBdr>
            <w:top w:val="none" w:sz="0" w:space="0" w:color="auto"/>
            <w:left w:val="none" w:sz="0" w:space="0" w:color="auto"/>
            <w:bottom w:val="none" w:sz="0" w:space="0" w:color="auto"/>
            <w:right w:val="none" w:sz="0" w:space="0" w:color="auto"/>
          </w:divBdr>
        </w:div>
      </w:divsChild>
    </w:div>
    <w:div w:id="63651767">
      <w:marLeft w:val="0"/>
      <w:marRight w:val="0"/>
      <w:marTop w:val="120"/>
      <w:marBottom w:val="0"/>
      <w:divBdr>
        <w:top w:val="none" w:sz="0" w:space="0" w:color="auto"/>
        <w:left w:val="none" w:sz="0" w:space="0" w:color="auto"/>
        <w:bottom w:val="none" w:sz="0" w:space="0" w:color="auto"/>
        <w:right w:val="none" w:sz="0" w:space="0" w:color="auto"/>
      </w:divBdr>
    </w:div>
    <w:div w:id="65106692">
      <w:marLeft w:val="0"/>
      <w:marRight w:val="0"/>
      <w:marTop w:val="120"/>
      <w:marBottom w:val="0"/>
      <w:divBdr>
        <w:top w:val="none" w:sz="0" w:space="0" w:color="auto"/>
        <w:left w:val="none" w:sz="0" w:space="0" w:color="auto"/>
        <w:bottom w:val="none" w:sz="0" w:space="0" w:color="auto"/>
        <w:right w:val="none" w:sz="0" w:space="0" w:color="auto"/>
      </w:divBdr>
    </w:div>
    <w:div w:id="75901586">
      <w:marLeft w:val="0"/>
      <w:marRight w:val="0"/>
      <w:marTop w:val="120"/>
      <w:marBottom w:val="120"/>
      <w:divBdr>
        <w:top w:val="none" w:sz="0" w:space="0" w:color="auto"/>
        <w:left w:val="none" w:sz="0" w:space="0" w:color="auto"/>
        <w:bottom w:val="none" w:sz="0" w:space="0" w:color="auto"/>
        <w:right w:val="none" w:sz="0" w:space="0" w:color="auto"/>
      </w:divBdr>
    </w:div>
    <w:div w:id="82142898">
      <w:marLeft w:val="0"/>
      <w:marRight w:val="0"/>
      <w:marTop w:val="180"/>
      <w:marBottom w:val="0"/>
      <w:divBdr>
        <w:top w:val="none" w:sz="0" w:space="0" w:color="auto"/>
        <w:left w:val="none" w:sz="0" w:space="0" w:color="auto"/>
        <w:bottom w:val="none" w:sz="0" w:space="0" w:color="auto"/>
        <w:right w:val="none" w:sz="0" w:space="0" w:color="auto"/>
      </w:divBdr>
    </w:div>
    <w:div w:id="82730037">
      <w:marLeft w:val="0"/>
      <w:marRight w:val="0"/>
      <w:marTop w:val="60"/>
      <w:marBottom w:val="0"/>
      <w:divBdr>
        <w:top w:val="none" w:sz="0" w:space="0" w:color="auto"/>
        <w:left w:val="none" w:sz="0" w:space="0" w:color="auto"/>
        <w:bottom w:val="none" w:sz="0" w:space="0" w:color="auto"/>
        <w:right w:val="none" w:sz="0" w:space="0" w:color="auto"/>
      </w:divBdr>
    </w:div>
    <w:div w:id="86317313">
      <w:marLeft w:val="0"/>
      <w:marRight w:val="0"/>
      <w:marTop w:val="120"/>
      <w:marBottom w:val="0"/>
      <w:divBdr>
        <w:top w:val="none" w:sz="0" w:space="0" w:color="auto"/>
        <w:left w:val="none" w:sz="0" w:space="0" w:color="auto"/>
        <w:bottom w:val="none" w:sz="0" w:space="0" w:color="auto"/>
        <w:right w:val="none" w:sz="0" w:space="0" w:color="auto"/>
      </w:divBdr>
    </w:div>
    <w:div w:id="86928087">
      <w:marLeft w:val="0"/>
      <w:marRight w:val="0"/>
      <w:marTop w:val="120"/>
      <w:marBottom w:val="0"/>
      <w:divBdr>
        <w:top w:val="none" w:sz="0" w:space="0" w:color="auto"/>
        <w:left w:val="none" w:sz="0" w:space="0" w:color="auto"/>
        <w:bottom w:val="none" w:sz="0" w:space="0" w:color="auto"/>
        <w:right w:val="none" w:sz="0" w:space="0" w:color="auto"/>
      </w:divBdr>
    </w:div>
    <w:div w:id="90123123">
      <w:marLeft w:val="0"/>
      <w:marRight w:val="0"/>
      <w:marTop w:val="120"/>
      <w:marBottom w:val="0"/>
      <w:divBdr>
        <w:top w:val="none" w:sz="0" w:space="0" w:color="auto"/>
        <w:left w:val="none" w:sz="0" w:space="0" w:color="auto"/>
        <w:bottom w:val="none" w:sz="0" w:space="0" w:color="auto"/>
        <w:right w:val="none" w:sz="0" w:space="0" w:color="auto"/>
      </w:divBdr>
    </w:div>
    <w:div w:id="90515641">
      <w:marLeft w:val="0"/>
      <w:marRight w:val="0"/>
      <w:marTop w:val="120"/>
      <w:marBottom w:val="0"/>
      <w:divBdr>
        <w:top w:val="none" w:sz="0" w:space="0" w:color="auto"/>
        <w:left w:val="none" w:sz="0" w:space="0" w:color="auto"/>
        <w:bottom w:val="none" w:sz="0" w:space="0" w:color="auto"/>
        <w:right w:val="none" w:sz="0" w:space="0" w:color="auto"/>
      </w:divBdr>
    </w:div>
    <w:div w:id="91173505">
      <w:marLeft w:val="0"/>
      <w:marRight w:val="0"/>
      <w:marTop w:val="120"/>
      <w:marBottom w:val="120"/>
      <w:divBdr>
        <w:top w:val="none" w:sz="0" w:space="0" w:color="auto"/>
        <w:left w:val="none" w:sz="0" w:space="0" w:color="auto"/>
        <w:bottom w:val="none" w:sz="0" w:space="0" w:color="auto"/>
        <w:right w:val="none" w:sz="0" w:space="0" w:color="auto"/>
      </w:divBdr>
      <w:divsChild>
        <w:div w:id="2012558950">
          <w:marLeft w:val="0"/>
          <w:marRight w:val="0"/>
          <w:marTop w:val="0"/>
          <w:marBottom w:val="0"/>
          <w:divBdr>
            <w:top w:val="none" w:sz="0" w:space="0" w:color="auto"/>
            <w:left w:val="none" w:sz="0" w:space="0" w:color="auto"/>
            <w:bottom w:val="none" w:sz="0" w:space="0" w:color="auto"/>
            <w:right w:val="none" w:sz="0" w:space="0" w:color="auto"/>
          </w:divBdr>
        </w:div>
      </w:divsChild>
    </w:div>
    <w:div w:id="99880877">
      <w:marLeft w:val="0"/>
      <w:marRight w:val="0"/>
      <w:marTop w:val="0"/>
      <w:marBottom w:val="0"/>
      <w:divBdr>
        <w:top w:val="none" w:sz="0" w:space="0" w:color="auto"/>
        <w:left w:val="none" w:sz="0" w:space="0" w:color="auto"/>
        <w:bottom w:val="none" w:sz="0" w:space="0" w:color="auto"/>
        <w:right w:val="none" w:sz="0" w:space="0" w:color="auto"/>
      </w:divBdr>
      <w:divsChild>
        <w:div w:id="178853796">
          <w:marLeft w:val="0"/>
          <w:marRight w:val="0"/>
          <w:marTop w:val="0"/>
          <w:marBottom w:val="0"/>
          <w:divBdr>
            <w:top w:val="none" w:sz="0" w:space="0" w:color="auto"/>
            <w:left w:val="none" w:sz="0" w:space="0" w:color="auto"/>
            <w:bottom w:val="none" w:sz="0" w:space="0" w:color="auto"/>
            <w:right w:val="none" w:sz="0" w:space="0" w:color="auto"/>
          </w:divBdr>
        </w:div>
      </w:divsChild>
    </w:div>
    <w:div w:id="107704487">
      <w:marLeft w:val="0"/>
      <w:marRight w:val="0"/>
      <w:marTop w:val="120"/>
      <w:marBottom w:val="0"/>
      <w:divBdr>
        <w:top w:val="none" w:sz="0" w:space="0" w:color="auto"/>
        <w:left w:val="none" w:sz="0" w:space="0" w:color="auto"/>
        <w:bottom w:val="none" w:sz="0" w:space="0" w:color="auto"/>
        <w:right w:val="none" w:sz="0" w:space="0" w:color="auto"/>
      </w:divBdr>
    </w:div>
    <w:div w:id="113915180">
      <w:marLeft w:val="0"/>
      <w:marRight w:val="0"/>
      <w:marTop w:val="120"/>
      <w:marBottom w:val="0"/>
      <w:divBdr>
        <w:top w:val="none" w:sz="0" w:space="0" w:color="auto"/>
        <w:left w:val="none" w:sz="0" w:space="0" w:color="auto"/>
        <w:bottom w:val="none" w:sz="0" w:space="0" w:color="auto"/>
        <w:right w:val="none" w:sz="0" w:space="0" w:color="auto"/>
      </w:divBdr>
    </w:div>
    <w:div w:id="114910808">
      <w:marLeft w:val="0"/>
      <w:marRight w:val="0"/>
      <w:marTop w:val="0"/>
      <w:marBottom w:val="0"/>
      <w:divBdr>
        <w:top w:val="none" w:sz="0" w:space="0" w:color="auto"/>
        <w:left w:val="none" w:sz="0" w:space="0" w:color="auto"/>
        <w:bottom w:val="none" w:sz="0" w:space="0" w:color="auto"/>
        <w:right w:val="none" w:sz="0" w:space="0" w:color="auto"/>
      </w:divBdr>
    </w:div>
    <w:div w:id="116609263">
      <w:marLeft w:val="0"/>
      <w:marRight w:val="0"/>
      <w:marTop w:val="120"/>
      <w:marBottom w:val="0"/>
      <w:divBdr>
        <w:top w:val="none" w:sz="0" w:space="0" w:color="auto"/>
        <w:left w:val="none" w:sz="0" w:space="0" w:color="auto"/>
        <w:bottom w:val="none" w:sz="0" w:space="0" w:color="auto"/>
        <w:right w:val="none" w:sz="0" w:space="0" w:color="auto"/>
      </w:divBdr>
    </w:div>
    <w:div w:id="119691722">
      <w:marLeft w:val="0"/>
      <w:marRight w:val="0"/>
      <w:marTop w:val="120"/>
      <w:marBottom w:val="0"/>
      <w:divBdr>
        <w:top w:val="none" w:sz="0" w:space="0" w:color="auto"/>
        <w:left w:val="none" w:sz="0" w:space="0" w:color="auto"/>
        <w:bottom w:val="none" w:sz="0" w:space="0" w:color="auto"/>
        <w:right w:val="none" w:sz="0" w:space="0" w:color="auto"/>
      </w:divBdr>
    </w:div>
    <w:div w:id="122433849">
      <w:marLeft w:val="0"/>
      <w:marRight w:val="0"/>
      <w:marTop w:val="120"/>
      <w:marBottom w:val="0"/>
      <w:divBdr>
        <w:top w:val="none" w:sz="0" w:space="0" w:color="auto"/>
        <w:left w:val="none" w:sz="0" w:space="0" w:color="auto"/>
        <w:bottom w:val="none" w:sz="0" w:space="0" w:color="auto"/>
        <w:right w:val="none" w:sz="0" w:space="0" w:color="auto"/>
      </w:divBdr>
    </w:div>
    <w:div w:id="122506428">
      <w:marLeft w:val="0"/>
      <w:marRight w:val="0"/>
      <w:marTop w:val="120"/>
      <w:marBottom w:val="0"/>
      <w:divBdr>
        <w:top w:val="none" w:sz="0" w:space="0" w:color="auto"/>
        <w:left w:val="none" w:sz="0" w:space="0" w:color="auto"/>
        <w:bottom w:val="none" w:sz="0" w:space="0" w:color="auto"/>
        <w:right w:val="none" w:sz="0" w:space="0" w:color="auto"/>
      </w:divBdr>
    </w:div>
    <w:div w:id="122777829">
      <w:marLeft w:val="0"/>
      <w:marRight w:val="0"/>
      <w:marTop w:val="120"/>
      <w:marBottom w:val="0"/>
      <w:divBdr>
        <w:top w:val="none" w:sz="0" w:space="0" w:color="auto"/>
        <w:left w:val="none" w:sz="0" w:space="0" w:color="auto"/>
        <w:bottom w:val="none" w:sz="0" w:space="0" w:color="auto"/>
        <w:right w:val="none" w:sz="0" w:space="0" w:color="auto"/>
      </w:divBdr>
    </w:div>
    <w:div w:id="124853205">
      <w:marLeft w:val="0"/>
      <w:marRight w:val="0"/>
      <w:marTop w:val="120"/>
      <w:marBottom w:val="0"/>
      <w:divBdr>
        <w:top w:val="none" w:sz="0" w:space="0" w:color="auto"/>
        <w:left w:val="none" w:sz="0" w:space="0" w:color="auto"/>
        <w:bottom w:val="none" w:sz="0" w:space="0" w:color="auto"/>
        <w:right w:val="none" w:sz="0" w:space="0" w:color="auto"/>
      </w:divBdr>
    </w:div>
    <w:div w:id="127557062">
      <w:marLeft w:val="0"/>
      <w:marRight w:val="0"/>
      <w:marTop w:val="0"/>
      <w:marBottom w:val="0"/>
      <w:divBdr>
        <w:top w:val="none" w:sz="0" w:space="0" w:color="auto"/>
        <w:left w:val="none" w:sz="0" w:space="0" w:color="auto"/>
        <w:bottom w:val="none" w:sz="0" w:space="0" w:color="auto"/>
        <w:right w:val="none" w:sz="0" w:space="0" w:color="auto"/>
      </w:divBdr>
      <w:divsChild>
        <w:div w:id="1276130815">
          <w:marLeft w:val="0"/>
          <w:marRight w:val="0"/>
          <w:marTop w:val="0"/>
          <w:marBottom w:val="0"/>
          <w:divBdr>
            <w:top w:val="none" w:sz="0" w:space="0" w:color="auto"/>
            <w:left w:val="none" w:sz="0" w:space="0" w:color="auto"/>
            <w:bottom w:val="none" w:sz="0" w:space="0" w:color="auto"/>
            <w:right w:val="none" w:sz="0" w:space="0" w:color="auto"/>
          </w:divBdr>
        </w:div>
      </w:divsChild>
    </w:div>
    <w:div w:id="129324061">
      <w:marLeft w:val="0"/>
      <w:marRight w:val="0"/>
      <w:marTop w:val="120"/>
      <w:marBottom w:val="0"/>
      <w:divBdr>
        <w:top w:val="none" w:sz="0" w:space="0" w:color="auto"/>
        <w:left w:val="none" w:sz="0" w:space="0" w:color="auto"/>
        <w:bottom w:val="none" w:sz="0" w:space="0" w:color="auto"/>
        <w:right w:val="none" w:sz="0" w:space="0" w:color="auto"/>
      </w:divBdr>
    </w:div>
    <w:div w:id="140512689">
      <w:marLeft w:val="0"/>
      <w:marRight w:val="0"/>
      <w:marTop w:val="120"/>
      <w:marBottom w:val="0"/>
      <w:divBdr>
        <w:top w:val="none" w:sz="0" w:space="0" w:color="auto"/>
        <w:left w:val="none" w:sz="0" w:space="0" w:color="auto"/>
        <w:bottom w:val="none" w:sz="0" w:space="0" w:color="auto"/>
        <w:right w:val="none" w:sz="0" w:space="0" w:color="auto"/>
      </w:divBdr>
    </w:div>
    <w:div w:id="141628946">
      <w:marLeft w:val="0"/>
      <w:marRight w:val="0"/>
      <w:marTop w:val="120"/>
      <w:marBottom w:val="120"/>
      <w:divBdr>
        <w:top w:val="none" w:sz="0" w:space="0" w:color="auto"/>
        <w:left w:val="none" w:sz="0" w:space="0" w:color="auto"/>
        <w:bottom w:val="none" w:sz="0" w:space="0" w:color="auto"/>
        <w:right w:val="none" w:sz="0" w:space="0" w:color="auto"/>
      </w:divBdr>
    </w:div>
    <w:div w:id="142546947">
      <w:marLeft w:val="0"/>
      <w:marRight w:val="0"/>
      <w:marTop w:val="240"/>
      <w:marBottom w:val="0"/>
      <w:divBdr>
        <w:top w:val="none" w:sz="0" w:space="0" w:color="auto"/>
        <w:left w:val="none" w:sz="0" w:space="0" w:color="auto"/>
        <w:bottom w:val="none" w:sz="0" w:space="0" w:color="auto"/>
        <w:right w:val="none" w:sz="0" w:space="0" w:color="auto"/>
      </w:divBdr>
    </w:div>
    <w:div w:id="148717117">
      <w:marLeft w:val="0"/>
      <w:marRight w:val="0"/>
      <w:marTop w:val="120"/>
      <w:marBottom w:val="120"/>
      <w:divBdr>
        <w:top w:val="none" w:sz="0" w:space="0" w:color="auto"/>
        <w:left w:val="none" w:sz="0" w:space="0" w:color="auto"/>
        <w:bottom w:val="none" w:sz="0" w:space="0" w:color="auto"/>
        <w:right w:val="none" w:sz="0" w:space="0" w:color="auto"/>
      </w:divBdr>
    </w:div>
    <w:div w:id="150222018">
      <w:marLeft w:val="0"/>
      <w:marRight w:val="0"/>
      <w:marTop w:val="0"/>
      <w:marBottom w:val="0"/>
      <w:divBdr>
        <w:top w:val="none" w:sz="0" w:space="0" w:color="auto"/>
        <w:left w:val="none" w:sz="0" w:space="0" w:color="auto"/>
        <w:bottom w:val="none" w:sz="0" w:space="0" w:color="auto"/>
        <w:right w:val="none" w:sz="0" w:space="0" w:color="auto"/>
      </w:divBdr>
    </w:div>
    <w:div w:id="151455559">
      <w:marLeft w:val="0"/>
      <w:marRight w:val="0"/>
      <w:marTop w:val="120"/>
      <w:marBottom w:val="0"/>
      <w:divBdr>
        <w:top w:val="none" w:sz="0" w:space="0" w:color="auto"/>
        <w:left w:val="none" w:sz="0" w:space="0" w:color="auto"/>
        <w:bottom w:val="none" w:sz="0" w:space="0" w:color="auto"/>
        <w:right w:val="none" w:sz="0" w:space="0" w:color="auto"/>
      </w:divBdr>
    </w:div>
    <w:div w:id="151876614">
      <w:marLeft w:val="0"/>
      <w:marRight w:val="0"/>
      <w:marTop w:val="120"/>
      <w:marBottom w:val="0"/>
      <w:divBdr>
        <w:top w:val="none" w:sz="0" w:space="0" w:color="auto"/>
        <w:left w:val="none" w:sz="0" w:space="0" w:color="auto"/>
        <w:bottom w:val="none" w:sz="0" w:space="0" w:color="auto"/>
        <w:right w:val="none" w:sz="0" w:space="0" w:color="auto"/>
      </w:divBdr>
    </w:div>
    <w:div w:id="151995189">
      <w:marLeft w:val="0"/>
      <w:marRight w:val="0"/>
      <w:marTop w:val="0"/>
      <w:marBottom w:val="0"/>
      <w:divBdr>
        <w:top w:val="none" w:sz="0" w:space="0" w:color="auto"/>
        <w:left w:val="none" w:sz="0" w:space="0" w:color="auto"/>
        <w:bottom w:val="none" w:sz="0" w:space="0" w:color="auto"/>
        <w:right w:val="none" w:sz="0" w:space="0" w:color="auto"/>
      </w:divBdr>
      <w:divsChild>
        <w:div w:id="1148981106">
          <w:marLeft w:val="0"/>
          <w:marRight w:val="0"/>
          <w:marTop w:val="0"/>
          <w:marBottom w:val="0"/>
          <w:divBdr>
            <w:top w:val="none" w:sz="0" w:space="0" w:color="auto"/>
            <w:left w:val="none" w:sz="0" w:space="0" w:color="auto"/>
            <w:bottom w:val="none" w:sz="0" w:space="0" w:color="auto"/>
            <w:right w:val="none" w:sz="0" w:space="0" w:color="auto"/>
          </w:divBdr>
        </w:div>
      </w:divsChild>
    </w:div>
    <w:div w:id="152571708">
      <w:marLeft w:val="0"/>
      <w:marRight w:val="0"/>
      <w:marTop w:val="0"/>
      <w:marBottom w:val="0"/>
      <w:divBdr>
        <w:top w:val="none" w:sz="0" w:space="0" w:color="auto"/>
        <w:left w:val="none" w:sz="0" w:space="0" w:color="auto"/>
        <w:bottom w:val="none" w:sz="0" w:space="0" w:color="auto"/>
        <w:right w:val="none" w:sz="0" w:space="0" w:color="auto"/>
      </w:divBdr>
      <w:divsChild>
        <w:div w:id="1528912135">
          <w:marLeft w:val="0"/>
          <w:marRight w:val="0"/>
          <w:marTop w:val="0"/>
          <w:marBottom w:val="0"/>
          <w:divBdr>
            <w:top w:val="none" w:sz="0" w:space="0" w:color="auto"/>
            <w:left w:val="none" w:sz="0" w:space="0" w:color="auto"/>
            <w:bottom w:val="none" w:sz="0" w:space="0" w:color="auto"/>
            <w:right w:val="none" w:sz="0" w:space="0" w:color="auto"/>
          </w:divBdr>
        </w:div>
      </w:divsChild>
    </w:div>
    <w:div w:id="155388152">
      <w:marLeft w:val="0"/>
      <w:marRight w:val="0"/>
      <w:marTop w:val="0"/>
      <w:marBottom w:val="0"/>
      <w:divBdr>
        <w:top w:val="none" w:sz="0" w:space="0" w:color="auto"/>
        <w:left w:val="none" w:sz="0" w:space="0" w:color="auto"/>
        <w:bottom w:val="none" w:sz="0" w:space="0" w:color="auto"/>
        <w:right w:val="none" w:sz="0" w:space="0" w:color="auto"/>
      </w:divBdr>
    </w:div>
    <w:div w:id="176773662">
      <w:marLeft w:val="0"/>
      <w:marRight w:val="0"/>
      <w:marTop w:val="120"/>
      <w:marBottom w:val="0"/>
      <w:divBdr>
        <w:top w:val="none" w:sz="0" w:space="0" w:color="auto"/>
        <w:left w:val="none" w:sz="0" w:space="0" w:color="auto"/>
        <w:bottom w:val="none" w:sz="0" w:space="0" w:color="auto"/>
        <w:right w:val="none" w:sz="0" w:space="0" w:color="auto"/>
      </w:divBdr>
    </w:div>
    <w:div w:id="184905783">
      <w:marLeft w:val="0"/>
      <w:marRight w:val="0"/>
      <w:marTop w:val="120"/>
      <w:marBottom w:val="0"/>
      <w:divBdr>
        <w:top w:val="none" w:sz="0" w:space="0" w:color="auto"/>
        <w:left w:val="none" w:sz="0" w:space="0" w:color="auto"/>
        <w:bottom w:val="none" w:sz="0" w:space="0" w:color="auto"/>
        <w:right w:val="none" w:sz="0" w:space="0" w:color="auto"/>
      </w:divBdr>
    </w:div>
    <w:div w:id="186987982">
      <w:marLeft w:val="0"/>
      <w:marRight w:val="0"/>
      <w:marTop w:val="0"/>
      <w:marBottom w:val="0"/>
      <w:divBdr>
        <w:top w:val="none" w:sz="0" w:space="0" w:color="auto"/>
        <w:left w:val="none" w:sz="0" w:space="0" w:color="auto"/>
        <w:bottom w:val="none" w:sz="0" w:space="0" w:color="auto"/>
        <w:right w:val="none" w:sz="0" w:space="0" w:color="auto"/>
      </w:divBdr>
    </w:div>
    <w:div w:id="199249470">
      <w:marLeft w:val="0"/>
      <w:marRight w:val="0"/>
      <w:marTop w:val="0"/>
      <w:marBottom w:val="0"/>
      <w:divBdr>
        <w:top w:val="none" w:sz="0" w:space="0" w:color="auto"/>
        <w:left w:val="none" w:sz="0" w:space="0" w:color="auto"/>
        <w:bottom w:val="none" w:sz="0" w:space="0" w:color="auto"/>
        <w:right w:val="none" w:sz="0" w:space="0" w:color="auto"/>
      </w:divBdr>
      <w:divsChild>
        <w:div w:id="1869295742">
          <w:marLeft w:val="0"/>
          <w:marRight w:val="0"/>
          <w:marTop w:val="0"/>
          <w:marBottom w:val="0"/>
          <w:divBdr>
            <w:top w:val="none" w:sz="0" w:space="0" w:color="auto"/>
            <w:left w:val="none" w:sz="0" w:space="0" w:color="auto"/>
            <w:bottom w:val="none" w:sz="0" w:space="0" w:color="auto"/>
            <w:right w:val="none" w:sz="0" w:space="0" w:color="auto"/>
          </w:divBdr>
        </w:div>
        <w:div w:id="1529299716">
          <w:marLeft w:val="0"/>
          <w:marRight w:val="0"/>
          <w:marTop w:val="0"/>
          <w:marBottom w:val="0"/>
          <w:divBdr>
            <w:top w:val="none" w:sz="0" w:space="0" w:color="auto"/>
            <w:left w:val="none" w:sz="0" w:space="0" w:color="auto"/>
            <w:bottom w:val="none" w:sz="0" w:space="0" w:color="auto"/>
            <w:right w:val="none" w:sz="0" w:space="0" w:color="auto"/>
          </w:divBdr>
        </w:div>
        <w:div w:id="2083290386">
          <w:marLeft w:val="0"/>
          <w:marRight w:val="0"/>
          <w:marTop w:val="0"/>
          <w:marBottom w:val="0"/>
          <w:divBdr>
            <w:top w:val="none" w:sz="0" w:space="0" w:color="auto"/>
            <w:left w:val="none" w:sz="0" w:space="0" w:color="auto"/>
            <w:bottom w:val="none" w:sz="0" w:space="0" w:color="auto"/>
            <w:right w:val="none" w:sz="0" w:space="0" w:color="auto"/>
          </w:divBdr>
        </w:div>
        <w:div w:id="1304191857">
          <w:marLeft w:val="0"/>
          <w:marRight w:val="0"/>
          <w:marTop w:val="0"/>
          <w:marBottom w:val="0"/>
          <w:divBdr>
            <w:top w:val="none" w:sz="0" w:space="0" w:color="auto"/>
            <w:left w:val="none" w:sz="0" w:space="0" w:color="auto"/>
            <w:bottom w:val="none" w:sz="0" w:space="0" w:color="auto"/>
            <w:right w:val="none" w:sz="0" w:space="0" w:color="auto"/>
          </w:divBdr>
        </w:div>
        <w:div w:id="347952064">
          <w:marLeft w:val="0"/>
          <w:marRight w:val="0"/>
          <w:marTop w:val="0"/>
          <w:marBottom w:val="0"/>
          <w:divBdr>
            <w:top w:val="none" w:sz="0" w:space="0" w:color="auto"/>
            <w:left w:val="none" w:sz="0" w:space="0" w:color="auto"/>
            <w:bottom w:val="none" w:sz="0" w:space="0" w:color="auto"/>
            <w:right w:val="none" w:sz="0" w:space="0" w:color="auto"/>
          </w:divBdr>
        </w:div>
        <w:div w:id="535000066">
          <w:marLeft w:val="0"/>
          <w:marRight w:val="0"/>
          <w:marTop w:val="0"/>
          <w:marBottom w:val="0"/>
          <w:divBdr>
            <w:top w:val="none" w:sz="0" w:space="0" w:color="auto"/>
            <w:left w:val="none" w:sz="0" w:space="0" w:color="auto"/>
            <w:bottom w:val="none" w:sz="0" w:space="0" w:color="auto"/>
            <w:right w:val="none" w:sz="0" w:space="0" w:color="auto"/>
          </w:divBdr>
        </w:div>
        <w:div w:id="335151606">
          <w:marLeft w:val="0"/>
          <w:marRight w:val="0"/>
          <w:marTop w:val="0"/>
          <w:marBottom w:val="0"/>
          <w:divBdr>
            <w:top w:val="none" w:sz="0" w:space="0" w:color="auto"/>
            <w:left w:val="none" w:sz="0" w:space="0" w:color="auto"/>
            <w:bottom w:val="none" w:sz="0" w:space="0" w:color="auto"/>
            <w:right w:val="none" w:sz="0" w:space="0" w:color="auto"/>
          </w:divBdr>
        </w:div>
        <w:div w:id="1410730247">
          <w:marLeft w:val="0"/>
          <w:marRight w:val="0"/>
          <w:marTop w:val="0"/>
          <w:marBottom w:val="0"/>
          <w:divBdr>
            <w:top w:val="none" w:sz="0" w:space="0" w:color="auto"/>
            <w:left w:val="none" w:sz="0" w:space="0" w:color="auto"/>
            <w:bottom w:val="none" w:sz="0" w:space="0" w:color="auto"/>
            <w:right w:val="none" w:sz="0" w:space="0" w:color="auto"/>
          </w:divBdr>
        </w:div>
        <w:div w:id="1791779015">
          <w:marLeft w:val="0"/>
          <w:marRight w:val="0"/>
          <w:marTop w:val="0"/>
          <w:marBottom w:val="0"/>
          <w:divBdr>
            <w:top w:val="none" w:sz="0" w:space="0" w:color="auto"/>
            <w:left w:val="none" w:sz="0" w:space="0" w:color="auto"/>
            <w:bottom w:val="none" w:sz="0" w:space="0" w:color="auto"/>
            <w:right w:val="none" w:sz="0" w:space="0" w:color="auto"/>
          </w:divBdr>
        </w:div>
        <w:div w:id="1193542091">
          <w:marLeft w:val="0"/>
          <w:marRight w:val="0"/>
          <w:marTop w:val="0"/>
          <w:marBottom w:val="0"/>
          <w:divBdr>
            <w:top w:val="none" w:sz="0" w:space="0" w:color="auto"/>
            <w:left w:val="none" w:sz="0" w:space="0" w:color="auto"/>
            <w:bottom w:val="none" w:sz="0" w:space="0" w:color="auto"/>
            <w:right w:val="none" w:sz="0" w:space="0" w:color="auto"/>
          </w:divBdr>
        </w:div>
        <w:div w:id="1052658933">
          <w:marLeft w:val="0"/>
          <w:marRight w:val="0"/>
          <w:marTop w:val="0"/>
          <w:marBottom w:val="0"/>
          <w:divBdr>
            <w:top w:val="none" w:sz="0" w:space="0" w:color="auto"/>
            <w:left w:val="none" w:sz="0" w:space="0" w:color="auto"/>
            <w:bottom w:val="none" w:sz="0" w:space="0" w:color="auto"/>
            <w:right w:val="none" w:sz="0" w:space="0" w:color="auto"/>
          </w:divBdr>
        </w:div>
        <w:div w:id="1759597608">
          <w:marLeft w:val="0"/>
          <w:marRight w:val="0"/>
          <w:marTop w:val="0"/>
          <w:marBottom w:val="0"/>
          <w:divBdr>
            <w:top w:val="none" w:sz="0" w:space="0" w:color="auto"/>
            <w:left w:val="none" w:sz="0" w:space="0" w:color="auto"/>
            <w:bottom w:val="none" w:sz="0" w:space="0" w:color="auto"/>
            <w:right w:val="none" w:sz="0" w:space="0" w:color="auto"/>
          </w:divBdr>
        </w:div>
        <w:div w:id="561062604">
          <w:marLeft w:val="0"/>
          <w:marRight w:val="0"/>
          <w:marTop w:val="0"/>
          <w:marBottom w:val="0"/>
          <w:divBdr>
            <w:top w:val="none" w:sz="0" w:space="0" w:color="auto"/>
            <w:left w:val="none" w:sz="0" w:space="0" w:color="auto"/>
            <w:bottom w:val="none" w:sz="0" w:space="0" w:color="auto"/>
            <w:right w:val="none" w:sz="0" w:space="0" w:color="auto"/>
          </w:divBdr>
        </w:div>
        <w:div w:id="93402424">
          <w:marLeft w:val="0"/>
          <w:marRight w:val="0"/>
          <w:marTop w:val="0"/>
          <w:marBottom w:val="0"/>
          <w:divBdr>
            <w:top w:val="none" w:sz="0" w:space="0" w:color="auto"/>
            <w:left w:val="none" w:sz="0" w:space="0" w:color="auto"/>
            <w:bottom w:val="none" w:sz="0" w:space="0" w:color="auto"/>
            <w:right w:val="none" w:sz="0" w:space="0" w:color="auto"/>
          </w:divBdr>
        </w:div>
        <w:div w:id="946430021">
          <w:marLeft w:val="0"/>
          <w:marRight w:val="0"/>
          <w:marTop w:val="0"/>
          <w:marBottom w:val="0"/>
          <w:divBdr>
            <w:top w:val="none" w:sz="0" w:space="0" w:color="auto"/>
            <w:left w:val="none" w:sz="0" w:space="0" w:color="auto"/>
            <w:bottom w:val="none" w:sz="0" w:space="0" w:color="auto"/>
            <w:right w:val="none" w:sz="0" w:space="0" w:color="auto"/>
          </w:divBdr>
        </w:div>
        <w:div w:id="1837378067">
          <w:marLeft w:val="0"/>
          <w:marRight w:val="0"/>
          <w:marTop w:val="0"/>
          <w:marBottom w:val="0"/>
          <w:divBdr>
            <w:top w:val="none" w:sz="0" w:space="0" w:color="auto"/>
            <w:left w:val="none" w:sz="0" w:space="0" w:color="auto"/>
            <w:bottom w:val="none" w:sz="0" w:space="0" w:color="auto"/>
            <w:right w:val="none" w:sz="0" w:space="0" w:color="auto"/>
          </w:divBdr>
        </w:div>
        <w:div w:id="605239553">
          <w:marLeft w:val="0"/>
          <w:marRight w:val="0"/>
          <w:marTop w:val="0"/>
          <w:marBottom w:val="0"/>
          <w:divBdr>
            <w:top w:val="none" w:sz="0" w:space="0" w:color="auto"/>
            <w:left w:val="none" w:sz="0" w:space="0" w:color="auto"/>
            <w:bottom w:val="none" w:sz="0" w:space="0" w:color="auto"/>
            <w:right w:val="none" w:sz="0" w:space="0" w:color="auto"/>
          </w:divBdr>
        </w:div>
        <w:div w:id="2010136333">
          <w:marLeft w:val="0"/>
          <w:marRight w:val="0"/>
          <w:marTop w:val="0"/>
          <w:marBottom w:val="0"/>
          <w:divBdr>
            <w:top w:val="none" w:sz="0" w:space="0" w:color="auto"/>
            <w:left w:val="none" w:sz="0" w:space="0" w:color="auto"/>
            <w:bottom w:val="none" w:sz="0" w:space="0" w:color="auto"/>
            <w:right w:val="none" w:sz="0" w:space="0" w:color="auto"/>
          </w:divBdr>
        </w:div>
        <w:div w:id="29230348">
          <w:marLeft w:val="0"/>
          <w:marRight w:val="0"/>
          <w:marTop w:val="0"/>
          <w:marBottom w:val="0"/>
          <w:divBdr>
            <w:top w:val="none" w:sz="0" w:space="0" w:color="auto"/>
            <w:left w:val="none" w:sz="0" w:space="0" w:color="auto"/>
            <w:bottom w:val="none" w:sz="0" w:space="0" w:color="auto"/>
            <w:right w:val="none" w:sz="0" w:space="0" w:color="auto"/>
          </w:divBdr>
        </w:div>
        <w:div w:id="940338938">
          <w:marLeft w:val="0"/>
          <w:marRight w:val="0"/>
          <w:marTop w:val="0"/>
          <w:marBottom w:val="0"/>
          <w:divBdr>
            <w:top w:val="none" w:sz="0" w:space="0" w:color="auto"/>
            <w:left w:val="none" w:sz="0" w:space="0" w:color="auto"/>
            <w:bottom w:val="none" w:sz="0" w:space="0" w:color="auto"/>
            <w:right w:val="none" w:sz="0" w:space="0" w:color="auto"/>
          </w:divBdr>
        </w:div>
        <w:div w:id="666321138">
          <w:marLeft w:val="0"/>
          <w:marRight w:val="0"/>
          <w:marTop w:val="0"/>
          <w:marBottom w:val="0"/>
          <w:divBdr>
            <w:top w:val="none" w:sz="0" w:space="0" w:color="auto"/>
            <w:left w:val="none" w:sz="0" w:space="0" w:color="auto"/>
            <w:bottom w:val="none" w:sz="0" w:space="0" w:color="auto"/>
            <w:right w:val="none" w:sz="0" w:space="0" w:color="auto"/>
          </w:divBdr>
        </w:div>
        <w:div w:id="375399737">
          <w:marLeft w:val="0"/>
          <w:marRight w:val="0"/>
          <w:marTop w:val="0"/>
          <w:marBottom w:val="0"/>
          <w:divBdr>
            <w:top w:val="none" w:sz="0" w:space="0" w:color="auto"/>
            <w:left w:val="none" w:sz="0" w:space="0" w:color="auto"/>
            <w:bottom w:val="none" w:sz="0" w:space="0" w:color="auto"/>
            <w:right w:val="none" w:sz="0" w:space="0" w:color="auto"/>
          </w:divBdr>
        </w:div>
        <w:div w:id="281152837">
          <w:marLeft w:val="0"/>
          <w:marRight w:val="0"/>
          <w:marTop w:val="0"/>
          <w:marBottom w:val="0"/>
          <w:divBdr>
            <w:top w:val="none" w:sz="0" w:space="0" w:color="auto"/>
            <w:left w:val="none" w:sz="0" w:space="0" w:color="auto"/>
            <w:bottom w:val="none" w:sz="0" w:space="0" w:color="auto"/>
            <w:right w:val="none" w:sz="0" w:space="0" w:color="auto"/>
          </w:divBdr>
        </w:div>
        <w:div w:id="342704881">
          <w:marLeft w:val="0"/>
          <w:marRight w:val="0"/>
          <w:marTop w:val="0"/>
          <w:marBottom w:val="0"/>
          <w:divBdr>
            <w:top w:val="none" w:sz="0" w:space="0" w:color="auto"/>
            <w:left w:val="none" w:sz="0" w:space="0" w:color="auto"/>
            <w:bottom w:val="none" w:sz="0" w:space="0" w:color="auto"/>
            <w:right w:val="none" w:sz="0" w:space="0" w:color="auto"/>
          </w:divBdr>
        </w:div>
      </w:divsChild>
    </w:div>
    <w:div w:id="202406880">
      <w:marLeft w:val="0"/>
      <w:marRight w:val="0"/>
      <w:marTop w:val="120"/>
      <w:marBottom w:val="120"/>
      <w:divBdr>
        <w:top w:val="none" w:sz="0" w:space="0" w:color="auto"/>
        <w:left w:val="none" w:sz="0" w:space="0" w:color="auto"/>
        <w:bottom w:val="none" w:sz="0" w:space="0" w:color="auto"/>
        <w:right w:val="none" w:sz="0" w:space="0" w:color="auto"/>
      </w:divBdr>
    </w:div>
    <w:div w:id="204174440">
      <w:marLeft w:val="0"/>
      <w:marRight w:val="0"/>
      <w:marTop w:val="0"/>
      <w:marBottom w:val="0"/>
      <w:divBdr>
        <w:top w:val="none" w:sz="0" w:space="0" w:color="auto"/>
        <w:left w:val="none" w:sz="0" w:space="0" w:color="auto"/>
        <w:bottom w:val="none" w:sz="0" w:space="0" w:color="auto"/>
        <w:right w:val="none" w:sz="0" w:space="0" w:color="auto"/>
      </w:divBdr>
      <w:divsChild>
        <w:div w:id="816262541">
          <w:marLeft w:val="0"/>
          <w:marRight w:val="0"/>
          <w:marTop w:val="0"/>
          <w:marBottom w:val="0"/>
          <w:divBdr>
            <w:top w:val="none" w:sz="0" w:space="0" w:color="auto"/>
            <w:left w:val="none" w:sz="0" w:space="0" w:color="auto"/>
            <w:bottom w:val="none" w:sz="0" w:space="0" w:color="auto"/>
            <w:right w:val="none" w:sz="0" w:space="0" w:color="auto"/>
          </w:divBdr>
        </w:div>
      </w:divsChild>
    </w:div>
    <w:div w:id="205259548">
      <w:marLeft w:val="0"/>
      <w:marRight w:val="0"/>
      <w:marTop w:val="0"/>
      <w:marBottom w:val="0"/>
      <w:divBdr>
        <w:top w:val="none" w:sz="0" w:space="0" w:color="auto"/>
        <w:left w:val="none" w:sz="0" w:space="0" w:color="auto"/>
        <w:bottom w:val="none" w:sz="0" w:space="0" w:color="auto"/>
        <w:right w:val="none" w:sz="0" w:space="0" w:color="auto"/>
      </w:divBdr>
    </w:div>
    <w:div w:id="207499500">
      <w:marLeft w:val="0"/>
      <w:marRight w:val="0"/>
      <w:marTop w:val="0"/>
      <w:marBottom w:val="0"/>
      <w:divBdr>
        <w:top w:val="none" w:sz="0" w:space="0" w:color="auto"/>
        <w:left w:val="none" w:sz="0" w:space="0" w:color="auto"/>
        <w:bottom w:val="none" w:sz="0" w:space="0" w:color="auto"/>
        <w:right w:val="none" w:sz="0" w:space="0" w:color="auto"/>
      </w:divBdr>
      <w:divsChild>
        <w:div w:id="933980171">
          <w:marLeft w:val="0"/>
          <w:marRight w:val="0"/>
          <w:marTop w:val="0"/>
          <w:marBottom w:val="0"/>
          <w:divBdr>
            <w:top w:val="none" w:sz="0" w:space="0" w:color="auto"/>
            <w:left w:val="none" w:sz="0" w:space="0" w:color="auto"/>
            <w:bottom w:val="none" w:sz="0" w:space="0" w:color="auto"/>
            <w:right w:val="none" w:sz="0" w:space="0" w:color="auto"/>
          </w:divBdr>
        </w:div>
      </w:divsChild>
    </w:div>
    <w:div w:id="209877551">
      <w:marLeft w:val="0"/>
      <w:marRight w:val="0"/>
      <w:marTop w:val="0"/>
      <w:marBottom w:val="0"/>
      <w:divBdr>
        <w:top w:val="none" w:sz="0" w:space="0" w:color="auto"/>
        <w:left w:val="none" w:sz="0" w:space="0" w:color="auto"/>
        <w:bottom w:val="none" w:sz="0" w:space="0" w:color="auto"/>
        <w:right w:val="none" w:sz="0" w:space="0" w:color="auto"/>
      </w:divBdr>
      <w:divsChild>
        <w:div w:id="1082680020">
          <w:marLeft w:val="0"/>
          <w:marRight w:val="0"/>
          <w:marTop w:val="0"/>
          <w:marBottom w:val="0"/>
          <w:divBdr>
            <w:top w:val="none" w:sz="0" w:space="0" w:color="auto"/>
            <w:left w:val="none" w:sz="0" w:space="0" w:color="auto"/>
            <w:bottom w:val="none" w:sz="0" w:space="0" w:color="auto"/>
            <w:right w:val="none" w:sz="0" w:space="0" w:color="auto"/>
          </w:divBdr>
        </w:div>
      </w:divsChild>
    </w:div>
    <w:div w:id="211768538">
      <w:marLeft w:val="0"/>
      <w:marRight w:val="0"/>
      <w:marTop w:val="120"/>
      <w:marBottom w:val="120"/>
      <w:divBdr>
        <w:top w:val="none" w:sz="0" w:space="0" w:color="auto"/>
        <w:left w:val="none" w:sz="0" w:space="0" w:color="auto"/>
        <w:bottom w:val="none" w:sz="0" w:space="0" w:color="auto"/>
        <w:right w:val="none" w:sz="0" w:space="0" w:color="auto"/>
      </w:divBdr>
    </w:div>
    <w:div w:id="213278168">
      <w:marLeft w:val="0"/>
      <w:marRight w:val="0"/>
      <w:marTop w:val="0"/>
      <w:marBottom w:val="0"/>
      <w:divBdr>
        <w:top w:val="none" w:sz="0" w:space="0" w:color="auto"/>
        <w:left w:val="none" w:sz="0" w:space="0" w:color="auto"/>
        <w:bottom w:val="none" w:sz="0" w:space="0" w:color="auto"/>
        <w:right w:val="none" w:sz="0" w:space="0" w:color="auto"/>
      </w:divBdr>
      <w:divsChild>
        <w:div w:id="834994553">
          <w:marLeft w:val="0"/>
          <w:marRight w:val="0"/>
          <w:marTop w:val="0"/>
          <w:marBottom w:val="0"/>
          <w:divBdr>
            <w:top w:val="none" w:sz="0" w:space="0" w:color="auto"/>
            <w:left w:val="none" w:sz="0" w:space="0" w:color="auto"/>
            <w:bottom w:val="none" w:sz="0" w:space="0" w:color="auto"/>
            <w:right w:val="none" w:sz="0" w:space="0" w:color="auto"/>
          </w:divBdr>
        </w:div>
      </w:divsChild>
    </w:div>
    <w:div w:id="215554900">
      <w:marLeft w:val="0"/>
      <w:marRight w:val="0"/>
      <w:marTop w:val="120"/>
      <w:marBottom w:val="0"/>
      <w:divBdr>
        <w:top w:val="none" w:sz="0" w:space="0" w:color="auto"/>
        <w:left w:val="none" w:sz="0" w:space="0" w:color="auto"/>
        <w:bottom w:val="none" w:sz="0" w:space="0" w:color="auto"/>
        <w:right w:val="none" w:sz="0" w:space="0" w:color="auto"/>
      </w:divBdr>
    </w:div>
    <w:div w:id="215821598">
      <w:marLeft w:val="0"/>
      <w:marRight w:val="0"/>
      <w:marTop w:val="0"/>
      <w:marBottom w:val="0"/>
      <w:divBdr>
        <w:top w:val="none" w:sz="0" w:space="0" w:color="auto"/>
        <w:left w:val="none" w:sz="0" w:space="0" w:color="auto"/>
        <w:bottom w:val="none" w:sz="0" w:space="0" w:color="auto"/>
        <w:right w:val="none" w:sz="0" w:space="0" w:color="auto"/>
      </w:divBdr>
    </w:div>
    <w:div w:id="218319662">
      <w:marLeft w:val="0"/>
      <w:marRight w:val="0"/>
      <w:marTop w:val="0"/>
      <w:marBottom w:val="0"/>
      <w:divBdr>
        <w:top w:val="none" w:sz="0" w:space="0" w:color="auto"/>
        <w:left w:val="none" w:sz="0" w:space="0" w:color="auto"/>
        <w:bottom w:val="none" w:sz="0" w:space="0" w:color="auto"/>
        <w:right w:val="none" w:sz="0" w:space="0" w:color="auto"/>
      </w:divBdr>
    </w:div>
    <w:div w:id="220558959">
      <w:marLeft w:val="0"/>
      <w:marRight w:val="0"/>
      <w:marTop w:val="120"/>
      <w:marBottom w:val="120"/>
      <w:divBdr>
        <w:top w:val="none" w:sz="0" w:space="0" w:color="auto"/>
        <w:left w:val="none" w:sz="0" w:space="0" w:color="auto"/>
        <w:bottom w:val="none" w:sz="0" w:space="0" w:color="auto"/>
        <w:right w:val="none" w:sz="0" w:space="0" w:color="auto"/>
      </w:divBdr>
    </w:div>
    <w:div w:id="225143869">
      <w:marLeft w:val="0"/>
      <w:marRight w:val="0"/>
      <w:marTop w:val="0"/>
      <w:marBottom w:val="0"/>
      <w:divBdr>
        <w:top w:val="none" w:sz="0" w:space="0" w:color="auto"/>
        <w:left w:val="none" w:sz="0" w:space="0" w:color="auto"/>
        <w:bottom w:val="none" w:sz="0" w:space="0" w:color="auto"/>
        <w:right w:val="none" w:sz="0" w:space="0" w:color="auto"/>
      </w:divBdr>
    </w:div>
    <w:div w:id="229120853">
      <w:marLeft w:val="0"/>
      <w:marRight w:val="0"/>
      <w:marTop w:val="120"/>
      <w:marBottom w:val="0"/>
      <w:divBdr>
        <w:top w:val="none" w:sz="0" w:space="0" w:color="auto"/>
        <w:left w:val="none" w:sz="0" w:space="0" w:color="auto"/>
        <w:bottom w:val="none" w:sz="0" w:space="0" w:color="auto"/>
        <w:right w:val="none" w:sz="0" w:space="0" w:color="auto"/>
      </w:divBdr>
    </w:div>
    <w:div w:id="231046985">
      <w:marLeft w:val="0"/>
      <w:marRight w:val="0"/>
      <w:marTop w:val="0"/>
      <w:marBottom w:val="0"/>
      <w:divBdr>
        <w:top w:val="none" w:sz="0" w:space="0" w:color="auto"/>
        <w:left w:val="none" w:sz="0" w:space="0" w:color="auto"/>
        <w:bottom w:val="none" w:sz="0" w:space="0" w:color="auto"/>
        <w:right w:val="none" w:sz="0" w:space="0" w:color="auto"/>
      </w:divBdr>
      <w:divsChild>
        <w:div w:id="1655991187">
          <w:marLeft w:val="0"/>
          <w:marRight w:val="0"/>
          <w:marTop w:val="0"/>
          <w:marBottom w:val="0"/>
          <w:divBdr>
            <w:top w:val="none" w:sz="0" w:space="0" w:color="auto"/>
            <w:left w:val="none" w:sz="0" w:space="0" w:color="auto"/>
            <w:bottom w:val="none" w:sz="0" w:space="0" w:color="auto"/>
            <w:right w:val="none" w:sz="0" w:space="0" w:color="auto"/>
          </w:divBdr>
        </w:div>
      </w:divsChild>
    </w:div>
    <w:div w:id="232590611">
      <w:marLeft w:val="0"/>
      <w:marRight w:val="0"/>
      <w:marTop w:val="0"/>
      <w:marBottom w:val="0"/>
      <w:divBdr>
        <w:top w:val="none" w:sz="0" w:space="0" w:color="auto"/>
        <w:left w:val="none" w:sz="0" w:space="0" w:color="auto"/>
        <w:bottom w:val="none" w:sz="0" w:space="0" w:color="auto"/>
        <w:right w:val="none" w:sz="0" w:space="0" w:color="auto"/>
      </w:divBdr>
      <w:divsChild>
        <w:div w:id="30884358">
          <w:marLeft w:val="0"/>
          <w:marRight w:val="0"/>
          <w:marTop w:val="0"/>
          <w:marBottom w:val="0"/>
          <w:divBdr>
            <w:top w:val="none" w:sz="0" w:space="0" w:color="auto"/>
            <w:left w:val="none" w:sz="0" w:space="0" w:color="auto"/>
            <w:bottom w:val="none" w:sz="0" w:space="0" w:color="auto"/>
            <w:right w:val="none" w:sz="0" w:space="0" w:color="auto"/>
          </w:divBdr>
        </w:div>
      </w:divsChild>
    </w:div>
    <w:div w:id="233782605">
      <w:marLeft w:val="0"/>
      <w:marRight w:val="0"/>
      <w:marTop w:val="120"/>
      <w:marBottom w:val="0"/>
      <w:divBdr>
        <w:top w:val="none" w:sz="0" w:space="0" w:color="auto"/>
        <w:left w:val="none" w:sz="0" w:space="0" w:color="auto"/>
        <w:bottom w:val="none" w:sz="0" w:space="0" w:color="auto"/>
        <w:right w:val="none" w:sz="0" w:space="0" w:color="auto"/>
      </w:divBdr>
    </w:div>
    <w:div w:id="237713746">
      <w:marLeft w:val="0"/>
      <w:marRight w:val="0"/>
      <w:marTop w:val="120"/>
      <w:marBottom w:val="120"/>
      <w:divBdr>
        <w:top w:val="none" w:sz="0" w:space="0" w:color="auto"/>
        <w:left w:val="none" w:sz="0" w:space="0" w:color="auto"/>
        <w:bottom w:val="none" w:sz="0" w:space="0" w:color="auto"/>
        <w:right w:val="none" w:sz="0" w:space="0" w:color="auto"/>
      </w:divBdr>
    </w:div>
    <w:div w:id="240216941">
      <w:marLeft w:val="0"/>
      <w:marRight w:val="0"/>
      <w:marTop w:val="0"/>
      <w:marBottom w:val="0"/>
      <w:divBdr>
        <w:top w:val="none" w:sz="0" w:space="0" w:color="auto"/>
        <w:left w:val="none" w:sz="0" w:space="0" w:color="auto"/>
        <w:bottom w:val="none" w:sz="0" w:space="0" w:color="auto"/>
        <w:right w:val="none" w:sz="0" w:space="0" w:color="auto"/>
      </w:divBdr>
    </w:div>
    <w:div w:id="240649136">
      <w:marLeft w:val="0"/>
      <w:marRight w:val="0"/>
      <w:marTop w:val="120"/>
      <w:marBottom w:val="0"/>
      <w:divBdr>
        <w:top w:val="none" w:sz="0" w:space="0" w:color="auto"/>
        <w:left w:val="none" w:sz="0" w:space="0" w:color="auto"/>
        <w:bottom w:val="none" w:sz="0" w:space="0" w:color="auto"/>
        <w:right w:val="none" w:sz="0" w:space="0" w:color="auto"/>
      </w:divBdr>
    </w:div>
    <w:div w:id="244339358">
      <w:marLeft w:val="0"/>
      <w:marRight w:val="0"/>
      <w:marTop w:val="0"/>
      <w:marBottom w:val="0"/>
      <w:divBdr>
        <w:top w:val="none" w:sz="0" w:space="0" w:color="auto"/>
        <w:left w:val="none" w:sz="0" w:space="0" w:color="auto"/>
        <w:bottom w:val="none" w:sz="0" w:space="0" w:color="auto"/>
        <w:right w:val="none" w:sz="0" w:space="0" w:color="auto"/>
      </w:divBdr>
      <w:divsChild>
        <w:div w:id="197816098">
          <w:marLeft w:val="0"/>
          <w:marRight w:val="0"/>
          <w:marTop w:val="0"/>
          <w:marBottom w:val="0"/>
          <w:divBdr>
            <w:top w:val="none" w:sz="0" w:space="0" w:color="auto"/>
            <w:left w:val="none" w:sz="0" w:space="0" w:color="auto"/>
            <w:bottom w:val="none" w:sz="0" w:space="0" w:color="auto"/>
            <w:right w:val="none" w:sz="0" w:space="0" w:color="auto"/>
          </w:divBdr>
        </w:div>
      </w:divsChild>
    </w:div>
    <w:div w:id="250819883">
      <w:marLeft w:val="0"/>
      <w:marRight w:val="0"/>
      <w:marTop w:val="240"/>
      <w:marBottom w:val="120"/>
      <w:divBdr>
        <w:top w:val="none" w:sz="0" w:space="0" w:color="auto"/>
        <w:left w:val="none" w:sz="0" w:space="0" w:color="auto"/>
        <w:bottom w:val="none" w:sz="0" w:space="0" w:color="auto"/>
        <w:right w:val="none" w:sz="0" w:space="0" w:color="auto"/>
      </w:divBdr>
    </w:div>
    <w:div w:id="266932450">
      <w:marLeft w:val="0"/>
      <w:marRight w:val="0"/>
      <w:marTop w:val="120"/>
      <w:marBottom w:val="0"/>
      <w:divBdr>
        <w:top w:val="none" w:sz="0" w:space="0" w:color="auto"/>
        <w:left w:val="none" w:sz="0" w:space="0" w:color="auto"/>
        <w:bottom w:val="none" w:sz="0" w:space="0" w:color="auto"/>
        <w:right w:val="none" w:sz="0" w:space="0" w:color="auto"/>
      </w:divBdr>
    </w:div>
    <w:div w:id="268587076">
      <w:marLeft w:val="0"/>
      <w:marRight w:val="0"/>
      <w:marTop w:val="0"/>
      <w:marBottom w:val="0"/>
      <w:divBdr>
        <w:top w:val="none" w:sz="0" w:space="0" w:color="auto"/>
        <w:left w:val="none" w:sz="0" w:space="0" w:color="auto"/>
        <w:bottom w:val="none" w:sz="0" w:space="0" w:color="auto"/>
        <w:right w:val="none" w:sz="0" w:space="0" w:color="auto"/>
      </w:divBdr>
    </w:div>
    <w:div w:id="270209230">
      <w:marLeft w:val="0"/>
      <w:marRight w:val="0"/>
      <w:marTop w:val="120"/>
      <w:marBottom w:val="0"/>
      <w:divBdr>
        <w:top w:val="none" w:sz="0" w:space="0" w:color="auto"/>
        <w:left w:val="none" w:sz="0" w:space="0" w:color="auto"/>
        <w:bottom w:val="none" w:sz="0" w:space="0" w:color="auto"/>
        <w:right w:val="none" w:sz="0" w:space="0" w:color="auto"/>
      </w:divBdr>
    </w:div>
    <w:div w:id="274485453">
      <w:marLeft w:val="0"/>
      <w:marRight w:val="0"/>
      <w:marTop w:val="120"/>
      <w:marBottom w:val="0"/>
      <w:divBdr>
        <w:top w:val="none" w:sz="0" w:space="0" w:color="auto"/>
        <w:left w:val="none" w:sz="0" w:space="0" w:color="auto"/>
        <w:bottom w:val="none" w:sz="0" w:space="0" w:color="auto"/>
        <w:right w:val="none" w:sz="0" w:space="0" w:color="auto"/>
      </w:divBdr>
    </w:div>
    <w:div w:id="276987282">
      <w:marLeft w:val="0"/>
      <w:marRight w:val="0"/>
      <w:marTop w:val="120"/>
      <w:marBottom w:val="0"/>
      <w:divBdr>
        <w:top w:val="none" w:sz="0" w:space="0" w:color="auto"/>
        <w:left w:val="none" w:sz="0" w:space="0" w:color="auto"/>
        <w:bottom w:val="none" w:sz="0" w:space="0" w:color="auto"/>
        <w:right w:val="none" w:sz="0" w:space="0" w:color="auto"/>
      </w:divBdr>
    </w:div>
    <w:div w:id="280764644">
      <w:marLeft w:val="0"/>
      <w:marRight w:val="0"/>
      <w:marTop w:val="0"/>
      <w:marBottom w:val="0"/>
      <w:divBdr>
        <w:top w:val="none" w:sz="0" w:space="0" w:color="auto"/>
        <w:left w:val="none" w:sz="0" w:space="0" w:color="auto"/>
        <w:bottom w:val="none" w:sz="0" w:space="0" w:color="auto"/>
        <w:right w:val="none" w:sz="0" w:space="0" w:color="auto"/>
      </w:divBdr>
      <w:divsChild>
        <w:div w:id="363097700">
          <w:marLeft w:val="0"/>
          <w:marRight w:val="0"/>
          <w:marTop w:val="0"/>
          <w:marBottom w:val="0"/>
          <w:divBdr>
            <w:top w:val="none" w:sz="0" w:space="0" w:color="auto"/>
            <w:left w:val="none" w:sz="0" w:space="0" w:color="auto"/>
            <w:bottom w:val="none" w:sz="0" w:space="0" w:color="auto"/>
            <w:right w:val="none" w:sz="0" w:space="0" w:color="auto"/>
          </w:divBdr>
        </w:div>
      </w:divsChild>
    </w:div>
    <w:div w:id="282810291">
      <w:marLeft w:val="0"/>
      <w:marRight w:val="0"/>
      <w:marTop w:val="120"/>
      <w:marBottom w:val="0"/>
      <w:divBdr>
        <w:top w:val="none" w:sz="0" w:space="0" w:color="auto"/>
        <w:left w:val="none" w:sz="0" w:space="0" w:color="auto"/>
        <w:bottom w:val="none" w:sz="0" w:space="0" w:color="auto"/>
        <w:right w:val="none" w:sz="0" w:space="0" w:color="auto"/>
      </w:divBdr>
    </w:div>
    <w:div w:id="286357745">
      <w:marLeft w:val="0"/>
      <w:marRight w:val="0"/>
      <w:marTop w:val="120"/>
      <w:marBottom w:val="0"/>
      <w:divBdr>
        <w:top w:val="none" w:sz="0" w:space="0" w:color="auto"/>
        <w:left w:val="none" w:sz="0" w:space="0" w:color="auto"/>
        <w:bottom w:val="none" w:sz="0" w:space="0" w:color="auto"/>
        <w:right w:val="none" w:sz="0" w:space="0" w:color="auto"/>
      </w:divBdr>
    </w:div>
    <w:div w:id="290326741">
      <w:marLeft w:val="0"/>
      <w:marRight w:val="0"/>
      <w:marTop w:val="120"/>
      <w:marBottom w:val="120"/>
      <w:divBdr>
        <w:top w:val="none" w:sz="0" w:space="0" w:color="auto"/>
        <w:left w:val="none" w:sz="0" w:space="0" w:color="auto"/>
        <w:bottom w:val="none" w:sz="0" w:space="0" w:color="auto"/>
        <w:right w:val="none" w:sz="0" w:space="0" w:color="auto"/>
      </w:divBdr>
    </w:div>
    <w:div w:id="291405095">
      <w:marLeft w:val="0"/>
      <w:marRight w:val="0"/>
      <w:marTop w:val="120"/>
      <w:marBottom w:val="120"/>
      <w:divBdr>
        <w:top w:val="none" w:sz="0" w:space="0" w:color="auto"/>
        <w:left w:val="none" w:sz="0" w:space="0" w:color="auto"/>
        <w:bottom w:val="none" w:sz="0" w:space="0" w:color="auto"/>
        <w:right w:val="none" w:sz="0" w:space="0" w:color="auto"/>
      </w:divBdr>
    </w:div>
    <w:div w:id="295644347">
      <w:marLeft w:val="0"/>
      <w:marRight w:val="0"/>
      <w:marTop w:val="120"/>
      <w:marBottom w:val="0"/>
      <w:divBdr>
        <w:top w:val="none" w:sz="0" w:space="0" w:color="auto"/>
        <w:left w:val="none" w:sz="0" w:space="0" w:color="auto"/>
        <w:bottom w:val="none" w:sz="0" w:space="0" w:color="auto"/>
        <w:right w:val="none" w:sz="0" w:space="0" w:color="auto"/>
      </w:divBdr>
    </w:div>
    <w:div w:id="300621838">
      <w:marLeft w:val="0"/>
      <w:marRight w:val="0"/>
      <w:marTop w:val="0"/>
      <w:marBottom w:val="0"/>
      <w:divBdr>
        <w:top w:val="none" w:sz="0" w:space="0" w:color="auto"/>
        <w:left w:val="none" w:sz="0" w:space="0" w:color="auto"/>
        <w:bottom w:val="none" w:sz="0" w:space="0" w:color="auto"/>
        <w:right w:val="none" w:sz="0" w:space="0" w:color="auto"/>
      </w:divBdr>
      <w:divsChild>
        <w:div w:id="155465322">
          <w:marLeft w:val="0"/>
          <w:marRight w:val="0"/>
          <w:marTop w:val="0"/>
          <w:marBottom w:val="0"/>
          <w:divBdr>
            <w:top w:val="none" w:sz="0" w:space="0" w:color="auto"/>
            <w:left w:val="none" w:sz="0" w:space="0" w:color="auto"/>
            <w:bottom w:val="none" w:sz="0" w:space="0" w:color="auto"/>
            <w:right w:val="none" w:sz="0" w:space="0" w:color="auto"/>
          </w:divBdr>
        </w:div>
      </w:divsChild>
    </w:div>
    <w:div w:id="310595980">
      <w:marLeft w:val="0"/>
      <w:marRight w:val="0"/>
      <w:marTop w:val="0"/>
      <w:marBottom w:val="0"/>
      <w:divBdr>
        <w:top w:val="none" w:sz="0" w:space="0" w:color="auto"/>
        <w:left w:val="none" w:sz="0" w:space="0" w:color="auto"/>
        <w:bottom w:val="none" w:sz="0" w:space="0" w:color="auto"/>
        <w:right w:val="none" w:sz="0" w:space="0" w:color="auto"/>
      </w:divBdr>
    </w:div>
    <w:div w:id="311259425">
      <w:marLeft w:val="0"/>
      <w:marRight w:val="0"/>
      <w:marTop w:val="120"/>
      <w:marBottom w:val="120"/>
      <w:divBdr>
        <w:top w:val="none" w:sz="0" w:space="0" w:color="auto"/>
        <w:left w:val="none" w:sz="0" w:space="0" w:color="auto"/>
        <w:bottom w:val="none" w:sz="0" w:space="0" w:color="auto"/>
        <w:right w:val="none" w:sz="0" w:space="0" w:color="auto"/>
      </w:divBdr>
    </w:div>
    <w:div w:id="315885202">
      <w:marLeft w:val="0"/>
      <w:marRight w:val="0"/>
      <w:marTop w:val="0"/>
      <w:marBottom w:val="0"/>
      <w:divBdr>
        <w:top w:val="none" w:sz="0" w:space="0" w:color="auto"/>
        <w:left w:val="none" w:sz="0" w:space="0" w:color="auto"/>
        <w:bottom w:val="none" w:sz="0" w:space="0" w:color="auto"/>
        <w:right w:val="none" w:sz="0" w:space="0" w:color="auto"/>
      </w:divBdr>
      <w:divsChild>
        <w:div w:id="1471556985">
          <w:marLeft w:val="0"/>
          <w:marRight w:val="0"/>
          <w:marTop w:val="0"/>
          <w:marBottom w:val="0"/>
          <w:divBdr>
            <w:top w:val="none" w:sz="0" w:space="0" w:color="auto"/>
            <w:left w:val="none" w:sz="0" w:space="0" w:color="auto"/>
            <w:bottom w:val="none" w:sz="0" w:space="0" w:color="auto"/>
            <w:right w:val="none" w:sz="0" w:space="0" w:color="auto"/>
          </w:divBdr>
        </w:div>
      </w:divsChild>
    </w:div>
    <w:div w:id="316348091">
      <w:marLeft w:val="0"/>
      <w:marRight w:val="0"/>
      <w:marTop w:val="0"/>
      <w:marBottom w:val="0"/>
      <w:divBdr>
        <w:top w:val="none" w:sz="0" w:space="0" w:color="auto"/>
        <w:left w:val="none" w:sz="0" w:space="0" w:color="auto"/>
        <w:bottom w:val="none" w:sz="0" w:space="0" w:color="auto"/>
        <w:right w:val="none" w:sz="0" w:space="0" w:color="auto"/>
      </w:divBdr>
      <w:divsChild>
        <w:div w:id="1320160461">
          <w:marLeft w:val="0"/>
          <w:marRight w:val="0"/>
          <w:marTop w:val="0"/>
          <w:marBottom w:val="0"/>
          <w:divBdr>
            <w:top w:val="none" w:sz="0" w:space="0" w:color="auto"/>
            <w:left w:val="none" w:sz="0" w:space="0" w:color="auto"/>
            <w:bottom w:val="none" w:sz="0" w:space="0" w:color="auto"/>
            <w:right w:val="none" w:sz="0" w:space="0" w:color="auto"/>
          </w:divBdr>
        </w:div>
      </w:divsChild>
    </w:div>
    <w:div w:id="318195139">
      <w:marLeft w:val="0"/>
      <w:marRight w:val="0"/>
      <w:marTop w:val="120"/>
      <w:marBottom w:val="0"/>
      <w:divBdr>
        <w:top w:val="none" w:sz="0" w:space="0" w:color="auto"/>
        <w:left w:val="none" w:sz="0" w:space="0" w:color="auto"/>
        <w:bottom w:val="none" w:sz="0" w:space="0" w:color="auto"/>
        <w:right w:val="none" w:sz="0" w:space="0" w:color="auto"/>
      </w:divBdr>
    </w:div>
    <w:div w:id="320622655">
      <w:marLeft w:val="0"/>
      <w:marRight w:val="0"/>
      <w:marTop w:val="0"/>
      <w:marBottom w:val="120"/>
      <w:divBdr>
        <w:top w:val="none" w:sz="0" w:space="0" w:color="auto"/>
        <w:left w:val="none" w:sz="0" w:space="0" w:color="auto"/>
        <w:bottom w:val="none" w:sz="0" w:space="0" w:color="auto"/>
        <w:right w:val="none" w:sz="0" w:space="0" w:color="auto"/>
      </w:divBdr>
    </w:div>
    <w:div w:id="323321616">
      <w:marLeft w:val="0"/>
      <w:marRight w:val="0"/>
      <w:marTop w:val="0"/>
      <w:marBottom w:val="0"/>
      <w:divBdr>
        <w:top w:val="none" w:sz="0" w:space="0" w:color="auto"/>
        <w:left w:val="none" w:sz="0" w:space="0" w:color="auto"/>
        <w:bottom w:val="none" w:sz="0" w:space="0" w:color="auto"/>
        <w:right w:val="none" w:sz="0" w:space="0" w:color="auto"/>
      </w:divBdr>
      <w:divsChild>
        <w:div w:id="2137327954">
          <w:marLeft w:val="0"/>
          <w:marRight w:val="0"/>
          <w:marTop w:val="0"/>
          <w:marBottom w:val="0"/>
          <w:divBdr>
            <w:top w:val="none" w:sz="0" w:space="0" w:color="auto"/>
            <w:left w:val="none" w:sz="0" w:space="0" w:color="auto"/>
            <w:bottom w:val="none" w:sz="0" w:space="0" w:color="auto"/>
            <w:right w:val="none" w:sz="0" w:space="0" w:color="auto"/>
          </w:divBdr>
        </w:div>
      </w:divsChild>
    </w:div>
    <w:div w:id="324162921">
      <w:marLeft w:val="0"/>
      <w:marRight w:val="0"/>
      <w:marTop w:val="120"/>
      <w:marBottom w:val="0"/>
      <w:divBdr>
        <w:top w:val="none" w:sz="0" w:space="0" w:color="auto"/>
        <w:left w:val="none" w:sz="0" w:space="0" w:color="auto"/>
        <w:bottom w:val="none" w:sz="0" w:space="0" w:color="auto"/>
        <w:right w:val="none" w:sz="0" w:space="0" w:color="auto"/>
      </w:divBdr>
    </w:div>
    <w:div w:id="327943439">
      <w:marLeft w:val="0"/>
      <w:marRight w:val="0"/>
      <w:marTop w:val="0"/>
      <w:marBottom w:val="120"/>
      <w:divBdr>
        <w:top w:val="none" w:sz="0" w:space="0" w:color="auto"/>
        <w:left w:val="none" w:sz="0" w:space="0" w:color="auto"/>
        <w:bottom w:val="none" w:sz="0" w:space="0" w:color="auto"/>
        <w:right w:val="none" w:sz="0" w:space="0" w:color="auto"/>
      </w:divBdr>
    </w:div>
    <w:div w:id="329187368">
      <w:marLeft w:val="0"/>
      <w:marRight w:val="0"/>
      <w:marTop w:val="120"/>
      <w:marBottom w:val="0"/>
      <w:divBdr>
        <w:top w:val="none" w:sz="0" w:space="0" w:color="auto"/>
        <w:left w:val="none" w:sz="0" w:space="0" w:color="auto"/>
        <w:bottom w:val="none" w:sz="0" w:space="0" w:color="auto"/>
        <w:right w:val="none" w:sz="0" w:space="0" w:color="auto"/>
      </w:divBdr>
    </w:div>
    <w:div w:id="330186523">
      <w:marLeft w:val="0"/>
      <w:marRight w:val="0"/>
      <w:marTop w:val="60"/>
      <w:marBottom w:val="0"/>
      <w:divBdr>
        <w:top w:val="none" w:sz="0" w:space="0" w:color="auto"/>
        <w:left w:val="none" w:sz="0" w:space="0" w:color="auto"/>
        <w:bottom w:val="none" w:sz="0" w:space="0" w:color="auto"/>
        <w:right w:val="none" w:sz="0" w:space="0" w:color="auto"/>
      </w:divBdr>
    </w:div>
    <w:div w:id="332533831">
      <w:marLeft w:val="0"/>
      <w:marRight w:val="0"/>
      <w:marTop w:val="120"/>
      <w:marBottom w:val="0"/>
      <w:divBdr>
        <w:top w:val="none" w:sz="0" w:space="0" w:color="auto"/>
        <w:left w:val="none" w:sz="0" w:space="0" w:color="auto"/>
        <w:bottom w:val="none" w:sz="0" w:space="0" w:color="auto"/>
        <w:right w:val="none" w:sz="0" w:space="0" w:color="auto"/>
      </w:divBdr>
    </w:div>
    <w:div w:id="338629424">
      <w:marLeft w:val="0"/>
      <w:marRight w:val="0"/>
      <w:marTop w:val="0"/>
      <w:marBottom w:val="0"/>
      <w:divBdr>
        <w:top w:val="none" w:sz="0" w:space="0" w:color="auto"/>
        <w:left w:val="none" w:sz="0" w:space="0" w:color="auto"/>
        <w:bottom w:val="none" w:sz="0" w:space="0" w:color="auto"/>
        <w:right w:val="none" w:sz="0" w:space="0" w:color="auto"/>
      </w:divBdr>
    </w:div>
    <w:div w:id="343434618">
      <w:marLeft w:val="0"/>
      <w:marRight w:val="0"/>
      <w:marTop w:val="120"/>
      <w:marBottom w:val="120"/>
      <w:divBdr>
        <w:top w:val="none" w:sz="0" w:space="0" w:color="auto"/>
        <w:left w:val="none" w:sz="0" w:space="0" w:color="auto"/>
        <w:bottom w:val="none" w:sz="0" w:space="0" w:color="auto"/>
        <w:right w:val="none" w:sz="0" w:space="0" w:color="auto"/>
      </w:divBdr>
    </w:div>
    <w:div w:id="344937893">
      <w:marLeft w:val="0"/>
      <w:marRight w:val="0"/>
      <w:marTop w:val="120"/>
      <w:marBottom w:val="120"/>
      <w:divBdr>
        <w:top w:val="none" w:sz="0" w:space="0" w:color="auto"/>
        <w:left w:val="none" w:sz="0" w:space="0" w:color="auto"/>
        <w:bottom w:val="none" w:sz="0" w:space="0" w:color="auto"/>
        <w:right w:val="none" w:sz="0" w:space="0" w:color="auto"/>
      </w:divBdr>
    </w:div>
    <w:div w:id="345910043">
      <w:marLeft w:val="0"/>
      <w:marRight w:val="0"/>
      <w:marTop w:val="0"/>
      <w:marBottom w:val="0"/>
      <w:divBdr>
        <w:top w:val="none" w:sz="0" w:space="0" w:color="auto"/>
        <w:left w:val="none" w:sz="0" w:space="0" w:color="auto"/>
        <w:bottom w:val="none" w:sz="0" w:space="0" w:color="auto"/>
        <w:right w:val="none" w:sz="0" w:space="0" w:color="auto"/>
      </w:divBdr>
    </w:div>
    <w:div w:id="346951192">
      <w:marLeft w:val="0"/>
      <w:marRight w:val="0"/>
      <w:marTop w:val="120"/>
      <w:marBottom w:val="120"/>
      <w:divBdr>
        <w:top w:val="none" w:sz="0" w:space="0" w:color="auto"/>
        <w:left w:val="none" w:sz="0" w:space="0" w:color="auto"/>
        <w:bottom w:val="none" w:sz="0" w:space="0" w:color="auto"/>
        <w:right w:val="none" w:sz="0" w:space="0" w:color="auto"/>
      </w:divBdr>
    </w:div>
    <w:div w:id="349263715">
      <w:marLeft w:val="0"/>
      <w:marRight w:val="0"/>
      <w:marTop w:val="120"/>
      <w:marBottom w:val="0"/>
      <w:divBdr>
        <w:top w:val="none" w:sz="0" w:space="0" w:color="auto"/>
        <w:left w:val="none" w:sz="0" w:space="0" w:color="auto"/>
        <w:bottom w:val="none" w:sz="0" w:space="0" w:color="auto"/>
        <w:right w:val="none" w:sz="0" w:space="0" w:color="auto"/>
      </w:divBdr>
    </w:div>
    <w:div w:id="351808821">
      <w:marLeft w:val="0"/>
      <w:marRight w:val="0"/>
      <w:marTop w:val="120"/>
      <w:marBottom w:val="0"/>
      <w:divBdr>
        <w:top w:val="none" w:sz="0" w:space="0" w:color="auto"/>
        <w:left w:val="none" w:sz="0" w:space="0" w:color="auto"/>
        <w:bottom w:val="none" w:sz="0" w:space="0" w:color="auto"/>
        <w:right w:val="none" w:sz="0" w:space="0" w:color="auto"/>
      </w:divBdr>
    </w:div>
    <w:div w:id="353652130">
      <w:marLeft w:val="0"/>
      <w:marRight w:val="0"/>
      <w:marTop w:val="120"/>
      <w:marBottom w:val="0"/>
      <w:divBdr>
        <w:top w:val="none" w:sz="0" w:space="0" w:color="auto"/>
        <w:left w:val="none" w:sz="0" w:space="0" w:color="auto"/>
        <w:bottom w:val="none" w:sz="0" w:space="0" w:color="auto"/>
        <w:right w:val="none" w:sz="0" w:space="0" w:color="auto"/>
      </w:divBdr>
    </w:div>
    <w:div w:id="368143214">
      <w:marLeft w:val="0"/>
      <w:marRight w:val="0"/>
      <w:marTop w:val="120"/>
      <w:marBottom w:val="0"/>
      <w:divBdr>
        <w:top w:val="none" w:sz="0" w:space="0" w:color="auto"/>
        <w:left w:val="none" w:sz="0" w:space="0" w:color="auto"/>
        <w:bottom w:val="none" w:sz="0" w:space="0" w:color="auto"/>
        <w:right w:val="none" w:sz="0" w:space="0" w:color="auto"/>
      </w:divBdr>
    </w:div>
    <w:div w:id="369188457">
      <w:marLeft w:val="0"/>
      <w:marRight w:val="0"/>
      <w:marTop w:val="240"/>
      <w:marBottom w:val="0"/>
      <w:divBdr>
        <w:top w:val="none" w:sz="0" w:space="0" w:color="auto"/>
        <w:left w:val="none" w:sz="0" w:space="0" w:color="auto"/>
        <w:bottom w:val="none" w:sz="0" w:space="0" w:color="auto"/>
        <w:right w:val="none" w:sz="0" w:space="0" w:color="auto"/>
      </w:divBdr>
    </w:div>
    <w:div w:id="372274195">
      <w:marLeft w:val="0"/>
      <w:marRight w:val="0"/>
      <w:marTop w:val="120"/>
      <w:marBottom w:val="0"/>
      <w:divBdr>
        <w:top w:val="none" w:sz="0" w:space="0" w:color="auto"/>
        <w:left w:val="none" w:sz="0" w:space="0" w:color="auto"/>
        <w:bottom w:val="none" w:sz="0" w:space="0" w:color="auto"/>
        <w:right w:val="none" w:sz="0" w:space="0" w:color="auto"/>
      </w:divBdr>
    </w:div>
    <w:div w:id="373891788">
      <w:marLeft w:val="0"/>
      <w:marRight w:val="0"/>
      <w:marTop w:val="120"/>
      <w:marBottom w:val="0"/>
      <w:divBdr>
        <w:top w:val="none" w:sz="0" w:space="0" w:color="auto"/>
        <w:left w:val="none" w:sz="0" w:space="0" w:color="auto"/>
        <w:bottom w:val="none" w:sz="0" w:space="0" w:color="auto"/>
        <w:right w:val="none" w:sz="0" w:space="0" w:color="auto"/>
      </w:divBdr>
    </w:div>
    <w:div w:id="373966733">
      <w:marLeft w:val="0"/>
      <w:marRight w:val="0"/>
      <w:marTop w:val="0"/>
      <w:marBottom w:val="0"/>
      <w:divBdr>
        <w:top w:val="none" w:sz="0" w:space="0" w:color="auto"/>
        <w:left w:val="none" w:sz="0" w:space="0" w:color="auto"/>
        <w:bottom w:val="none" w:sz="0" w:space="0" w:color="auto"/>
        <w:right w:val="none" w:sz="0" w:space="0" w:color="auto"/>
      </w:divBdr>
      <w:divsChild>
        <w:div w:id="911279472">
          <w:marLeft w:val="0"/>
          <w:marRight w:val="0"/>
          <w:marTop w:val="0"/>
          <w:marBottom w:val="0"/>
          <w:divBdr>
            <w:top w:val="none" w:sz="0" w:space="0" w:color="auto"/>
            <w:left w:val="none" w:sz="0" w:space="0" w:color="auto"/>
            <w:bottom w:val="none" w:sz="0" w:space="0" w:color="auto"/>
            <w:right w:val="none" w:sz="0" w:space="0" w:color="auto"/>
          </w:divBdr>
        </w:div>
      </w:divsChild>
    </w:div>
    <w:div w:id="376510117">
      <w:marLeft w:val="0"/>
      <w:marRight w:val="0"/>
      <w:marTop w:val="0"/>
      <w:marBottom w:val="0"/>
      <w:divBdr>
        <w:top w:val="none" w:sz="0" w:space="0" w:color="auto"/>
        <w:left w:val="none" w:sz="0" w:space="0" w:color="auto"/>
        <w:bottom w:val="none" w:sz="0" w:space="0" w:color="auto"/>
        <w:right w:val="none" w:sz="0" w:space="0" w:color="auto"/>
      </w:divBdr>
      <w:divsChild>
        <w:div w:id="1616910652">
          <w:marLeft w:val="0"/>
          <w:marRight w:val="0"/>
          <w:marTop w:val="0"/>
          <w:marBottom w:val="0"/>
          <w:divBdr>
            <w:top w:val="none" w:sz="0" w:space="0" w:color="auto"/>
            <w:left w:val="none" w:sz="0" w:space="0" w:color="auto"/>
            <w:bottom w:val="none" w:sz="0" w:space="0" w:color="auto"/>
            <w:right w:val="none" w:sz="0" w:space="0" w:color="auto"/>
          </w:divBdr>
        </w:div>
      </w:divsChild>
    </w:div>
    <w:div w:id="377702079">
      <w:marLeft w:val="0"/>
      <w:marRight w:val="0"/>
      <w:marTop w:val="120"/>
      <w:marBottom w:val="0"/>
      <w:divBdr>
        <w:top w:val="none" w:sz="0" w:space="0" w:color="auto"/>
        <w:left w:val="none" w:sz="0" w:space="0" w:color="auto"/>
        <w:bottom w:val="none" w:sz="0" w:space="0" w:color="auto"/>
        <w:right w:val="none" w:sz="0" w:space="0" w:color="auto"/>
      </w:divBdr>
    </w:div>
    <w:div w:id="379020425">
      <w:marLeft w:val="0"/>
      <w:marRight w:val="0"/>
      <w:marTop w:val="0"/>
      <w:marBottom w:val="0"/>
      <w:divBdr>
        <w:top w:val="none" w:sz="0" w:space="0" w:color="auto"/>
        <w:left w:val="none" w:sz="0" w:space="0" w:color="auto"/>
        <w:bottom w:val="none" w:sz="0" w:space="0" w:color="auto"/>
        <w:right w:val="none" w:sz="0" w:space="0" w:color="auto"/>
      </w:divBdr>
      <w:divsChild>
        <w:div w:id="1069186114">
          <w:marLeft w:val="0"/>
          <w:marRight w:val="0"/>
          <w:marTop w:val="0"/>
          <w:marBottom w:val="0"/>
          <w:divBdr>
            <w:top w:val="none" w:sz="0" w:space="0" w:color="auto"/>
            <w:left w:val="none" w:sz="0" w:space="0" w:color="auto"/>
            <w:bottom w:val="none" w:sz="0" w:space="0" w:color="auto"/>
            <w:right w:val="none" w:sz="0" w:space="0" w:color="auto"/>
          </w:divBdr>
        </w:div>
      </w:divsChild>
    </w:div>
    <w:div w:id="379285157">
      <w:marLeft w:val="0"/>
      <w:marRight w:val="0"/>
      <w:marTop w:val="0"/>
      <w:marBottom w:val="0"/>
      <w:divBdr>
        <w:top w:val="none" w:sz="0" w:space="0" w:color="auto"/>
        <w:left w:val="none" w:sz="0" w:space="0" w:color="auto"/>
        <w:bottom w:val="none" w:sz="0" w:space="0" w:color="auto"/>
        <w:right w:val="none" w:sz="0" w:space="0" w:color="auto"/>
      </w:divBdr>
      <w:divsChild>
        <w:div w:id="591550421">
          <w:marLeft w:val="0"/>
          <w:marRight w:val="0"/>
          <w:marTop w:val="0"/>
          <w:marBottom w:val="0"/>
          <w:divBdr>
            <w:top w:val="none" w:sz="0" w:space="0" w:color="auto"/>
            <w:left w:val="none" w:sz="0" w:space="0" w:color="auto"/>
            <w:bottom w:val="none" w:sz="0" w:space="0" w:color="auto"/>
            <w:right w:val="none" w:sz="0" w:space="0" w:color="auto"/>
          </w:divBdr>
        </w:div>
      </w:divsChild>
    </w:div>
    <w:div w:id="381179208">
      <w:marLeft w:val="0"/>
      <w:marRight w:val="0"/>
      <w:marTop w:val="0"/>
      <w:marBottom w:val="0"/>
      <w:divBdr>
        <w:top w:val="none" w:sz="0" w:space="0" w:color="auto"/>
        <w:left w:val="none" w:sz="0" w:space="0" w:color="auto"/>
        <w:bottom w:val="none" w:sz="0" w:space="0" w:color="auto"/>
        <w:right w:val="none" w:sz="0" w:space="0" w:color="auto"/>
      </w:divBdr>
    </w:div>
    <w:div w:id="383798023">
      <w:marLeft w:val="0"/>
      <w:marRight w:val="0"/>
      <w:marTop w:val="120"/>
      <w:marBottom w:val="0"/>
      <w:divBdr>
        <w:top w:val="none" w:sz="0" w:space="0" w:color="auto"/>
        <w:left w:val="none" w:sz="0" w:space="0" w:color="auto"/>
        <w:bottom w:val="none" w:sz="0" w:space="0" w:color="auto"/>
        <w:right w:val="none" w:sz="0" w:space="0" w:color="auto"/>
      </w:divBdr>
    </w:div>
    <w:div w:id="385496793">
      <w:marLeft w:val="0"/>
      <w:marRight w:val="0"/>
      <w:marTop w:val="120"/>
      <w:marBottom w:val="120"/>
      <w:divBdr>
        <w:top w:val="none" w:sz="0" w:space="0" w:color="auto"/>
        <w:left w:val="none" w:sz="0" w:space="0" w:color="auto"/>
        <w:bottom w:val="none" w:sz="0" w:space="0" w:color="auto"/>
        <w:right w:val="none" w:sz="0" w:space="0" w:color="auto"/>
      </w:divBdr>
    </w:div>
    <w:div w:id="388499759">
      <w:marLeft w:val="0"/>
      <w:marRight w:val="0"/>
      <w:marTop w:val="120"/>
      <w:marBottom w:val="120"/>
      <w:divBdr>
        <w:top w:val="none" w:sz="0" w:space="0" w:color="auto"/>
        <w:left w:val="none" w:sz="0" w:space="0" w:color="auto"/>
        <w:bottom w:val="none" w:sz="0" w:space="0" w:color="auto"/>
        <w:right w:val="none" w:sz="0" w:space="0" w:color="auto"/>
      </w:divBdr>
    </w:div>
    <w:div w:id="393432356">
      <w:marLeft w:val="0"/>
      <w:marRight w:val="0"/>
      <w:marTop w:val="0"/>
      <w:marBottom w:val="0"/>
      <w:divBdr>
        <w:top w:val="none" w:sz="0" w:space="0" w:color="auto"/>
        <w:left w:val="none" w:sz="0" w:space="0" w:color="auto"/>
        <w:bottom w:val="none" w:sz="0" w:space="0" w:color="auto"/>
        <w:right w:val="none" w:sz="0" w:space="0" w:color="auto"/>
      </w:divBdr>
      <w:divsChild>
        <w:div w:id="1416588126">
          <w:marLeft w:val="0"/>
          <w:marRight w:val="0"/>
          <w:marTop w:val="0"/>
          <w:marBottom w:val="0"/>
          <w:divBdr>
            <w:top w:val="none" w:sz="0" w:space="0" w:color="auto"/>
            <w:left w:val="none" w:sz="0" w:space="0" w:color="auto"/>
            <w:bottom w:val="none" w:sz="0" w:space="0" w:color="auto"/>
            <w:right w:val="none" w:sz="0" w:space="0" w:color="auto"/>
          </w:divBdr>
        </w:div>
      </w:divsChild>
    </w:div>
    <w:div w:id="393478535">
      <w:marLeft w:val="0"/>
      <w:marRight w:val="0"/>
      <w:marTop w:val="0"/>
      <w:marBottom w:val="0"/>
      <w:divBdr>
        <w:top w:val="none" w:sz="0" w:space="0" w:color="auto"/>
        <w:left w:val="none" w:sz="0" w:space="0" w:color="auto"/>
        <w:bottom w:val="none" w:sz="0" w:space="0" w:color="auto"/>
        <w:right w:val="none" w:sz="0" w:space="0" w:color="auto"/>
      </w:divBdr>
    </w:div>
    <w:div w:id="394668712">
      <w:marLeft w:val="0"/>
      <w:marRight w:val="0"/>
      <w:marTop w:val="120"/>
      <w:marBottom w:val="0"/>
      <w:divBdr>
        <w:top w:val="none" w:sz="0" w:space="0" w:color="auto"/>
        <w:left w:val="none" w:sz="0" w:space="0" w:color="auto"/>
        <w:bottom w:val="none" w:sz="0" w:space="0" w:color="auto"/>
        <w:right w:val="none" w:sz="0" w:space="0" w:color="auto"/>
      </w:divBdr>
    </w:div>
    <w:div w:id="396051467">
      <w:marLeft w:val="0"/>
      <w:marRight w:val="0"/>
      <w:marTop w:val="120"/>
      <w:marBottom w:val="120"/>
      <w:divBdr>
        <w:top w:val="none" w:sz="0" w:space="0" w:color="auto"/>
        <w:left w:val="none" w:sz="0" w:space="0" w:color="auto"/>
        <w:bottom w:val="none" w:sz="0" w:space="0" w:color="auto"/>
        <w:right w:val="none" w:sz="0" w:space="0" w:color="auto"/>
      </w:divBdr>
    </w:div>
    <w:div w:id="404106708">
      <w:marLeft w:val="0"/>
      <w:marRight w:val="0"/>
      <w:marTop w:val="120"/>
      <w:marBottom w:val="0"/>
      <w:divBdr>
        <w:top w:val="none" w:sz="0" w:space="0" w:color="auto"/>
        <w:left w:val="none" w:sz="0" w:space="0" w:color="auto"/>
        <w:bottom w:val="none" w:sz="0" w:space="0" w:color="auto"/>
        <w:right w:val="none" w:sz="0" w:space="0" w:color="auto"/>
      </w:divBdr>
    </w:div>
    <w:div w:id="405536992">
      <w:marLeft w:val="0"/>
      <w:marRight w:val="0"/>
      <w:marTop w:val="120"/>
      <w:marBottom w:val="0"/>
      <w:divBdr>
        <w:top w:val="none" w:sz="0" w:space="0" w:color="auto"/>
        <w:left w:val="none" w:sz="0" w:space="0" w:color="auto"/>
        <w:bottom w:val="none" w:sz="0" w:space="0" w:color="auto"/>
        <w:right w:val="none" w:sz="0" w:space="0" w:color="auto"/>
      </w:divBdr>
    </w:div>
    <w:div w:id="411970812">
      <w:marLeft w:val="0"/>
      <w:marRight w:val="0"/>
      <w:marTop w:val="120"/>
      <w:marBottom w:val="0"/>
      <w:divBdr>
        <w:top w:val="none" w:sz="0" w:space="0" w:color="auto"/>
        <w:left w:val="none" w:sz="0" w:space="0" w:color="auto"/>
        <w:bottom w:val="none" w:sz="0" w:space="0" w:color="auto"/>
        <w:right w:val="none" w:sz="0" w:space="0" w:color="auto"/>
      </w:divBdr>
    </w:div>
    <w:div w:id="414520042">
      <w:marLeft w:val="0"/>
      <w:marRight w:val="0"/>
      <w:marTop w:val="0"/>
      <w:marBottom w:val="0"/>
      <w:divBdr>
        <w:top w:val="none" w:sz="0" w:space="0" w:color="auto"/>
        <w:left w:val="none" w:sz="0" w:space="0" w:color="auto"/>
        <w:bottom w:val="none" w:sz="0" w:space="0" w:color="auto"/>
        <w:right w:val="none" w:sz="0" w:space="0" w:color="auto"/>
      </w:divBdr>
    </w:div>
    <w:div w:id="415171195">
      <w:marLeft w:val="0"/>
      <w:marRight w:val="0"/>
      <w:marTop w:val="0"/>
      <w:marBottom w:val="0"/>
      <w:divBdr>
        <w:top w:val="none" w:sz="0" w:space="0" w:color="auto"/>
        <w:left w:val="none" w:sz="0" w:space="0" w:color="auto"/>
        <w:bottom w:val="none" w:sz="0" w:space="0" w:color="auto"/>
        <w:right w:val="none" w:sz="0" w:space="0" w:color="auto"/>
      </w:divBdr>
      <w:divsChild>
        <w:div w:id="162281974">
          <w:marLeft w:val="0"/>
          <w:marRight w:val="0"/>
          <w:marTop w:val="0"/>
          <w:marBottom w:val="0"/>
          <w:divBdr>
            <w:top w:val="none" w:sz="0" w:space="0" w:color="auto"/>
            <w:left w:val="none" w:sz="0" w:space="0" w:color="auto"/>
            <w:bottom w:val="none" w:sz="0" w:space="0" w:color="auto"/>
            <w:right w:val="none" w:sz="0" w:space="0" w:color="auto"/>
          </w:divBdr>
        </w:div>
      </w:divsChild>
    </w:div>
    <w:div w:id="418644855">
      <w:marLeft w:val="0"/>
      <w:marRight w:val="0"/>
      <w:marTop w:val="120"/>
      <w:marBottom w:val="0"/>
      <w:divBdr>
        <w:top w:val="none" w:sz="0" w:space="0" w:color="auto"/>
        <w:left w:val="none" w:sz="0" w:space="0" w:color="auto"/>
        <w:bottom w:val="none" w:sz="0" w:space="0" w:color="auto"/>
        <w:right w:val="none" w:sz="0" w:space="0" w:color="auto"/>
      </w:divBdr>
    </w:div>
    <w:div w:id="420680574">
      <w:marLeft w:val="0"/>
      <w:marRight w:val="0"/>
      <w:marTop w:val="120"/>
      <w:marBottom w:val="0"/>
      <w:divBdr>
        <w:top w:val="none" w:sz="0" w:space="0" w:color="auto"/>
        <w:left w:val="none" w:sz="0" w:space="0" w:color="auto"/>
        <w:bottom w:val="none" w:sz="0" w:space="0" w:color="auto"/>
        <w:right w:val="none" w:sz="0" w:space="0" w:color="auto"/>
      </w:divBdr>
    </w:div>
    <w:div w:id="421532029">
      <w:marLeft w:val="0"/>
      <w:marRight w:val="0"/>
      <w:marTop w:val="120"/>
      <w:marBottom w:val="120"/>
      <w:divBdr>
        <w:top w:val="none" w:sz="0" w:space="0" w:color="auto"/>
        <w:left w:val="none" w:sz="0" w:space="0" w:color="auto"/>
        <w:bottom w:val="none" w:sz="0" w:space="0" w:color="auto"/>
        <w:right w:val="none" w:sz="0" w:space="0" w:color="auto"/>
      </w:divBdr>
    </w:div>
    <w:div w:id="423497019">
      <w:marLeft w:val="0"/>
      <w:marRight w:val="0"/>
      <w:marTop w:val="0"/>
      <w:marBottom w:val="120"/>
      <w:divBdr>
        <w:top w:val="none" w:sz="0" w:space="0" w:color="auto"/>
        <w:left w:val="none" w:sz="0" w:space="0" w:color="auto"/>
        <w:bottom w:val="none" w:sz="0" w:space="0" w:color="auto"/>
        <w:right w:val="none" w:sz="0" w:space="0" w:color="auto"/>
      </w:divBdr>
    </w:div>
    <w:div w:id="428548696">
      <w:marLeft w:val="0"/>
      <w:marRight w:val="0"/>
      <w:marTop w:val="120"/>
      <w:marBottom w:val="0"/>
      <w:divBdr>
        <w:top w:val="none" w:sz="0" w:space="0" w:color="auto"/>
        <w:left w:val="none" w:sz="0" w:space="0" w:color="auto"/>
        <w:bottom w:val="none" w:sz="0" w:space="0" w:color="auto"/>
        <w:right w:val="none" w:sz="0" w:space="0" w:color="auto"/>
      </w:divBdr>
    </w:div>
    <w:div w:id="430664921">
      <w:marLeft w:val="0"/>
      <w:marRight w:val="0"/>
      <w:marTop w:val="120"/>
      <w:marBottom w:val="0"/>
      <w:divBdr>
        <w:top w:val="none" w:sz="0" w:space="0" w:color="auto"/>
        <w:left w:val="none" w:sz="0" w:space="0" w:color="auto"/>
        <w:bottom w:val="none" w:sz="0" w:space="0" w:color="auto"/>
        <w:right w:val="none" w:sz="0" w:space="0" w:color="auto"/>
      </w:divBdr>
    </w:div>
    <w:div w:id="435909984">
      <w:marLeft w:val="0"/>
      <w:marRight w:val="0"/>
      <w:marTop w:val="120"/>
      <w:marBottom w:val="0"/>
      <w:divBdr>
        <w:top w:val="none" w:sz="0" w:space="0" w:color="auto"/>
        <w:left w:val="none" w:sz="0" w:space="0" w:color="auto"/>
        <w:bottom w:val="none" w:sz="0" w:space="0" w:color="auto"/>
        <w:right w:val="none" w:sz="0" w:space="0" w:color="auto"/>
      </w:divBdr>
    </w:div>
    <w:div w:id="436757982">
      <w:marLeft w:val="0"/>
      <w:marRight w:val="0"/>
      <w:marTop w:val="0"/>
      <w:marBottom w:val="0"/>
      <w:divBdr>
        <w:top w:val="none" w:sz="0" w:space="0" w:color="auto"/>
        <w:left w:val="none" w:sz="0" w:space="0" w:color="auto"/>
        <w:bottom w:val="none" w:sz="0" w:space="0" w:color="auto"/>
        <w:right w:val="none" w:sz="0" w:space="0" w:color="auto"/>
      </w:divBdr>
      <w:divsChild>
        <w:div w:id="779642127">
          <w:marLeft w:val="0"/>
          <w:marRight w:val="0"/>
          <w:marTop w:val="0"/>
          <w:marBottom w:val="0"/>
          <w:divBdr>
            <w:top w:val="none" w:sz="0" w:space="0" w:color="auto"/>
            <w:left w:val="none" w:sz="0" w:space="0" w:color="auto"/>
            <w:bottom w:val="none" w:sz="0" w:space="0" w:color="auto"/>
            <w:right w:val="none" w:sz="0" w:space="0" w:color="auto"/>
          </w:divBdr>
        </w:div>
      </w:divsChild>
    </w:div>
    <w:div w:id="437025412">
      <w:marLeft w:val="0"/>
      <w:marRight w:val="0"/>
      <w:marTop w:val="0"/>
      <w:marBottom w:val="120"/>
      <w:divBdr>
        <w:top w:val="none" w:sz="0" w:space="0" w:color="auto"/>
        <w:left w:val="none" w:sz="0" w:space="0" w:color="auto"/>
        <w:bottom w:val="none" w:sz="0" w:space="0" w:color="auto"/>
        <w:right w:val="none" w:sz="0" w:space="0" w:color="auto"/>
      </w:divBdr>
    </w:div>
    <w:div w:id="449472314">
      <w:marLeft w:val="0"/>
      <w:marRight w:val="0"/>
      <w:marTop w:val="240"/>
      <w:marBottom w:val="120"/>
      <w:divBdr>
        <w:top w:val="none" w:sz="0" w:space="0" w:color="auto"/>
        <w:left w:val="none" w:sz="0" w:space="0" w:color="auto"/>
        <w:bottom w:val="none" w:sz="0" w:space="0" w:color="auto"/>
        <w:right w:val="none" w:sz="0" w:space="0" w:color="auto"/>
      </w:divBdr>
    </w:div>
    <w:div w:id="460613337">
      <w:marLeft w:val="0"/>
      <w:marRight w:val="0"/>
      <w:marTop w:val="0"/>
      <w:marBottom w:val="0"/>
      <w:divBdr>
        <w:top w:val="none" w:sz="0" w:space="0" w:color="auto"/>
        <w:left w:val="none" w:sz="0" w:space="0" w:color="auto"/>
        <w:bottom w:val="none" w:sz="0" w:space="0" w:color="auto"/>
        <w:right w:val="none" w:sz="0" w:space="0" w:color="auto"/>
      </w:divBdr>
    </w:div>
    <w:div w:id="463889580">
      <w:marLeft w:val="0"/>
      <w:marRight w:val="0"/>
      <w:marTop w:val="0"/>
      <w:marBottom w:val="0"/>
      <w:divBdr>
        <w:top w:val="none" w:sz="0" w:space="0" w:color="auto"/>
        <w:left w:val="none" w:sz="0" w:space="0" w:color="auto"/>
        <w:bottom w:val="none" w:sz="0" w:space="0" w:color="auto"/>
        <w:right w:val="none" w:sz="0" w:space="0" w:color="auto"/>
      </w:divBdr>
      <w:divsChild>
        <w:div w:id="1103956002">
          <w:marLeft w:val="0"/>
          <w:marRight w:val="0"/>
          <w:marTop w:val="0"/>
          <w:marBottom w:val="0"/>
          <w:divBdr>
            <w:top w:val="none" w:sz="0" w:space="0" w:color="auto"/>
            <w:left w:val="none" w:sz="0" w:space="0" w:color="auto"/>
            <w:bottom w:val="none" w:sz="0" w:space="0" w:color="auto"/>
            <w:right w:val="none" w:sz="0" w:space="0" w:color="auto"/>
          </w:divBdr>
        </w:div>
      </w:divsChild>
    </w:div>
    <w:div w:id="466362985">
      <w:marLeft w:val="0"/>
      <w:marRight w:val="0"/>
      <w:marTop w:val="120"/>
      <w:marBottom w:val="0"/>
      <w:divBdr>
        <w:top w:val="none" w:sz="0" w:space="0" w:color="auto"/>
        <w:left w:val="none" w:sz="0" w:space="0" w:color="auto"/>
        <w:bottom w:val="none" w:sz="0" w:space="0" w:color="auto"/>
        <w:right w:val="none" w:sz="0" w:space="0" w:color="auto"/>
      </w:divBdr>
    </w:div>
    <w:div w:id="466556604">
      <w:marLeft w:val="0"/>
      <w:marRight w:val="0"/>
      <w:marTop w:val="120"/>
      <w:marBottom w:val="0"/>
      <w:divBdr>
        <w:top w:val="none" w:sz="0" w:space="0" w:color="auto"/>
        <w:left w:val="none" w:sz="0" w:space="0" w:color="auto"/>
        <w:bottom w:val="none" w:sz="0" w:space="0" w:color="auto"/>
        <w:right w:val="none" w:sz="0" w:space="0" w:color="auto"/>
      </w:divBdr>
    </w:div>
    <w:div w:id="472718345">
      <w:marLeft w:val="0"/>
      <w:marRight w:val="0"/>
      <w:marTop w:val="0"/>
      <w:marBottom w:val="0"/>
      <w:divBdr>
        <w:top w:val="none" w:sz="0" w:space="0" w:color="auto"/>
        <w:left w:val="none" w:sz="0" w:space="0" w:color="auto"/>
        <w:bottom w:val="none" w:sz="0" w:space="0" w:color="auto"/>
        <w:right w:val="none" w:sz="0" w:space="0" w:color="auto"/>
      </w:divBdr>
      <w:divsChild>
        <w:div w:id="1647706460">
          <w:marLeft w:val="0"/>
          <w:marRight w:val="0"/>
          <w:marTop w:val="0"/>
          <w:marBottom w:val="0"/>
          <w:divBdr>
            <w:top w:val="none" w:sz="0" w:space="0" w:color="auto"/>
            <w:left w:val="none" w:sz="0" w:space="0" w:color="auto"/>
            <w:bottom w:val="none" w:sz="0" w:space="0" w:color="auto"/>
            <w:right w:val="none" w:sz="0" w:space="0" w:color="auto"/>
          </w:divBdr>
        </w:div>
      </w:divsChild>
    </w:div>
    <w:div w:id="484054978">
      <w:marLeft w:val="0"/>
      <w:marRight w:val="0"/>
      <w:marTop w:val="0"/>
      <w:marBottom w:val="120"/>
      <w:divBdr>
        <w:top w:val="none" w:sz="0" w:space="0" w:color="auto"/>
        <w:left w:val="none" w:sz="0" w:space="0" w:color="auto"/>
        <w:bottom w:val="none" w:sz="0" w:space="0" w:color="auto"/>
        <w:right w:val="none" w:sz="0" w:space="0" w:color="auto"/>
      </w:divBdr>
    </w:div>
    <w:div w:id="487940974">
      <w:marLeft w:val="0"/>
      <w:marRight w:val="0"/>
      <w:marTop w:val="120"/>
      <w:marBottom w:val="0"/>
      <w:divBdr>
        <w:top w:val="none" w:sz="0" w:space="0" w:color="auto"/>
        <w:left w:val="none" w:sz="0" w:space="0" w:color="auto"/>
        <w:bottom w:val="none" w:sz="0" w:space="0" w:color="auto"/>
        <w:right w:val="none" w:sz="0" w:space="0" w:color="auto"/>
      </w:divBdr>
    </w:div>
    <w:div w:id="491262922">
      <w:marLeft w:val="0"/>
      <w:marRight w:val="0"/>
      <w:marTop w:val="120"/>
      <w:marBottom w:val="0"/>
      <w:divBdr>
        <w:top w:val="none" w:sz="0" w:space="0" w:color="auto"/>
        <w:left w:val="none" w:sz="0" w:space="0" w:color="auto"/>
        <w:bottom w:val="none" w:sz="0" w:space="0" w:color="auto"/>
        <w:right w:val="none" w:sz="0" w:space="0" w:color="auto"/>
      </w:divBdr>
    </w:div>
    <w:div w:id="491484027">
      <w:marLeft w:val="0"/>
      <w:marRight w:val="0"/>
      <w:marTop w:val="120"/>
      <w:marBottom w:val="0"/>
      <w:divBdr>
        <w:top w:val="none" w:sz="0" w:space="0" w:color="auto"/>
        <w:left w:val="none" w:sz="0" w:space="0" w:color="auto"/>
        <w:bottom w:val="none" w:sz="0" w:space="0" w:color="auto"/>
        <w:right w:val="none" w:sz="0" w:space="0" w:color="auto"/>
      </w:divBdr>
    </w:div>
    <w:div w:id="494303367">
      <w:marLeft w:val="0"/>
      <w:marRight w:val="0"/>
      <w:marTop w:val="120"/>
      <w:marBottom w:val="0"/>
      <w:divBdr>
        <w:top w:val="none" w:sz="0" w:space="0" w:color="auto"/>
        <w:left w:val="none" w:sz="0" w:space="0" w:color="auto"/>
        <w:bottom w:val="none" w:sz="0" w:space="0" w:color="auto"/>
        <w:right w:val="none" w:sz="0" w:space="0" w:color="auto"/>
      </w:divBdr>
    </w:div>
    <w:div w:id="499468371">
      <w:marLeft w:val="0"/>
      <w:marRight w:val="0"/>
      <w:marTop w:val="0"/>
      <w:marBottom w:val="120"/>
      <w:divBdr>
        <w:top w:val="none" w:sz="0" w:space="0" w:color="auto"/>
        <w:left w:val="none" w:sz="0" w:space="0" w:color="auto"/>
        <w:bottom w:val="none" w:sz="0" w:space="0" w:color="auto"/>
        <w:right w:val="none" w:sz="0" w:space="0" w:color="auto"/>
      </w:divBdr>
      <w:divsChild>
        <w:div w:id="844981013">
          <w:marLeft w:val="0"/>
          <w:marRight w:val="0"/>
          <w:marTop w:val="0"/>
          <w:marBottom w:val="0"/>
          <w:divBdr>
            <w:top w:val="none" w:sz="0" w:space="0" w:color="auto"/>
            <w:left w:val="none" w:sz="0" w:space="0" w:color="auto"/>
            <w:bottom w:val="none" w:sz="0" w:space="0" w:color="auto"/>
            <w:right w:val="none" w:sz="0" w:space="0" w:color="auto"/>
          </w:divBdr>
        </w:div>
        <w:div w:id="1113861154">
          <w:marLeft w:val="0"/>
          <w:marRight w:val="0"/>
          <w:marTop w:val="0"/>
          <w:marBottom w:val="0"/>
          <w:divBdr>
            <w:top w:val="none" w:sz="0" w:space="0" w:color="auto"/>
            <w:left w:val="none" w:sz="0" w:space="0" w:color="auto"/>
            <w:bottom w:val="none" w:sz="0" w:space="0" w:color="auto"/>
            <w:right w:val="none" w:sz="0" w:space="0" w:color="auto"/>
          </w:divBdr>
        </w:div>
        <w:div w:id="460654438">
          <w:marLeft w:val="0"/>
          <w:marRight w:val="0"/>
          <w:marTop w:val="0"/>
          <w:marBottom w:val="0"/>
          <w:divBdr>
            <w:top w:val="none" w:sz="0" w:space="0" w:color="auto"/>
            <w:left w:val="none" w:sz="0" w:space="0" w:color="auto"/>
            <w:bottom w:val="none" w:sz="0" w:space="0" w:color="auto"/>
            <w:right w:val="none" w:sz="0" w:space="0" w:color="auto"/>
          </w:divBdr>
        </w:div>
        <w:div w:id="1289436435">
          <w:marLeft w:val="0"/>
          <w:marRight w:val="0"/>
          <w:marTop w:val="0"/>
          <w:marBottom w:val="0"/>
          <w:divBdr>
            <w:top w:val="none" w:sz="0" w:space="0" w:color="auto"/>
            <w:left w:val="none" w:sz="0" w:space="0" w:color="auto"/>
            <w:bottom w:val="none" w:sz="0" w:space="0" w:color="auto"/>
            <w:right w:val="none" w:sz="0" w:space="0" w:color="auto"/>
          </w:divBdr>
        </w:div>
        <w:div w:id="504633116">
          <w:marLeft w:val="0"/>
          <w:marRight w:val="0"/>
          <w:marTop w:val="0"/>
          <w:marBottom w:val="0"/>
          <w:divBdr>
            <w:top w:val="none" w:sz="0" w:space="0" w:color="auto"/>
            <w:left w:val="none" w:sz="0" w:space="0" w:color="auto"/>
            <w:bottom w:val="none" w:sz="0" w:space="0" w:color="auto"/>
            <w:right w:val="none" w:sz="0" w:space="0" w:color="auto"/>
          </w:divBdr>
        </w:div>
        <w:div w:id="353505731">
          <w:marLeft w:val="0"/>
          <w:marRight w:val="0"/>
          <w:marTop w:val="0"/>
          <w:marBottom w:val="0"/>
          <w:divBdr>
            <w:top w:val="none" w:sz="0" w:space="0" w:color="auto"/>
            <w:left w:val="none" w:sz="0" w:space="0" w:color="auto"/>
            <w:bottom w:val="none" w:sz="0" w:space="0" w:color="auto"/>
            <w:right w:val="none" w:sz="0" w:space="0" w:color="auto"/>
          </w:divBdr>
        </w:div>
        <w:div w:id="1734770670">
          <w:marLeft w:val="0"/>
          <w:marRight w:val="0"/>
          <w:marTop w:val="0"/>
          <w:marBottom w:val="0"/>
          <w:divBdr>
            <w:top w:val="none" w:sz="0" w:space="0" w:color="auto"/>
            <w:left w:val="none" w:sz="0" w:space="0" w:color="auto"/>
            <w:bottom w:val="none" w:sz="0" w:space="0" w:color="auto"/>
            <w:right w:val="none" w:sz="0" w:space="0" w:color="auto"/>
          </w:divBdr>
        </w:div>
        <w:div w:id="96097178">
          <w:marLeft w:val="0"/>
          <w:marRight w:val="0"/>
          <w:marTop w:val="0"/>
          <w:marBottom w:val="0"/>
          <w:divBdr>
            <w:top w:val="none" w:sz="0" w:space="0" w:color="auto"/>
            <w:left w:val="none" w:sz="0" w:space="0" w:color="auto"/>
            <w:bottom w:val="none" w:sz="0" w:space="0" w:color="auto"/>
            <w:right w:val="none" w:sz="0" w:space="0" w:color="auto"/>
          </w:divBdr>
        </w:div>
        <w:div w:id="1304433744">
          <w:marLeft w:val="0"/>
          <w:marRight w:val="0"/>
          <w:marTop w:val="0"/>
          <w:marBottom w:val="0"/>
          <w:divBdr>
            <w:top w:val="none" w:sz="0" w:space="0" w:color="auto"/>
            <w:left w:val="none" w:sz="0" w:space="0" w:color="auto"/>
            <w:bottom w:val="none" w:sz="0" w:space="0" w:color="auto"/>
            <w:right w:val="none" w:sz="0" w:space="0" w:color="auto"/>
          </w:divBdr>
        </w:div>
        <w:div w:id="1501239832">
          <w:marLeft w:val="0"/>
          <w:marRight w:val="0"/>
          <w:marTop w:val="0"/>
          <w:marBottom w:val="0"/>
          <w:divBdr>
            <w:top w:val="none" w:sz="0" w:space="0" w:color="auto"/>
            <w:left w:val="none" w:sz="0" w:space="0" w:color="auto"/>
            <w:bottom w:val="none" w:sz="0" w:space="0" w:color="auto"/>
            <w:right w:val="none" w:sz="0" w:space="0" w:color="auto"/>
          </w:divBdr>
        </w:div>
        <w:div w:id="239873865">
          <w:marLeft w:val="0"/>
          <w:marRight w:val="0"/>
          <w:marTop w:val="0"/>
          <w:marBottom w:val="0"/>
          <w:divBdr>
            <w:top w:val="none" w:sz="0" w:space="0" w:color="auto"/>
            <w:left w:val="none" w:sz="0" w:space="0" w:color="auto"/>
            <w:bottom w:val="none" w:sz="0" w:space="0" w:color="auto"/>
            <w:right w:val="none" w:sz="0" w:space="0" w:color="auto"/>
          </w:divBdr>
        </w:div>
        <w:div w:id="381485569">
          <w:marLeft w:val="0"/>
          <w:marRight w:val="0"/>
          <w:marTop w:val="0"/>
          <w:marBottom w:val="0"/>
          <w:divBdr>
            <w:top w:val="none" w:sz="0" w:space="0" w:color="auto"/>
            <w:left w:val="none" w:sz="0" w:space="0" w:color="auto"/>
            <w:bottom w:val="none" w:sz="0" w:space="0" w:color="auto"/>
            <w:right w:val="none" w:sz="0" w:space="0" w:color="auto"/>
          </w:divBdr>
        </w:div>
        <w:div w:id="1977488578">
          <w:marLeft w:val="0"/>
          <w:marRight w:val="0"/>
          <w:marTop w:val="0"/>
          <w:marBottom w:val="0"/>
          <w:divBdr>
            <w:top w:val="none" w:sz="0" w:space="0" w:color="auto"/>
            <w:left w:val="none" w:sz="0" w:space="0" w:color="auto"/>
            <w:bottom w:val="none" w:sz="0" w:space="0" w:color="auto"/>
            <w:right w:val="none" w:sz="0" w:space="0" w:color="auto"/>
          </w:divBdr>
        </w:div>
        <w:div w:id="1620843015">
          <w:marLeft w:val="0"/>
          <w:marRight w:val="0"/>
          <w:marTop w:val="0"/>
          <w:marBottom w:val="0"/>
          <w:divBdr>
            <w:top w:val="none" w:sz="0" w:space="0" w:color="auto"/>
            <w:left w:val="none" w:sz="0" w:space="0" w:color="auto"/>
            <w:bottom w:val="none" w:sz="0" w:space="0" w:color="auto"/>
            <w:right w:val="none" w:sz="0" w:space="0" w:color="auto"/>
          </w:divBdr>
        </w:div>
        <w:div w:id="329913331">
          <w:marLeft w:val="0"/>
          <w:marRight w:val="0"/>
          <w:marTop w:val="0"/>
          <w:marBottom w:val="0"/>
          <w:divBdr>
            <w:top w:val="none" w:sz="0" w:space="0" w:color="auto"/>
            <w:left w:val="none" w:sz="0" w:space="0" w:color="auto"/>
            <w:bottom w:val="none" w:sz="0" w:space="0" w:color="auto"/>
            <w:right w:val="none" w:sz="0" w:space="0" w:color="auto"/>
          </w:divBdr>
        </w:div>
        <w:div w:id="1873834465">
          <w:marLeft w:val="0"/>
          <w:marRight w:val="0"/>
          <w:marTop w:val="0"/>
          <w:marBottom w:val="0"/>
          <w:divBdr>
            <w:top w:val="none" w:sz="0" w:space="0" w:color="auto"/>
            <w:left w:val="none" w:sz="0" w:space="0" w:color="auto"/>
            <w:bottom w:val="none" w:sz="0" w:space="0" w:color="auto"/>
            <w:right w:val="none" w:sz="0" w:space="0" w:color="auto"/>
          </w:divBdr>
        </w:div>
        <w:div w:id="1537620353">
          <w:marLeft w:val="0"/>
          <w:marRight w:val="0"/>
          <w:marTop w:val="0"/>
          <w:marBottom w:val="0"/>
          <w:divBdr>
            <w:top w:val="none" w:sz="0" w:space="0" w:color="auto"/>
            <w:left w:val="none" w:sz="0" w:space="0" w:color="auto"/>
            <w:bottom w:val="none" w:sz="0" w:space="0" w:color="auto"/>
            <w:right w:val="none" w:sz="0" w:space="0" w:color="auto"/>
          </w:divBdr>
        </w:div>
        <w:div w:id="649486291">
          <w:marLeft w:val="0"/>
          <w:marRight w:val="0"/>
          <w:marTop w:val="0"/>
          <w:marBottom w:val="0"/>
          <w:divBdr>
            <w:top w:val="none" w:sz="0" w:space="0" w:color="auto"/>
            <w:left w:val="none" w:sz="0" w:space="0" w:color="auto"/>
            <w:bottom w:val="none" w:sz="0" w:space="0" w:color="auto"/>
            <w:right w:val="none" w:sz="0" w:space="0" w:color="auto"/>
          </w:divBdr>
        </w:div>
        <w:div w:id="1398700193">
          <w:marLeft w:val="0"/>
          <w:marRight w:val="0"/>
          <w:marTop w:val="0"/>
          <w:marBottom w:val="0"/>
          <w:divBdr>
            <w:top w:val="none" w:sz="0" w:space="0" w:color="auto"/>
            <w:left w:val="none" w:sz="0" w:space="0" w:color="auto"/>
            <w:bottom w:val="none" w:sz="0" w:space="0" w:color="auto"/>
            <w:right w:val="none" w:sz="0" w:space="0" w:color="auto"/>
          </w:divBdr>
        </w:div>
        <w:div w:id="1918897859">
          <w:marLeft w:val="0"/>
          <w:marRight w:val="0"/>
          <w:marTop w:val="0"/>
          <w:marBottom w:val="0"/>
          <w:divBdr>
            <w:top w:val="none" w:sz="0" w:space="0" w:color="auto"/>
            <w:left w:val="none" w:sz="0" w:space="0" w:color="auto"/>
            <w:bottom w:val="none" w:sz="0" w:space="0" w:color="auto"/>
            <w:right w:val="none" w:sz="0" w:space="0" w:color="auto"/>
          </w:divBdr>
        </w:div>
        <w:div w:id="1444571882">
          <w:marLeft w:val="0"/>
          <w:marRight w:val="0"/>
          <w:marTop w:val="0"/>
          <w:marBottom w:val="0"/>
          <w:divBdr>
            <w:top w:val="none" w:sz="0" w:space="0" w:color="auto"/>
            <w:left w:val="none" w:sz="0" w:space="0" w:color="auto"/>
            <w:bottom w:val="none" w:sz="0" w:space="0" w:color="auto"/>
            <w:right w:val="none" w:sz="0" w:space="0" w:color="auto"/>
          </w:divBdr>
        </w:div>
        <w:div w:id="1098793702">
          <w:marLeft w:val="0"/>
          <w:marRight w:val="0"/>
          <w:marTop w:val="0"/>
          <w:marBottom w:val="0"/>
          <w:divBdr>
            <w:top w:val="none" w:sz="0" w:space="0" w:color="auto"/>
            <w:left w:val="none" w:sz="0" w:space="0" w:color="auto"/>
            <w:bottom w:val="none" w:sz="0" w:space="0" w:color="auto"/>
            <w:right w:val="none" w:sz="0" w:space="0" w:color="auto"/>
          </w:divBdr>
        </w:div>
        <w:div w:id="11033997">
          <w:marLeft w:val="0"/>
          <w:marRight w:val="0"/>
          <w:marTop w:val="0"/>
          <w:marBottom w:val="0"/>
          <w:divBdr>
            <w:top w:val="none" w:sz="0" w:space="0" w:color="auto"/>
            <w:left w:val="none" w:sz="0" w:space="0" w:color="auto"/>
            <w:bottom w:val="none" w:sz="0" w:space="0" w:color="auto"/>
            <w:right w:val="none" w:sz="0" w:space="0" w:color="auto"/>
          </w:divBdr>
        </w:div>
        <w:div w:id="308292733">
          <w:marLeft w:val="0"/>
          <w:marRight w:val="0"/>
          <w:marTop w:val="0"/>
          <w:marBottom w:val="0"/>
          <w:divBdr>
            <w:top w:val="none" w:sz="0" w:space="0" w:color="auto"/>
            <w:left w:val="none" w:sz="0" w:space="0" w:color="auto"/>
            <w:bottom w:val="none" w:sz="0" w:space="0" w:color="auto"/>
            <w:right w:val="none" w:sz="0" w:space="0" w:color="auto"/>
          </w:divBdr>
        </w:div>
        <w:div w:id="1157772121">
          <w:marLeft w:val="0"/>
          <w:marRight w:val="0"/>
          <w:marTop w:val="0"/>
          <w:marBottom w:val="0"/>
          <w:divBdr>
            <w:top w:val="none" w:sz="0" w:space="0" w:color="auto"/>
            <w:left w:val="none" w:sz="0" w:space="0" w:color="auto"/>
            <w:bottom w:val="none" w:sz="0" w:space="0" w:color="auto"/>
            <w:right w:val="none" w:sz="0" w:space="0" w:color="auto"/>
          </w:divBdr>
        </w:div>
        <w:div w:id="2055422261">
          <w:marLeft w:val="0"/>
          <w:marRight w:val="0"/>
          <w:marTop w:val="0"/>
          <w:marBottom w:val="0"/>
          <w:divBdr>
            <w:top w:val="none" w:sz="0" w:space="0" w:color="auto"/>
            <w:left w:val="none" w:sz="0" w:space="0" w:color="auto"/>
            <w:bottom w:val="none" w:sz="0" w:space="0" w:color="auto"/>
            <w:right w:val="none" w:sz="0" w:space="0" w:color="auto"/>
          </w:divBdr>
        </w:div>
        <w:div w:id="802649816">
          <w:marLeft w:val="0"/>
          <w:marRight w:val="0"/>
          <w:marTop w:val="0"/>
          <w:marBottom w:val="0"/>
          <w:divBdr>
            <w:top w:val="none" w:sz="0" w:space="0" w:color="auto"/>
            <w:left w:val="none" w:sz="0" w:space="0" w:color="auto"/>
            <w:bottom w:val="none" w:sz="0" w:space="0" w:color="auto"/>
            <w:right w:val="none" w:sz="0" w:space="0" w:color="auto"/>
          </w:divBdr>
        </w:div>
        <w:div w:id="1643269753">
          <w:marLeft w:val="0"/>
          <w:marRight w:val="0"/>
          <w:marTop w:val="0"/>
          <w:marBottom w:val="0"/>
          <w:divBdr>
            <w:top w:val="none" w:sz="0" w:space="0" w:color="auto"/>
            <w:left w:val="none" w:sz="0" w:space="0" w:color="auto"/>
            <w:bottom w:val="none" w:sz="0" w:space="0" w:color="auto"/>
            <w:right w:val="none" w:sz="0" w:space="0" w:color="auto"/>
          </w:divBdr>
        </w:div>
        <w:div w:id="582227515">
          <w:marLeft w:val="0"/>
          <w:marRight w:val="0"/>
          <w:marTop w:val="0"/>
          <w:marBottom w:val="0"/>
          <w:divBdr>
            <w:top w:val="none" w:sz="0" w:space="0" w:color="auto"/>
            <w:left w:val="none" w:sz="0" w:space="0" w:color="auto"/>
            <w:bottom w:val="none" w:sz="0" w:space="0" w:color="auto"/>
            <w:right w:val="none" w:sz="0" w:space="0" w:color="auto"/>
          </w:divBdr>
        </w:div>
        <w:div w:id="1660961095">
          <w:marLeft w:val="0"/>
          <w:marRight w:val="0"/>
          <w:marTop w:val="0"/>
          <w:marBottom w:val="0"/>
          <w:divBdr>
            <w:top w:val="none" w:sz="0" w:space="0" w:color="auto"/>
            <w:left w:val="none" w:sz="0" w:space="0" w:color="auto"/>
            <w:bottom w:val="none" w:sz="0" w:space="0" w:color="auto"/>
            <w:right w:val="none" w:sz="0" w:space="0" w:color="auto"/>
          </w:divBdr>
        </w:div>
        <w:div w:id="1701011791">
          <w:marLeft w:val="0"/>
          <w:marRight w:val="0"/>
          <w:marTop w:val="0"/>
          <w:marBottom w:val="0"/>
          <w:divBdr>
            <w:top w:val="none" w:sz="0" w:space="0" w:color="auto"/>
            <w:left w:val="none" w:sz="0" w:space="0" w:color="auto"/>
            <w:bottom w:val="none" w:sz="0" w:space="0" w:color="auto"/>
            <w:right w:val="none" w:sz="0" w:space="0" w:color="auto"/>
          </w:divBdr>
        </w:div>
        <w:div w:id="1127774343">
          <w:marLeft w:val="0"/>
          <w:marRight w:val="0"/>
          <w:marTop w:val="0"/>
          <w:marBottom w:val="0"/>
          <w:divBdr>
            <w:top w:val="none" w:sz="0" w:space="0" w:color="auto"/>
            <w:left w:val="none" w:sz="0" w:space="0" w:color="auto"/>
            <w:bottom w:val="none" w:sz="0" w:space="0" w:color="auto"/>
            <w:right w:val="none" w:sz="0" w:space="0" w:color="auto"/>
          </w:divBdr>
        </w:div>
      </w:divsChild>
    </w:div>
    <w:div w:id="500858354">
      <w:marLeft w:val="0"/>
      <w:marRight w:val="0"/>
      <w:marTop w:val="0"/>
      <w:marBottom w:val="0"/>
      <w:divBdr>
        <w:top w:val="none" w:sz="0" w:space="0" w:color="auto"/>
        <w:left w:val="none" w:sz="0" w:space="0" w:color="auto"/>
        <w:bottom w:val="none" w:sz="0" w:space="0" w:color="auto"/>
        <w:right w:val="none" w:sz="0" w:space="0" w:color="auto"/>
      </w:divBdr>
    </w:div>
    <w:div w:id="503084812">
      <w:marLeft w:val="0"/>
      <w:marRight w:val="0"/>
      <w:marTop w:val="120"/>
      <w:marBottom w:val="120"/>
      <w:divBdr>
        <w:top w:val="none" w:sz="0" w:space="0" w:color="auto"/>
        <w:left w:val="none" w:sz="0" w:space="0" w:color="auto"/>
        <w:bottom w:val="none" w:sz="0" w:space="0" w:color="auto"/>
        <w:right w:val="none" w:sz="0" w:space="0" w:color="auto"/>
      </w:divBdr>
    </w:div>
    <w:div w:id="505170297">
      <w:marLeft w:val="0"/>
      <w:marRight w:val="0"/>
      <w:marTop w:val="120"/>
      <w:marBottom w:val="0"/>
      <w:divBdr>
        <w:top w:val="none" w:sz="0" w:space="0" w:color="auto"/>
        <w:left w:val="none" w:sz="0" w:space="0" w:color="auto"/>
        <w:bottom w:val="none" w:sz="0" w:space="0" w:color="auto"/>
        <w:right w:val="none" w:sz="0" w:space="0" w:color="auto"/>
      </w:divBdr>
    </w:div>
    <w:div w:id="510067622">
      <w:marLeft w:val="0"/>
      <w:marRight w:val="0"/>
      <w:marTop w:val="0"/>
      <w:marBottom w:val="0"/>
      <w:divBdr>
        <w:top w:val="none" w:sz="0" w:space="0" w:color="auto"/>
        <w:left w:val="none" w:sz="0" w:space="0" w:color="auto"/>
        <w:bottom w:val="none" w:sz="0" w:space="0" w:color="auto"/>
        <w:right w:val="none" w:sz="0" w:space="0" w:color="auto"/>
      </w:divBdr>
    </w:div>
    <w:div w:id="511267030">
      <w:marLeft w:val="0"/>
      <w:marRight w:val="0"/>
      <w:marTop w:val="120"/>
      <w:marBottom w:val="0"/>
      <w:divBdr>
        <w:top w:val="none" w:sz="0" w:space="0" w:color="auto"/>
        <w:left w:val="none" w:sz="0" w:space="0" w:color="auto"/>
        <w:bottom w:val="none" w:sz="0" w:space="0" w:color="auto"/>
        <w:right w:val="none" w:sz="0" w:space="0" w:color="auto"/>
      </w:divBdr>
    </w:div>
    <w:div w:id="512186915">
      <w:marLeft w:val="0"/>
      <w:marRight w:val="0"/>
      <w:marTop w:val="120"/>
      <w:marBottom w:val="0"/>
      <w:divBdr>
        <w:top w:val="none" w:sz="0" w:space="0" w:color="auto"/>
        <w:left w:val="none" w:sz="0" w:space="0" w:color="auto"/>
        <w:bottom w:val="none" w:sz="0" w:space="0" w:color="auto"/>
        <w:right w:val="none" w:sz="0" w:space="0" w:color="auto"/>
      </w:divBdr>
    </w:div>
    <w:div w:id="517037488">
      <w:marLeft w:val="0"/>
      <w:marRight w:val="0"/>
      <w:marTop w:val="120"/>
      <w:marBottom w:val="0"/>
      <w:divBdr>
        <w:top w:val="none" w:sz="0" w:space="0" w:color="auto"/>
        <w:left w:val="none" w:sz="0" w:space="0" w:color="auto"/>
        <w:bottom w:val="none" w:sz="0" w:space="0" w:color="auto"/>
        <w:right w:val="none" w:sz="0" w:space="0" w:color="auto"/>
      </w:divBdr>
    </w:div>
    <w:div w:id="519465567">
      <w:marLeft w:val="0"/>
      <w:marRight w:val="0"/>
      <w:marTop w:val="0"/>
      <w:marBottom w:val="0"/>
      <w:divBdr>
        <w:top w:val="none" w:sz="0" w:space="0" w:color="auto"/>
        <w:left w:val="none" w:sz="0" w:space="0" w:color="auto"/>
        <w:bottom w:val="none" w:sz="0" w:space="0" w:color="auto"/>
        <w:right w:val="none" w:sz="0" w:space="0" w:color="auto"/>
      </w:divBdr>
    </w:div>
    <w:div w:id="520553541">
      <w:marLeft w:val="0"/>
      <w:marRight w:val="0"/>
      <w:marTop w:val="120"/>
      <w:marBottom w:val="0"/>
      <w:divBdr>
        <w:top w:val="none" w:sz="0" w:space="0" w:color="auto"/>
        <w:left w:val="none" w:sz="0" w:space="0" w:color="auto"/>
        <w:bottom w:val="none" w:sz="0" w:space="0" w:color="auto"/>
        <w:right w:val="none" w:sz="0" w:space="0" w:color="auto"/>
      </w:divBdr>
    </w:div>
    <w:div w:id="521239139">
      <w:marLeft w:val="0"/>
      <w:marRight w:val="0"/>
      <w:marTop w:val="120"/>
      <w:marBottom w:val="0"/>
      <w:divBdr>
        <w:top w:val="none" w:sz="0" w:space="0" w:color="auto"/>
        <w:left w:val="none" w:sz="0" w:space="0" w:color="auto"/>
        <w:bottom w:val="none" w:sz="0" w:space="0" w:color="auto"/>
        <w:right w:val="none" w:sz="0" w:space="0" w:color="auto"/>
      </w:divBdr>
    </w:div>
    <w:div w:id="523439516">
      <w:marLeft w:val="0"/>
      <w:marRight w:val="0"/>
      <w:marTop w:val="0"/>
      <w:marBottom w:val="0"/>
      <w:divBdr>
        <w:top w:val="none" w:sz="0" w:space="0" w:color="auto"/>
        <w:left w:val="none" w:sz="0" w:space="0" w:color="auto"/>
        <w:bottom w:val="none" w:sz="0" w:space="0" w:color="auto"/>
        <w:right w:val="none" w:sz="0" w:space="0" w:color="auto"/>
      </w:divBdr>
    </w:div>
    <w:div w:id="529032942">
      <w:marLeft w:val="0"/>
      <w:marRight w:val="0"/>
      <w:marTop w:val="120"/>
      <w:marBottom w:val="0"/>
      <w:divBdr>
        <w:top w:val="none" w:sz="0" w:space="0" w:color="auto"/>
        <w:left w:val="none" w:sz="0" w:space="0" w:color="auto"/>
        <w:bottom w:val="none" w:sz="0" w:space="0" w:color="auto"/>
        <w:right w:val="none" w:sz="0" w:space="0" w:color="auto"/>
      </w:divBdr>
    </w:div>
    <w:div w:id="529219073">
      <w:marLeft w:val="0"/>
      <w:marRight w:val="0"/>
      <w:marTop w:val="120"/>
      <w:marBottom w:val="120"/>
      <w:divBdr>
        <w:top w:val="none" w:sz="0" w:space="0" w:color="auto"/>
        <w:left w:val="none" w:sz="0" w:space="0" w:color="auto"/>
        <w:bottom w:val="none" w:sz="0" w:space="0" w:color="auto"/>
        <w:right w:val="none" w:sz="0" w:space="0" w:color="auto"/>
      </w:divBdr>
    </w:div>
    <w:div w:id="532301846">
      <w:marLeft w:val="0"/>
      <w:marRight w:val="0"/>
      <w:marTop w:val="0"/>
      <w:marBottom w:val="120"/>
      <w:divBdr>
        <w:top w:val="none" w:sz="0" w:space="0" w:color="auto"/>
        <w:left w:val="none" w:sz="0" w:space="0" w:color="auto"/>
        <w:bottom w:val="none" w:sz="0" w:space="0" w:color="auto"/>
        <w:right w:val="none" w:sz="0" w:space="0" w:color="auto"/>
      </w:divBdr>
    </w:div>
    <w:div w:id="533543583">
      <w:marLeft w:val="0"/>
      <w:marRight w:val="0"/>
      <w:marTop w:val="120"/>
      <w:marBottom w:val="0"/>
      <w:divBdr>
        <w:top w:val="none" w:sz="0" w:space="0" w:color="auto"/>
        <w:left w:val="none" w:sz="0" w:space="0" w:color="auto"/>
        <w:bottom w:val="none" w:sz="0" w:space="0" w:color="auto"/>
        <w:right w:val="none" w:sz="0" w:space="0" w:color="auto"/>
      </w:divBdr>
    </w:div>
    <w:div w:id="534663376">
      <w:marLeft w:val="0"/>
      <w:marRight w:val="0"/>
      <w:marTop w:val="120"/>
      <w:marBottom w:val="120"/>
      <w:divBdr>
        <w:top w:val="none" w:sz="0" w:space="0" w:color="auto"/>
        <w:left w:val="none" w:sz="0" w:space="0" w:color="auto"/>
        <w:bottom w:val="none" w:sz="0" w:space="0" w:color="auto"/>
        <w:right w:val="none" w:sz="0" w:space="0" w:color="auto"/>
      </w:divBdr>
    </w:div>
    <w:div w:id="535853988">
      <w:marLeft w:val="0"/>
      <w:marRight w:val="0"/>
      <w:marTop w:val="120"/>
      <w:marBottom w:val="0"/>
      <w:divBdr>
        <w:top w:val="none" w:sz="0" w:space="0" w:color="auto"/>
        <w:left w:val="none" w:sz="0" w:space="0" w:color="auto"/>
        <w:bottom w:val="none" w:sz="0" w:space="0" w:color="auto"/>
        <w:right w:val="none" w:sz="0" w:space="0" w:color="auto"/>
      </w:divBdr>
    </w:div>
    <w:div w:id="536503999">
      <w:marLeft w:val="0"/>
      <w:marRight w:val="0"/>
      <w:marTop w:val="120"/>
      <w:marBottom w:val="120"/>
      <w:divBdr>
        <w:top w:val="none" w:sz="0" w:space="0" w:color="auto"/>
        <w:left w:val="none" w:sz="0" w:space="0" w:color="auto"/>
        <w:bottom w:val="none" w:sz="0" w:space="0" w:color="auto"/>
        <w:right w:val="none" w:sz="0" w:space="0" w:color="auto"/>
      </w:divBdr>
    </w:div>
    <w:div w:id="539241319">
      <w:marLeft w:val="0"/>
      <w:marRight w:val="0"/>
      <w:marTop w:val="120"/>
      <w:marBottom w:val="0"/>
      <w:divBdr>
        <w:top w:val="none" w:sz="0" w:space="0" w:color="auto"/>
        <w:left w:val="none" w:sz="0" w:space="0" w:color="auto"/>
        <w:bottom w:val="none" w:sz="0" w:space="0" w:color="auto"/>
        <w:right w:val="none" w:sz="0" w:space="0" w:color="auto"/>
      </w:divBdr>
    </w:div>
    <w:div w:id="539242739">
      <w:marLeft w:val="0"/>
      <w:marRight w:val="0"/>
      <w:marTop w:val="0"/>
      <w:marBottom w:val="0"/>
      <w:divBdr>
        <w:top w:val="none" w:sz="0" w:space="0" w:color="auto"/>
        <w:left w:val="none" w:sz="0" w:space="0" w:color="auto"/>
        <w:bottom w:val="none" w:sz="0" w:space="0" w:color="auto"/>
        <w:right w:val="none" w:sz="0" w:space="0" w:color="auto"/>
      </w:divBdr>
      <w:divsChild>
        <w:div w:id="2044403631">
          <w:marLeft w:val="0"/>
          <w:marRight w:val="0"/>
          <w:marTop w:val="0"/>
          <w:marBottom w:val="0"/>
          <w:divBdr>
            <w:top w:val="none" w:sz="0" w:space="0" w:color="auto"/>
            <w:left w:val="none" w:sz="0" w:space="0" w:color="auto"/>
            <w:bottom w:val="none" w:sz="0" w:space="0" w:color="auto"/>
            <w:right w:val="none" w:sz="0" w:space="0" w:color="auto"/>
          </w:divBdr>
        </w:div>
      </w:divsChild>
    </w:div>
    <w:div w:id="545723193">
      <w:marLeft w:val="0"/>
      <w:marRight w:val="0"/>
      <w:marTop w:val="0"/>
      <w:marBottom w:val="120"/>
      <w:divBdr>
        <w:top w:val="none" w:sz="0" w:space="0" w:color="auto"/>
        <w:left w:val="none" w:sz="0" w:space="0" w:color="auto"/>
        <w:bottom w:val="none" w:sz="0" w:space="0" w:color="auto"/>
        <w:right w:val="none" w:sz="0" w:space="0" w:color="auto"/>
      </w:divBdr>
      <w:divsChild>
        <w:div w:id="1675064198">
          <w:marLeft w:val="0"/>
          <w:marRight w:val="0"/>
          <w:marTop w:val="120"/>
          <w:marBottom w:val="0"/>
          <w:divBdr>
            <w:top w:val="none" w:sz="0" w:space="0" w:color="auto"/>
            <w:left w:val="none" w:sz="0" w:space="0" w:color="auto"/>
            <w:bottom w:val="none" w:sz="0" w:space="0" w:color="auto"/>
            <w:right w:val="none" w:sz="0" w:space="0" w:color="auto"/>
          </w:divBdr>
        </w:div>
      </w:divsChild>
    </w:div>
    <w:div w:id="548344280">
      <w:marLeft w:val="0"/>
      <w:marRight w:val="0"/>
      <w:marTop w:val="120"/>
      <w:marBottom w:val="0"/>
      <w:divBdr>
        <w:top w:val="none" w:sz="0" w:space="0" w:color="auto"/>
        <w:left w:val="none" w:sz="0" w:space="0" w:color="auto"/>
        <w:bottom w:val="none" w:sz="0" w:space="0" w:color="auto"/>
        <w:right w:val="none" w:sz="0" w:space="0" w:color="auto"/>
      </w:divBdr>
    </w:div>
    <w:div w:id="555703701">
      <w:marLeft w:val="0"/>
      <w:marRight w:val="0"/>
      <w:marTop w:val="120"/>
      <w:marBottom w:val="0"/>
      <w:divBdr>
        <w:top w:val="none" w:sz="0" w:space="0" w:color="auto"/>
        <w:left w:val="none" w:sz="0" w:space="0" w:color="auto"/>
        <w:bottom w:val="none" w:sz="0" w:space="0" w:color="auto"/>
        <w:right w:val="none" w:sz="0" w:space="0" w:color="auto"/>
      </w:divBdr>
    </w:div>
    <w:div w:id="555703866">
      <w:marLeft w:val="0"/>
      <w:marRight w:val="0"/>
      <w:marTop w:val="240"/>
      <w:marBottom w:val="0"/>
      <w:divBdr>
        <w:top w:val="none" w:sz="0" w:space="0" w:color="auto"/>
        <w:left w:val="none" w:sz="0" w:space="0" w:color="auto"/>
        <w:bottom w:val="none" w:sz="0" w:space="0" w:color="auto"/>
        <w:right w:val="none" w:sz="0" w:space="0" w:color="auto"/>
      </w:divBdr>
    </w:div>
    <w:div w:id="563837324">
      <w:marLeft w:val="0"/>
      <w:marRight w:val="0"/>
      <w:marTop w:val="0"/>
      <w:marBottom w:val="0"/>
      <w:divBdr>
        <w:top w:val="none" w:sz="0" w:space="0" w:color="auto"/>
        <w:left w:val="none" w:sz="0" w:space="0" w:color="auto"/>
        <w:bottom w:val="none" w:sz="0" w:space="0" w:color="auto"/>
        <w:right w:val="none" w:sz="0" w:space="0" w:color="auto"/>
      </w:divBdr>
      <w:divsChild>
        <w:div w:id="900865841">
          <w:marLeft w:val="0"/>
          <w:marRight w:val="0"/>
          <w:marTop w:val="0"/>
          <w:marBottom w:val="0"/>
          <w:divBdr>
            <w:top w:val="none" w:sz="0" w:space="0" w:color="auto"/>
            <w:left w:val="none" w:sz="0" w:space="0" w:color="auto"/>
            <w:bottom w:val="none" w:sz="0" w:space="0" w:color="auto"/>
            <w:right w:val="none" w:sz="0" w:space="0" w:color="auto"/>
          </w:divBdr>
        </w:div>
      </w:divsChild>
    </w:div>
    <w:div w:id="564804751">
      <w:marLeft w:val="0"/>
      <w:marRight w:val="0"/>
      <w:marTop w:val="120"/>
      <w:marBottom w:val="0"/>
      <w:divBdr>
        <w:top w:val="none" w:sz="0" w:space="0" w:color="auto"/>
        <w:left w:val="none" w:sz="0" w:space="0" w:color="auto"/>
        <w:bottom w:val="none" w:sz="0" w:space="0" w:color="auto"/>
        <w:right w:val="none" w:sz="0" w:space="0" w:color="auto"/>
      </w:divBdr>
    </w:div>
    <w:div w:id="565457566">
      <w:marLeft w:val="0"/>
      <w:marRight w:val="0"/>
      <w:marTop w:val="120"/>
      <w:marBottom w:val="0"/>
      <w:divBdr>
        <w:top w:val="none" w:sz="0" w:space="0" w:color="auto"/>
        <w:left w:val="none" w:sz="0" w:space="0" w:color="auto"/>
        <w:bottom w:val="none" w:sz="0" w:space="0" w:color="auto"/>
        <w:right w:val="none" w:sz="0" w:space="0" w:color="auto"/>
      </w:divBdr>
    </w:div>
    <w:div w:id="566109192">
      <w:marLeft w:val="0"/>
      <w:marRight w:val="0"/>
      <w:marTop w:val="120"/>
      <w:marBottom w:val="0"/>
      <w:divBdr>
        <w:top w:val="none" w:sz="0" w:space="0" w:color="auto"/>
        <w:left w:val="none" w:sz="0" w:space="0" w:color="auto"/>
        <w:bottom w:val="none" w:sz="0" w:space="0" w:color="auto"/>
        <w:right w:val="none" w:sz="0" w:space="0" w:color="auto"/>
      </w:divBdr>
    </w:div>
    <w:div w:id="566571922">
      <w:marLeft w:val="0"/>
      <w:marRight w:val="0"/>
      <w:marTop w:val="0"/>
      <w:marBottom w:val="0"/>
      <w:divBdr>
        <w:top w:val="none" w:sz="0" w:space="0" w:color="auto"/>
        <w:left w:val="none" w:sz="0" w:space="0" w:color="auto"/>
        <w:bottom w:val="none" w:sz="0" w:space="0" w:color="auto"/>
        <w:right w:val="none" w:sz="0" w:space="0" w:color="auto"/>
      </w:divBdr>
    </w:div>
    <w:div w:id="570118485">
      <w:marLeft w:val="0"/>
      <w:marRight w:val="0"/>
      <w:marTop w:val="0"/>
      <w:marBottom w:val="0"/>
      <w:divBdr>
        <w:top w:val="none" w:sz="0" w:space="0" w:color="auto"/>
        <w:left w:val="none" w:sz="0" w:space="0" w:color="auto"/>
        <w:bottom w:val="none" w:sz="0" w:space="0" w:color="auto"/>
        <w:right w:val="none" w:sz="0" w:space="0" w:color="auto"/>
      </w:divBdr>
      <w:divsChild>
        <w:div w:id="736704854">
          <w:marLeft w:val="0"/>
          <w:marRight w:val="0"/>
          <w:marTop w:val="0"/>
          <w:marBottom w:val="0"/>
          <w:divBdr>
            <w:top w:val="none" w:sz="0" w:space="0" w:color="auto"/>
            <w:left w:val="none" w:sz="0" w:space="0" w:color="auto"/>
            <w:bottom w:val="none" w:sz="0" w:space="0" w:color="auto"/>
            <w:right w:val="none" w:sz="0" w:space="0" w:color="auto"/>
          </w:divBdr>
        </w:div>
      </w:divsChild>
    </w:div>
    <w:div w:id="575020193">
      <w:marLeft w:val="0"/>
      <w:marRight w:val="0"/>
      <w:marTop w:val="120"/>
      <w:marBottom w:val="0"/>
      <w:divBdr>
        <w:top w:val="none" w:sz="0" w:space="0" w:color="auto"/>
        <w:left w:val="none" w:sz="0" w:space="0" w:color="auto"/>
        <w:bottom w:val="none" w:sz="0" w:space="0" w:color="auto"/>
        <w:right w:val="none" w:sz="0" w:space="0" w:color="auto"/>
      </w:divBdr>
    </w:div>
    <w:div w:id="578518736">
      <w:marLeft w:val="0"/>
      <w:marRight w:val="0"/>
      <w:marTop w:val="120"/>
      <w:marBottom w:val="120"/>
      <w:divBdr>
        <w:top w:val="none" w:sz="0" w:space="0" w:color="auto"/>
        <w:left w:val="none" w:sz="0" w:space="0" w:color="auto"/>
        <w:bottom w:val="none" w:sz="0" w:space="0" w:color="auto"/>
        <w:right w:val="none" w:sz="0" w:space="0" w:color="auto"/>
      </w:divBdr>
    </w:div>
    <w:div w:id="579559692">
      <w:marLeft w:val="0"/>
      <w:marRight w:val="0"/>
      <w:marTop w:val="120"/>
      <w:marBottom w:val="0"/>
      <w:divBdr>
        <w:top w:val="none" w:sz="0" w:space="0" w:color="auto"/>
        <w:left w:val="none" w:sz="0" w:space="0" w:color="auto"/>
        <w:bottom w:val="none" w:sz="0" w:space="0" w:color="auto"/>
        <w:right w:val="none" w:sz="0" w:space="0" w:color="auto"/>
      </w:divBdr>
    </w:div>
    <w:div w:id="580411850">
      <w:marLeft w:val="0"/>
      <w:marRight w:val="0"/>
      <w:marTop w:val="0"/>
      <w:marBottom w:val="0"/>
      <w:divBdr>
        <w:top w:val="none" w:sz="0" w:space="0" w:color="auto"/>
        <w:left w:val="none" w:sz="0" w:space="0" w:color="auto"/>
        <w:bottom w:val="none" w:sz="0" w:space="0" w:color="auto"/>
        <w:right w:val="none" w:sz="0" w:space="0" w:color="auto"/>
      </w:divBdr>
      <w:divsChild>
        <w:div w:id="1809007975">
          <w:marLeft w:val="0"/>
          <w:marRight w:val="0"/>
          <w:marTop w:val="0"/>
          <w:marBottom w:val="0"/>
          <w:divBdr>
            <w:top w:val="none" w:sz="0" w:space="0" w:color="auto"/>
            <w:left w:val="none" w:sz="0" w:space="0" w:color="auto"/>
            <w:bottom w:val="none" w:sz="0" w:space="0" w:color="auto"/>
            <w:right w:val="none" w:sz="0" w:space="0" w:color="auto"/>
          </w:divBdr>
        </w:div>
      </w:divsChild>
    </w:div>
    <w:div w:id="584463717">
      <w:marLeft w:val="0"/>
      <w:marRight w:val="0"/>
      <w:marTop w:val="0"/>
      <w:marBottom w:val="0"/>
      <w:divBdr>
        <w:top w:val="none" w:sz="0" w:space="0" w:color="auto"/>
        <w:left w:val="none" w:sz="0" w:space="0" w:color="auto"/>
        <w:bottom w:val="none" w:sz="0" w:space="0" w:color="auto"/>
        <w:right w:val="none" w:sz="0" w:space="0" w:color="auto"/>
      </w:divBdr>
      <w:divsChild>
        <w:div w:id="228346492">
          <w:marLeft w:val="0"/>
          <w:marRight w:val="0"/>
          <w:marTop w:val="0"/>
          <w:marBottom w:val="0"/>
          <w:divBdr>
            <w:top w:val="none" w:sz="0" w:space="0" w:color="auto"/>
            <w:left w:val="none" w:sz="0" w:space="0" w:color="auto"/>
            <w:bottom w:val="none" w:sz="0" w:space="0" w:color="auto"/>
            <w:right w:val="none" w:sz="0" w:space="0" w:color="auto"/>
          </w:divBdr>
        </w:div>
      </w:divsChild>
    </w:div>
    <w:div w:id="584724887">
      <w:marLeft w:val="0"/>
      <w:marRight w:val="0"/>
      <w:marTop w:val="0"/>
      <w:marBottom w:val="0"/>
      <w:divBdr>
        <w:top w:val="none" w:sz="0" w:space="0" w:color="auto"/>
        <w:left w:val="none" w:sz="0" w:space="0" w:color="auto"/>
        <w:bottom w:val="none" w:sz="0" w:space="0" w:color="auto"/>
        <w:right w:val="none" w:sz="0" w:space="0" w:color="auto"/>
      </w:divBdr>
      <w:divsChild>
        <w:div w:id="357238108">
          <w:marLeft w:val="0"/>
          <w:marRight w:val="0"/>
          <w:marTop w:val="0"/>
          <w:marBottom w:val="0"/>
          <w:divBdr>
            <w:top w:val="none" w:sz="0" w:space="0" w:color="auto"/>
            <w:left w:val="none" w:sz="0" w:space="0" w:color="auto"/>
            <w:bottom w:val="none" w:sz="0" w:space="0" w:color="auto"/>
            <w:right w:val="none" w:sz="0" w:space="0" w:color="auto"/>
          </w:divBdr>
        </w:div>
      </w:divsChild>
    </w:div>
    <w:div w:id="597642259">
      <w:marLeft w:val="0"/>
      <w:marRight w:val="0"/>
      <w:marTop w:val="120"/>
      <w:marBottom w:val="0"/>
      <w:divBdr>
        <w:top w:val="none" w:sz="0" w:space="0" w:color="auto"/>
        <w:left w:val="none" w:sz="0" w:space="0" w:color="auto"/>
        <w:bottom w:val="none" w:sz="0" w:space="0" w:color="auto"/>
        <w:right w:val="none" w:sz="0" w:space="0" w:color="auto"/>
      </w:divBdr>
    </w:div>
    <w:div w:id="598874023">
      <w:marLeft w:val="0"/>
      <w:marRight w:val="0"/>
      <w:marTop w:val="120"/>
      <w:marBottom w:val="0"/>
      <w:divBdr>
        <w:top w:val="none" w:sz="0" w:space="0" w:color="auto"/>
        <w:left w:val="none" w:sz="0" w:space="0" w:color="auto"/>
        <w:bottom w:val="none" w:sz="0" w:space="0" w:color="auto"/>
        <w:right w:val="none" w:sz="0" w:space="0" w:color="auto"/>
      </w:divBdr>
    </w:div>
    <w:div w:id="604583331">
      <w:marLeft w:val="0"/>
      <w:marRight w:val="0"/>
      <w:marTop w:val="0"/>
      <w:marBottom w:val="0"/>
      <w:divBdr>
        <w:top w:val="none" w:sz="0" w:space="0" w:color="auto"/>
        <w:left w:val="none" w:sz="0" w:space="0" w:color="auto"/>
        <w:bottom w:val="none" w:sz="0" w:space="0" w:color="auto"/>
        <w:right w:val="none" w:sz="0" w:space="0" w:color="auto"/>
      </w:divBdr>
    </w:div>
    <w:div w:id="604847201">
      <w:marLeft w:val="0"/>
      <w:marRight w:val="0"/>
      <w:marTop w:val="0"/>
      <w:marBottom w:val="0"/>
      <w:divBdr>
        <w:top w:val="none" w:sz="0" w:space="0" w:color="auto"/>
        <w:left w:val="none" w:sz="0" w:space="0" w:color="auto"/>
        <w:bottom w:val="none" w:sz="0" w:space="0" w:color="auto"/>
        <w:right w:val="none" w:sz="0" w:space="0" w:color="auto"/>
      </w:divBdr>
      <w:divsChild>
        <w:div w:id="1668748147">
          <w:marLeft w:val="0"/>
          <w:marRight w:val="0"/>
          <w:marTop w:val="0"/>
          <w:marBottom w:val="0"/>
          <w:divBdr>
            <w:top w:val="none" w:sz="0" w:space="0" w:color="auto"/>
            <w:left w:val="none" w:sz="0" w:space="0" w:color="auto"/>
            <w:bottom w:val="none" w:sz="0" w:space="0" w:color="auto"/>
            <w:right w:val="none" w:sz="0" w:space="0" w:color="auto"/>
          </w:divBdr>
        </w:div>
      </w:divsChild>
    </w:div>
    <w:div w:id="605814806">
      <w:marLeft w:val="0"/>
      <w:marRight w:val="0"/>
      <w:marTop w:val="0"/>
      <w:marBottom w:val="0"/>
      <w:divBdr>
        <w:top w:val="none" w:sz="0" w:space="0" w:color="auto"/>
        <w:left w:val="none" w:sz="0" w:space="0" w:color="auto"/>
        <w:bottom w:val="none" w:sz="0" w:space="0" w:color="auto"/>
        <w:right w:val="none" w:sz="0" w:space="0" w:color="auto"/>
      </w:divBdr>
    </w:div>
    <w:div w:id="606040960">
      <w:marLeft w:val="0"/>
      <w:marRight w:val="0"/>
      <w:marTop w:val="120"/>
      <w:marBottom w:val="120"/>
      <w:divBdr>
        <w:top w:val="none" w:sz="0" w:space="0" w:color="auto"/>
        <w:left w:val="none" w:sz="0" w:space="0" w:color="auto"/>
        <w:bottom w:val="none" w:sz="0" w:space="0" w:color="auto"/>
        <w:right w:val="none" w:sz="0" w:space="0" w:color="auto"/>
      </w:divBdr>
    </w:div>
    <w:div w:id="606498217">
      <w:marLeft w:val="0"/>
      <w:marRight w:val="0"/>
      <w:marTop w:val="0"/>
      <w:marBottom w:val="0"/>
      <w:divBdr>
        <w:top w:val="none" w:sz="0" w:space="0" w:color="auto"/>
        <w:left w:val="none" w:sz="0" w:space="0" w:color="auto"/>
        <w:bottom w:val="none" w:sz="0" w:space="0" w:color="auto"/>
        <w:right w:val="none" w:sz="0" w:space="0" w:color="auto"/>
      </w:divBdr>
    </w:div>
    <w:div w:id="608242405">
      <w:marLeft w:val="0"/>
      <w:marRight w:val="0"/>
      <w:marTop w:val="120"/>
      <w:marBottom w:val="0"/>
      <w:divBdr>
        <w:top w:val="none" w:sz="0" w:space="0" w:color="auto"/>
        <w:left w:val="none" w:sz="0" w:space="0" w:color="auto"/>
        <w:bottom w:val="none" w:sz="0" w:space="0" w:color="auto"/>
        <w:right w:val="none" w:sz="0" w:space="0" w:color="auto"/>
      </w:divBdr>
    </w:div>
    <w:div w:id="608394066">
      <w:marLeft w:val="0"/>
      <w:marRight w:val="0"/>
      <w:marTop w:val="0"/>
      <w:marBottom w:val="0"/>
      <w:divBdr>
        <w:top w:val="none" w:sz="0" w:space="0" w:color="auto"/>
        <w:left w:val="none" w:sz="0" w:space="0" w:color="auto"/>
        <w:bottom w:val="none" w:sz="0" w:space="0" w:color="auto"/>
        <w:right w:val="none" w:sz="0" w:space="0" w:color="auto"/>
      </w:divBdr>
    </w:div>
    <w:div w:id="609430998">
      <w:marLeft w:val="0"/>
      <w:marRight w:val="0"/>
      <w:marTop w:val="0"/>
      <w:marBottom w:val="0"/>
      <w:divBdr>
        <w:top w:val="none" w:sz="0" w:space="0" w:color="auto"/>
        <w:left w:val="none" w:sz="0" w:space="0" w:color="auto"/>
        <w:bottom w:val="none" w:sz="0" w:space="0" w:color="auto"/>
        <w:right w:val="none" w:sz="0" w:space="0" w:color="auto"/>
      </w:divBdr>
    </w:div>
    <w:div w:id="611060386">
      <w:marLeft w:val="0"/>
      <w:marRight w:val="0"/>
      <w:marTop w:val="120"/>
      <w:marBottom w:val="120"/>
      <w:divBdr>
        <w:top w:val="none" w:sz="0" w:space="0" w:color="auto"/>
        <w:left w:val="none" w:sz="0" w:space="0" w:color="auto"/>
        <w:bottom w:val="none" w:sz="0" w:space="0" w:color="auto"/>
        <w:right w:val="none" w:sz="0" w:space="0" w:color="auto"/>
      </w:divBdr>
    </w:div>
    <w:div w:id="618032424">
      <w:marLeft w:val="0"/>
      <w:marRight w:val="0"/>
      <w:marTop w:val="120"/>
      <w:marBottom w:val="0"/>
      <w:divBdr>
        <w:top w:val="none" w:sz="0" w:space="0" w:color="auto"/>
        <w:left w:val="none" w:sz="0" w:space="0" w:color="auto"/>
        <w:bottom w:val="none" w:sz="0" w:space="0" w:color="auto"/>
        <w:right w:val="none" w:sz="0" w:space="0" w:color="auto"/>
      </w:divBdr>
    </w:div>
    <w:div w:id="620303242">
      <w:marLeft w:val="0"/>
      <w:marRight w:val="0"/>
      <w:marTop w:val="0"/>
      <w:marBottom w:val="0"/>
      <w:divBdr>
        <w:top w:val="none" w:sz="0" w:space="0" w:color="auto"/>
        <w:left w:val="none" w:sz="0" w:space="0" w:color="auto"/>
        <w:bottom w:val="none" w:sz="0" w:space="0" w:color="auto"/>
        <w:right w:val="none" w:sz="0" w:space="0" w:color="auto"/>
      </w:divBdr>
      <w:divsChild>
        <w:div w:id="1792162678">
          <w:marLeft w:val="0"/>
          <w:marRight w:val="0"/>
          <w:marTop w:val="0"/>
          <w:marBottom w:val="0"/>
          <w:divBdr>
            <w:top w:val="none" w:sz="0" w:space="0" w:color="auto"/>
            <w:left w:val="none" w:sz="0" w:space="0" w:color="auto"/>
            <w:bottom w:val="none" w:sz="0" w:space="0" w:color="auto"/>
            <w:right w:val="none" w:sz="0" w:space="0" w:color="auto"/>
          </w:divBdr>
        </w:div>
      </w:divsChild>
    </w:div>
    <w:div w:id="621500170">
      <w:marLeft w:val="0"/>
      <w:marRight w:val="0"/>
      <w:marTop w:val="120"/>
      <w:marBottom w:val="0"/>
      <w:divBdr>
        <w:top w:val="none" w:sz="0" w:space="0" w:color="auto"/>
        <w:left w:val="none" w:sz="0" w:space="0" w:color="auto"/>
        <w:bottom w:val="none" w:sz="0" w:space="0" w:color="auto"/>
        <w:right w:val="none" w:sz="0" w:space="0" w:color="auto"/>
      </w:divBdr>
    </w:div>
    <w:div w:id="622351143">
      <w:marLeft w:val="0"/>
      <w:marRight w:val="0"/>
      <w:marTop w:val="120"/>
      <w:marBottom w:val="0"/>
      <w:divBdr>
        <w:top w:val="none" w:sz="0" w:space="0" w:color="auto"/>
        <w:left w:val="none" w:sz="0" w:space="0" w:color="auto"/>
        <w:bottom w:val="none" w:sz="0" w:space="0" w:color="auto"/>
        <w:right w:val="none" w:sz="0" w:space="0" w:color="auto"/>
      </w:divBdr>
    </w:div>
    <w:div w:id="622885165">
      <w:marLeft w:val="0"/>
      <w:marRight w:val="0"/>
      <w:marTop w:val="120"/>
      <w:marBottom w:val="120"/>
      <w:divBdr>
        <w:top w:val="none" w:sz="0" w:space="0" w:color="auto"/>
        <w:left w:val="none" w:sz="0" w:space="0" w:color="auto"/>
        <w:bottom w:val="none" w:sz="0" w:space="0" w:color="auto"/>
        <w:right w:val="none" w:sz="0" w:space="0" w:color="auto"/>
      </w:divBdr>
    </w:div>
    <w:div w:id="624308864">
      <w:marLeft w:val="0"/>
      <w:marRight w:val="0"/>
      <w:marTop w:val="0"/>
      <w:marBottom w:val="0"/>
      <w:divBdr>
        <w:top w:val="none" w:sz="0" w:space="0" w:color="auto"/>
        <w:left w:val="none" w:sz="0" w:space="0" w:color="auto"/>
        <w:bottom w:val="none" w:sz="0" w:space="0" w:color="auto"/>
        <w:right w:val="none" w:sz="0" w:space="0" w:color="auto"/>
      </w:divBdr>
      <w:divsChild>
        <w:div w:id="319382436">
          <w:marLeft w:val="0"/>
          <w:marRight w:val="0"/>
          <w:marTop w:val="0"/>
          <w:marBottom w:val="0"/>
          <w:divBdr>
            <w:top w:val="none" w:sz="0" w:space="0" w:color="auto"/>
            <w:left w:val="none" w:sz="0" w:space="0" w:color="auto"/>
            <w:bottom w:val="none" w:sz="0" w:space="0" w:color="auto"/>
            <w:right w:val="none" w:sz="0" w:space="0" w:color="auto"/>
          </w:divBdr>
        </w:div>
      </w:divsChild>
    </w:div>
    <w:div w:id="625234924">
      <w:marLeft w:val="0"/>
      <w:marRight w:val="0"/>
      <w:marTop w:val="120"/>
      <w:marBottom w:val="0"/>
      <w:divBdr>
        <w:top w:val="none" w:sz="0" w:space="0" w:color="auto"/>
        <w:left w:val="none" w:sz="0" w:space="0" w:color="auto"/>
        <w:bottom w:val="none" w:sz="0" w:space="0" w:color="auto"/>
        <w:right w:val="none" w:sz="0" w:space="0" w:color="auto"/>
      </w:divBdr>
    </w:div>
    <w:div w:id="626278982">
      <w:marLeft w:val="0"/>
      <w:marRight w:val="0"/>
      <w:marTop w:val="120"/>
      <w:marBottom w:val="120"/>
      <w:divBdr>
        <w:top w:val="none" w:sz="0" w:space="0" w:color="auto"/>
        <w:left w:val="none" w:sz="0" w:space="0" w:color="auto"/>
        <w:bottom w:val="none" w:sz="0" w:space="0" w:color="auto"/>
        <w:right w:val="none" w:sz="0" w:space="0" w:color="auto"/>
      </w:divBdr>
    </w:div>
    <w:div w:id="627711568">
      <w:marLeft w:val="0"/>
      <w:marRight w:val="0"/>
      <w:marTop w:val="120"/>
      <w:marBottom w:val="120"/>
      <w:divBdr>
        <w:top w:val="none" w:sz="0" w:space="0" w:color="auto"/>
        <w:left w:val="none" w:sz="0" w:space="0" w:color="auto"/>
        <w:bottom w:val="none" w:sz="0" w:space="0" w:color="auto"/>
        <w:right w:val="none" w:sz="0" w:space="0" w:color="auto"/>
      </w:divBdr>
    </w:div>
    <w:div w:id="630132236">
      <w:marLeft w:val="0"/>
      <w:marRight w:val="0"/>
      <w:marTop w:val="120"/>
      <w:marBottom w:val="0"/>
      <w:divBdr>
        <w:top w:val="none" w:sz="0" w:space="0" w:color="auto"/>
        <w:left w:val="none" w:sz="0" w:space="0" w:color="auto"/>
        <w:bottom w:val="none" w:sz="0" w:space="0" w:color="auto"/>
        <w:right w:val="none" w:sz="0" w:space="0" w:color="auto"/>
      </w:divBdr>
    </w:div>
    <w:div w:id="630593834">
      <w:marLeft w:val="0"/>
      <w:marRight w:val="0"/>
      <w:marTop w:val="120"/>
      <w:marBottom w:val="120"/>
      <w:divBdr>
        <w:top w:val="none" w:sz="0" w:space="0" w:color="auto"/>
        <w:left w:val="none" w:sz="0" w:space="0" w:color="auto"/>
        <w:bottom w:val="none" w:sz="0" w:space="0" w:color="auto"/>
        <w:right w:val="none" w:sz="0" w:space="0" w:color="auto"/>
      </w:divBdr>
    </w:div>
    <w:div w:id="639380325">
      <w:marLeft w:val="0"/>
      <w:marRight w:val="0"/>
      <w:marTop w:val="120"/>
      <w:marBottom w:val="0"/>
      <w:divBdr>
        <w:top w:val="none" w:sz="0" w:space="0" w:color="auto"/>
        <w:left w:val="none" w:sz="0" w:space="0" w:color="auto"/>
        <w:bottom w:val="none" w:sz="0" w:space="0" w:color="auto"/>
        <w:right w:val="none" w:sz="0" w:space="0" w:color="auto"/>
      </w:divBdr>
    </w:div>
    <w:div w:id="646781785">
      <w:marLeft w:val="0"/>
      <w:marRight w:val="0"/>
      <w:marTop w:val="120"/>
      <w:marBottom w:val="0"/>
      <w:divBdr>
        <w:top w:val="none" w:sz="0" w:space="0" w:color="auto"/>
        <w:left w:val="none" w:sz="0" w:space="0" w:color="auto"/>
        <w:bottom w:val="none" w:sz="0" w:space="0" w:color="auto"/>
        <w:right w:val="none" w:sz="0" w:space="0" w:color="auto"/>
      </w:divBdr>
    </w:div>
    <w:div w:id="647710105">
      <w:marLeft w:val="0"/>
      <w:marRight w:val="0"/>
      <w:marTop w:val="120"/>
      <w:marBottom w:val="0"/>
      <w:divBdr>
        <w:top w:val="none" w:sz="0" w:space="0" w:color="auto"/>
        <w:left w:val="none" w:sz="0" w:space="0" w:color="auto"/>
        <w:bottom w:val="none" w:sz="0" w:space="0" w:color="auto"/>
        <w:right w:val="none" w:sz="0" w:space="0" w:color="auto"/>
      </w:divBdr>
    </w:div>
    <w:div w:id="650403048">
      <w:marLeft w:val="0"/>
      <w:marRight w:val="0"/>
      <w:marTop w:val="0"/>
      <w:marBottom w:val="0"/>
      <w:divBdr>
        <w:top w:val="none" w:sz="0" w:space="0" w:color="auto"/>
        <w:left w:val="none" w:sz="0" w:space="0" w:color="auto"/>
        <w:bottom w:val="none" w:sz="0" w:space="0" w:color="auto"/>
        <w:right w:val="none" w:sz="0" w:space="0" w:color="auto"/>
      </w:divBdr>
    </w:div>
    <w:div w:id="653265143">
      <w:marLeft w:val="0"/>
      <w:marRight w:val="0"/>
      <w:marTop w:val="120"/>
      <w:marBottom w:val="120"/>
      <w:divBdr>
        <w:top w:val="none" w:sz="0" w:space="0" w:color="auto"/>
        <w:left w:val="none" w:sz="0" w:space="0" w:color="auto"/>
        <w:bottom w:val="none" w:sz="0" w:space="0" w:color="auto"/>
        <w:right w:val="none" w:sz="0" w:space="0" w:color="auto"/>
      </w:divBdr>
    </w:div>
    <w:div w:id="654265797">
      <w:marLeft w:val="0"/>
      <w:marRight w:val="0"/>
      <w:marTop w:val="0"/>
      <w:marBottom w:val="120"/>
      <w:divBdr>
        <w:top w:val="none" w:sz="0" w:space="0" w:color="auto"/>
        <w:left w:val="none" w:sz="0" w:space="0" w:color="auto"/>
        <w:bottom w:val="none" w:sz="0" w:space="0" w:color="auto"/>
        <w:right w:val="none" w:sz="0" w:space="0" w:color="auto"/>
      </w:divBdr>
    </w:div>
    <w:div w:id="658189335">
      <w:marLeft w:val="0"/>
      <w:marRight w:val="0"/>
      <w:marTop w:val="120"/>
      <w:marBottom w:val="0"/>
      <w:divBdr>
        <w:top w:val="none" w:sz="0" w:space="0" w:color="auto"/>
        <w:left w:val="none" w:sz="0" w:space="0" w:color="auto"/>
        <w:bottom w:val="none" w:sz="0" w:space="0" w:color="auto"/>
        <w:right w:val="none" w:sz="0" w:space="0" w:color="auto"/>
      </w:divBdr>
    </w:div>
    <w:div w:id="661859836">
      <w:marLeft w:val="0"/>
      <w:marRight w:val="0"/>
      <w:marTop w:val="120"/>
      <w:marBottom w:val="0"/>
      <w:divBdr>
        <w:top w:val="none" w:sz="0" w:space="0" w:color="auto"/>
        <w:left w:val="none" w:sz="0" w:space="0" w:color="auto"/>
        <w:bottom w:val="none" w:sz="0" w:space="0" w:color="auto"/>
        <w:right w:val="none" w:sz="0" w:space="0" w:color="auto"/>
      </w:divBdr>
    </w:div>
    <w:div w:id="663557409">
      <w:marLeft w:val="0"/>
      <w:marRight w:val="0"/>
      <w:marTop w:val="120"/>
      <w:marBottom w:val="120"/>
      <w:divBdr>
        <w:top w:val="none" w:sz="0" w:space="0" w:color="auto"/>
        <w:left w:val="none" w:sz="0" w:space="0" w:color="auto"/>
        <w:bottom w:val="none" w:sz="0" w:space="0" w:color="auto"/>
        <w:right w:val="none" w:sz="0" w:space="0" w:color="auto"/>
      </w:divBdr>
    </w:div>
    <w:div w:id="666713686">
      <w:marLeft w:val="0"/>
      <w:marRight w:val="0"/>
      <w:marTop w:val="0"/>
      <w:marBottom w:val="0"/>
      <w:divBdr>
        <w:top w:val="none" w:sz="0" w:space="0" w:color="auto"/>
        <w:left w:val="none" w:sz="0" w:space="0" w:color="auto"/>
        <w:bottom w:val="none" w:sz="0" w:space="0" w:color="auto"/>
        <w:right w:val="none" w:sz="0" w:space="0" w:color="auto"/>
      </w:divBdr>
    </w:div>
    <w:div w:id="680468879">
      <w:marLeft w:val="0"/>
      <w:marRight w:val="0"/>
      <w:marTop w:val="120"/>
      <w:marBottom w:val="0"/>
      <w:divBdr>
        <w:top w:val="none" w:sz="0" w:space="0" w:color="auto"/>
        <w:left w:val="none" w:sz="0" w:space="0" w:color="auto"/>
        <w:bottom w:val="none" w:sz="0" w:space="0" w:color="auto"/>
        <w:right w:val="none" w:sz="0" w:space="0" w:color="auto"/>
      </w:divBdr>
    </w:div>
    <w:div w:id="682514089">
      <w:marLeft w:val="0"/>
      <w:marRight w:val="0"/>
      <w:marTop w:val="0"/>
      <w:marBottom w:val="0"/>
      <w:divBdr>
        <w:top w:val="none" w:sz="0" w:space="0" w:color="auto"/>
        <w:left w:val="none" w:sz="0" w:space="0" w:color="auto"/>
        <w:bottom w:val="none" w:sz="0" w:space="0" w:color="auto"/>
        <w:right w:val="none" w:sz="0" w:space="0" w:color="auto"/>
      </w:divBdr>
      <w:divsChild>
        <w:div w:id="964703400">
          <w:marLeft w:val="0"/>
          <w:marRight w:val="0"/>
          <w:marTop w:val="0"/>
          <w:marBottom w:val="0"/>
          <w:divBdr>
            <w:top w:val="none" w:sz="0" w:space="0" w:color="auto"/>
            <w:left w:val="none" w:sz="0" w:space="0" w:color="auto"/>
            <w:bottom w:val="none" w:sz="0" w:space="0" w:color="auto"/>
            <w:right w:val="none" w:sz="0" w:space="0" w:color="auto"/>
          </w:divBdr>
        </w:div>
      </w:divsChild>
    </w:div>
    <w:div w:id="688143768">
      <w:marLeft w:val="0"/>
      <w:marRight w:val="0"/>
      <w:marTop w:val="120"/>
      <w:marBottom w:val="0"/>
      <w:divBdr>
        <w:top w:val="none" w:sz="0" w:space="0" w:color="auto"/>
        <w:left w:val="none" w:sz="0" w:space="0" w:color="auto"/>
        <w:bottom w:val="none" w:sz="0" w:space="0" w:color="auto"/>
        <w:right w:val="none" w:sz="0" w:space="0" w:color="auto"/>
      </w:divBdr>
    </w:div>
    <w:div w:id="693919731">
      <w:marLeft w:val="0"/>
      <w:marRight w:val="0"/>
      <w:marTop w:val="120"/>
      <w:marBottom w:val="0"/>
      <w:divBdr>
        <w:top w:val="none" w:sz="0" w:space="0" w:color="auto"/>
        <w:left w:val="none" w:sz="0" w:space="0" w:color="auto"/>
        <w:bottom w:val="none" w:sz="0" w:space="0" w:color="auto"/>
        <w:right w:val="none" w:sz="0" w:space="0" w:color="auto"/>
      </w:divBdr>
    </w:div>
    <w:div w:id="696080025">
      <w:marLeft w:val="0"/>
      <w:marRight w:val="0"/>
      <w:marTop w:val="120"/>
      <w:marBottom w:val="0"/>
      <w:divBdr>
        <w:top w:val="none" w:sz="0" w:space="0" w:color="auto"/>
        <w:left w:val="none" w:sz="0" w:space="0" w:color="auto"/>
        <w:bottom w:val="none" w:sz="0" w:space="0" w:color="auto"/>
        <w:right w:val="none" w:sz="0" w:space="0" w:color="auto"/>
      </w:divBdr>
    </w:div>
    <w:div w:id="699163724">
      <w:marLeft w:val="0"/>
      <w:marRight w:val="0"/>
      <w:marTop w:val="180"/>
      <w:marBottom w:val="0"/>
      <w:divBdr>
        <w:top w:val="none" w:sz="0" w:space="0" w:color="auto"/>
        <w:left w:val="none" w:sz="0" w:space="0" w:color="auto"/>
        <w:bottom w:val="none" w:sz="0" w:space="0" w:color="auto"/>
        <w:right w:val="none" w:sz="0" w:space="0" w:color="auto"/>
      </w:divBdr>
    </w:div>
    <w:div w:id="702750102">
      <w:marLeft w:val="0"/>
      <w:marRight w:val="0"/>
      <w:marTop w:val="120"/>
      <w:marBottom w:val="0"/>
      <w:divBdr>
        <w:top w:val="none" w:sz="0" w:space="0" w:color="auto"/>
        <w:left w:val="none" w:sz="0" w:space="0" w:color="auto"/>
        <w:bottom w:val="none" w:sz="0" w:space="0" w:color="auto"/>
        <w:right w:val="none" w:sz="0" w:space="0" w:color="auto"/>
      </w:divBdr>
    </w:div>
    <w:div w:id="707149531">
      <w:marLeft w:val="0"/>
      <w:marRight w:val="0"/>
      <w:marTop w:val="0"/>
      <w:marBottom w:val="0"/>
      <w:divBdr>
        <w:top w:val="none" w:sz="0" w:space="0" w:color="auto"/>
        <w:left w:val="none" w:sz="0" w:space="0" w:color="auto"/>
        <w:bottom w:val="none" w:sz="0" w:space="0" w:color="auto"/>
        <w:right w:val="none" w:sz="0" w:space="0" w:color="auto"/>
      </w:divBdr>
      <w:divsChild>
        <w:div w:id="49035176">
          <w:marLeft w:val="0"/>
          <w:marRight w:val="0"/>
          <w:marTop w:val="0"/>
          <w:marBottom w:val="0"/>
          <w:divBdr>
            <w:top w:val="none" w:sz="0" w:space="0" w:color="auto"/>
            <w:left w:val="none" w:sz="0" w:space="0" w:color="auto"/>
            <w:bottom w:val="none" w:sz="0" w:space="0" w:color="auto"/>
            <w:right w:val="none" w:sz="0" w:space="0" w:color="auto"/>
          </w:divBdr>
        </w:div>
        <w:div w:id="1199273291">
          <w:marLeft w:val="0"/>
          <w:marRight w:val="0"/>
          <w:marTop w:val="0"/>
          <w:marBottom w:val="0"/>
          <w:divBdr>
            <w:top w:val="none" w:sz="0" w:space="0" w:color="auto"/>
            <w:left w:val="none" w:sz="0" w:space="0" w:color="auto"/>
            <w:bottom w:val="none" w:sz="0" w:space="0" w:color="auto"/>
            <w:right w:val="none" w:sz="0" w:space="0" w:color="auto"/>
          </w:divBdr>
        </w:div>
        <w:div w:id="1589580579">
          <w:marLeft w:val="0"/>
          <w:marRight w:val="0"/>
          <w:marTop w:val="0"/>
          <w:marBottom w:val="0"/>
          <w:divBdr>
            <w:top w:val="none" w:sz="0" w:space="0" w:color="auto"/>
            <w:left w:val="none" w:sz="0" w:space="0" w:color="auto"/>
            <w:bottom w:val="none" w:sz="0" w:space="0" w:color="auto"/>
            <w:right w:val="none" w:sz="0" w:space="0" w:color="auto"/>
          </w:divBdr>
        </w:div>
        <w:div w:id="969898737">
          <w:marLeft w:val="0"/>
          <w:marRight w:val="0"/>
          <w:marTop w:val="0"/>
          <w:marBottom w:val="0"/>
          <w:divBdr>
            <w:top w:val="none" w:sz="0" w:space="0" w:color="auto"/>
            <w:left w:val="none" w:sz="0" w:space="0" w:color="auto"/>
            <w:bottom w:val="none" w:sz="0" w:space="0" w:color="auto"/>
            <w:right w:val="none" w:sz="0" w:space="0" w:color="auto"/>
          </w:divBdr>
        </w:div>
        <w:div w:id="364329753">
          <w:marLeft w:val="0"/>
          <w:marRight w:val="0"/>
          <w:marTop w:val="0"/>
          <w:marBottom w:val="0"/>
          <w:divBdr>
            <w:top w:val="none" w:sz="0" w:space="0" w:color="auto"/>
            <w:left w:val="none" w:sz="0" w:space="0" w:color="auto"/>
            <w:bottom w:val="none" w:sz="0" w:space="0" w:color="auto"/>
            <w:right w:val="none" w:sz="0" w:space="0" w:color="auto"/>
          </w:divBdr>
        </w:div>
        <w:div w:id="1514223664">
          <w:marLeft w:val="0"/>
          <w:marRight w:val="0"/>
          <w:marTop w:val="0"/>
          <w:marBottom w:val="0"/>
          <w:divBdr>
            <w:top w:val="none" w:sz="0" w:space="0" w:color="auto"/>
            <w:left w:val="none" w:sz="0" w:space="0" w:color="auto"/>
            <w:bottom w:val="none" w:sz="0" w:space="0" w:color="auto"/>
            <w:right w:val="none" w:sz="0" w:space="0" w:color="auto"/>
          </w:divBdr>
        </w:div>
        <w:div w:id="710148358">
          <w:marLeft w:val="0"/>
          <w:marRight w:val="0"/>
          <w:marTop w:val="0"/>
          <w:marBottom w:val="0"/>
          <w:divBdr>
            <w:top w:val="none" w:sz="0" w:space="0" w:color="auto"/>
            <w:left w:val="none" w:sz="0" w:space="0" w:color="auto"/>
            <w:bottom w:val="none" w:sz="0" w:space="0" w:color="auto"/>
            <w:right w:val="none" w:sz="0" w:space="0" w:color="auto"/>
          </w:divBdr>
        </w:div>
        <w:div w:id="949894468">
          <w:marLeft w:val="0"/>
          <w:marRight w:val="0"/>
          <w:marTop w:val="0"/>
          <w:marBottom w:val="0"/>
          <w:divBdr>
            <w:top w:val="none" w:sz="0" w:space="0" w:color="auto"/>
            <w:left w:val="none" w:sz="0" w:space="0" w:color="auto"/>
            <w:bottom w:val="none" w:sz="0" w:space="0" w:color="auto"/>
            <w:right w:val="none" w:sz="0" w:space="0" w:color="auto"/>
          </w:divBdr>
        </w:div>
        <w:div w:id="1991129219">
          <w:marLeft w:val="0"/>
          <w:marRight w:val="0"/>
          <w:marTop w:val="0"/>
          <w:marBottom w:val="0"/>
          <w:divBdr>
            <w:top w:val="none" w:sz="0" w:space="0" w:color="auto"/>
            <w:left w:val="none" w:sz="0" w:space="0" w:color="auto"/>
            <w:bottom w:val="none" w:sz="0" w:space="0" w:color="auto"/>
            <w:right w:val="none" w:sz="0" w:space="0" w:color="auto"/>
          </w:divBdr>
        </w:div>
        <w:div w:id="2143845816">
          <w:marLeft w:val="0"/>
          <w:marRight w:val="0"/>
          <w:marTop w:val="0"/>
          <w:marBottom w:val="0"/>
          <w:divBdr>
            <w:top w:val="none" w:sz="0" w:space="0" w:color="auto"/>
            <w:left w:val="none" w:sz="0" w:space="0" w:color="auto"/>
            <w:bottom w:val="none" w:sz="0" w:space="0" w:color="auto"/>
            <w:right w:val="none" w:sz="0" w:space="0" w:color="auto"/>
          </w:divBdr>
        </w:div>
      </w:divsChild>
    </w:div>
    <w:div w:id="712004492">
      <w:marLeft w:val="0"/>
      <w:marRight w:val="0"/>
      <w:marTop w:val="120"/>
      <w:marBottom w:val="0"/>
      <w:divBdr>
        <w:top w:val="none" w:sz="0" w:space="0" w:color="auto"/>
        <w:left w:val="none" w:sz="0" w:space="0" w:color="auto"/>
        <w:bottom w:val="none" w:sz="0" w:space="0" w:color="auto"/>
        <w:right w:val="none" w:sz="0" w:space="0" w:color="auto"/>
      </w:divBdr>
    </w:div>
    <w:div w:id="715085154">
      <w:marLeft w:val="0"/>
      <w:marRight w:val="0"/>
      <w:marTop w:val="0"/>
      <w:marBottom w:val="0"/>
      <w:divBdr>
        <w:top w:val="none" w:sz="0" w:space="0" w:color="auto"/>
        <w:left w:val="none" w:sz="0" w:space="0" w:color="auto"/>
        <w:bottom w:val="none" w:sz="0" w:space="0" w:color="auto"/>
        <w:right w:val="none" w:sz="0" w:space="0" w:color="auto"/>
      </w:divBdr>
    </w:div>
    <w:div w:id="718550202">
      <w:marLeft w:val="0"/>
      <w:marRight w:val="0"/>
      <w:marTop w:val="0"/>
      <w:marBottom w:val="0"/>
      <w:divBdr>
        <w:top w:val="none" w:sz="0" w:space="0" w:color="auto"/>
        <w:left w:val="none" w:sz="0" w:space="0" w:color="auto"/>
        <w:bottom w:val="none" w:sz="0" w:space="0" w:color="auto"/>
        <w:right w:val="none" w:sz="0" w:space="0" w:color="auto"/>
      </w:divBdr>
      <w:divsChild>
        <w:div w:id="240913507">
          <w:marLeft w:val="0"/>
          <w:marRight w:val="0"/>
          <w:marTop w:val="0"/>
          <w:marBottom w:val="0"/>
          <w:divBdr>
            <w:top w:val="none" w:sz="0" w:space="0" w:color="auto"/>
            <w:left w:val="none" w:sz="0" w:space="0" w:color="auto"/>
            <w:bottom w:val="none" w:sz="0" w:space="0" w:color="auto"/>
            <w:right w:val="none" w:sz="0" w:space="0" w:color="auto"/>
          </w:divBdr>
        </w:div>
      </w:divsChild>
    </w:div>
    <w:div w:id="718940478">
      <w:marLeft w:val="0"/>
      <w:marRight w:val="0"/>
      <w:marTop w:val="120"/>
      <w:marBottom w:val="0"/>
      <w:divBdr>
        <w:top w:val="none" w:sz="0" w:space="0" w:color="auto"/>
        <w:left w:val="none" w:sz="0" w:space="0" w:color="auto"/>
        <w:bottom w:val="none" w:sz="0" w:space="0" w:color="auto"/>
        <w:right w:val="none" w:sz="0" w:space="0" w:color="auto"/>
      </w:divBdr>
    </w:div>
    <w:div w:id="719743625">
      <w:marLeft w:val="0"/>
      <w:marRight w:val="0"/>
      <w:marTop w:val="0"/>
      <w:marBottom w:val="0"/>
      <w:divBdr>
        <w:top w:val="none" w:sz="0" w:space="0" w:color="auto"/>
        <w:left w:val="none" w:sz="0" w:space="0" w:color="auto"/>
        <w:bottom w:val="none" w:sz="0" w:space="0" w:color="auto"/>
        <w:right w:val="none" w:sz="0" w:space="0" w:color="auto"/>
      </w:divBdr>
    </w:div>
    <w:div w:id="720518325">
      <w:marLeft w:val="0"/>
      <w:marRight w:val="0"/>
      <w:marTop w:val="120"/>
      <w:marBottom w:val="120"/>
      <w:divBdr>
        <w:top w:val="none" w:sz="0" w:space="0" w:color="auto"/>
        <w:left w:val="none" w:sz="0" w:space="0" w:color="auto"/>
        <w:bottom w:val="none" w:sz="0" w:space="0" w:color="auto"/>
        <w:right w:val="none" w:sz="0" w:space="0" w:color="auto"/>
      </w:divBdr>
    </w:div>
    <w:div w:id="721294788">
      <w:marLeft w:val="0"/>
      <w:marRight w:val="0"/>
      <w:marTop w:val="0"/>
      <w:marBottom w:val="0"/>
      <w:divBdr>
        <w:top w:val="none" w:sz="0" w:space="0" w:color="auto"/>
        <w:left w:val="none" w:sz="0" w:space="0" w:color="auto"/>
        <w:bottom w:val="none" w:sz="0" w:space="0" w:color="auto"/>
        <w:right w:val="none" w:sz="0" w:space="0" w:color="auto"/>
      </w:divBdr>
    </w:div>
    <w:div w:id="722021306">
      <w:marLeft w:val="0"/>
      <w:marRight w:val="0"/>
      <w:marTop w:val="0"/>
      <w:marBottom w:val="0"/>
      <w:divBdr>
        <w:top w:val="none" w:sz="0" w:space="0" w:color="auto"/>
        <w:left w:val="none" w:sz="0" w:space="0" w:color="auto"/>
        <w:bottom w:val="none" w:sz="0" w:space="0" w:color="auto"/>
        <w:right w:val="none" w:sz="0" w:space="0" w:color="auto"/>
      </w:divBdr>
      <w:divsChild>
        <w:div w:id="764960545">
          <w:marLeft w:val="0"/>
          <w:marRight w:val="0"/>
          <w:marTop w:val="0"/>
          <w:marBottom w:val="0"/>
          <w:divBdr>
            <w:top w:val="none" w:sz="0" w:space="0" w:color="auto"/>
            <w:left w:val="none" w:sz="0" w:space="0" w:color="auto"/>
            <w:bottom w:val="none" w:sz="0" w:space="0" w:color="auto"/>
            <w:right w:val="none" w:sz="0" w:space="0" w:color="auto"/>
          </w:divBdr>
        </w:div>
      </w:divsChild>
    </w:div>
    <w:div w:id="728772122">
      <w:marLeft w:val="0"/>
      <w:marRight w:val="0"/>
      <w:marTop w:val="120"/>
      <w:marBottom w:val="0"/>
      <w:divBdr>
        <w:top w:val="none" w:sz="0" w:space="0" w:color="auto"/>
        <w:left w:val="none" w:sz="0" w:space="0" w:color="auto"/>
        <w:bottom w:val="none" w:sz="0" w:space="0" w:color="auto"/>
        <w:right w:val="none" w:sz="0" w:space="0" w:color="auto"/>
      </w:divBdr>
    </w:div>
    <w:div w:id="734204420">
      <w:marLeft w:val="0"/>
      <w:marRight w:val="0"/>
      <w:marTop w:val="0"/>
      <w:marBottom w:val="0"/>
      <w:divBdr>
        <w:top w:val="none" w:sz="0" w:space="0" w:color="auto"/>
        <w:left w:val="none" w:sz="0" w:space="0" w:color="auto"/>
        <w:bottom w:val="none" w:sz="0" w:space="0" w:color="auto"/>
        <w:right w:val="none" w:sz="0" w:space="0" w:color="auto"/>
      </w:divBdr>
      <w:divsChild>
        <w:div w:id="359167122">
          <w:marLeft w:val="0"/>
          <w:marRight w:val="0"/>
          <w:marTop w:val="0"/>
          <w:marBottom w:val="0"/>
          <w:divBdr>
            <w:top w:val="none" w:sz="0" w:space="0" w:color="auto"/>
            <w:left w:val="none" w:sz="0" w:space="0" w:color="auto"/>
            <w:bottom w:val="none" w:sz="0" w:space="0" w:color="auto"/>
            <w:right w:val="none" w:sz="0" w:space="0" w:color="auto"/>
          </w:divBdr>
        </w:div>
      </w:divsChild>
    </w:div>
    <w:div w:id="734593496">
      <w:marLeft w:val="0"/>
      <w:marRight w:val="0"/>
      <w:marTop w:val="120"/>
      <w:marBottom w:val="0"/>
      <w:divBdr>
        <w:top w:val="none" w:sz="0" w:space="0" w:color="auto"/>
        <w:left w:val="none" w:sz="0" w:space="0" w:color="auto"/>
        <w:bottom w:val="none" w:sz="0" w:space="0" w:color="auto"/>
        <w:right w:val="none" w:sz="0" w:space="0" w:color="auto"/>
      </w:divBdr>
    </w:div>
    <w:div w:id="748576295">
      <w:marLeft w:val="0"/>
      <w:marRight w:val="0"/>
      <w:marTop w:val="120"/>
      <w:marBottom w:val="120"/>
      <w:divBdr>
        <w:top w:val="none" w:sz="0" w:space="0" w:color="auto"/>
        <w:left w:val="none" w:sz="0" w:space="0" w:color="auto"/>
        <w:bottom w:val="none" w:sz="0" w:space="0" w:color="auto"/>
        <w:right w:val="none" w:sz="0" w:space="0" w:color="auto"/>
      </w:divBdr>
    </w:div>
    <w:div w:id="749421893">
      <w:marLeft w:val="0"/>
      <w:marRight w:val="0"/>
      <w:marTop w:val="0"/>
      <w:marBottom w:val="0"/>
      <w:divBdr>
        <w:top w:val="none" w:sz="0" w:space="0" w:color="auto"/>
        <w:left w:val="none" w:sz="0" w:space="0" w:color="auto"/>
        <w:bottom w:val="none" w:sz="0" w:space="0" w:color="auto"/>
        <w:right w:val="none" w:sz="0" w:space="0" w:color="auto"/>
      </w:divBdr>
    </w:div>
    <w:div w:id="749544387">
      <w:marLeft w:val="0"/>
      <w:marRight w:val="0"/>
      <w:marTop w:val="0"/>
      <w:marBottom w:val="0"/>
      <w:divBdr>
        <w:top w:val="none" w:sz="0" w:space="0" w:color="auto"/>
        <w:left w:val="none" w:sz="0" w:space="0" w:color="auto"/>
        <w:bottom w:val="none" w:sz="0" w:space="0" w:color="auto"/>
        <w:right w:val="none" w:sz="0" w:space="0" w:color="auto"/>
      </w:divBdr>
    </w:div>
    <w:div w:id="751858133">
      <w:marLeft w:val="0"/>
      <w:marRight w:val="0"/>
      <w:marTop w:val="120"/>
      <w:marBottom w:val="0"/>
      <w:divBdr>
        <w:top w:val="none" w:sz="0" w:space="0" w:color="auto"/>
        <w:left w:val="none" w:sz="0" w:space="0" w:color="auto"/>
        <w:bottom w:val="none" w:sz="0" w:space="0" w:color="auto"/>
        <w:right w:val="none" w:sz="0" w:space="0" w:color="auto"/>
      </w:divBdr>
    </w:div>
    <w:div w:id="754060508">
      <w:marLeft w:val="0"/>
      <w:marRight w:val="0"/>
      <w:marTop w:val="120"/>
      <w:marBottom w:val="0"/>
      <w:divBdr>
        <w:top w:val="none" w:sz="0" w:space="0" w:color="auto"/>
        <w:left w:val="none" w:sz="0" w:space="0" w:color="auto"/>
        <w:bottom w:val="none" w:sz="0" w:space="0" w:color="auto"/>
        <w:right w:val="none" w:sz="0" w:space="0" w:color="auto"/>
      </w:divBdr>
    </w:div>
    <w:div w:id="754520461">
      <w:marLeft w:val="0"/>
      <w:marRight w:val="0"/>
      <w:marTop w:val="120"/>
      <w:marBottom w:val="0"/>
      <w:divBdr>
        <w:top w:val="none" w:sz="0" w:space="0" w:color="auto"/>
        <w:left w:val="none" w:sz="0" w:space="0" w:color="auto"/>
        <w:bottom w:val="none" w:sz="0" w:space="0" w:color="auto"/>
        <w:right w:val="none" w:sz="0" w:space="0" w:color="auto"/>
      </w:divBdr>
    </w:div>
    <w:div w:id="755904309">
      <w:marLeft w:val="0"/>
      <w:marRight w:val="0"/>
      <w:marTop w:val="120"/>
      <w:marBottom w:val="0"/>
      <w:divBdr>
        <w:top w:val="none" w:sz="0" w:space="0" w:color="auto"/>
        <w:left w:val="none" w:sz="0" w:space="0" w:color="auto"/>
        <w:bottom w:val="none" w:sz="0" w:space="0" w:color="auto"/>
        <w:right w:val="none" w:sz="0" w:space="0" w:color="auto"/>
      </w:divBdr>
    </w:div>
    <w:div w:id="756633030">
      <w:marLeft w:val="0"/>
      <w:marRight w:val="0"/>
      <w:marTop w:val="0"/>
      <w:marBottom w:val="0"/>
      <w:divBdr>
        <w:top w:val="none" w:sz="0" w:space="0" w:color="auto"/>
        <w:left w:val="none" w:sz="0" w:space="0" w:color="auto"/>
        <w:bottom w:val="none" w:sz="0" w:space="0" w:color="auto"/>
        <w:right w:val="none" w:sz="0" w:space="0" w:color="auto"/>
      </w:divBdr>
    </w:div>
    <w:div w:id="757678694">
      <w:marLeft w:val="0"/>
      <w:marRight w:val="0"/>
      <w:marTop w:val="180"/>
      <w:marBottom w:val="0"/>
      <w:divBdr>
        <w:top w:val="none" w:sz="0" w:space="0" w:color="auto"/>
        <w:left w:val="none" w:sz="0" w:space="0" w:color="auto"/>
        <w:bottom w:val="none" w:sz="0" w:space="0" w:color="auto"/>
        <w:right w:val="none" w:sz="0" w:space="0" w:color="auto"/>
      </w:divBdr>
    </w:div>
    <w:div w:id="758597055">
      <w:marLeft w:val="0"/>
      <w:marRight w:val="0"/>
      <w:marTop w:val="120"/>
      <w:marBottom w:val="0"/>
      <w:divBdr>
        <w:top w:val="none" w:sz="0" w:space="0" w:color="auto"/>
        <w:left w:val="none" w:sz="0" w:space="0" w:color="auto"/>
        <w:bottom w:val="none" w:sz="0" w:space="0" w:color="auto"/>
        <w:right w:val="none" w:sz="0" w:space="0" w:color="auto"/>
      </w:divBdr>
    </w:div>
    <w:div w:id="768088122">
      <w:marLeft w:val="0"/>
      <w:marRight w:val="0"/>
      <w:marTop w:val="120"/>
      <w:marBottom w:val="120"/>
      <w:divBdr>
        <w:top w:val="none" w:sz="0" w:space="0" w:color="auto"/>
        <w:left w:val="none" w:sz="0" w:space="0" w:color="auto"/>
        <w:bottom w:val="none" w:sz="0" w:space="0" w:color="auto"/>
        <w:right w:val="none" w:sz="0" w:space="0" w:color="auto"/>
      </w:divBdr>
    </w:div>
    <w:div w:id="769737820">
      <w:marLeft w:val="0"/>
      <w:marRight w:val="0"/>
      <w:marTop w:val="120"/>
      <w:marBottom w:val="0"/>
      <w:divBdr>
        <w:top w:val="none" w:sz="0" w:space="0" w:color="auto"/>
        <w:left w:val="none" w:sz="0" w:space="0" w:color="auto"/>
        <w:bottom w:val="none" w:sz="0" w:space="0" w:color="auto"/>
        <w:right w:val="none" w:sz="0" w:space="0" w:color="auto"/>
      </w:divBdr>
    </w:div>
    <w:div w:id="772819688">
      <w:marLeft w:val="0"/>
      <w:marRight w:val="0"/>
      <w:marTop w:val="180"/>
      <w:marBottom w:val="0"/>
      <w:divBdr>
        <w:top w:val="none" w:sz="0" w:space="0" w:color="auto"/>
        <w:left w:val="none" w:sz="0" w:space="0" w:color="auto"/>
        <w:bottom w:val="none" w:sz="0" w:space="0" w:color="auto"/>
        <w:right w:val="none" w:sz="0" w:space="0" w:color="auto"/>
      </w:divBdr>
    </w:div>
    <w:div w:id="776485380">
      <w:marLeft w:val="0"/>
      <w:marRight w:val="0"/>
      <w:marTop w:val="120"/>
      <w:marBottom w:val="0"/>
      <w:divBdr>
        <w:top w:val="none" w:sz="0" w:space="0" w:color="auto"/>
        <w:left w:val="none" w:sz="0" w:space="0" w:color="auto"/>
        <w:bottom w:val="none" w:sz="0" w:space="0" w:color="auto"/>
        <w:right w:val="none" w:sz="0" w:space="0" w:color="auto"/>
      </w:divBdr>
    </w:div>
    <w:div w:id="777260882">
      <w:marLeft w:val="0"/>
      <w:marRight w:val="0"/>
      <w:marTop w:val="120"/>
      <w:marBottom w:val="0"/>
      <w:divBdr>
        <w:top w:val="none" w:sz="0" w:space="0" w:color="auto"/>
        <w:left w:val="none" w:sz="0" w:space="0" w:color="auto"/>
        <w:bottom w:val="none" w:sz="0" w:space="0" w:color="auto"/>
        <w:right w:val="none" w:sz="0" w:space="0" w:color="auto"/>
      </w:divBdr>
    </w:div>
    <w:div w:id="785853862">
      <w:marLeft w:val="0"/>
      <w:marRight w:val="0"/>
      <w:marTop w:val="240"/>
      <w:marBottom w:val="120"/>
      <w:divBdr>
        <w:top w:val="none" w:sz="0" w:space="0" w:color="auto"/>
        <w:left w:val="none" w:sz="0" w:space="0" w:color="auto"/>
        <w:bottom w:val="none" w:sz="0" w:space="0" w:color="auto"/>
        <w:right w:val="none" w:sz="0" w:space="0" w:color="auto"/>
      </w:divBdr>
    </w:div>
    <w:div w:id="789399430">
      <w:marLeft w:val="0"/>
      <w:marRight w:val="0"/>
      <w:marTop w:val="0"/>
      <w:marBottom w:val="0"/>
      <w:divBdr>
        <w:top w:val="none" w:sz="0" w:space="0" w:color="auto"/>
        <w:left w:val="none" w:sz="0" w:space="0" w:color="auto"/>
        <w:bottom w:val="none" w:sz="0" w:space="0" w:color="auto"/>
        <w:right w:val="none" w:sz="0" w:space="0" w:color="auto"/>
      </w:divBdr>
    </w:div>
    <w:div w:id="792753940">
      <w:marLeft w:val="0"/>
      <w:marRight w:val="0"/>
      <w:marTop w:val="120"/>
      <w:marBottom w:val="0"/>
      <w:divBdr>
        <w:top w:val="none" w:sz="0" w:space="0" w:color="auto"/>
        <w:left w:val="none" w:sz="0" w:space="0" w:color="auto"/>
        <w:bottom w:val="none" w:sz="0" w:space="0" w:color="auto"/>
        <w:right w:val="none" w:sz="0" w:space="0" w:color="auto"/>
      </w:divBdr>
    </w:div>
    <w:div w:id="793600820">
      <w:marLeft w:val="0"/>
      <w:marRight w:val="0"/>
      <w:marTop w:val="120"/>
      <w:marBottom w:val="0"/>
      <w:divBdr>
        <w:top w:val="none" w:sz="0" w:space="0" w:color="auto"/>
        <w:left w:val="none" w:sz="0" w:space="0" w:color="auto"/>
        <w:bottom w:val="none" w:sz="0" w:space="0" w:color="auto"/>
        <w:right w:val="none" w:sz="0" w:space="0" w:color="auto"/>
      </w:divBdr>
    </w:div>
    <w:div w:id="794910478">
      <w:marLeft w:val="0"/>
      <w:marRight w:val="0"/>
      <w:marTop w:val="0"/>
      <w:marBottom w:val="0"/>
      <w:divBdr>
        <w:top w:val="none" w:sz="0" w:space="0" w:color="auto"/>
        <w:left w:val="none" w:sz="0" w:space="0" w:color="auto"/>
        <w:bottom w:val="none" w:sz="0" w:space="0" w:color="auto"/>
        <w:right w:val="none" w:sz="0" w:space="0" w:color="auto"/>
      </w:divBdr>
      <w:divsChild>
        <w:div w:id="153499656">
          <w:marLeft w:val="0"/>
          <w:marRight w:val="0"/>
          <w:marTop w:val="0"/>
          <w:marBottom w:val="0"/>
          <w:divBdr>
            <w:top w:val="none" w:sz="0" w:space="0" w:color="auto"/>
            <w:left w:val="none" w:sz="0" w:space="0" w:color="auto"/>
            <w:bottom w:val="none" w:sz="0" w:space="0" w:color="auto"/>
            <w:right w:val="none" w:sz="0" w:space="0" w:color="auto"/>
          </w:divBdr>
        </w:div>
      </w:divsChild>
    </w:div>
    <w:div w:id="809518834">
      <w:marLeft w:val="0"/>
      <w:marRight w:val="0"/>
      <w:marTop w:val="120"/>
      <w:marBottom w:val="0"/>
      <w:divBdr>
        <w:top w:val="none" w:sz="0" w:space="0" w:color="auto"/>
        <w:left w:val="none" w:sz="0" w:space="0" w:color="auto"/>
        <w:bottom w:val="none" w:sz="0" w:space="0" w:color="auto"/>
        <w:right w:val="none" w:sz="0" w:space="0" w:color="auto"/>
      </w:divBdr>
    </w:div>
    <w:div w:id="810637465">
      <w:marLeft w:val="0"/>
      <w:marRight w:val="0"/>
      <w:marTop w:val="120"/>
      <w:marBottom w:val="0"/>
      <w:divBdr>
        <w:top w:val="none" w:sz="0" w:space="0" w:color="auto"/>
        <w:left w:val="none" w:sz="0" w:space="0" w:color="auto"/>
        <w:bottom w:val="none" w:sz="0" w:space="0" w:color="auto"/>
        <w:right w:val="none" w:sz="0" w:space="0" w:color="auto"/>
      </w:divBdr>
    </w:div>
    <w:div w:id="812136045">
      <w:marLeft w:val="0"/>
      <w:marRight w:val="0"/>
      <w:marTop w:val="120"/>
      <w:marBottom w:val="0"/>
      <w:divBdr>
        <w:top w:val="none" w:sz="0" w:space="0" w:color="auto"/>
        <w:left w:val="none" w:sz="0" w:space="0" w:color="auto"/>
        <w:bottom w:val="none" w:sz="0" w:space="0" w:color="auto"/>
        <w:right w:val="none" w:sz="0" w:space="0" w:color="auto"/>
      </w:divBdr>
    </w:div>
    <w:div w:id="821778092">
      <w:marLeft w:val="0"/>
      <w:marRight w:val="0"/>
      <w:marTop w:val="120"/>
      <w:marBottom w:val="120"/>
      <w:divBdr>
        <w:top w:val="none" w:sz="0" w:space="0" w:color="auto"/>
        <w:left w:val="none" w:sz="0" w:space="0" w:color="auto"/>
        <w:bottom w:val="none" w:sz="0" w:space="0" w:color="auto"/>
        <w:right w:val="none" w:sz="0" w:space="0" w:color="auto"/>
      </w:divBdr>
    </w:div>
    <w:div w:id="824858976">
      <w:marLeft w:val="0"/>
      <w:marRight w:val="0"/>
      <w:marTop w:val="120"/>
      <w:marBottom w:val="0"/>
      <w:divBdr>
        <w:top w:val="none" w:sz="0" w:space="0" w:color="auto"/>
        <w:left w:val="none" w:sz="0" w:space="0" w:color="auto"/>
        <w:bottom w:val="none" w:sz="0" w:space="0" w:color="auto"/>
        <w:right w:val="none" w:sz="0" w:space="0" w:color="auto"/>
      </w:divBdr>
    </w:div>
    <w:div w:id="826752664">
      <w:marLeft w:val="0"/>
      <w:marRight w:val="0"/>
      <w:marTop w:val="60"/>
      <w:marBottom w:val="0"/>
      <w:divBdr>
        <w:top w:val="none" w:sz="0" w:space="0" w:color="auto"/>
        <w:left w:val="none" w:sz="0" w:space="0" w:color="auto"/>
        <w:bottom w:val="none" w:sz="0" w:space="0" w:color="auto"/>
        <w:right w:val="none" w:sz="0" w:space="0" w:color="auto"/>
      </w:divBdr>
    </w:div>
    <w:div w:id="829294993">
      <w:marLeft w:val="0"/>
      <w:marRight w:val="0"/>
      <w:marTop w:val="120"/>
      <w:marBottom w:val="0"/>
      <w:divBdr>
        <w:top w:val="none" w:sz="0" w:space="0" w:color="auto"/>
        <w:left w:val="none" w:sz="0" w:space="0" w:color="auto"/>
        <w:bottom w:val="none" w:sz="0" w:space="0" w:color="auto"/>
        <w:right w:val="none" w:sz="0" w:space="0" w:color="auto"/>
      </w:divBdr>
    </w:div>
    <w:div w:id="833956178">
      <w:marLeft w:val="0"/>
      <w:marRight w:val="0"/>
      <w:marTop w:val="120"/>
      <w:marBottom w:val="120"/>
      <w:divBdr>
        <w:top w:val="none" w:sz="0" w:space="0" w:color="auto"/>
        <w:left w:val="none" w:sz="0" w:space="0" w:color="auto"/>
        <w:bottom w:val="none" w:sz="0" w:space="0" w:color="auto"/>
        <w:right w:val="none" w:sz="0" w:space="0" w:color="auto"/>
      </w:divBdr>
    </w:div>
    <w:div w:id="845439339">
      <w:marLeft w:val="0"/>
      <w:marRight w:val="0"/>
      <w:marTop w:val="120"/>
      <w:marBottom w:val="120"/>
      <w:divBdr>
        <w:top w:val="none" w:sz="0" w:space="0" w:color="auto"/>
        <w:left w:val="none" w:sz="0" w:space="0" w:color="auto"/>
        <w:bottom w:val="none" w:sz="0" w:space="0" w:color="auto"/>
        <w:right w:val="none" w:sz="0" w:space="0" w:color="auto"/>
      </w:divBdr>
    </w:div>
    <w:div w:id="846017970">
      <w:marLeft w:val="0"/>
      <w:marRight w:val="0"/>
      <w:marTop w:val="120"/>
      <w:marBottom w:val="120"/>
      <w:divBdr>
        <w:top w:val="none" w:sz="0" w:space="0" w:color="auto"/>
        <w:left w:val="none" w:sz="0" w:space="0" w:color="auto"/>
        <w:bottom w:val="none" w:sz="0" w:space="0" w:color="auto"/>
        <w:right w:val="none" w:sz="0" w:space="0" w:color="auto"/>
      </w:divBdr>
    </w:div>
    <w:div w:id="852304702">
      <w:marLeft w:val="0"/>
      <w:marRight w:val="0"/>
      <w:marTop w:val="0"/>
      <w:marBottom w:val="0"/>
      <w:divBdr>
        <w:top w:val="none" w:sz="0" w:space="0" w:color="auto"/>
        <w:left w:val="none" w:sz="0" w:space="0" w:color="auto"/>
        <w:bottom w:val="none" w:sz="0" w:space="0" w:color="auto"/>
        <w:right w:val="none" w:sz="0" w:space="0" w:color="auto"/>
      </w:divBdr>
      <w:divsChild>
        <w:div w:id="325400948">
          <w:marLeft w:val="0"/>
          <w:marRight w:val="0"/>
          <w:marTop w:val="0"/>
          <w:marBottom w:val="0"/>
          <w:divBdr>
            <w:top w:val="none" w:sz="0" w:space="0" w:color="auto"/>
            <w:left w:val="none" w:sz="0" w:space="0" w:color="auto"/>
            <w:bottom w:val="none" w:sz="0" w:space="0" w:color="auto"/>
            <w:right w:val="none" w:sz="0" w:space="0" w:color="auto"/>
          </w:divBdr>
        </w:div>
      </w:divsChild>
    </w:div>
    <w:div w:id="859899700">
      <w:marLeft w:val="0"/>
      <w:marRight w:val="0"/>
      <w:marTop w:val="240"/>
      <w:marBottom w:val="0"/>
      <w:divBdr>
        <w:top w:val="none" w:sz="0" w:space="0" w:color="auto"/>
        <w:left w:val="none" w:sz="0" w:space="0" w:color="auto"/>
        <w:bottom w:val="none" w:sz="0" w:space="0" w:color="auto"/>
        <w:right w:val="none" w:sz="0" w:space="0" w:color="auto"/>
      </w:divBdr>
    </w:div>
    <w:div w:id="862716427">
      <w:marLeft w:val="0"/>
      <w:marRight w:val="0"/>
      <w:marTop w:val="0"/>
      <w:marBottom w:val="0"/>
      <w:divBdr>
        <w:top w:val="none" w:sz="0" w:space="0" w:color="auto"/>
        <w:left w:val="none" w:sz="0" w:space="0" w:color="auto"/>
        <w:bottom w:val="none" w:sz="0" w:space="0" w:color="auto"/>
        <w:right w:val="none" w:sz="0" w:space="0" w:color="auto"/>
      </w:divBdr>
      <w:divsChild>
        <w:div w:id="39867089">
          <w:marLeft w:val="0"/>
          <w:marRight w:val="0"/>
          <w:marTop w:val="0"/>
          <w:marBottom w:val="0"/>
          <w:divBdr>
            <w:top w:val="none" w:sz="0" w:space="0" w:color="auto"/>
            <w:left w:val="none" w:sz="0" w:space="0" w:color="auto"/>
            <w:bottom w:val="none" w:sz="0" w:space="0" w:color="auto"/>
            <w:right w:val="none" w:sz="0" w:space="0" w:color="auto"/>
          </w:divBdr>
        </w:div>
      </w:divsChild>
    </w:div>
    <w:div w:id="866913508">
      <w:marLeft w:val="0"/>
      <w:marRight w:val="0"/>
      <w:marTop w:val="240"/>
      <w:marBottom w:val="120"/>
      <w:divBdr>
        <w:top w:val="none" w:sz="0" w:space="0" w:color="auto"/>
        <w:left w:val="none" w:sz="0" w:space="0" w:color="auto"/>
        <w:bottom w:val="none" w:sz="0" w:space="0" w:color="auto"/>
        <w:right w:val="none" w:sz="0" w:space="0" w:color="auto"/>
      </w:divBdr>
    </w:div>
    <w:div w:id="868951355">
      <w:marLeft w:val="0"/>
      <w:marRight w:val="0"/>
      <w:marTop w:val="0"/>
      <w:marBottom w:val="0"/>
      <w:divBdr>
        <w:top w:val="none" w:sz="0" w:space="0" w:color="auto"/>
        <w:left w:val="none" w:sz="0" w:space="0" w:color="auto"/>
        <w:bottom w:val="none" w:sz="0" w:space="0" w:color="auto"/>
        <w:right w:val="none" w:sz="0" w:space="0" w:color="auto"/>
      </w:divBdr>
      <w:divsChild>
        <w:div w:id="242420861">
          <w:marLeft w:val="0"/>
          <w:marRight w:val="0"/>
          <w:marTop w:val="0"/>
          <w:marBottom w:val="0"/>
          <w:divBdr>
            <w:top w:val="none" w:sz="0" w:space="0" w:color="auto"/>
            <w:left w:val="none" w:sz="0" w:space="0" w:color="auto"/>
            <w:bottom w:val="none" w:sz="0" w:space="0" w:color="auto"/>
            <w:right w:val="none" w:sz="0" w:space="0" w:color="auto"/>
          </w:divBdr>
        </w:div>
      </w:divsChild>
    </w:div>
    <w:div w:id="871111984">
      <w:marLeft w:val="0"/>
      <w:marRight w:val="0"/>
      <w:marTop w:val="120"/>
      <w:marBottom w:val="0"/>
      <w:divBdr>
        <w:top w:val="none" w:sz="0" w:space="0" w:color="auto"/>
        <w:left w:val="none" w:sz="0" w:space="0" w:color="auto"/>
        <w:bottom w:val="none" w:sz="0" w:space="0" w:color="auto"/>
        <w:right w:val="none" w:sz="0" w:space="0" w:color="auto"/>
      </w:divBdr>
    </w:div>
    <w:div w:id="875973676">
      <w:marLeft w:val="0"/>
      <w:marRight w:val="0"/>
      <w:marTop w:val="0"/>
      <w:marBottom w:val="0"/>
      <w:divBdr>
        <w:top w:val="none" w:sz="0" w:space="0" w:color="auto"/>
        <w:left w:val="none" w:sz="0" w:space="0" w:color="auto"/>
        <w:bottom w:val="none" w:sz="0" w:space="0" w:color="auto"/>
        <w:right w:val="none" w:sz="0" w:space="0" w:color="auto"/>
      </w:divBdr>
      <w:divsChild>
        <w:div w:id="1944065617">
          <w:marLeft w:val="0"/>
          <w:marRight w:val="0"/>
          <w:marTop w:val="0"/>
          <w:marBottom w:val="0"/>
          <w:divBdr>
            <w:top w:val="none" w:sz="0" w:space="0" w:color="auto"/>
            <w:left w:val="none" w:sz="0" w:space="0" w:color="auto"/>
            <w:bottom w:val="none" w:sz="0" w:space="0" w:color="auto"/>
            <w:right w:val="none" w:sz="0" w:space="0" w:color="auto"/>
          </w:divBdr>
        </w:div>
      </w:divsChild>
    </w:div>
    <w:div w:id="881282728">
      <w:marLeft w:val="0"/>
      <w:marRight w:val="0"/>
      <w:marTop w:val="0"/>
      <w:marBottom w:val="0"/>
      <w:divBdr>
        <w:top w:val="none" w:sz="0" w:space="0" w:color="auto"/>
        <w:left w:val="none" w:sz="0" w:space="0" w:color="auto"/>
        <w:bottom w:val="none" w:sz="0" w:space="0" w:color="auto"/>
        <w:right w:val="none" w:sz="0" w:space="0" w:color="auto"/>
      </w:divBdr>
    </w:div>
    <w:div w:id="883058969">
      <w:marLeft w:val="0"/>
      <w:marRight w:val="0"/>
      <w:marTop w:val="120"/>
      <w:marBottom w:val="0"/>
      <w:divBdr>
        <w:top w:val="none" w:sz="0" w:space="0" w:color="auto"/>
        <w:left w:val="none" w:sz="0" w:space="0" w:color="auto"/>
        <w:bottom w:val="none" w:sz="0" w:space="0" w:color="auto"/>
        <w:right w:val="none" w:sz="0" w:space="0" w:color="auto"/>
      </w:divBdr>
    </w:div>
    <w:div w:id="888153704">
      <w:marLeft w:val="0"/>
      <w:marRight w:val="0"/>
      <w:marTop w:val="0"/>
      <w:marBottom w:val="0"/>
      <w:divBdr>
        <w:top w:val="none" w:sz="0" w:space="0" w:color="auto"/>
        <w:left w:val="none" w:sz="0" w:space="0" w:color="auto"/>
        <w:bottom w:val="none" w:sz="0" w:space="0" w:color="auto"/>
        <w:right w:val="none" w:sz="0" w:space="0" w:color="auto"/>
      </w:divBdr>
    </w:div>
    <w:div w:id="892421768">
      <w:marLeft w:val="0"/>
      <w:marRight w:val="0"/>
      <w:marTop w:val="120"/>
      <w:marBottom w:val="0"/>
      <w:divBdr>
        <w:top w:val="none" w:sz="0" w:space="0" w:color="auto"/>
        <w:left w:val="none" w:sz="0" w:space="0" w:color="auto"/>
        <w:bottom w:val="none" w:sz="0" w:space="0" w:color="auto"/>
        <w:right w:val="none" w:sz="0" w:space="0" w:color="auto"/>
      </w:divBdr>
    </w:div>
    <w:div w:id="901259953">
      <w:marLeft w:val="0"/>
      <w:marRight w:val="0"/>
      <w:marTop w:val="240"/>
      <w:marBottom w:val="0"/>
      <w:divBdr>
        <w:top w:val="none" w:sz="0" w:space="0" w:color="auto"/>
        <w:left w:val="none" w:sz="0" w:space="0" w:color="auto"/>
        <w:bottom w:val="none" w:sz="0" w:space="0" w:color="auto"/>
        <w:right w:val="none" w:sz="0" w:space="0" w:color="auto"/>
      </w:divBdr>
    </w:div>
    <w:div w:id="901326846">
      <w:marLeft w:val="0"/>
      <w:marRight w:val="0"/>
      <w:marTop w:val="0"/>
      <w:marBottom w:val="0"/>
      <w:divBdr>
        <w:top w:val="none" w:sz="0" w:space="0" w:color="auto"/>
        <w:left w:val="none" w:sz="0" w:space="0" w:color="auto"/>
        <w:bottom w:val="none" w:sz="0" w:space="0" w:color="auto"/>
        <w:right w:val="none" w:sz="0" w:space="0" w:color="auto"/>
      </w:divBdr>
    </w:div>
    <w:div w:id="908080592">
      <w:marLeft w:val="0"/>
      <w:marRight w:val="0"/>
      <w:marTop w:val="120"/>
      <w:marBottom w:val="0"/>
      <w:divBdr>
        <w:top w:val="none" w:sz="0" w:space="0" w:color="auto"/>
        <w:left w:val="none" w:sz="0" w:space="0" w:color="auto"/>
        <w:bottom w:val="none" w:sz="0" w:space="0" w:color="auto"/>
        <w:right w:val="none" w:sz="0" w:space="0" w:color="auto"/>
      </w:divBdr>
    </w:div>
    <w:div w:id="911352286">
      <w:marLeft w:val="0"/>
      <w:marRight w:val="0"/>
      <w:marTop w:val="120"/>
      <w:marBottom w:val="0"/>
      <w:divBdr>
        <w:top w:val="none" w:sz="0" w:space="0" w:color="auto"/>
        <w:left w:val="none" w:sz="0" w:space="0" w:color="auto"/>
        <w:bottom w:val="none" w:sz="0" w:space="0" w:color="auto"/>
        <w:right w:val="none" w:sz="0" w:space="0" w:color="auto"/>
      </w:divBdr>
    </w:div>
    <w:div w:id="915551416">
      <w:marLeft w:val="0"/>
      <w:marRight w:val="0"/>
      <w:marTop w:val="120"/>
      <w:marBottom w:val="120"/>
      <w:divBdr>
        <w:top w:val="none" w:sz="0" w:space="0" w:color="auto"/>
        <w:left w:val="none" w:sz="0" w:space="0" w:color="auto"/>
        <w:bottom w:val="none" w:sz="0" w:space="0" w:color="auto"/>
        <w:right w:val="none" w:sz="0" w:space="0" w:color="auto"/>
      </w:divBdr>
    </w:div>
    <w:div w:id="923957531">
      <w:marLeft w:val="0"/>
      <w:marRight w:val="0"/>
      <w:marTop w:val="120"/>
      <w:marBottom w:val="0"/>
      <w:divBdr>
        <w:top w:val="none" w:sz="0" w:space="0" w:color="auto"/>
        <w:left w:val="none" w:sz="0" w:space="0" w:color="auto"/>
        <w:bottom w:val="none" w:sz="0" w:space="0" w:color="auto"/>
        <w:right w:val="none" w:sz="0" w:space="0" w:color="auto"/>
      </w:divBdr>
    </w:div>
    <w:div w:id="928776264">
      <w:marLeft w:val="0"/>
      <w:marRight w:val="0"/>
      <w:marTop w:val="120"/>
      <w:marBottom w:val="0"/>
      <w:divBdr>
        <w:top w:val="none" w:sz="0" w:space="0" w:color="auto"/>
        <w:left w:val="none" w:sz="0" w:space="0" w:color="auto"/>
        <w:bottom w:val="none" w:sz="0" w:space="0" w:color="auto"/>
        <w:right w:val="none" w:sz="0" w:space="0" w:color="auto"/>
      </w:divBdr>
    </w:div>
    <w:div w:id="929239092">
      <w:marLeft w:val="0"/>
      <w:marRight w:val="0"/>
      <w:marTop w:val="0"/>
      <w:marBottom w:val="0"/>
      <w:divBdr>
        <w:top w:val="none" w:sz="0" w:space="0" w:color="auto"/>
        <w:left w:val="none" w:sz="0" w:space="0" w:color="auto"/>
        <w:bottom w:val="none" w:sz="0" w:space="0" w:color="auto"/>
        <w:right w:val="none" w:sz="0" w:space="0" w:color="auto"/>
      </w:divBdr>
    </w:div>
    <w:div w:id="931360351">
      <w:marLeft w:val="0"/>
      <w:marRight w:val="0"/>
      <w:marTop w:val="120"/>
      <w:marBottom w:val="0"/>
      <w:divBdr>
        <w:top w:val="none" w:sz="0" w:space="0" w:color="auto"/>
        <w:left w:val="none" w:sz="0" w:space="0" w:color="auto"/>
        <w:bottom w:val="none" w:sz="0" w:space="0" w:color="auto"/>
        <w:right w:val="none" w:sz="0" w:space="0" w:color="auto"/>
      </w:divBdr>
    </w:div>
    <w:div w:id="936408963">
      <w:marLeft w:val="0"/>
      <w:marRight w:val="0"/>
      <w:marTop w:val="0"/>
      <w:marBottom w:val="0"/>
      <w:divBdr>
        <w:top w:val="none" w:sz="0" w:space="0" w:color="auto"/>
        <w:left w:val="none" w:sz="0" w:space="0" w:color="auto"/>
        <w:bottom w:val="none" w:sz="0" w:space="0" w:color="auto"/>
        <w:right w:val="none" w:sz="0" w:space="0" w:color="auto"/>
      </w:divBdr>
      <w:divsChild>
        <w:div w:id="129056167">
          <w:marLeft w:val="0"/>
          <w:marRight w:val="0"/>
          <w:marTop w:val="0"/>
          <w:marBottom w:val="0"/>
          <w:divBdr>
            <w:top w:val="none" w:sz="0" w:space="0" w:color="auto"/>
            <w:left w:val="none" w:sz="0" w:space="0" w:color="auto"/>
            <w:bottom w:val="none" w:sz="0" w:space="0" w:color="auto"/>
            <w:right w:val="none" w:sz="0" w:space="0" w:color="auto"/>
          </w:divBdr>
        </w:div>
      </w:divsChild>
    </w:div>
    <w:div w:id="936908424">
      <w:marLeft w:val="0"/>
      <w:marRight w:val="0"/>
      <w:marTop w:val="120"/>
      <w:marBottom w:val="120"/>
      <w:divBdr>
        <w:top w:val="none" w:sz="0" w:space="0" w:color="auto"/>
        <w:left w:val="none" w:sz="0" w:space="0" w:color="auto"/>
        <w:bottom w:val="none" w:sz="0" w:space="0" w:color="auto"/>
        <w:right w:val="none" w:sz="0" w:space="0" w:color="auto"/>
      </w:divBdr>
    </w:div>
    <w:div w:id="937061663">
      <w:marLeft w:val="0"/>
      <w:marRight w:val="0"/>
      <w:marTop w:val="120"/>
      <w:marBottom w:val="0"/>
      <w:divBdr>
        <w:top w:val="none" w:sz="0" w:space="0" w:color="auto"/>
        <w:left w:val="none" w:sz="0" w:space="0" w:color="auto"/>
        <w:bottom w:val="none" w:sz="0" w:space="0" w:color="auto"/>
        <w:right w:val="none" w:sz="0" w:space="0" w:color="auto"/>
      </w:divBdr>
    </w:div>
    <w:div w:id="939335246">
      <w:marLeft w:val="0"/>
      <w:marRight w:val="0"/>
      <w:marTop w:val="120"/>
      <w:marBottom w:val="120"/>
      <w:divBdr>
        <w:top w:val="none" w:sz="0" w:space="0" w:color="auto"/>
        <w:left w:val="none" w:sz="0" w:space="0" w:color="auto"/>
        <w:bottom w:val="none" w:sz="0" w:space="0" w:color="auto"/>
        <w:right w:val="none" w:sz="0" w:space="0" w:color="auto"/>
      </w:divBdr>
    </w:div>
    <w:div w:id="940649359">
      <w:marLeft w:val="0"/>
      <w:marRight w:val="0"/>
      <w:marTop w:val="0"/>
      <w:marBottom w:val="0"/>
      <w:divBdr>
        <w:top w:val="none" w:sz="0" w:space="0" w:color="auto"/>
        <w:left w:val="none" w:sz="0" w:space="0" w:color="auto"/>
        <w:bottom w:val="none" w:sz="0" w:space="0" w:color="auto"/>
        <w:right w:val="none" w:sz="0" w:space="0" w:color="auto"/>
      </w:divBdr>
    </w:div>
    <w:div w:id="947006042">
      <w:marLeft w:val="0"/>
      <w:marRight w:val="0"/>
      <w:marTop w:val="120"/>
      <w:marBottom w:val="0"/>
      <w:divBdr>
        <w:top w:val="none" w:sz="0" w:space="0" w:color="auto"/>
        <w:left w:val="none" w:sz="0" w:space="0" w:color="auto"/>
        <w:bottom w:val="none" w:sz="0" w:space="0" w:color="auto"/>
        <w:right w:val="none" w:sz="0" w:space="0" w:color="auto"/>
      </w:divBdr>
    </w:div>
    <w:div w:id="948582371">
      <w:marLeft w:val="0"/>
      <w:marRight w:val="0"/>
      <w:marTop w:val="0"/>
      <w:marBottom w:val="0"/>
      <w:divBdr>
        <w:top w:val="none" w:sz="0" w:space="0" w:color="auto"/>
        <w:left w:val="none" w:sz="0" w:space="0" w:color="auto"/>
        <w:bottom w:val="none" w:sz="0" w:space="0" w:color="auto"/>
        <w:right w:val="none" w:sz="0" w:space="0" w:color="auto"/>
      </w:divBdr>
      <w:divsChild>
        <w:div w:id="1091049665">
          <w:marLeft w:val="0"/>
          <w:marRight w:val="0"/>
          <w:marTop w:val="0"/>
          <w:marBottom w:val="0"/>
          <w:divBdr>
            <w:top w:val="none" w:sz="0" w:space="0" w:color="auto"/>
            <w:left w:val="none" w:sz="0" w:space="0" w:color="auto"/>
            <w:bottom w:val="none" w:sz="0" w:space="0" w:color="auto"/>
            <w:right w:val="none" w:sz="0" w:space="0" w:color="auto"/>
          </w:divBdr>
        </w:div>
      </w:divsChild>
    </w:div>
    <w:div w:id="952632301">
      <w:marLeft w:val="0"/>
      <w:marRight w:val="0"/>
      <w:marTop w:val="0"/>
      <w:marBottom w:val="0"/>
      <w:divBdr>
        <w:top w:val="none" w:sz="0" w:space="0" w:color="auto"/>
        <w:left w:val="none" w:sz="0" w:space="0" w:color="auto"/>
        <w:bottom w:val="none" w:sz="0" w:space="0" w:color="auto"/>
        <w:right w:val="none" w:sz="0" w:space="0" w:color="auto"/>
      </w:divBdr>
      <w:divsChild>
        <w:div w:id="688527253">
          <w:marLeft w:val="0"/>
          <w:marRight w:val="0"/>
          <w:marTop w:val="0"/>
          <w:marBottom w:val="0"/>
          <w:divBdr>
            <w:top w:val="none" w:sz="0" w:space="0" w:color="auto"/>
            <w:left w:val="none" w:sz="0" w:space="0" w:color="auto"/>
            <w:bottom w:val="none" w:sz="0" w:space="0" w:color="auto"/>
            <w:right w:val="none" w:sz="0" w:space="0" w:color="auto"/>
          </w:divBdr>
        </w:div>
      </w:divsChild>
    </w:div>
    <w:div w:id="964385398">
      <w:marLeft w:val="0"/>
      <w:marRight w:val="0"/>
      <w:marTop w:val="120"/>
      <w:marBottom w:val="120"/>
      <w:divBdr>
        <w:top w:val="none" w:sz="0" w:space="0" w:color="auto"/>
        <w:left w:val="none" w:sz="0" w:space="0" w:color="auto"/>
        <w:bottom w:val="none" w:sz="0" w:space="0" w:color="auto"/>
        <w:right w:val="none" w:sz="0" w:space="0" w:color="auto"/>
      </w:divBdr>
    </w:div>
    <w:div w:id="975066387">
      <w:marLeft w:val="0"/>
      <w:marRight w:val="0"/>
      <w:marTop w:val="120"/>
      <w:marBottom w:val="0"/>
      <w:divBdr>
        <w:top w:val="none" w:sz="0" w:space="0" w:color="auto"/>
        <w:left w:val="none" w:sz="0" w:space="0" w:color="auto"/>
        <w:bottom w:val="none" w:sz="0" w:space="0" w:color="auto"/>
        <w:right w:val="none" w:sz="0" w:space="0" w:color="auto"/>
      </w:divBdr>
    </w:div>
    <w:div w:id="976842103">
      <w:marLeft w:val="0"/>
      <w:marRight w:val="0"/>
      <w:marTop w:val="0"/>
      <w:marBottom w:val="0"/>
      <w:divBdr>
        <w:top w:val="none" w:sz="0" w:space="0" w:color="auto"/>
        <w:left w:val="none" w:sz="0" w:space="0" w:color="auto"/>
        <w:bottom w:val="none" w:sz="0" w:space="0" w:color="auto"/>
        <w:right w:val="none" w:sz="0" w:space="0" w:color="auto"/>
      </w:divBdr>
    </w:div>
    <w:div w:id="977222848">
      <w:marLeft w:val="0"/>
      <w:marRight w:val="0"/>
      <w:marTop w:val="120"/>
      <w:marBottom w:val="120"/>
      <w:divBdr>
        <w:top w:val="none" w:sz="0" w:space="0" w:color="auto"/>
        <w:left w:val="none" w:sz="0" w:space="0" w:color="auto"/>
        <w:bottom w:val="none" w:sz="0" w:space="0" w:color="auto"/>
        <w:right w:val="none" w:sz="0" w:space="0" w:color="auto"/>
      </w:divBdr>
    </w:div>
    <w:div w:id="979308940">
      <w:marLeft w:val="0"/>
      <w:marRight w:val="0"/>
      <w:marTop w:val="0"/>
      <w:marBottom w:val="0"/>
      <w:divBdr>
        <w:top w:val="none" w:sz="0" w:space="0" w:color="auto"/>
        <w:left w:val="none" w:sz="0" w:space="0" w:color="auto"/>
        <w:bottom w:val="none" w:sz="0" w:space="0" w:color="auto"/>
        <w:right w:val="none" w:sz="0" w:space="0" w:color="auto"/>
      </w:divBdr>
    </w:div>
    <w:div w:id="985816954">
      <w:marLeft w:val="0"/>
      <w:marRight w:val="0"/>
      <w:marTop w:val="0"/>
      <w:marBottom w:val="0"/>
      <w:divBdr>
        <w:top w:val="none" w:sz="0" w:space="0" w:color="auto"/>
        <w:left w:val="none" w:sz="0" w:space="0" w:color="auto"/>
        <w:bottom w:val="none" w:sz="0" w:space="0" w:color="auto"/>
        <w:right w:val="none" w:sz="0" w:space="0" w:color="auto"/>
      </w:divBdr>
      <w:divsChild>
        <w:div w:id="287668377">
          <w:marLeft w:val="0"/>
          <w:marRight w:val="0"/>
          <w:marTop w:val="0"/>
          <w:marBottom w:val="0"/>
          <w:divBdr>
            <w:top w:val="none" w:sz="0" w:space="0" w:color="auto"/>
            <w:left w:val="none" w:sz="0" w:space="0" w:color="auto"/>
            <w:bottom w:val="none" w:sz="0" w:space="0" w:color="auto"/>
            <w:right w:val="none" w:sz="0" w:space="0" w:color="auto"/>
          </w:divBdr>
        </w:div>
      </w:divsChild>
    </w:div>
    <w:div w:id="986008343">
      <w:marLeft w:val="0"/>
      <w:marRight w:val="0"/>
      <w:marTop w:val="120"/>
      <w:marBottom w:val="0"/>
      <w:divBdr>
        <w:top w:val="none" w:sz="0" w:space="0" w:color="auto"/>
        <w:left w:val="none" w:sz="0" w:space="0" w:color="auto"/>
        <w:bottom w:val="none" w:sz="0" w:space="0" w:color="auto"/>
        <w:right w:val="none" w:sz="0" w:space="0" w:color="auto"/>
      </w:divBdr>
    </w:div>
    <w:div w:id="989746038">
      <w:marLeft w:val="0"/>
      <w:marRight w:val="0"/>
      <w:marTop w:val="120"/>
      <w:marBottom w:val="0"/>
      <w:divBdr>
        <w:top w:val="none" w:sz="0" w:space="0" w:color="auto"/>
        <w:left w:val="none" w:sz="0" w:space="0" w:color="auto"/>
        <w:bottom w:val="none" w:sz="0" w:space="0" w:color="auto"/>
        <w:right w:val="none" w:sz="0" w:space="0" w:color="auto"/>
      </w:divBdr>
    </w:div>
    <w:div w:id="993676553">
      <w:marLeft w:val="0"/>
      <w:marRight w:val="0"/>
      <w:marTop w:val="120"/>
      <w:marBottom w:val="0"/>
      <w:divBdr>
        <w:top w:val="none" w:sz="0" w:space="0" w:color="auto"/>
        <w:left w:val="none" w:sz="0" w:space="0" w:color="auto"/>
        <w:bottom w:val="none" w:sz="0" w:space="0" w:color="auto"/>
        <w:right w:val="none" w:sz="0" w:space="0" w:color="auto"/>
      </w:divBdr>
    </w:div>
    <w:div w:id="1003162413">
      <w:marLeft w:val="0"/>
      <w:marRight w:val="0"/>
      <w:marTop w:val="0"/>
      <w:marBottom w:val="0"/>
      <w:divBdr>
        <w:top w:val="none" w:sz="0" w:space="0" w:color="auto"/>
        <w:left w:val="none" w:sz="0" w:space="0" w:color="auto"/>
        <w:bottom w:val="none" w:sz="0" w:space="0" w:color="auto"/>
        <w:right w:val="none" w:sz="0" w:space="0" w:color="auto"/>
      </w:divBdr>
    </w:div>
    <w:div w:id="1003774721">
      <w:marLeft w:val="0"/>
      <w:marRight w:val="0"/>
      <w:marTop w:val="120"/>
      <w:marBottom w:val="120"/>
      <w:divBdr>
        <w:top w:val="none" w:sz="0" w:space="0" w:color="auto"/>
        <w:left w:val="none" w:sz="0" w:space="0" w:color="auto"/>
        <w:bottom w:val="none" w:sz="0" w:space="0" w:color="auto"/>
        <w:right w:val="none" w:sz="0" w:space="0" w:color="auto"/>
      </w:divBdr>
    </w:div>
    <w:div w:id="1008403709">
      <w:marLeft w:val="0"/>
      <w:marRight w:val="0"/>
      <w:marTop w:val="120"/>
      <w:marBottom w:val="120"/>
      <w:divBdr>
        <w:top w:val="none" w:sz="0" w:space="0" w:color="auto"/>
        <w:left w:val="none" w:sz="0" w:space="0" w:color="auto"/>
        <w:bottom w:val="none" w:sz="0" w:space="0" w:color="auto"/>
        <w:right w:val="none" w:sz="0" w:space="0" w:color="auto"/>
      </w:divBdr>
    </w:div>
    <w:div w:id="1009023317">
      <w:marLeft w:val="0"/>
      <w:marRight w:val="0"/>
      <w:marTop w:val="120"/>
      <w:marBottom w:val="0"/>
      <w:divBdr>
        <w:top w:val="none" w:sz="0" w:space="0" w:color="auto"/>
        <w:left w:val="none" w:sz="0" w:space="0" w:color="auto"/>
        <w:bottom w:val="none" w:sz="0" w:space="0" w:color="auto"/>
        <w:right w:val="none" w:sz="0" w:space="0" w:color="auto"/>
      </w:divBdr>
    </w:div>
    <w:div w:id="1019431541">
      <w:marLeft w:val="0"/>
      <w:marRight w:val="0"/>
      <w:marTop w:val="120"/>
      <w:marBottom w:val="0"/>
      <w:divBdr>
        <w:top w:val="none" w:sz="0" w:space="0" w:color="auto"/>
        <w:left w:val="none" w:sz="0" w:space="0" w:color="auto"/>
        <w:bottom w:val="none" w:sz="0" w:space="0" w:color="auto"/>
        <w:right w:val="none" w:sz="0" w:space="0" w:color="auto"/>
      </w:divBdr>
    </w:div>
    <w:div w:id="1021780914">
      <w:marLeft w:val="0"/>
      <w:marRight w:val="0"/>
      <w:marTop w:val="120"/>
      <w:marBottom w:val="0"/>
      <w:divBdr>
        <w:top w:val="none" w:sz="0" w:space="0" w:color="auto"/>
        <w:left w:val="none" w:sz="0" w:space="0" w:color="auto"/>
        <w:bottom w:val="none" w:sz="0" w:space="0" w:color="auto"/>
        <w:right w:val="none" w:sz="0" w:space="0" w:color="auto"/>
      </w:divBdr>
    </w:div>
    <w:div w:id="1025789743">
      <w:marLeft w:val="0"/>
      <w:marRight w:val="0"/>
      <w:marTop w:val="0"/>
      <w:marBottom w:val="0"/>
      <w:divBdr>
        <w:top w:val="none" w:sz="0" w:space="0" w:color="auto"/>
        <w:left w:val="none" w:sz="0" w:space="0" w:color="auto"/>
        <w:bottom w:val="none" w:sz="0" w:space="0" w:color="auto"/>
        <w:right w:val="none" w:sz="0" w:space="0" w:color="auto"/>
      </w:divBdr>
      <w:divsChild>
        <w:div w:id="1320226685">
          <w:marLeft w:val="0"/>
          <w:marRight w:val="0"/>
          <w:marTop w:val="0"/>
          <w:marBottom w:val="0"/>
          <w:divBdr>
            <w:top w:val="none" w:sz="0" w:space="0" w:color="auto"/>
            <w:left w:val="none" w:sz="0" w:space="0" w:color="auto"/>
            <w:bottom w:val="none" w:sz="0" w:space="0" w:color="auto"/>
            <w:right w:val="none" w:sz="0" w:space="0" w:color="auto"/>
          </w:divBdr>
        </w:div>
      </w:divsChild>
    </w:div>
    <w:div w:id="1026633822">
      <w:marLeft w:val="0"/>
      <w:marRight w:val="0"/>
      <w:marTop w:val="120"/>
      <w:marBottom w:val="0"/>
      <w:divBdr>
        <w:top w:val="none" w:sz="0" w:space="0" w:color="auto"/>
        <w:left w:val="none" w:sz="0" w:space="0" w:color="auto"/>
        <w:bottom w:val="none" w:sz="0" w:space="0" w:color="auto"/>
        <w:right w:val="none" w:sz="0" w:space="0" w:color="auto"/>
      </w:divBdr>
    </w:div>
    <w:div w:id="1027103567">
      <w:marLeft w:val="0"/>
      <w:marRight w:val="0"/>
      <w:marTop w:val="0"/>
      <w:marBottom w:val="0"/>
      <w:divBdr>
        <w:top w:val="none" w:sz="0" w:space="0" w:color="auto"/>
        <w:left w:val="none" w:sz="0" w:space="0" w:color="auto"/>
        <w:bottom w:val="none" w:sz="0" w:space="0" w:color="auto"/>
        <w:right w:val="none" w:sz="0" w:space="0" w:color="auto"/>
      </w:divBdr>
      <w:divsChild>
        <w:div w:id="638073932">
          <w:marLeft w:val="0"/>
          <w:marRight w:val="0"/>
          <w:marTop w:val="0"/>
          <w:marBottom w:val="0"/>
          <w:divBdr>
            <w:top w:val="none" w:sz="0" w:space="0" w:color="auto"/>
            <w:left w:val="none" w:sz="0" w:space="0" w:color="auto"/>
            <w:bottom w:val="none" w:sz="0" w:space="0" w:color="auto"/>
            <w:right w:val="none" w:sz="0" w:space="0" w:color="auto"/>
          </w:divBdr>
        </w:div>
      </w:divsChild>
    </w:div>
    <w:div w:id="1031492234">
      <w:marLeft w:val="0"/>
      <w:marRight w:val="0"/>
      <w:marTop w:val="120"/>
      <w:marBottom w:val="0"/>
      <w:divBdr>
        <w:top w:val="none" w:sz="0" w:space="0" w:color="auto"/>
        <w:left w:val="none" w:sz="0" w:space="0" w:color="auto"/>
        <w:bottom w:val="none" w:sz="0" w:space="0" w:color="auto"/>
        <w:right w:val="none" w:sz="0" w:space="0" w:color="auto"/>
      </w:divBdr>
    </w:div>
    <w:div w:id="1035039644">
      <w:marLeft w:val="0"/>
      <w:marRight w:val="0"/>
      <w:marTop w:val="120"/>
      <w:marBottom w:val="0"/>
      <w:divBdr>
        <w:top w:val="none" w:sz="0" w:space="0" w:color="auto"/>
        <w:left w:val="none" w:sz="0" w:space="0" w:color="auto"/>
        <w:bottom w:val="none" w:sz="0" w:space="0" w:color="auto"/>
        <w:right w:val="none" w:sz="0" w:space="0" w:color="auto"/>
      </w:divBdr>
    </w:div>
    <w:div w:id="1038895019">
      <w:marLeft w:val="0"/>
      <w:marRight w:val="0"/>
      <w:marTop w:val="120"/>
      <w:marBottom w:val="0"/>
      <w:divBdr>
        <w:top w:val="none" w:sz="0" w:space="0" w:color="auto"/>
        <w:left w:val="none" w:sz="0" w:space="0" w:color="auto"/>
        <w:bottom w:val="none" w:sz="0" w:space="0" w:color="auto"/>
        <w:right w:val="none" w:sz="0" w:space="0" w:color="auto"/>
      </w:divBdr>
    </w:div>
    <w:div w:id="1040520096">
      <w:marLeft w:val="0"/>
      <w:marRight w:val="0"/>
      <w:marTop w:val="60"/>
      <w:marBottom w:val="0"/>
      <w:divBdr>
        <w:top w:val="none" w:sz="0" w:space="0" w:color="auto"/>
        <w:left w:val="none" w:sz="0" w:space="0" w:color="auto"/>
        <w:bottom w:val="none" w:sz="0" w:space="0" w:color="auto"/>
        <w:right w:val="none" w:sz="0" w:space="0" w:color="auto"/>
      </w:divBdr>
    </w:div>
    <w:div w:id="1045524629">
      <w:marLeft w:val="0"/>
      <w:marRight w:val="0"/>
      <w:marTop w:val="0"/>
      <w:marBottom w:val="0"/>
      <w:divBdr>
        <w:top w:val="none" w:sz="0" w:space="0" w:color="auto"/>
        <w:left w:val="none" w:sz="0" w:space="0" w:color="auto"/>
        <w:bottom w:val="none" w:sz="0" w:space="0" w:color="auto"/>
        <w:right w:val="none" w:sz="0" w:space="0" w:color="auto"/>
      </w:divBdr>
      <w:divsChild>
        <w:div w:id="48693800">
          <w:marLeft w:val="0"/>
          <w:marRight w:val="0"/>
          <w:marTop w:val="0"/>
          <w:marBottom w:val="0"/>
          <w:divBdr>
            <w:top w:val="none" w:sz="0" w:space="0" w:color="auto"/>
            <w:left w:val="none" w:sz="0" w:space="0" w:color="auto"/>
            <w:bottom w:val="none" w:sz="0" w:space="0" w:color="auto"/>
            <w:right w:val="none" w:sz="0" w:space="0" w:color="auto"/>
          </w:divBdr>
        </w:div>
      </w:divsChild>
    </w:div>
    <w:div w:id="1049304713">
      <w:marLeft w:val="0"/>
      <w:marRight w:val="0"/>
      <w:marTop w:val="0"/>
      <w:marBottom w:val="0"/>
      <w:divBdr>
        <w:top w:val="none" w:sz="0" w:space="0" w:color="auto"/>
        <w:left w:val="none" w:sz="0" w:space="0" w:color="auto"/>
        <w:bottom w:val="none" w:sz="0" w:space="0" w:color="auto"/>
        <w:right w:val="none" w:sz="0" w:space="0" w:color="auto"/>
      </w:divBdr>
    </w:div>
    <w:div w:id="1049762321">
      <w:marLeft w:val="0"/>
      <w:marRight w:val="0"/>
      <w:marTop w:val="120"/>
      <w:marBottom w:val="120"/>
      <w:divBdr>
        <w:top w:val="none" w:sz="0" w:space="0" w:color="auto"/>
        <w:left w:val="none" w:sz="0" w:space="0" w:color="auto"/>
        <w:bottom w:val="none" w:sz="0" w:space="0" w:color="auto"/>
        <w:right w:val="none" w:sz="0" w:space="0" w:color="auto"/>
      </w:divBdr>
    </w:div>
    <w:div w:id="1049916925">
      <w:marLeft w:val="0"/>
      <w:marRight w:val="0"/>
      <w:marTop w:val="120"/>
      <w:marBottom w:val="0"/>
      <w:divBdr>
        <w:top w:val="none" w:sz="0" w:space="0" w:color="auto"/>
        <w:left w:val="none" w:sz="0" w:space="0" w:color="auto"/>
        <w:bottom w:val="none" w:sz="0" w:space="0" w:color="auto"/>
        <w:right w:val="none" w:sz="0" w:space="0" w:color="auto"/>
      </w:divBdr>
    </w:div>
    <w:div w:id="1050886587">
      <w:marLeft w:val="0"/>
      <w:marRight w:val="0"/>
      <w:marTop w:val="120"/>
      <w:marBottom w:val="0"/>
      <w:divBdr>
        <w:top w:val="none" w:sz="0" w:space="0" w:color="auto"/>
        <w:left w:val="none" w:sz="0" w:space="0" w:color="auto"/>
        <w:bottom w:val="none" w:sz="0" w:space="0" w:color="auto"/>
        <w:right w:val="none" w:sz="0" w:space="0" w:color="auto"/>
      </w:divBdr>
    </w:div>
    <w:div w:id="1058819030">
      <w:marLeft w:val="0"/>
      <w:marRight w:val="0"/>
      <w:marTop w:val="120"/>
      <w:marBottom w:val="0"/>
      <w:divBdr>
        <w:top w:val="none" w:sz="0" w:space="0" w:color="auto"/>
        <w:left w:val="none" w:sz="0" w:space="0" w:color="auto"/>
        <w:bottom w:val="none" w:sz="0" w:space="0" w:color="auto"/>
        <w:right w:val="none" w:sz="0" w:space="0" w:color="auto"/>
      </w:divBdr>
    </w:div>
    <w:div w:id="1058892279">
      <w:marLeft w:val="0"/>
      <w:marRight w:val="0"/>
      <w:marTop w:val="0"/>
      <w:marBottom w:val="0"/>
      <w:divBdr>
        <w:top w:val="none" w:sz="0" w:space="0" w:color="auto"/>
        <w:left w:val="none" w:sz="0" w:space="0" w:color="auto"/>
        <w:bottom w:val="none" w:sz="0" w:space="0" w:color="auto"/>
        <w:right w:val="none" w:sz="0" w:space="0" w:color="auto"/>
      </w:divBdr>
      <w:divsChild>
        <w:div w:id="967318608">
          <w:marLeft w:val="0"/>
          <w:marRight w:val="0"/>
          <w:marTop w:val="0"/>
          <w:marBottom w:val="0"/>
          <w:divBdr>
            <w:top w:val="none" w:sz="0" w:space="0" w:color="auto"/>
            <w:left w:val="none" w:sz="0" w:space="0" w:color="auto"/>
            <w:bottom w:val="none" w:sz="0" w:space="0" w:color="auto"/>
            <w:right w:val="none" w:sz="0" w:space="0" w:color="auto"/>
          </w:divBdr>
        </w:div>
      </w:divsChild>
    </w:div>
    <w:div w:id="1062560007">
      <w:marLeft w:val="0"/>
      <w:marRight w:val="0"/>
      <w:marTop w:val="0"/>
      <w:marBottom w:val="0"/>
      <w:divBdr>
        <w:top w:val="none" w:sz="0" w:space="0" w:color="auto"/>
        <w:left w:val="none" w:sz="0" w:space="0" w:color="auto"/>
        <w:bottom w:val="none" w:sz="0" w:space="0" w:color="auto"/>
        <w:right w:val="none" w:sz="0" w:space="0" w:color="auto"/>
      </w:divBdr>
    </w:div>
    <w:div w:id="1063020796">
      <w:marLeft w:val="0"/>
      <w:marRight w:val="0"/>
      <w:marTop w:val="0"/>
      <w:marBottom w:val="0"/>
      <w:divBdr>
        <w:top w:val="none" w:sz="0" w:space="0" w:color="auto"/>
        <w:left w:val="none" w:sz="0" w:space="0" w:color="auto"/>
        <w:bottom w:val="none" w:sz="0" w:space="0" w:color="auto"/>
        <w:right w:val="none" w:sz="0" w:space="0" w:color="auto"/>
      </w:divBdr>
    </w:div>
    <w:div w:id="1065567497">
      <w:marLeft w:val="0"/>
      <w:marRight w:val="0"/>
      <w:marTop w:val="120"/>
      <w:marBottom w:val="0"/>
      <w:divBdr>
        <w:top w:val="none" w:sz="0" w:space="0" w:color="auto"/>
        <w:left w:val="none" w:sz="0" w:space="0" w:color="auto"/>
        <w:bottom w:val="none" w:sz="0" w:space="0" w:color="auto"/>
        <w:right w:val="none" w:sz="0" w:space="0" w:color="auto"/>
      </w:divBdr>
    </w:div>
    <w:div w:id="1069307610">
      <w:marLeft w:val="0"/>
      <w:marRight w:val="0"/>
      <w:marTop w:val="240"/>
      <w:marBottom w:val="120"/>
      <w:divBdr>
        <w:top w:val="none" w:sz="0" w:space="0" w:color="auto"/>
        <w:left w:val="none" w:sz="0" w:space="0" w:color="auto"/>
        <w:bottom w:val="none" w:sz="0" w:space="0" w:color="auto"/>
        <w:right w:val="none" w:sz="0" w:space="0" w:color="auto"/>
      </w:divBdr>
    </w:div>
    <w:div w:id="1077903315">
      <w:marLeft w:val="0"/>
      <w:marRight w:val="0"/>
      <w:marTop w:val="120"/>
      <w:marBottom w:val="0"/>
      <w:divBdr>
        <w:top w:val="none" w:sz="0" w:space="0" w:color="auto"/>
        <w:left w:val="none" w:sz="0" w:space="0" w:color="auto"/>
        <w:bottom w:val="none" w:sz="0" w:space="0" w:color="auto"/>
        <w:right w:val="none" w:sz="0" w:space="0" w:color="auto"/>
      </w:divBdr>
    </w:div>
    <w:div w:id="1089889890">
      <w:marLeft w:val="0"/>
      <w:marRight w:val="0"/>
      <w:marTop w:val="120"/>
      <w:marBottom w:val="0"/>
      <w:divBdr>
        <w:top w:val="none" w:sz="0" w:space="0" w:color="auto"/>
        <w:left w:val="none" w:sz="0" w:space="0" w:color="auto"/>
        <w:bottom w:val="none" w:sz="0" w:space="0" w:color="auto"/>
        <w:right w:val="none" w:sz="0" w:space="0" w:color="auto"/>
      </w:divBdr>
    </w:div>
    <w:div w:id="1090128367">
      <w:marLeft w:val="0"/>
      <w:marRight w:val="0"/>
      <w:marTop w:val="120"/>
      <w:marBottom w:val="0"/>
      <w:divBdr>
        <w:top w:val="none" w:sz="0" w:space="0" w:color="auto"/>
        <w:left w:val="none" w:sz="0" w:space="0" w:color="auto"/>
        <w:bottom w:val="none" w:sz="0" w:space="0" w:color="auto"/>
        <w:right w:val="none" w:sz="0" w:space="0" w:color="auto"/>
      </w:divBdr>
    </w:div>
    <w:div w:id="1098714098">
      <w:marLeft w:val="0"/>
      <w:marRight w:val="0"/>
      <w:marTop w:val="120"/>
      <w:marBottom w:val="0"/>
      <w:divBdr>
        <w:top w:val="none" w:sz="0" w:space="0" w:color="auto"/>
        <w:left w:val="none" w:sz="0" w:space="0" w:color="auto"/>
        <w:bottom w:val="none" w:sz="0" w:space="0" w:color="auto"/>
        <w:right w:val="none" w:sz="0" w:space="0" w:color="auto"/>
      </w:divBdr>
    </w:div>
    <w:div w:id="1099133021">
      <w:marLeft w:val="0"/>
      <w:marRight w:val="0"/>
      <w:marTop w:val="0"/>
      <w:marBottom w:val="0"/>
      <w:divBdr>
        <w:top w:val="none" w:sz="0" w:space="0" w:color="auto"/>
        <w:left w:val="none" w:sz="0" w:space="0" w:color="auto"/>
        <w:bottom w:val="none" w:sz="0" w:space="0" w:color="auto"/>
        <w:right w:val="none" w:sz="0" w:space="0" w:color="auto"/>
      </w:divBdr>
    </w:div>
    <w:div w:id="1100680484">
      <w:marLeft w:val="0"/>
      <w:marRight w:val="0"/>
      <w:marTop w:val="120"/>
      <w:marBottom w:val="120"/>
      <w:divBdr>
        <w:top w:val="none" w:sz="0" w:space="0" w:color="auto"/>
        <w:left w:val="none" w:sz="0" w:space="0" w:color="auto"/>
        <w:bottom w:val="none" w:sz="0" w:space="0" w:color="auto"/>
        <w:right w:val="none" w:sz="0" w:space="0" w:color="auto"/>
      </w:divBdr>
    </w:div>
    <w:div w:id="1109819148">
      <w:marLeft w:val="0"/>
      <w:marRight w:val="0"/>
      <w:marTop w:val="0"/>
      <w:marBottom w:val="0"/>
      <w:divBdr>
        <w:top w:val="none" w:sz="0" w:space="0" w:color="auto"/>
        <w:left w:val="none" w:sz="0" w:space="0" w:color="auto"/>
        <w:bottom w:val="none" w:sz="0" w:space="0" w:color="auto"/>
        <w:right w:val="none" w:sz="0" w:space="0" w:color="auto"/>
      </w:divBdr>
      <w:divsChild>
        <w:div w:id="1376657805">
          <w:marLeft w:val="0"/>
          <w:marRight w:val="0"/>
          <w:marTop w:val="0"/>
          <w:marBottom w:val="0"/>
          <w:divBdr>
            <w:top w:val="none" w:sz="0" w:space="0" w:color="auto"/>
            <w:left w:val="none" w:sz="0" w:space="0" w:color="auto"/>
            <w:bottom w:val="none" w:sz="0" w:space="0" w:color="auto"/>
            <w:right w:val="none" w:sz="0" w:space="0" w:color="auto"/>
          </w:divBdr>
        </w:div>
      </w:divsChild>
    </w:div>
    <w:div w:id="1123579344">
      <w:marLeft w:val="0"/>
      <w:marRight w:val="0"/>
      <w:marTop w:val="0"/>
      <w:marBottom w:val="0"/>
      <w:divBdr>
        <w:top w:val="none" w:sz="0" w:space="0" w:color="auto"/>
        <w:left w:val="none" w:sz="0" w:space="0" w:color="auto"/>
        <w:bottom w:val="none" w:sz="0" w:space="0" w:color="auto"/>
        <w:right w:val="none" w:sz="0" w:space="0" w:color="auto"/>
      </w:divBdr>
    </w:div>
    <w:div w:id="1134837775">
      <w:marLeft w:val="0"/>
      <w:marRight w:val="0"/>
      <w:marTop w:val="0"/>
      <w:marBottom w:val="0"/>
      <w:divBdr>
        <w:top w:val="none" w:sz="0" w:space="0" w:color="auto"/>
        <w:left w:val="none" w:sz="0" w:space="0" w:color="auto"/>
        <w:bottom w:val="none" w:sz="0" w:space="0" w:color="auto"/>
        <w:right w:val="none" w:sz="0" w:space="0" w:color="auto"/>
      </w:divBdr>
    </w:div>
    <w:div w:id="1137531659">
      <w:marLeft w:val="0"/>
      <w:marRight w:val="0"/>
      <w:marTop w:val="120"/>
      <w:marBottom w:val="0"/>
      <w:divBdr>
        <w:top w:val="none" w:sz="0" w:space="0" w:color="auto"/>
        <w:left w:val="none" w:sz="0" w:space="0" w:color="auto"/>
        <w:bottom w:val="none" w:sz="0" w:space="0" w:color="auto"/>
        <w:right w:val="none" w:sz="0" w:space="0" w:color="auto"/>
      </w:divBdr>
    </w:div>
    <w:div w:id="1139617683">
      <w:marLeft w:val="0"/>
      <w:marRight w:val="0"/>
      <w:marTop w:val="0"/>
      <w:marBottom w:val="0"/>
      <w:divBdr>
        <w:top w:val="none" w:sz="0" w:space="0" w:color="auto"/>
        <w:left w:val="none" w:sz="0" w:space="0" w:color="auto"/>
        <w:bottom w:val="none" w:sz="0" w:space="0" w:color="auto"/>
        <w:right w:val="none" w:sz="0" w:space="0" w:color="auto"/>
      </w:divBdr>
      <w:divsChild>
        <w:div w:id="44065564">
          <w:marLeft w:val="0"/>
          <w:marRight w:val="0"/>
          <w:marTop w:val="0"/>
          <w:marBottom w:val="0"/>
          <w:divBdr>
            <w:top w:val="none" w:sz="0" w:space="0" w:color="auto"/>
            <w:left w:val="none" w:sz="0" w:space="0" w:color="auto"/>
            <w:bottom w:val="none" w:sz="0" w:space="0" w:color="auto"/>
            <w:right w:val="none" w:sz="0" w:space="0" w:color="auto"/>
          </w:divBdr>
        </w:div>
      </w:divsChild>
    </w:div>
    <w:div w:id="1140685288">
      <w:marLeft w:val="0"/>
      <w:marRight w:val="0"/>
      <w:marTop w:val="0"/>
      <w:marBottom w:val="0"/>
      <w:divBdr>
        <w:top w:val="none" w:sz="0" w:space="0" w:color="auto"/>
        <w:left w:val="none" w:sz="0" w:space="0" w:color="auto"/>
        <w:bottom w:val="none" w:sz="0" w:space="0" w:color="auto"/>
        <w:right w:val="none" w:sz="0" w:space="0" w:color="auto"/>
      </w:divBdr>
      <w:divsChild>
        <w:div w:id="286858317">
          <w:marLeft w:val="0"/>
          <w:marRight w:val="0"/>
          <w:marTop w:val="0"/>
          <w:marBottom w:val="0"/>
          <w:divBdr>
            <w:top w:val="none" w:sz="0" w:space="0" w:color="auto"/>
            <w:left w:val="none" w:sz="0" w:space="0" w:color="auto"/>
            <w:bottom w:val="none" w:sz="0" w:space="0" w:color="auto"/>
            <w:right w:val="none" w:sz="0" w:space="0" w:color="auto"/>
          </w:divBdr>
        </w:div>
      </w:divsChild>
    </w:div>
    <w:div w:id="1142191316">
      <w:marLeft w:val="0"/>
      <w:marRight w:val="0"/>
      <w:marTop w:val="120"/>
      <w:marBottom w:val="0"/>
      <w:divBdr>
        <w:top w:val="none" w:sz="0" w:space="0" w:color="auto"/>
        <w:left w:val="none" w:sz="0" w:space="0" w:color="auto"/>
        <w:bottom w:val="none" w:sz="0" w:space="0" w:color="auto"/>
        <w:right w:val="none" w:sz="0" w:space="0" w:color="auto"/>
      </w:divBdr>
    </w:div>
    <w:div w:id="1142771347">
      <w:marLeft w:val="0"/>
      <w:marRight w:val="0"/>
      <w:marTop w:val="120"/>
      <w:marBottom w:val="0"/>
      <w:divBdr>
        <w:top w:val="none" w:sz="0" w:space="0" w:color="auto"/>
        <w:left w:val="none" w:sz="0" w:space="0" w:color="auto"/>
        <w:bottom w:val="none" w:sz="0" w:space="0" w:color="auto"/>
        <w:right w:val="none" w:sz="0" w:space="0" w:color="auto"/>
      </w:divBdr>
    </w:div>
    <w:div w:id="1152452523">
      <w:marLeft w:val="0"/>
      <w:marRight w:val="0"/>
      <w:marTop w:val="0"/>
      <w:marBottom w:val="0"/>
      <w:divBdr>
        <w:top w:val="none" w:sz="0" w:space="0" w:color="auto"/>
        <w:left w:val="none" w:sz="0" w:space="0" w:color="auto"/>
        <w:bottom w:val="none" w:sz="0" w:space="0" w:color="auto"/>
        <w:right w:val="none" w:sz="0" w:space="0" w:color="auto"/>
      </w:divBdr>
    </w:div>
    <w:div w:id="1152988634">
      <w:marLeft w:val="0"/>
      <w:marRight w:val="0"/>
      <w:marTop w:val="0"/>
      <w:marBottom w:val="0"/>
      <w:divBdr>
        <w:top w:val="none" w:sz="0" w:space="0" w:color="auto"/>
        <w:left w:val="none" w:sz="0" w:space="0" w:color="auto"/>
        <w:bottom w:val="none" w:sz="0" w:space="0" w:color="auto"/>
        <w:right w:val="none" w:sz="0" w:space="0" w:color="auto"/>
      </w:divBdr>
    </w:div>
    <w:div w:id="1160543101">
      <w:marLeft w:val="0"/>
      <w:marRight w:val="0"/>
      <w:marTop w:val="120"/>
      <w:marBottom w:val="0"/>
      <w:divBdr>
        <w:top w:val="none" w:sz="0" w:space="0" w:color="auto"/>
        <w:left w:val="none" w:sz="0" w:space="0" w:color="auto"/>
        <w:bottom w:val="none" w:sz="0" w:space="0" w:color="auto"/>
        <w:right w:val="none" w:sz="0" w:space="0" w:color="auto"/>
      </w:divBdr>
    </w:div>
    <w:div w:id="1161039108">
      <w:marLeft w:val="0"/>
      <w:marRight w:val="0"/>
      <w:marTop w:val="120"/>
      <w:marBottom w:val="0"/>
      <w:divBdr>
        <w:top w:val="none" w:sz="0" w:space="0" w:color="auto"/>
        <w:left w:val="none" w:sz="0" w:space="0" w:color="auto"/>
        <w:bottom w:val="none" w:sz="0" w:space="0" w:color="auto"/>
        <w:right w:val="none" w:sz="0" w:space="0" w:color="auto"/>
      </w:divBdr>
    </w:div>
    <w:div w:id="1166167700">
      <w:marLeft w:val="0"/>
      <w:marRight w:val="0"/>
      <w:marTop w:val="120"/>
      <w:marBottom w:val="0"/>
      <w:divBdr>
        <w:top w:val="none" w:sz="0" w:space="0" w:color="auto"/>
        <w:left w:val="none" w:sz="0" w:space="0" w:color="auto"/>
        <w:bottom w:val="none" w:sz="0" w:space="0" w:color="auto"/>
        <w:right w:val="none" w:sz="0" w:space="0" w:color="auto"/>
      </w:divBdr>
    </w:div>
    <w:div w:id="1167017737">
      <w:marLeft w:val="0"/>
      <w:marRight w:val="0"/>
      <w:marTop w:val="120"/>
      <w:marBottom w:val="0"/>
      <w:divBdr>
        <w:top w:val="none" w:sz="0" w:space="0" w:color="auto"/>
        <w:left w:val="none" w:sz="0" w:space="0" w:color="auto"/>
        <w:bottom w:val="none" w:sz="0" w:space="0" w:color="auto"/>
        <w:right w:val="none" w:sz="0" w:space="0" w:color="auto"/>
      </w:divBdr>
    </w:div>
    <w:div w:id="1169710049">
      <w:marLeft w:val="0"/>
      <w:marRight w:val="0"/>
      <w:marTop w:val="120"/>
      <w:marBottom w:val="0"/>
      <w:divBdr>
        <w:top w:val="none" w:sz="0" w:space="0" w:color="auto"/>
        <w:left w:val="none" w:sz="0" w:space="0" w:color="auto"/>
        <w:bottom w:val="none" w:sz="0" w:space="0" w:color="auto"/>
        <w:right w:val="none" w:sz="0" w:space="0" w:color="auto"/>
      </w:divBdr>
    </w:div>
    <w:div w:id="1173570731">
      <w:marLeft w:val="0"/>
      <w:marRight w:val="0"/>
      <w:marTop w:val="0"/>
      <w:marBottom w:val="0"/>
      <w:divBdr>
        <w:top w:val="none" w:sz="0" w:space="0" w:color="auto"/>
        <w:left w:val="none" w:sz="0" w:space="0" w:color="auto"/>
        <w:bottom w:val="none" w:sz="0" w:space="0" w:color="auto"/>
        <w:right w:val="none" w:sz="0" w:space="0" w:color="auto"/>
      </w:divBdr>
      <w:divsChild>
        <w:div w:id="1068580166">
          <w:marLeft w:val="0"/>
          <w:marRight w:val="0"/>
          <w:marTop w:val="0"/>
          <w:marBottom w:val="0"/>
          <w:divBdr>
            <w:top w:val="none" w:sz="0" w:space="0" w:color="auto"/>
            <w:left w:val="none" w:sz="0" w:space="0" w:color="auto"/>
            <w:bottom w:val="none" w:sz="0" w:space="0" w:color="auto"/>
            <w:right w:val="none" w:sz="0" w:space="0" w:color="auto"/>
          </w:divBdr>
        </w:div>
      </w:divsChild>
    </w:div>
    <w:div w:id="1177118637">
      <w:marLeft w:val="0"/>
      <w:marRight w:val="0"/>
      <w:marTop w:val="120"/>
      <w:marBottom w:val="0"/>
      <w:divBdr>
        <w:top w:val="none" w:sz="0" w:space="0" w:color="auto"/>
        <w:left w:val="none" w:sz="0" w:space="0" w:color="auto"/>
        <w:bottom w:val="none" w:sz="0" w:space="0" w:color="auto"/>
        <w:right w:val="none" w:sz="0" w:space="0" w:color="auto"/>
      </w:divBdr>
    </w:div>
    <w:div w:id="1182359854">
      <w:marLeft w:val="0"/>
      <w:marRight w:val="0"/>
      <w:marTop w:val="120"/>
      <w:marBottom w:val="120"/>
      <w:divBdr>
        <w:top w:val="none" w:sz="0" w:space="0" w:color="auto"/>
        <w:left w:val="none" w:sz="0" w:space="0" w:color="auto"/>
        <w:bottom w:val="none" w:sz="0" w:space="0" w:color="auto"/>
        <w:right w:val="none" w:sz="0" w:space="0" w:color="auto"/>
      </w:divBdr>
    </w:div>
    <w:div w:id="1183670151">
      <w:marLeft w:val="0"/>
      <w:marRight w:val="0"/>
      <w:marTop w:val="120"/>
      <w:marBottom w:val="0"/>
      <w:divBdr>
        <w:top w:val="none" w:sz="0" w:space="0" w:color="auto"/>
        <w:left w:val="none" w:sz="0" w:space="0" w:color="auto"/>
        <w:bottom w:val="none" w:sz="0" w:space="0" w:color="auto"/>
        <w:right w:val="none" w:sz="0" w:space="0" w:color="auto"/>
      </w:divBdr>
    </w:div>
    <w:div w:id="1185048038">
      <w:marLeft w:val="0"/>
      <w:marRight w:val="0"/>
      <w:marTop w:val="120"/>
      <w:marBottom w:val="0"/>
      <w:divBdr>
        <w:top w:val="none" w:sz="0" w:space="0" w:color="auto"/>
        <w:left w:val="none" w:sz="0" w:space="0" w:color="auto"/>
        <w:bottom w:val="none" w:sz="0" w:space="0" w:color="auto"/>
        <w:right w:val="none" w:sz="0" w:space="0" w:color="auto"/>
      </w:divBdr>
    </w:div>
    <w:div w:id="1187215851">
      <w:marLeft w:val="0"/>
      <w:marRight w:val="0"/>
      <w:marTop w:val="120"/>
      <w:marBottom w:val="0"/>
      <w:divBdr>
        <w:top w:val="none" w:sz="0" w:space="0" w:color="auto"/>
        <w:left w:val="none" w:sz="0" w:space="0" w:color="auto"/>
        <w:bottom w:val="none" w:sz="0" w:space="0" w:color="auto"/>
        <w:right w:val="none" w:sz="0" w:space="0" w:color="auto"/>
      </w:divBdr>
    </w:div>
    <w:div w:id="1189837396">
      <w:marLeft w:val="0"/>
      <w:marRight w:val="0"/>
      <w:marTop w:val="0"/>
      <w:marBottom w:val="0"/>
      <w:divBdr>
        <w:top w:val="none" w:sz="0" w:space="0" w:color="auto"/>
        <w:left w:val="none" w:sz="0" w:space="0" w:color="auto"/>
        <w:bottom w:val="none" w:sz="0" w:space="0" w:color="auto"/>
        <w:right w:val="none" w:sz="0" w:space="0" w:color="auto"/>
      </w:divBdr>
      <w:divsChild>
        <w:div w:id="823089177">
          <w:marLeft w:val="0"/>
          <w:marRight w:val="0"/>
          <w:marTop w:val="0"/>
          <w:marBottom w:val="0"/>
          <w:divBdr>
            <w:top w:val="none" w:sz="0" w:space="0" w:color="auto"/>
            <w:left w:val="none" w:sz="0" w:space="0" w:color="auto"/>
            <w:bottom w:val="none" w:sz="0" w:space="0" w:color="auto"/>
            <w:right w:val="none" w:sz="0" w:space="0" w:color="auto"/>
          </w:divBdr>
        </w:div>
      </w:divsChild>
    </w:div>
    <w:div w:id="1191455996">
      <w:marLeft w:val="0"/>
      <w:marRight w:val="0"/>
      <w:marTop w:val="0"/>
      <w:marBottom w:val="0"/>
      <w:divBdr>
        <w:top w:val="none" w:sz="0" w:space="0" w:color="auto"/>
        <w:left w:val="none" w:sz="0" w:space="0" w:color="auto"/>
        <w:bottom w:val="none" w:sz="0" w:space="0" w:color="auto"/>
        <w:right w:val="none" w:sz="0" w:space="0" w:color="auto"/>
      </w:divBdr>
    </w:div>
    <w:div w:id="1194197831">
      <w:marLeft w:val="0"/>
      <w:marRight w:val="0"/>
      <w:marTop w:val="120"/>
      <w:marBottom w:val="0"/>
      <w:divBdr>
        <w:top w:val="none" w:sz="0" w:space="0" w:color="auto"/>
        <w:left w:val="none" w:sz="0" w:space="0" w:color="auto"/>
        <w:bottom w:val="none" w:sz="0" w:space="0" w:color="auto"/>
        <w:right w:val="none" w:sz="0" w:space="0" w:color="auto"/>
      </w:divBdr>
    </w:div>
    <w:div w:id="1195264121">
      <w:marLeft w:val="0"/>
      <w:marRight w:val="0"/>
      <w:marTop w:val="0"/>
      <w:marBottom w:val="0"/>
      <w:divBdr>
        <w:top w:val="none" w:sz="0" w:space="0" w:color="auto"/>
        <w:left w:val="none" w:sz="0" w:space="0" w:color="auto"/>
        <w:bottom w:val="none" w:sz="0" w:space="0" w:color="auto"/>
        <w:right w:val="none" w:sz="0" w:space="0" w:color="auto"/>
      </w:divBdr>
    </w:div>
    <w:div w:id="1199511823">
      <w:marLeft w:val="0"/>
      <w:marRight w:val="0"/>
      <w:marTop w:val="0"/>
      <w:marBottom w:val="0"/>
      <w:divBdr>
        <w:top w:val="none" w:sz="0" w:space="0" w:color="auto"/>
        <w:left w:val="none" w:sz="0" w:space="0" w:color="auto"/>
        <w:bottom w:val="none" w:sz="0" w:space="0" w:color="auto"/>
        <w:right w:val="none" w:sz="0" w:space="0" w:color="auto"/>
      </w:divBdr>
    </w:div>
    <w:div w:id="1199775953">
      <w:marLeft w:val="0"/>
      <w:marRight w:val="0"/>
      <w:marTop w:val="120"/>
      <w:marBottom w:val="0"/>
      <w:divBdr>
        <w:top w:val="none" w:sz="0" w:space="0" w:color="auto"/>
        <w:left w:val="none" w:sz="0" w:space="0" w:color="auto"/>
        <w:bottom w:val="none" w:sz="0" w:space="0" w:color="auto"/>
        <w:right w:val="none" w:sz="0" w:space="0" w:color="auto"/>
      </w:divBdr>
    </w:div>
    <w:div w:id="1211108539">
      <w:marLeft w:val="0"/>
      <w:marRight w:val="0"/>
      <w:marTop w:val="120"/>
      <w:marBottom w:val="0"/>
      <w:divBdr>
        <w:top w:val="none" w:sz="0" w:space="0" w:color="auto"/>
        <w:left w:val="none" w:sz="0" w:space="0" w:color="auto"/>
        <w:bottom w:val="none" w:sz="0" w:space="0" w:color="auto"/>
        <w:right w:val="none" w:sz="0" w:space="0" w:color="auto"/>
      </w:divBdr>
    </w:div>
    <w:div w:id="1212306565">
      <w:marLeft w:val="0"/>
      <w:marRight w:val="0"/>
      <w:marTop w:val="120"/>
      <w:marBottom w:val="0"/>
      <w:divBdr>
        <w:top w:val="none" w:sz="0" w:space="0" w:color="auto"/>
        <w:left w:val="none" w:sz="0" w:space="0" w:color="auto"/>
        <w:bottom w:val="none" w:sz="0" w:space="0" w:color="auto"/>
        <w:right w:val="none" w:sz="0" w:space="0" w:color="auto"/>
      </w:divBdr>
    </w:div>
    <w:div w:id="1214316672">
      <w:marLeft w:val="0"/>
      <w:marRight w:val="0"/>
      <w:marTop w:val="120"/>
      <w:marBottom w:val="0"/>
      <w:divBdr>
        <w:top w:val="none" w:sz="0" w:space="0" w:color="auto"/>
        <w:left w:val="none" w:sz="0" w:space="0" w:color="auto"/>
        <w:bottom w:val="none" w:sz="0" w:space="0" w:color="auto"/>
        <w:right w:val="none" w:sz="0" w:space="0" w:color="auto"/>
      </w:divBdr>
    </w:div>
    <w:div w:id="1220702992">
      <w:marLeft w:val="0"/>
      <w:marRight w:val="0"/>
      <w:marTop w:val="120"/>
      <w:marBottom w:val="0"/>
      <w:divBdr>
        <w:top w:val="none" w:sz="0" w:space="0" w:color="auto"/>
        <w:left w:val="none" w:sz="0" w:space="0" w:color="auto"/>
        <w:bottom w:val="none" w:sz="0" w:space="0" w:color="auto"/>
        <w:right w:val="none" w:sz="0" w:space="0" w:color="auto"/>
      </w:divBdr>
    </w:div>
    <w:div w:id="1223902453">
      <w:marLeft w:val="0"/>
      <w:marRight w:val="0"/>
      <w:marTop w:val="120"/>
      <w:marBottom w:val="0"/>
      <w:divBdr>
        <w:top w:val="none" w:sz="0" w:space="0" w:color="auto"/>
        <w:left w:val="none" w:sz="0" w:space="0" w:color="auto"/>
        <w:bottom w:val="none" w:sz="0" w:space="0" w:color="auto"/>
        <w:right w:val="none" w:sz="0" w:space="0" w:color="auto"/>
      </w:divBdr>
    </w:div>
    <w:div w:id="1229460489">
      <w:marLeft w:val="0"/>
      <w:marRight w:val="0"/>
      <w:marTop w:val="0"/>
      <w:marBottom w:val="0"/>
      <w:divBdr>
        <w:top w:val="none" w:sz="0" w:space="0" w:color="auto"/>
        <w:left w:val="none" w:sz="0" w:space="0" w:color="auto"/>
        <w:bottom w:val="none" w:sz="0" w:space="0" w:color="auto"/>
        <w:right w:val="none" w:sz="0" w:space="0" w:color="auto"/>
      </w:divBdr>
    </w:div>
    <w:div w:id="1230773502">
      <w:marLeft w:val="0"/>
      <w:marRight w:val="0"/>
      <w:marTop w:val="120"/>
      <w:marBottom w:val="0"/>
      <w:divBdr>
        <w:top w:val="none" w:sz="0" w:space="0" w:color="auto"/>
        <w:left w:val="none" w:sz="0" w:space="0" w:color="auto"/>
        <w:bottom w:val="none" w:sz="0" w:space="0" w:color="auto"/>
        <w:right w:val="none" w:sz="0" w:space="0" w:color="auto"/>
      </w:divBdr>
    </w:div>
    <w:div w:id="1234853165">
      <w:marLeft w:val="0"/>
      <w:marRight w:val="0"/>
      <w:marTop w:val="120"/>
      <w:marBottom w:val="120"/>
      <w:divBdr>
        <w:top w:val="none" w:sz="0" w:space="0" w:color="auto"/>
        <w:left w:val="none" w:sz="0" w:space="0" w:color="auto"/>
        <w:bottom w:val="none" w:sz="0" w:space="0" w:color="auto"/>
        <w:right w:val="none" w:sz="0" w:space="0" w:color="auto"/>
      </w:divBdr>
    </w:div>
    <w:div w:id="1237588638">
      <w:marLeft w:val="0"/>
      <w:marRight w:val="0"/>
      <w:marTop w:val="120"/>
      <w:marBottom w:val="0"/>
      <w:divBdr>
        <w:top w:val="none" w:sz="0" w:space="0" w:color="auto"/>
        <w:left w:val="none" w:sz="0" w:space="0" w:color="auto"/>
        <w:bottom w:val="none" w:sz="0" w:space="0" w:color="auto"/>
        <w:right w:val="none" w:sz="0" w:space="0" w:color="auto"/>
      </w:divBdr>
    </w:div>
    <w:div w:id="1243833353">
      <w:marLeft w:val="0"/>
      <w:marRight w:val="0"/>
      <w:marTop w:val="120"/>
      <w:marBottom w:val="0"/>
      <w:divBdr>
        <w:top w:val="none" w:sz="0" w:space="0" w:color="auto"/>
        <w:left w:val="none" w:sz="0" w:space="0" w:color="auto"/>
        <w:bottom w:val="none" w:sz="0" w:space="0" w:color="auto"/>
        <w:right w:val="none" w:sz="0" w:space="0" w:color="auto"/>
      </w:divBdr>
    </w:div>
    <w:div w:id="1250963541">
      <w:marLeft w:val="0"/>
      <w:marRight w:val="0"/>
      <w:marTop w:val="0"/>
      <w:marBottom w:val="0"/>
      <w:divBdr>
        <w:top w:val="none" w:sz="0" w:space="0" w:color="auto"/>
        <w:left w:val="none" w:sz="0" w:space="0" w:color="auto"/>
        <w:bottom w:val="none" w:sz="0" w:space="0" w:color="auto"/>
        <w:right w:val="none" w:sz="0" w:space="0" w:color="auto"/>
      </w:divBdr>
      <w:divsChild>
        <w:div w:id="1012146634">
          <w:marLeft w:val="0"/>
          <w:marRight w:val="0"/>
          <w:marTop w:val="0"/>
          <w:marBottom w:val="0"/>
          <w:divBdr>
            <w:top w:val="none" w:sz="0" w:space="0" w:color="auto"/>
            <w:left w:val="none" w:sz="0" w:space="0" w:color="auto"/>
            <w:bottom w:val="none" w:sz="0" w:space="0" w:color="auto"/>
            <w:right w:val="none" w:sz="0" w:space="0" w:color="auto"/>
          </w:divBdr>
        </w:div>
      </w:divsChild>
    </w:div>
    <w:div w:id="1255045476">
      <w:marLeft w:val="0"/>
      <w:marRight w:val="0"/>
      <w:marTop w:val="120"/>
      <w:marBottom w:val="0"/>
      <w:divBdr>
        <w:top w:val="none" w:sz="0" w:space="0" w:color="auto"/>
        <w:left w:val="none" w:sz="0" w:space="0" w:color="auto"/>
        <w:bottom w:val="none" w:sz="0" w:space="0" w:color="auto"/>
        <w:right w:val="none" w:sz="0" w:space="0" w:color="auto"/>
      </w:divBdr>
    </w:div>
    <w:div w:id="1262294335">
      <w:marLeft w:val="0"/>
      <w:marRight w:val="0"/>
      <w:marTop w:val="120"/>
      <w:marBottom w:val="0"/>
      <w:divBdr>
        <w:top w:val="none" w:sz="0" w:space="0" w:color="auto"/>
        <w:left w:val="none" w:sz="0" w:space="0" w:color="auto"/>
        <w:bottom w:val="none" w:sz="0" w:space="0" w:color="auto"/>
        <w:right w:val="none" w:sz="0" w:space="0" w:color="auto"/>
      </w:divBdr>
    </w:div>
    <w:div w:id="1262373299">
      <w:marLeft w:val="0"/>
      <w:marRight w:val="0"/>
      <w:marTop w:val="0"/>
      <w:marBottom w:val="0"/>
      <w:divBdr>
        <w:top w:val="none" w:sz="0" w:space="0" w:color="auto"/>
        <w:left w:val="none" w:sz="0" w:space="0" w:color="auto"/>
        <w:bottom w:val="none" w:sz="0" w:space="0" w:color="auto"/>
        <w:right w:val="none" w:sz="0" w:space="0" w:color="auto"/>
      </w:divBdr>
      <w:divsChild>
        <w:div w:id="19746069">
          <w:marLeft w:val="0"/>
          <w:marRight w:val="0"/>
          <w:marTop w:val="0"/>
          <w:marBottom w:val="0"/>
          <w:divBdr>
            <w:top w:val="none" w:sz="0" w:space="0" w:color="auto"/>
            <w:left w:val="none" w:sz="0" w:space="0" w:color="auto"/>
            <w:bottom w:val="none" w:sz="0" w:space="0" w:color="auto"/>
            <w:right w:val="none" w:sz="0" w:space="0" w:color="auto"/>
          </w:divBdr>
        </w:div>
      </w:divsChild>
    </w:div>
    <w:div w:id="1265069288">
      <w:marLeft w:val="0"/>
      <w:marRight w:val="0"/>
      <w:marTop w:val="120"/>
      <w:marBottom w:val="0"/>
      <w:divBdr>
        <w:top w:val="none" w:sz="0" w:space="0" w:color="auto"/>
        <w:left w:val="none" w:sz="0" w:space="0" w:color="auto"/>
        <w:bottom w:val="none" w:sz="0" w:space="0" w:color="auto"/>
        <w:right w:val="none" w:sz="0" w:space="0" w:color="auto"/>
      </w:divBdr>
    </w:div>
    <w:div w:id="1270354400">
      <w:marLeft w:val="0"/>
      <w:marRight w:val="0"/>
      <w:marTop w:val="120"/>
      <w:marBottom w:val="0"/>
      <w:divBdr>
        <w:top w:val="none" w:sz="0" w:space="0" w:color="auto"/>
        <w:left w:val="none" w:sz="0" w:space="0" w:color="auto"/>
        <w:bottom w:val="none" w:sz="0" w:space="0" w:color="auto"/>
        <w:right w:val="none" w:sz="0" w:space="0" w:color="auto"/>
      </w:divBdr>
    </w:div>
    <w:div w:id="1271857457">
      <w:marLeft w:val="0"/>
      <w:marRight w:val="0"/>
      <w:marTop w:val="120"/>
      <w:marBottom w:val="0"/>
      <w:divBdr>
        <w:top w:val="none" w:sz="0" w:space="0" w:color="auto"/>
        <w:left w:val="none" w:sz="0" w:space="0" w:color="auto"/>
        <w:bottom w:val="none" w:sz="0" w:space="0" w:color="auto"/>
        <w:right w:val="none" w:sz="0" w:space="0" w:color="auto"/>
      </w:divBdr>
    </w:div>
    <w:div w:id="1277256408">
      <w:marLeft w:val="0"/>
      <w:marRight w:val="0"/>
      <w:marTop w:val="0"/>
      <w:marBottom w:val="0"/>
      <w:divBdr>
        <w:top w:val="none" w:sz="0" w:space="0" w:color="auto"/>
        <w:left w:val="none" w:sz="0" w:space="0" w:color="auto"/>
        <w:bottom w:val="none" w:sz="0" w:space="0" w:color="auto"/>
        <w:right w:val="none" w:sz="0" w:space="0" w:color="auto"/>
      </w:divBdr>
      <w:divsChild>
        <w:div w:id="2051567355">
          <w:marLeft w:val="0"/>
          <w:marRight w:val="0"/>
          <w:marTop w:val="0"/>
          <w:marBottom w:val="0"/>
          <w:divBdr>
            <w:top w:val="none" w:sz="0" w:space="0" w:color="auto"/>
            <w:left w:val="none" w:sz="0" w:space="0" w:color="auto"/>
            <w:bottom w:val="none" w:sz="0" w:space="0" w:color="auto"/>
            <w:right w:val="none" w:sz="0" w:space="0" w:color="auto"/>
          </w:divBdr>
        </w:div>
      </w:divsChild>
    </w:div>
    <w:div w:id="1287010792">
      <w:marLeft w:val="0"/>
      <w:marRight w:val="0"/>
      <w:marTop w:val="0"/>
      <w:marBottom w:val="0"/>
      <w:divBdr>
        <w:top w:val="none" w:sz="0" w:space="0" w:color="auto"/>
        <w:left w:val="none" w:sz="0" w:space="0" w:color="auto"/>
        <w:bottom w:val="none" w:sz="0" w:space="0" w:color="auto"/>
        <w:right w:val="none" w:sz="0" w:space="0" w:color="auto"/>
      </w:divBdr>
      <w:divsChild>
        <w:div w:id="456264927">
          <w:marLeft w:val="0"/>
          <w:marRight w:val="0"/>
          <w:marTop w:val="0"/>
          <w:marBottom w:val="0"/>
          <w:divBdr>
            <w:top w:val="none" w:sz="0" w:space="0" w:color="auto"/>
            <w:left w:val="none" w:sz="0" w:space="0" w:color="auto"/>
            <w:bottom w:val="none" w:sz="0" w:space="0" w:color="auto"/>
            <w:right w:val="none" w:sz="0" w:space="0" w:color="auto"/>
          </w:divBdr>
        </w:div>
      </w:divsChild>
    </w:div>
    <w:div w:id="1287271043">
      <w:marLeft w:val="0"/>
      <w:marRight w:val="0"/>
      <w:marTop w:val="120"/>
      <w:marBottom w:val="0"/>
      <w:divBdr>
        <w:top w:val="none" w:sz="0" w:space="0" w:color="auto"/>
        <w:left w:val="none" w:sz="0" w:space="0" w:color="auto"/>
        <w:bottom w:val="none" w:sz="0" w:space="0" w:color="auto"/>
        <w:right w:val="none" w:sz="0" w:space="0" w:color="auto"/>
      </w:divBdr>
    </w:div>
    <w:div w:id="1297835695">
      <w:marLeft w:val="0"/>
      <w:marRight w:val="0"/>
      <w:marTop w:val="120"/>
      <w:marBottom w:val="0"/>
      <w:divBdr>
        <w:top w:val="none" w:sz="0" w:space="0" w:color="auto"/>
        <w:left w:val="none" w:sz="0" w:space="0" w:color="auto"/>
        <w:bottom w:val="none" w:sz="0" w:space="0" w:color="auto"/>
        <w:right w:val="none" w:sz="0" w:space="0" w:color="auto"/>
      </w:divBdr>
    </w:div>
    <w:div w:id="1298027159">
      <w:marLeft w:val="0"/>
      <w:marRight w:val="0"/>
      <w:marTop w:val="120"/>
      <w:marBottom w:val="0"/>
      <w:divBdr>
        <w:top w:val="none" w:sz="0" w:space="0" w:color="auto"/>
        <w:left w:val="none" w:sz="0" w:space="0" w:color="auto"/>
        <w:bottom w:val="none" w:sz="0" w:space="0" w:color="auto"/>
        <w:right w:val="none" w:sz="0" w:space="0" w:color="auto"/>
      </w:divBdr>
    </w:div>
    <w:div w:id="1299920582">
      <w:marLeft w:val="0"/>
      <w:marRight w:val="0"/>
      <w:marTop w:val="60"/>
      <w:marBottom w:val="0"/>
      <w:divBdr>
        <w:top w:val="none" w:sz="0" w:space="0" w:color="auto"/>
        <w:left w:val="none" w:sz="0" w:space="0" w:color="auto"/>
        <w:bottom w:val="none" w:sz="0" w:space="0" w:color="auto"/>
        <w:right w:val="none" w:sz="0" w:space="0" w:color="auto"/>
      </w:divBdr>
    </w:div>
    <w:div w:id="1303197561">
      <w:marLeft w:val="0"/>
      <w:marRight w:val="0"/>
      <w:marTop w:val="120"/>
      <w:marBottom w:val="0"/>
      <w:divBdr>
        <w:top w:val="none" w:sz="0" w:space="0" w:color="auto"/>
        <w:left w:val="none" w:sz="0" w:space="0" w:color="auto"/>
        <w:bottom w:val="none" w:sz="0" w:space="0" w:color="auto"/>
        <w:right w:val="none" w:sz="0" w:space="0" w:color="auto"/>
      </w:divBdr>
    </w:div>
    <w:div w:id="1306736102">
      <w:marLeft w:val="0"/>
      <w:marRight w:val="0"/>
      <w:marTop w:val="120"/>
      <w:marBottom w:val="120"/>
      <w:divBdr>
        <w:top w:val="none" w:sz="0" w:space="0" w:color="auto"/>
        <w:left w:val="none" w:sz="0" w:space="0" w:color="auto"/>
        <w:bottom w:val="none" w:sz="0" w:space="0" w:color="auto"/>
        <w:right w:val="none" w:sz="0" w:space="0" w:color="auto"/>
      </w:divBdr>
    </w:div>
    <w:div w:id="1308513887">
      <w:marLeft w:val="0"/>
      <w:marRight w:val="0"/>
      <w:marTop w:val="120"/>
      <w:marBottom w:val="0"/>
      <w:divBdr>
        <w:top w:val="none" w:sz="0" w:space="0" w:color="auto"/>
        <w:left w:val="none" w:sz="0" w:space="0" w:color="auto"/>
        <w:bottom w:val="none" w:sz="0" w:space="0" w:color="auto"/>
        <w:right w:val="none" w:sz="0" w:space="0" w:color="auto"/>
      </w:divBdr>
    </w:div>
    <w:div w:id="1310667636">
      <w:marLeft w:val="0"/>
      <w:marRight w:val="0"/>
      <w:marTop w:val="60"/>
      <w:marBottom w:val="0"/>
      <w:divBdr>
        <w:top w:val="none" w:sz="0" w:space="0" w:color="auto"/>
        <w:left w:val="none" w:sz="0" w:space="0" w:color="auto"/>
        <w:bottom w:val="none" w:sz="0" w:space="0" w:color="auto"/>
        <w:right w:val="none" w:sz="0" w:space="0" w:color="auto"/>
      </w:divBdr>
    </w:div>
    <w:div w:id="1319460205">
      <w:marLeft w:val="0"/>
      <w:marRight w:val="0"/>
      <w:marTop w:val="120"/>
      <w:marBottom w:val="0"/>
      <w:divBdr>
        <w:top w:val="none" w:sz="0" w:space="0" w:color="auto"/>
        <w:left w:val="none" w:sz="0" w:space="0" w:color="auto"/>
        <w:bottom w:val="none" w:sz="0" w:space="0" w:color="auto"/>
        <w:right w:val="none" w:sz="0" w:space="0" w:color="auto"/>
      </w:divBdr>
    </w:div>
    <w:div w:id="1320422907">
      <w:marLeft w:val="0"/>
      <w:marRight w:val="0"/>
      <w:marTop w:val="120"/>
      <w:marBottom w:val="0"/>
      <w:divBdr>
        <w:top w:val="none" w:sz="0" w:space="0" w:color="auto"/>
        <w:left w:val="none" w:sz="0" w:space="0" w:color="auto"/>
        <w:bottom w:val="none" w:sz="0" w:space="0" w:color="auto"/>
        <w:right w:val="none" w:sz="0" w:space="0" w:color="auto"/>
      </w:divBdr>
    </w:div>
    <w:div w:id="1325400402">
      <w:marLeft w:val="0"/>
      <w:marRight w:val="0"/>
      <w:marTop w:val="120"/>
      <w:marBottom w:val="0"/>
      <w:divBdr>
        <w:top w:val="none" w:sz="0" w:space="0" w:color="auto"/>
        <w:left w:val="none" w:sz="0" w:space="0" w:color="auto"/>
        <w:bottom w:val="none" w:sz="0" w:space="0" w:color="auto"/>
        <w:right w:val="none" w:sz="0" w:space="0" w:color="auto"/>
      </w:divBdr>
    </w:div>
    <w:div w:id="1325474311">
      <w:marLeft w:val="0"/>
      <w:marRight w:val="0"/>
      <w:marTop w:val="120"/>
      <w:marBottom w:val="120"/>
      <w:divBdr>
        <w:top w:val="none" w:sz="0" w:space="0" w:color="auto"/>
        <w:left w:val="none" w:sz="0" w:space="0" w:color="auto"/>
        <w:bottom w:val="none" w:sz="0" w:space="0" w:color="auto"/>
        <w:right w:val="none" w:sz="0" w:space="0" w:color="auto"/>
      </w:divBdr>
    </w:div>
    <w:div w:id="1329361150">
      <w:marLeft w:val="0"/>
      <w:marRight w:val="0"/>
      <w:marTop w:val="120"/>
      <w:marBottom w:val="0"/>
      <w:divBdr>
        <w:top w:val="none" w:sz="0" w:space="0" w:color="auto"/>
        <w:left w:val="none" w:sz="0" w:space="0" w:color="auto"/>
        <w:bottom w:val="none" w:sz="0" w:space="0" w:color="auto"/>
        <w:right w:val="none" w:sz="0" w:space="0" w:color="auto"/>
      </w:divBdr>
    </w:div>
    <w:div w:id="1330253913">
      <w:marLeft w:val="0"/>
      <w:marRight w:val="0"/>
      <w:marTop w:val="240"/>
      <w:marBottom w:val="120"/>
      <w:divBdr>
        <w:top w:val="none" w:sz="0" w:space="0" w:color="auto"/>
        <w:left w:val="none" w:sz="0" w:space="0" w:color="auto"/>
        <w:bottom w:val="none" w:sz="0" w:space="0" w:color="auto"/>
        <w:right w:val="none" w:sz="0" w:space="0" w:color="auto"/>
      </w:divBdr>
    </w:div>
    <w:div w:id="1331524487">
      <w:marLeft w:val="0"/>
      <w:marRight w:val="0"/>
      <w:marTop w:val="120"/>
      <w:marBottom w:val="0"/>
      <w:divBdr>
        <w:top w:val="none" w:sz="0" w:space="0" w:color="auto"/>
        <w:left w:val="none" w:sz="0" w:space="0" w:color="auto"/>
        <w:bottom w:val="none" w:sz="0" w:space="0" w:color="auto"/>
        <w:right w:val="none" w:sz="0" w:space="0" w:color="auto"/>
      </w:divBdr>
    </w:div>
    <w:div w:id="1333534715">
      <w:marLeft w:val="0"/>
      <w:marRight w:val="0"/>
      <w:marTop w:val="120"/>
      <w:marBottom w:val="120"/>
      <w:divBdr>
        <w:top w:val="none" w:sz="0" w:space="0" w:color="auto"/>
        <w:left w:val="none" w:sz="0" w:space="0" w:color="auto"/>
        <w:bottom w:val="none" w:sz="0" w:space="0" w:color="auto"/>
        <w:right w:val="none" w:sz="0" w:space="0" w:color="auto"/>
      </w:divBdr>
    </w:div>
    <w:div w:id="1336298307">
      <w:marLeft w:val="0"/>
      <w:marRight w:val="0"/>
      <w:marTop w:val="120"/>
      <w:marBottom w:val="0"/>
      <w:divBdr>
        <w:top w:val="none" w:sz="0" w:space="0" w:color="auto"/>
        <w:left w:val="none" w:sz="0" w:space="0" w:color="auto"/>
        <w:bottom w:val="none" w:sz="0" w:space="0" w:color="auto"/>
        <w:right w:val="none" w:sz="0" w:space="0" w:color="auto"/>
      </w:divBdr>
    </w:div>
    <w:div w:id="1336346566">
      <w:marLeft w:val="0"/>
      <w:marRight w:val="0"/>
      <w:marTop w:val="0"/>
      <w:marBottom w:val="0"/>
      <w:divBdr>
        <w:top w:val="none" w:sz="0" w:space="0" w:color="auto"/>
        <w:left w:val="none" w:sz="0" w:space="0" w:color="auto"/>
        <w:bottom w:val="none" w:sz="0" w:space="0" w:color="auto"/>
        <w:right w:val="none" w:sz="0" w:space="0" w:color="auto"/>
      </w:divBdr>
      <w:divsChild>
        <w:div w:id="1267150723">
          <w:marLeft w:val="0"/>
          <w:marRight w:val="0"/>
          <w:marTop w:val="0"/>
          <w:marBottom w:val="0"/>
          <w:divBdr>
            <w:top w:val="none" w:sz="0" w:space="0" w:color="auto"/>
            <w:left w:val="none" w:sz="0" w:space="0" w:color="auto"/>
            <w:bottom w:val="none" w:sz="0" w:space="0" w:color="auto"/>
            <w:right w:val="none" w:sz="0" w:space="0" w:color="auto"/>
          </w:divBdr>
        </w:div>
      </w:divsChild>
    </w:div>
    <w:div w:id="1343362605">
      <w:marLeft w:val="0"/>
      <w:marRight w:val="0"/>
      <w:marTop w:val="120"/>
      <w:marBottom w:val="0"/>
      <w:divBdr>
        <w:top w:val="none" w:sz="0" w:space="0" w:color="auto"/>
        <w:left w:val="none" w:sz="0" w:space="0" w:color="auto"/>
        <w:bottom w:val="none" w:sz="0" w:space="0" w:color="auto"/>
        <w:right w:val="none" w:sz="0" w:space="0" w:color="auto"/>
      </w:divBdr>
    </w:div>
    <w:div w:id="1344168914">
      <w:marLeft w:val="0"/>
      <w:marRight w:val="0"/>
      <w:marTop w:val="120"/>
      <w:marBottom w:val="0"/>
      <w:divBdr>
        <w:top w:val="none" w:sz="0" w:space="0" w:color="auto"/>
        <w:left w:val="none" w:sz="0" w:space="0" w:color="auto"/>
        <w:bottom w:val="none" w:sz="0" w:space="0" w:color="auto"/>
        <w:right w:val="none" w:sz="0" w:space="0" w:color="auto"/>
      </w:divBdr>
    </w:div>
    <w:div w:id="1345740643">
      <w:marLeft w:val="0"/>
      <w:marRight w:val="0"/>
      <w:marTop w:val="0"/>
      <w:marBottom w:val="0"/>
      <w:divBdr>
        <w:top w:val="none" w:sz="0" w:space="0" w:color="auto"/>
        <w:left w:val="none" w:sz="0" w:space="0" w:color="auto"/>
        <w:bottom w:val="none" w:sz="0" w:space="0" w:color="auto"/>
        <w:right w:val="none" w:sz="0" w:space="0" w:color="auto"/>
      </w:divBdr>
    </w:div>
    <w:div w:id="1350567575">
      <w:marLeft w:val="0"/>
      <w:marRight w:val="0"/>
      <w:marTop w:val="120"/>
      <w:marBottom w:val="120"/>
      <w:divBdr>
        <w:top w:val="none" w:sz="0" w:space="0" w:color="auto"/>
        <w:left w:val="none" w:sz="0" w:space="0" w:color="auto"/>
        <w:bottom w:val="none" w:sz="0" w:space="0" w:color="auto"/>
        <w:right w:val="none" w:sz="0" w:space="0" w:color="auto"/>
      </w:divBdr>
    </w:div>
    <w:div w:id="1350986338">
      <w:marLeft w:val="0"/>
      <w:marRight w:val="0"/>
      <w:marTop w:val="120"/>
      <w:marBottom w:val="0"/>
      <w:divBdr>
        <w:top w:val="none" w:sz="0" w:space="0" w:color="auto"/>
        <w:left w:val="none" w:sz="0" w:space="0" w:color="auto"/>
        <w:bottom w:val="none" w:sz="0" w:space="0" w:color="auto"/>
        <w:right w:val="none" w:sz="0" w:space="0" w:color="auto"/>
      </w:divBdr>
    </w:div>
    <w:div w:id="1357538091">
      <w:marLeft w:val="0"/>
      <w:marRight w:val="0"/>
      <w:marTop w:val="0"/>
      <w:marBottom w:val="0"/>
      <w:divBdr>
        <w:top w:val="none" w:sz="0" w:space="0" w:color="auto"/>
        <w:left w:val="none" w:sz="0" w:space="0" w:color="auto"/>
        <w:bottom w:val="none" w:sz="0" w:space="0" w:color="auto"/>
        <w:right w:val="none" w:sz="0" w:space="0" w:color="auto"/>
      </w:divBdr>
      <w:divsChild>
        <w:div w:id="521240330">
          <w:marLeft w:val="0"/>
          <w:marRight w:val="0"/>
          <w:marTop w:val="0"/>
          <w:marBottom w:val="0"/>
          <w:divBdr>
            <w:top w:val="none" w:sz="0" w:space="0" w:color="auto"/>
            <w:left w:val="none" w:sz="0" w:space="0" w:color="auto"/>
            <w:bottom w:val="none" w:sz="0" w:space="0" w:color="auto"/>
            <w:right w:val="none" w:sz="0" w:space="0" w:color="auto"/>
          </w:divBdr>
        </w:div>
      </w:divsChild>
    </w:div>
    <w:div w:id="1358116676">
      <w:marLeft w:val="0"/>
      <w:marRight w:val="0"/>
      <w:marTop w:val="120"/>
      <w:marBottom w:val="120"/>
      <w:divBdr>
        <w:top w:val="none" w:sz="0" w:space="0" w:color="auto"/>
        <w:left w:val="none" w:sz="0" w:space="0" w:color="auto"/>
        <w:bottom w:val="none" w:sz="0" w:space="0" w:color="auto"/>
        <w:right w:val="none" w:sz="0" w:space="0" w:color="auto"/>
      </w:divBdr>
    </w:div>
    <w:div w:id="1367753465">
      <w:marLeft w:val="0"/>
      <w:marRight w:val="0"/>
      <w:marTop w:val="120"/>
      <w:marBottom w:val="0"/>
      <w:divBdr>
        <w:top w:val="none" w:sz="0" w:space="0" w:color="auto"/>
        <w:left w:val="none" w:sz="0" w:space="0" w:color="auto"/>
        <w:bottom w:val="none" w:sz="0" w:space="0" w:color="auto"/>
        <w:right w:val="none" w:sz="0" w:space="0" w:color="auto"/>
      </w:divBdr>
    </w:div>
    <w:div w:id="1368289822">
      <w:marLeft w:val="0"/>
      <w:marRight w:val="0"/>
      <w:marTop w:val="120"/>
      <w:marBottom w:val="0"/>
      <w:divBdr>
        <w:top w:val="none" w:sz="0" w:space="0" w:color="auto"/>
        <w:left w:val="none" w:sz="0" w:space="0" w:color="auto"/>
        <w:bottom w:val="none" w:sz="0" w:space="0" w:color="auto"/>
        <w:right w:val="none" w:sz="0" w:space="0" w:color="auto"/>
      </w:divBdr>
    </w:div>
    <w:div w:id="1373724754">
      <w:marLeft w:val="0"/>
      <w:marRight w:val="0"/>
      <w:marTop w:val="180"/>
      <w:marBottom w:val="0"/>
      <w:divBdr>
        <w:top w:val="none" w:sz="0" w:space="0" w:color="auto"/>
        <w:left w:val="none" w:sz="0" w:space="0" w:color="auto"/>
        <w:bottom w:val="none" w:sz="0" w:space="0" w:color="auto"/>
        <w:right w:val="none" w:sz="0" w:space="0" w:color="auto"/>
      </w:divBdr>
    </w:div>
    <w:div w:id="1373768566">
      <w:marLeft w:val="0"/>
      <w:marRight w:val="0"/>
      <w:marTop w:val="120"/>
      <w:marBottom w:val="0"/>
      <w:divBdr>
        <w:top w:val="none" w:sz="0" w:space="0" w:color="auto"/>
        <w:left w:val="none" w:sz="0" w:space="0" w:color="auto"/>
        <w:bottom w:val="none" w:sz="0" w:space="0" w:color="auto"/>
        <w:right w:val="none" w:sz="0" w:space="0" w:color="auto"/>
      </w:divBdr>
    </w:div>
    <w:div w:id="1387535702">
      <w:marLeft w:val="0"/>
      <w:marRight w:val="0"/>
      <w:marTop w:val="120"/>
      <w:marBottom w:val="0"/>
      <w:divBdr>
        <w:top w:val="none" w:sz="0" w:space="0" w:color="auto"/>
        <w:left w:val="none" w:sz="0" w:space="0" w:color="auto"/>
        <w:bottom w:val="none" w:sz="0" w:space="0" w:color="auto"/>
        <w:right w:val="none" w:sz="0" w:space="0" w:color="auto"/>
      </w:divBdr>
    </w:div>
    <w:div w:id="1393196703">
      <w:marLeft w:val="0"/>
      <w:marRight w:val="0"/>
      <w:marTop w:val="120"/>
      <w:marBottom w:val="0"/>
      <w:divBdr>
        <w:top w:val="none" w:sz="0" w:space="0" w:color="auto"/>
        <w:left w:val="none" w:sz="0" w:space="0" w:color="auto"/>
        <w:bottom w:val="none" w:sz="0" w:space="0" w:color="auto"/>
        <w:right w:val="none" w:sz="0" w:space="0" w:color="auto"/>
      </w:divBdr>
    </w:div>
    <w:div w:id="1393390480">
      <w:marLeft w:val="0"/>
      <w:marRight w:val="0"/>
      <w:marTop w:val="0"/>
      <w:marBottom w:val="0"/>
      <w:divBdr>
        <w:top w:val="none" w:sz="0" w:space="0" w:color="auto"/>
        <w:left w:val="none" w:sz="0" w:space="0" w:color="auto"/>
        <w:bottom w:val="none" w:sz="0" w:space="0" w:color="auto"/>
        <w:right w:val="none" w:sz="0" w:space="0" w:color="auto"/>
      </w:divBdr>
      <w:divsChild>
        <w:div w:id="1642881096">
          <w:marLeft w:val="0"/>
          <w:marRight w:val="0"/>
          <w:marTop w:val="0"/>
          <w:marBottom w:val="0"/>
          <w:divBdr>
            <w:top w:val="none" w:sz="0" w:space="0" w:color="auto"/>
            <w:left w:val="none" w:sz="0" w:space="0" w:color="auto"/>
            <w:bottom w:val="none" w:sz="0" w:space="0" w:color="auto"/>
            <w:right w:val="none" w:sz="0" w:space="0" w:color="auto"/>
          </w:divBdr>
        </w:div>
      </w:divsChild>
    </w:div>
    <w:div w:id="1396776710">
      <w:marLeft w:val="0"/>
      <w:marRight w:val="0"/>
      <w:marTop w:val="0"/>
      <w:marBottom w:val="120"/>
      <w:divBdr>
        <w:top w:val="none" w:sz="0" w:space="0" w:color="auto"/>
        <w:left w:val="none" w:sz="0" w:space="0" w:color="auto"/>
        <w:bottom w:val="none" w:sz="0" w:space="0" w:color="auto"/>
        <w:right w:val="none" w:sz="0" w:space="0" w:color="auto"/>
      </w:divBdr>
    </w:div>
    <w:div w:id="1399861193">
      <w:marLeft w:val="0"/>
      <w:marRight w:val="0"/>
      <w:marTop w:val="0"/>
      <w:marBottom w:val="0"/>
      <w:divBdr>
        <w:top w:val="none" w:sz="0" w:space="0" w:color="auto"/>
        <w:left w:val="none" w:sz="0" w:space="0" w:color="auto"/>
        <w:bottom w:val="none" w:sz="0" w:space="0" w:color="auto"/>
        <w:right w:val="none" w:sz="0" w:space="0" w:color="auto"/>
      </w:divBdr>
      <w:divsChild>
        <w:div w:id="74210259">
          <w:marLeft w:val="0"/>
          <w:marRight w:val="0"/>
          <w:marTop w:val="0"/>
          <w:marBottom w:val="0"/>
          <w:divBdr>
            <w:top w:val="none" w:sz="0" w:space="0" w:color="auto"/>
            <w:left w:val="none" w:sz="0" w:space="0" w:color="auto"/>
            <w:bottom w:val="none" w:sz="0" w:space="0" w:color="auto"/>
            <w:right w:val="none" w:sz="0" w:space="0" w:color="auto"/>
          </w:divBdr>
        </w:div>
      </w:divsChild>
    </w:div>
    <w:div w:id="1402021577">
      <w:marLeft w:val="0"/>
      <w:marRight w:val="0"/>
      <w:marTop w:val="120"/>
      <w:marBottom w:val="0"/>
      <w:divBdr>
        <w:top w:val="none" w:sz="0" w:space="0" w:color="auto"/>
        <w:left w:val="none" w:sz="0" w:space="0" w:color="auto"/>
        <w:bottom w:val="none" w:sz="0" w:space="0" w:color="auto"/>
        <w:right w:val="none" w:sz="0" w:space="0" w:color="auto"/>
      </w:divBdr>
    </w:div>
    <w:div w:id="1409812624">
      <w:marLeft w:val="0"/>
      <w:marRight w:val="0"/>
      <w:marTop w:val="0"/>
      <w:marBottom w:val="0"/>
      <w:divBdr>
        <w:top w:val="none" w:sz="0" w:space="0" w:color="auto"/>
        <w:left w:val="none" w:sz="0" w:space="0" w:color="auto"/>
        <w:bottom w:val="none" w:sz="0" w:space="0" w:color="auto"/>
        <w:right w:val="none" w:sz="0" w:space="0" w:color="auto"/>
      </w:divBdr>
      <w:divsChild>
        <w:div w:id="1171801162">
          <w:marLeft w:val="0"/>
          <w:marRight w:val="0"/>
          <w:marTop w:val="0"/>
          <w:marBottom w:val="0"/>
          <w:divBdr>
            <w:top w:val="none" w:sz="0" w:space="0" w:color="auto"/>
            <w:left w:val="none" w:sz="0" w:space="0" w:color="auto"/>
            <w:bottom w:val="none" w:sz="0" w:space="0" w:color="auto"/>
            <w:right w:val="none" w:sz="0" w:space="0" w:color="auto"/>
          </w:divBdr>
        </w:div>
      </w:divsChild>
    </w:div>
    <w:div w:id="1423725542">
      <w:marLeft w:val="0"/>
      <w:marRight w:val="0"/>
      <w:marTop w:val="120"/>
      <w:marBottom w:val="0"/>
      <w:divBdr>
        <w:top w:val="none" w:sz="0" w:space="0" w:color="auto"/>
        <w:left w:val="none" w:sz="0" w:space="0" w:color="auto"/>
        <w:bottom w:val="none" w:sz="0" w:space="0" w:color="auto"/>
        <w:right w:val="none" w:sz="0" w:space="0" w:color="auto"/>
      </w:divBdr>
    </w:div>
    <w:div w:id="1426265080">
      <w:marLeft w:val="0"/>
      <w:marRight w:val="0"/>
      <w:marTop w:val="120"/>
      <w:marBottom w:val="0"/>
      <w:divBdr>
        <w:top w:val="none" w:sz="0" w:space="0" w:color="auto"/>
        <w:left w:val="none" w:sz="0" w:space="0" w:color="auto"/>
        <w:bottom w:val="none" w:sz="0" w:space="0" w:color="auto"/>
        <w:right w:val="none" w:sz="0" w:space="0" w:color="auto"/>
      </w:divBdr>
    </w:div>
    <w:div w:id="1426420746">
      <w:marLeft w:val="0"/>
      <w:marRight w:val="0"/>
      <w:marTop w:val="120"/>
      <w:marBottom w:val="0"/>
      <w:divBdr>
        <w:top w:val="none" w:sz="0" w:space="0" w:color="auto"/>
        <w:left w:val="none" w:sz="0" w:space="0" w:color="auto"/>
        <w:bottom w:val="none" w:sz="0" w:space="0" w:color="auto"/>
        <w:right w:val="none" w:sz="0" w:space="0" w:color="auto"/>
      </w:divBdr>
    </w:div>
    <w:div w:id="1430807206">
      <w:marLeft w:val="0"/>
      <w:marRight w:val="0"/>
      <w:marTop w:val="0"/>
      <w:marBottom w:val="0"/>
      <w:divBdr>
        <w:top w:val="none" w:sz="0" w:space="0" w:color="auto"/>
        <w:left w:val="none" w:sz="0" w:space="0" w:color="auto"/>
        <w:bottom w:val="none" w:sz="0" w:space="0" w:color="auto"/>
        <w:right w:val="none" w:sz="0" w:space="0" w:color="auto"/>
      </w:divBdr>
    </w:div>
    <w:div w:id="1446001192">
      <w:marLeft w:val="0"/>
      <w:marRight w:val="0"/>
      <w:marTop w:val="120"/>
      <w:marBottom w:val="0"/>
      <w:divBdr>
        <w:top w:val="none" w:sz="0" w:space="0" w:color="auto"/>
        <w:left w:val="none" w:sz="0" w:space="0" w:color="auto"/>
        <w:bottom w:val="none" w:sz="0" w:space="0" w:color="auto"/>
        <w:right w:val="none" w:sz="0" w:space="0" w:color="auto"/>
      </w:divBdr>
    </w:div>
    <w:div w:id="1463616351">
      <w:marLeft w:val="0"/>
      <w:marRight w:val="0"/>
      <w:marTop w:val="120"/>
      <w:marBottom w:val="0"/>
      <w:divBdr>
        <w:top w:val="none" w:sz="0" w:space="0" w:color="auto"/>
        <w:left w:val="none" w:sz="0" w:space="0" w:color="auto"/>
        <w:bottom w:val="none" w:sz="0" w:space="0" w:color="auto"/>
        <w:right w:val="none" w:sz="0" w:space="0" w:color="auto"/>
      </w:divBdr>
    </w:div>
    <w:div w:id="1465075322">
      <w:marLeft w:val="0"/>
      <w:marRight w:val="0"/>
      <w:marTop w:val="0"/>
      <w:marBottom w:val="0"/>
      <w:divBdr>
        <w:top w:val="none" w:sz="0" w:space="0" w:color="auto"/>
        <w:left w:val="none" w:sz="0" w:space="0" w:color="auto"/>
        <w:bottom w:val="none" w:sz="0" w:space="0" w:color="auto"/>
        <w:right w:val="none" w:sz="0" w:space="0" w:color="auto"/>
      </w:divBdr>
    </w:div>
    <w:div w:id="1468890759">
      <w:marLeft w:val="0"/>
      <w:marRight w:val="0"/>
      <w:marTop w:val="120"/>
      <w:marBottom w:val="120"/>
      <w:divBdr>
        <w:top w:val="none" w:sz="0" w:space="0" w:color="auto"/>
        <w:left w:val="none" w:sz="0" w:space="0" w:color="auto"/>
        <w:bottom w:val="none" w:sz="0" w:space="0" w:color="auto"/>
        <w:right w:val="none" w:sz="0" w:space="0" w:color="auto"/>
      </w:divBdr>
    </w:div>
    <w:div w:id="1469469181">
      <w:marLeft w:val="0"/>
      <w:marRight w:val="0"/>
      <w:marTop w:val="120"/>
      <w:marBottom w:val="0"/>
      <w:divBdr>
        <w:top w:val="none" w:sz="0" w:space="0" w:color="auto"/>
        <w:left w:val="none" w:sz="0" w:space="0" w:color="auto"/>
        <w:bottom w:val="none" w:sz="0" w:space="0" w:color="auto"/>
        <w:right w:val="none" w:sz="0" w:space="0" w:color="auto"/>
      </w:divBdr>
    </w:div>
    <w:div w:id="1475751684">
      <w:marLeft w:val="0"/>
      <w:marRight w:val="0"/>
      <w:marTop w:val="0"/>
      <w:marBottom w:val="0"/>
      <w:divBdr>
        <w:top w:val="none" w:sz="0" w:space="0" w:color="auto"/>
        <w:left w:val="none" w:sz="0" w:space="0" w:color="auto"/>
        <w:bottom w:val="none" w:sz="0" w:space="0" w:color="auto"/>
        <w:right w:val="none" w:sz="0" w:space="0" w:color="auto"/>
      </w:divBdr>
      <w:divsChild>
        <w:div w:id="663167551">
          <w:marLeft w:val="0"/>
          <w:marRight w:val="0"/>
          <w:marTop w:val="0"/>
          <w:marBottom w:val="0"/>
          <w:divBdr>
            <w:top w:val="none" w:sz="0" w:space="0" w:color="auto"/>
            <w:left w:val="none" w:sz="0" w:space="0" w:color="auto"/>
            <w:bottom w:val="none" w:sz="0" w:space="0" w:color="auto"/>
            <w:right w:val="none" w:sz="0" w:space="0" w:color="auto"/>
          </w:divBdr>
        </w:div>
      </w:divsChild>
    </w:div>
    <w:div w:id="1485200519">
      <w:marLeft w:val="0"/>
      <w:marRight w:val="0"/>
      <w:marTop w:val="120"/>
      <w:marBottom w:val="0"/>
      <w:divBdr>
        <w:top w:val="none" w:sz="0" w:space="0" w:color="auto"/>
        <w:left w:val="none" w:sz="0" w:space="0" w:color="auto"/>
        <w:bottom w:val="none" w:sz="0" w:space="0" w:color="auto"/>
        <w:right w:val="none" w:sz="0" w:space="0" w:color="auto"/>
      </w:divBdr>
    </w:div>
    <w:div w:id="1491483328">
      <w:marLeft w:val="0"/>
      <w:marRight w:val="0"/>
      <w:marTop w:val="120"/>
      <w:marBottom w:val="0"/>
      <w:divBdr>
        <w:top w:val="none" w:sz="0" w:space="0" w:color="auto"/>
        <w:left w:val="none" w:sz="0" w:space="0" w:color="auto"/>
        <w:bottom w:val="none" w:sz="0" w:space="0" w:color="auto"/>
        <w:right w:val="none" w:sz="0" w:space="0" w:color="auto"/>
      </w:divBdr>
    </w:div>
    <w:div w:id="1497065619">
      <w:marLeft w:val="0"/>
      <w:marRight w:val="0"/>
      <w:marTop w:val="120"/>
      <w:marBottom w:val="0"/>
      <w:divBdr>
        <w:top w:val="none" w:sz="0" w:space="0" w:color="auto"/>
        <w:left w:val="none" w:sz="0" w:space="0" w:color="auto"/>
        <w:bottom w:val="none" w:sz="0" w:space="0" w:color="auto"/>
        <w:right w:val="none" w:sz="0" w:space="0" w:color="auto"/>
      </w:divBdr>
    </w:div>
    <w:div w:id="1498763790">
      <w:marLeft w:val="0"/>
      <w:marRight w:val="0"/>
      <w:marTop w:val="0"/>
      <w:marBottom w:val="0"/>
      <w:divBdr>
        <w:top w:val="none" w:sz="0" w:space="0" w:color="auto"/>
        <w:left w:val="none" w:sz="0" w:space="0" w:color="auto"/>
        <w:bottom w:val="none" w:sz="0" w:space="0" w:color="auto"/>
        <w:right w:val="none" w:sz="0" w:space="0" w:color="auto"/>
      </w:divBdr>
    </w:div>
    <w:div w:id="1500653958">
      <w:marLeft w:val="0"/>
      <w:marRight w:val="0"/>
      <w:marTop w:val="0"/>
      <w:marBottom w:val="0"/>
      <w:divBdr>
        <w:top w:val="none" w:sz="0" w:space="0" w:color="auto"/>
        <w:left w:val="none" w:sz="0" w:space="0" w:color="auto"/>
        <w:bottom w:val="none" w:sz="0" w:space="0" w:color="auto"/>
        <w:right w:val="none" w:sz="0" w:space="0" w:color="auto"/>
      </w:divBdr>
    </w:div>
    <w:div w:id="1500730895">
      <w:marLeft w:val="0"/>
      <w:marRight w:val="0"/>
      <w:marTop w:val="120"/>
      <w:marBottom w:val="0"/>
      <w:divBdr>
        <w:top w:val="none" w:sz="0" w:space="0" w:color="auto"/>
        <w:left w:val="none" w:sz="0" w:space="0" w:color="auto"/>
        <w:bottom w:val="none" w:sz="0" w:space="0" w:color="auto"/>
        <w:right w:val="none" w:sz="0" w:space="0" w:color="auto"/>
      </w:divBdr>
    </w:div>
    <w:div w:id="1500847711">
      <w:marLeft w:val="0"/>
      <w:marRight w:val="0"/>
      <w:marTop w:val="120"/>
      <w:marBottom w:val="0"/>
      <w:divBdr>
        <w:top w:val="none" w:sz="0" w:space="0" w:color="auto"/>
        <w:left w:val="none" w:sz="0" w:space="0" w:color="auto"/>
        <w:bottom w:val="none" w:sz="0" w:space="0" w:color="auto"/>
        <w:right w:val="none" w:sz="0" w:space="0" w:color="auto"/>
      </w:divBdr>
    </w:div>
    <w:div w:id="1507134035">
      <w:marLeft w:val="0"/>
      <w:marRight w:val="0"/>
      <w:marTop w:val="120"/>
      <w:marBottom w:val="0"/>
      <w:divBdr>
        <w:top w:val="none" w:sz="0" w:space="0" w:color="auto"/>
        <w:left w:val="none" w:sz="0" w:space="0" w:color="auto"/>
        <w:bottom w:val="none" w:sz="0" w:space="0" w:color="auto"/>
        <w:right w:val="none" w:sz="0" w:space="0" w:color="auto"/>
      </w:divBdr>
    </w:div>
    <w:div w:id="1508059354">
      <w:marLeft w:val="0"/>
      <w:marRight w:val="0"/>
      <w:marTop w:val="0"/>
      <w:marBottom w:val="120"/>
      <w:divBdr>
        <w:top w:val="none" w:sz="0" w:space="0" w:color="auto"/>
        <w:left w:val="none" w:sz="0" w:space="0" w:color="auto"/>
        <w:bottom w:val="none" w:sz="0" w:space="0" w:color="auto"/>
        <w:right w:val="none" w:sz="0" w:space="0" w:color="auto"/>
      </w:divBdr>
      <w:divsChild>
        <w:div w:id="1076245004">
          <w:marLeft w:val="0"/>
          <w:marRight w:val="0"/>
          <w:marTop w:val="120"/>
          <w:marBottom w:val="0"/>
          <w:divBdr>
            <w:top w:val="none" w:sz="0" w:space="0" w:color="auto"/>
            <w:left w:val="none" w:sz="0" w:space="0" w:color="auto"/>
            <w:bottom w:val="none" w:sz="0" w:space="0" w:color="auto"/>
            <w:right w:val="none" w:sz="0" w:space="0" w:color="auto"/>
          </w:divBdr>
        </w:div>
        <w:div w:id="2132170295">
          <w:marLeft w:val="0"/>
          <w:marRight w:val="0"/>
          <w:marTop w:val="120"/>
          <w:marBottom w:val="0"/>
          <w:divBdr>
            <w:top w:val="none" w:sz="0" w:space="0" w:color="auto"/>
            <w:left w:val="none" w:sz="0" w:space="0" w:color="auto"/>
            <w:bottom w:val="none" w:sz="0" w:space="0" w:color="auto"/>
            <w:right w:val="none" w:sz="0" w:space="0" w:color="auto"/>
          </w:divBdr>
        </w:div>
        <w:div w:id="518202921">
          <w:marLeft w:val="0"/>
          <w:marRight w:val="0"/>
          <w:marTop w:val="120"/>
          <w:marBottom w:val="0"/>
          <w:divBdr>
            <w:top w:val="none" w:sz="0" w:space="0" w:color="auto"/>
            <w:left w:val="none" w:sz="0" w:space="0" w:color="auto"/>
            <w:bottom w:val="none" w:sz="0" w:space="0" w:color="auto"/>
            <w:right w:val="none" w:sz="0" w:space="0" w:color="auto"/>
          </w:divBdr>
        </w:div>
        <w:div w:id="341785210">
          <w:marLeft w:val="0"/>
          <w:marRight w:val="0"/>
          <w:marTop w:val="120"/>
          <w:marBottom w:val="0"/>
          <w:divBdr>
            <w:top w:val="none" w:sz="0" w:space="0" w:color="auto"/>
            <w:left w:val="none" w:sz="0" w:space="0" w:color="auto"/>
            <w:bottom w:val="none" w:sz="0" w:space="0" w:color="auto"/>
            <w:right w:val="none" w:sz="0" w:space="0" w:color="auto"/>
          </w:divBdr>
        </w:div>
        <w:div w:id="1782333375">
          <w:marLeft w:val="0"/>
          <w:marRight w:val="0"/>
          <w:marTop w:val="120"/>
          <w:marBottom w:val="0"/>
          <w:divBdr>
            <w:top w:val="none" w:sz="0" w:space="0" w:color="auto"/>
            <w:left w:val="none" w:sz="0" w:space="0" w:color="auto"/>
            <w:bottom w:val="none" w:sz="0" w:space="0" w:color="auto"/>
            <w:right w:val="none" w:sz="0" w:space="0" w:color="auto"/>
          </w:divBdr>
        </w:div>
      </w:divsChild>
    </w:div>
    <w:div w:id="1508788975">
      <w:marLeft w:val="0"/>
      <w:marRight w:val="0"/>
      <w:marTop w:val="120"/>
      <w:marBottom w:val="0"/>
      <w:divBdr>
        <w:top w:val="none" w:sz="0" w:space="0" w:color="auto"/>
        <w:left w:val="none" w:sz="0" w:space="0" w:color="auto"/>
        <w:bottom w:val="none" w:sz="0" w:space="0" w:color="auto"/>
        <w:right w:val="none" w:sz="0" w:space="0" w:color="auto"/>
      </w:divBdr>
    </w:div>
    <w:div w:id="1511410383">
      <w:marLeft w:val="0"/>
      <w:marRight w:val="0"/>
      <w:marTop w:val="0"/>
      <w:marBottom w:val="0"/>
      <w:divBdr>
        <w:top w:val="none" w:sz="0" w:space="0" w:color="auto"/>
        <w:left w:val="none" w:sz="0" w:space="0" w:color="auto"/>
        <w:bottom w:val="none" w:sz="0" w:space="0" w:color="auto"/>
        <w:right w:val="none" w:sz="0" w:space="0" w:color="auto"/>
      </w:divBdr>
    </w:div>
    <w:div w:id="1515998657">
      <w:marLeft w:val="0"/>
      <w:marRight w:val="0"/>
      <w:marTop w:val="120"/>
      <w:marBottom w:val="0"/>
      <w:divBdr>
        <w:top w:val="none" w:sz="0" w:space="0" w:color="auto"/>
        <w:left w:val="none" w:sz="0" w:space="0" w:color="auto"/>
        <w:bottom w:val="none" w:sz="0" w:space="0" w:color="auto"/>
        <w:right w:val="none" w:sz="0" w:space="0" w:color="auto"/>
      </w:divBdr>
    </w:div>
    <w:div w:id="1518076173">
      <w:marLeft w:val="0"/>
      <w:marRight w:val="0"/>
      <w:marTop w:val="0"/>
      <w:marBottom w:val="0"/>
      <w:divBdr>
        <w:top w:val="none" w:sz="0" w:space="0" w:color="auto"/>
        <w:left w:val="none" w:sz="0" w:space="0" w:color="auto"/>
        <w:bottom w:val="none" w:sz="0" w:space="0" w:color="auto"/>
        <w:right w:val="none" w:sz="0" w:space="0" w:color="auto"/>
      </w:divBdr>
      <w:divsChild>
        <w:div w:id="1269194270">
          <w:marLeft w:val="0"/>
          <w:marRight w:val="0"/>
          <w:marTop w:val="0"/>
          <w:marBottom w:val="0"/>
          <w:divBdr>
            <w:top w:val="none" w:sz="0" w:space="0" w:color="auto"/>
            <w:left w:val="none" w:sz="0" w:space="0" w:color="auto"/>
            <w:bottom w:val="none" w:sz="0" w:space="0" w:color="auto"/>
            <w:right w:val="none" w:sz="0" w:space="0" w:color="auto"/>
          </w:divBdr>
        </w:div>
      </w:divsChild>
    </w:div>
    <w:div w:id="1519655969">
      <w:marLeft w:val="0"/>
      <w:marRight w:val="0"/>
      <w:marTop w:val="0"/>
      <w:marBottom w:val="0"/>
      <w:divBdr>
        <w:top w:val="none" w:sz="0" w:space="0" w:color="auto"/>
        <w:left w:val="none" w:sz="0" w:space="0" w:color="auto"/>
        <w:bottom w:val="none" w:sz="0" w:space="0" w:color="auto"/>
        <w:right w:val="none" w:sz="0" w:space="0" w:color="auto"/>
      </w:divBdr>
    </w:div>
    <w:div w:id="1520046929">
      <w:marLeft w:val="0"/>
      <w:marRight w:val="0"/>
      <w:marTop w:val="0"/>
      <w:marBottom w:val="0"/>
      <w:divBdr>
        <w:top w:val="none" w:sz="0" w:space="0" w:color="auto"/>
        <w:left w:val="none" w:sz="0" w:space="0" w:color="auto"/>
        <w:bottom w:val="none" w:sz="0" w:space="0" w:color="auto"/>
        <w:right w:val="none" w:sz="0" w:space="0" w:color="auto"/>
      </w:divBdr>
    </w:div>
    <w:div w:id="1520654715">
      <w:marLeft w:val="0"/>
      <w:marRight w:val="0"/>
      <w:marTop w:val="120"/>
      <w:marBottom w:val="120"/>
      <w:divBdr>
        <w:top w:val="none" w:sz="0" w:space="0" w:color="auto"/>
        <w:left w:val="none" w:sz="0" w:space="0" w:color="auto"/>
        <w:bottom w:val="none" w:sz="0" w:space="0" w:color="auto"/>
        <w:right w:val="none" w:sz="0" w:space="0" w:color="auto"/>
      </w:divBdr>
    </w:div>
    <w:div w:id="1527522746">
      <w:marLeft w:val="0"/>
      <w:marRight w:val="0"/>
      <w:marTop w:val="120"/>
      <w:marBottom w:val="120"/>
      <w:divBdr>
        <w:top w:val="none" w:sz="0" w:space="0" w:color="auto"/>
        <w:left w:val="none" w:sz="0" w:space="0" w:color="auto"/>
        <w:bottom w:val="none" w:sz="0" w:space="0" w:color="auto"/>
        <w:right w:val="none" w:sz="0" w:space="0" w:color="auto"/>
      </w:divBdr>
    </w:div>
    <w:div w:id="1535000429">
      <w:marLeft w:val="0"/>
      <w:marRight w:val="0"/>
      <w:marTop w:val="120"/>
      <w:marBottom w:val="0"/>
      <w:divBdr>
        <w:top w:val="none" w:sz="0" w:space="0" w:color="auto"/>
        <w:left w:val="none" w:sz="0" w:space="0" w:color="auto"/>
        <w:bottom w:val="none" w:sz="0" w:space="0" w:color="auto"/>
        <w:right w:val="none" w:sz="0" w:space="0" w:color="auto"/>
      </w:divBdr>
    </w:div>
    <w:div w:id="1536888422">
      <w:marLeft w:val="0"/>
      <w:marRight w:val="0"/>
      <w:marTop w:val="240"/>
      <w:marBottom w:val="120"/>
      <w:divBdr>
        <w:top w:val="none" w:sz="0" w:space="0" w:color="auto"/>
        <w:left w:val="none" w:sz="0" w:space="0" w:color="auto"/>
        <w:bottom w:val="none" w:sz="0" w:space="0" w:color="auto"/>
        <w:right w:val="none" w:sz="0" w:space="0" w:color="auto"/>
      </w:divBdr>
    </w:div>
    <w:div w:id="1537503742">
      <w:marLeft w:val="0"/>
      <w:marRight w:val="0"/>
      <w:marTop w:val="0"/>
      <w:marBottom w:val="120"/>
      <w:divBdr>
        <w:top w:val="none" w:sz="0" w:space="0" w:color="auto"/>
        <w:left w:val="none" w:sz="0" w:space="0" w:color="auto"/>
        <w:bottom w:val="none" w:sz="0" w:space="0" w:color="auto"/>
        <w:right w:val="none" w:sz="0" w:space="0" w:color="auto"/>
      </w:divBdr>
      <w:divsChild>
        <w:div w:id="1630554401">
          <w:marLeft w:val="0"/>
          <w:marRight w:val="0"/>
          <w:marTop w:val="0"/>
          <w:marBottom w:val="0"/>
          <w:divBdr>
            <w:top w:val="none" w:sz="0" w:space="0" w:color="auto"/>
            <w:left w:val="none" w:sz="0" w:space="0" w:color="auto"/>
            <w:bottom w:val="none" w:sz="0" w:space="0" w:color="auto"/>
            <w:right w:val="none" w:sz="0" w:space="0" w:color="auto"/>
          </w:divBdr>
        </w:div>
        <w:div w:id="362482419">
          <w:marLeft w:val="0"/>
          <w:marRight w:val="0"/>
          <w:marTop w:val="0"/>
          <w:marBottom w:val="0"/>
          <w:divBdr>
            <w:top w:val="none" w:sz="0" w:space="0" w:color="auto"/>
            <w:left w:val="none" w:sz="0" w:space="0" w:color="auto"/>
            <w:bottom w:val="none" w:sz="0" w:space="0" w:color="auto"/>
            <w:right w:val="none" w:sz="0" w:space="0" w:color="auto"/>
          </w:divBdr>
        </w:div>
        <w:div w:id="323779194">
          <w:marLeft w:val="0"/>
          <w:marRight w:val="0"/>
          <w:marTop w:val="0"/>
          <w:marBottom w:val="0"/>
          <w:divBdr>
            <w:top w:val="none" w:sz="0" w:space="0" w:color="auto"/>
            <w:left w:val="none" w:sz="0" w:space="0" w:color="auto"/>
            <w:bottom w:val="none" w:sz="0" w:space="0" w:color="auto"/>
            <w:right w:val="none" w:sz="0" w:space="0" w:color="auto"/>
          </w:divBdr>
        </w:div>
      </w:divsChild>
    </w:div>
    <w:div w:id="1539976781">
      <w:marLeft w:val="0"/>
      <w:marRight w:val="0"/>
      <w:marTop w:val="240"/>
      <w:marBottom w:val="0"/>
      <w:divBdr>
        <w:top w:val="none" w:sz="0" w:space="0" w:color="auto"/>
        <w:left w:val="none" w:sz="0" w:space="0" w:color="auto"/>
        <w:bottom w:val="none" w:sz="0" w:space="0" w:color="auto"/>
        <w:right w:val="none" w:sz="0" w:space="0" w:color="auto"/>
      </w:divBdr>
    </w:div>
    <w:div w:id="1545555055">
      <w:marLeft w:val="0"/>
      <w:marRight w:val="0"/>
      <w:marTop w:val="120"/>
      <w:marBottom w:val="0"/>
      <w:divBdr>
        <w:top w:val="none" w:sz="0" w:space="0" w:color="auto"/>
        <w:left w:val="none" w:sz="0" w:space="0" w:color="auto"/>
        <w:bottom w:val="none" w:sz="0" w:space="0" w:color="auto"/>
        <w:right w:val="none" w:sz="0" w:space="0" w:color="auto"/>
      </w:divBdr>
    </w:div>
    <w:div w:id="1548956779">
      <w:marLeft w:val="0"/>
      <w:marRight w:val="0"/>
      <w:marTop w:val="120"/>
      <w:marBottom w:val="0"/>
      <w:divBdr>
        <w:top w:val="none" w:sz="0" w:space="0" w:color="auto"/>
        <w:left w:val="none" w:sz="0" w:space="0" w:color="auto"/>
        <w:bottom w:val="none" w:sz="0" w:space="0" w:color="auto"/>
        <w:right w:val="none" w:sz="0" w:space="0" w:color="auto"/>
      </w:divBdr>
    </w:div>
    <w:div w:id="1549880470">
      <w:marLeft w:val="0"/>
      <w:marRight w:val="0"/>
      <w:marTop w:val="120"/>
      <w:marBottom w:val="0"/>
      <w:divBdr>
        <w:top w:val="none" w:sz="0" w:space="0" w:color="auto"/>
        <w:left w:val="none" w:sz="0" w:space="0" w:color="auto"/>
        <w:bottom w:val="none" w:sz="0" w:space="0" w:color="auto"/>
        <w:right w:val="none" w:sz="0" w:space="0" w:color="auto"/>
      </w:divBdr>
    </w:div>
    <w:div w:id="1557202881">
      <w:marLeft w:val="0"/>
      <w:marRight w:val="0"/>
      <w:marTop w:val="120"/>
      <w:marBottom w:val="0"/>
      <w:divBdr>
        <w:top w:val="none" w:sz="0" w:space="0" w:color="auto"/>
        <w:left w:val="none" w:sz="0" w:space="0" w:color="auto"/>
        <w:bottom w:val="none" w:sz="0" w:space="0" w:color="auto"/>
        <w:right w:val="none" w:sz="0" w:space="0" w:color="auto"/>
      </w:divBdr>
    </w:div>
    <w:div w:id="1559705405">
      <w:marLeft w:val="0"/>
      <w:marRight w:val="0"/>
      <w:marTop w:val="120"/>
      <w:marBottom w:val="0"/>
      <w:divBdr>
        <w:top w:val="none" w:sz="0" w:space="0" w:color="auto"/>
        <w:left w:val="none" w:sz="0" w:space="0" w:color="auto"/>
        <w:bottom w:val="none" w:sz="0" w:space="0" w:color="auto"/>
        <w:right w:val="none" w:sz="0" w:space="0" w:color="auto"/>
      </w:divBdr>
    </w:div>
    <w:div w:id="1559902949">
      <w:marLeft w:val="0"/>
      <w:marRight w:val="0"/>
      <w:marTop w:val="0"/>
      <w:marBottom w:val="0"/>
      <w:divBdr>
        <w:top w:val="none" w:sz="0" w:space="0" w:color="auto"/>
        <w:left w:val="none" w:sz="0" w:space="0" w:color="auto"/>
        <w:bottom w:val="none" w:sz="0" w:space="0" w:color="auto"/>
        <w:right w:val="none" w:sz="0" w:space="0" w:color="auto"/>
      </w:divBdr>
      <w:divsChild>
        <w:div w:id="159855562">
          <w:marLeft w:val="0"/>
          <w:marRight w:val="0"/>
          <w:marTop w:val="0"/>
          <w:marBottom w:val="0"/>
          <w:divBdr>
            <w:top w:val="none" w:sz="0" w:space="0" w:color="auto"/>
            <w:left w:val="none" w:sz="0" w:space="0" w:color="auto"/>
            <w:bottom w:val="none" w:sz="0" w:space="0" w:color="auto"/>
            <w:right w:val="none" w:sz="0" w:space="0" w:color="auto"/>
          </w:divBdr>
        </w:div>
      </w:divsChild>
    </w:div>
    <w:div w:id="1561557499">
      <w:marLeft w:val="0"/>
      <w:marRight w:val="0"/>
      <w:marTop w:val="120"/>
      <w:marBottom w:val="0"/>
      <w:divBdr>
        <w:top w:val="none" w:sz="0" w:space="0" w:color="auto"/>
        <w:left w:val="none" w:sz="0" w:space="0" w:color="auto"/>
        <w:bottom w:val="none" w:sz="0" w:space="0" w:color="auto"/>
        <w:right w:val="none" w:sz="0" w:space="0" w:color="auto"/>
      </w:divBdr>
    </w:div>
    <w:div w:id="1562977539">
      <w:marLeft w:val="0"/>
      <w:marRight w:val="0"/>
      <w:marTop w:val="0"/>
      <w:marBottom w:val="120"/>
      <w:divBdr>
        <w:top w:val="none" w:sz="0" w:space="0" w:color="auto"/>
        <w:left w:val="none" w:sz="0" w:space="0" w:color="auto"/>
        <w:bottom w:val="none" w:sz="0" w:space="0" w:color="auto"/>
        <w:right w:val="none" w:sz="0" w:space="0" w:color="auto"/>
      </w:divBdr>
    </w:div>
    <w:div w:id="1567379549">
      <w:marLeft w:val="0"/>
      <w:marRight w:val="0"/>
      <w:marTop w:val="0"/>
      <w:marBottom w:val="0"/>
      <w:divBdr>
        <w:top w:val="none" w:sz="0" w:space="0" w:color="auto"/>
        <w:left w:val="none" w:sz="0" w:space="0" w:color="auto"/>
        <w:bottom w:val="none" w:sz="0" w:space="0" w:color="auto"/>
        <w:right w:val="none" w:sz="0" w:space="0" w:color="auto"/>
      </w:divBdr>
    </w:div>
    <w:div w:id="1568766103">
      <w:marLeft w:val="0"/>
      <w:marRight w:val="0"/>
      <w:marTop w:val="240"/>
      <w:marBottom w:val="0"/>
      <w:divBdr>
        <w:top w:val="none" w:sz="0" w:space="0" w:color="auto"/>
        <w:left w:val="none" w:sz="0" w:space="0" w:color="auto"/>
        <w:bottom w:val="none" w:sz="0" w:space="0" w:color="auto"/>
        <w:right w:val="none" w:sz="0" w:space="0" w:color="auto"/>
      </w:divBdr>
    </w:div>
    <w:div w:id="1572739372">
      <w:marLeft w:val="0"/>
      <w:marRight w:val="0"/>
      <w:marTop w:val="0"/>
      <w:marBottom w:val="0"/>
      <w:divBdr>
        <w:top w:val="none" w:sz="0" w:space="0" w:color="auto"/>
        <w:left w:val="none" w:sz="0" w:space="0" w:color="auto"/>
        <w:bottom w:val="none" w:sz="0" w:space="0" w:color="auto"/>
        <w:right w:val="none" w:sz="0" w:space="0" w:color="auto"/>
      </w:divBdr>
      <w:divsChild>
        <w:div w:id="188689804">
          <w:marLeft w:val="0"/>
          <w:marRight w:val="0"/>
          <w:marTop w:val="0"/>
          <w:marBottom w:val="0"/>
          <w:divBdr>
            <w:top w:val="none" w:sz="0" w:space="0" w:color="auto"/>
            <w:left w:val="none" w:sz="0" w:space="0" w:color="auto"/>
            <w:bottom w:val="none" w:sz="0" w:space="0" w:color="auto"/>
            <w:right w:val="none" w:sz="0" w:space="0" w:color="auto"/>
          </w:divBdr>
        </w:div>
      </w:divsChild>
    </w:div>
    <w:div w:id="1575772102">
      <w:marLeft w:val="0"/>
      <w:marRight w:val="0"/>
      <w:marTop w:val="120"/>
      <w:marBottom w:val="0"/>
      <w:divBdr>
        <w:top w:val="none" w:sz="0" w:space="0" w:color="auto"/>
        <w:left w:val="none" w:sz="0" w:space="0" w:color="auto"/>
        <w:bottom w:val="none" w:sz="0" w:space="0" w:color="auto"/>
        <w:right w:val="none" w:sz="0" w:space="0" w:color="auto"/>
      </w:divBdr>
    </w:div>
    <w:div w:id="1577284751">
      <w:marLeft w:val="0"/>
      <w:marRight w:val="0"/>
      <w:marTop w:val="120"/>
      <w:marBottom w:val="0"/>
      <w:divBdr>
        <w:top w:val="none" w:sz="0" w:space="0" w:color="auto"/>
        <w:left w:val="none" w:sz="0" w:space="0" w:color="auto"/>
        <w:bottom w:val="none" w:sz="0" w:space="0" w:color="auto"/>
        <w:right w:val="none" w:sz="0" w:space="0" w:color="auto"/>
      </w:divBdr>
    </w:div>
    <w:div w:id="1578398668">
      <w:marLeft w:val="0"/>
      <w:marRight w:val="0"/>
      <w:marTop w:val="120"/>
      <w:marBottom w:val="0"/>
      <w:divBdr>
        <w:top w:val="none" w:sz="0" w:space="0" w:color="auto"/>
        <w:left w:val="none" w:sz="0" w:space="0" w:color="auto"/>
        <w:bottom w:val="none" w:sz="0" w:space="0" w:color="auto"/>
        <w:right w:val="none" w:sz="0" w:space="0" w:color="auto"/>
      </w:divBdr>
    </w:div>
    <w:div w:id="1578982293">
      <w:marLeft w:val="0"/>
      <w:marRight w:val="0"/>
      <w:marTop w:val="0"/>
      <w:marBottom w:val="0"/>
      <w:divBdr>
        <w:top w:val="none" w:sz="0" w:space="0" w:color="auto"/>
        <w:left w:val="none" w:sz="0" w:space="0" w:color="auto"/>
        <w:bottom w:val="none" w:sz="0" w:space="0" w:color="auto"/>
        <w:right w:val="none" w:sz="0" w:space="0" w:color="auto"/>
      </w:divBdr>
    </w:div>
    <w:div w:id="1586110814">
      <w:marLeft w:val="0"/>
      <w:marRight w:val="0"/>
      <w:marTop w:val="120"/>
      <w:marBottom w:val="0"/>
      <w:divBdr>
        <w:top w:val="none" w:sz="0" w:space="0" w:color="auto"/>
        <w:left w:val="none" w:sz="0" w:space="0" w:color="auto"/>
        <w:bottom w:val="none" w:sz="0" w:space="0" w:color="auto"/>
        <w:right w:val="none" w:sz="0" w:space="0" w:color="auto"/>
      </w:divBdr>
    </w:div>
    <w:div w:id="1586256992">
      <w:marLeft w:val="0"/>
      <w:marRight w:val="0"/>
      <w:marTop w:val="0"/>
      <w:marBottom w:val="0"/>
      <w:divBdr>
        <w:top w:val="none" w:sz="0" w:space="0" w:color="auto"/>
        <w:left w:val="none" w:sz="0" w:space="0" w:color="auto"/>
        <w:bottom w:val="none" w:sz="0" w:space="0" w:color="auto"/>
        <w:right w:val="none" w:sz="0" w:space="0" w:color="auto"/>
      </w:divBdr>
    </w:div>
    <w:div w:id="1587155946">
      <w:marLeft w:val="0"/>
      <w:marRight w:val="0"/>
      <w:marTop w:val="0"/>
      <w:marBottom w:val="0"/>
      <w:divBdr>
        <w:top w:val="none" w:sz="0" w:space="0" w:color="auto"/>
        <w:left w:val="none" w:sz="0" w:space="0" w:color="auto"/>
        <w:bottom w:val="none" w:sz="0" w:space="0" w:color="auto"/>
        <w:right w:val="none" w:sz="0" w:space="0" w:color="auto"/>
      </w:divBdr>
      <w:divsChild>
        <w:div w:id="566114270">
          <w:marLeft w:val="0"/>
          <w:marRight w:val="0"/>
          <w:marTop w:val="0"/>
          <w:marBottom w:val="0"/>
          <w:divBdr>
            <w:top w:val="none" w:sz="0" w:space="0" w:color="auto"/>
            <w:left w:val="none" w:sz="0" w:space="0" w:color="auto"/>
            <w:bottom w:val="none" w:sz="0" w:space="0" w:color="auto"/>
            <w:right w:val="none" w:sz="0" w:space="0" w:color="auto"/>
          </w:divBdr>
        </w:div>
      </w:divsChild>
    </w:div>
    <w:div w:id="1593198432">
      <w:marLeft w:val="0"/>
      <w:marRight w:val="0"/>
      <w:marTop w:val="120"/>
      <w:marBottom w:val="0"/>
      <w:divBdr>
        <w:top w:val="none" w:sz="0" w:space="0" w:color="auto"/>
        <w:left w:val="none" w:sz="0" w:space="0" w:color="auto"/>
        <w:bottom w:val="none" w:sz="0" w:space="0" w:color="auto"/>
        <w:right w:val="none" w:sz="0" w:space="0" w:color="auto"/>
      </w:divBdr>
    </w:div>
    <w:div w:id="1595702493">
      <w:marLeft w:val="0"/>
      <w:marRight w:val="0"/>
      <w:marTop w:val="120"/>
      <w:marBottom w:val="0"/>
      <w:divBdr>
        <w:top w:val="none" w:sz="0" w:space="0" w:color="auto"/>
        <w:left w:val="none" w:sz="0" w:space="0" w:color="auto"/>
        <w:bottom w:val="none" w:sz="0" w:space="0" w:color="auto"/>
        <w:right w:val="none" w:sz="0" w:space="0" w:color="auto"/>
      </w:divBdr>
    </w:div>
    <w:div w:id="1601642637">
      <w:marLeft w:val="0"/>
      <w:marRight w:val="0"/>
      <w:marTop w:val="120"/>
      <w:marBottom w:val="0"/>
      <w:divBdr>
        <w:top w:val="none" w:sz="0" w:space="0" w:color="auto"/>
        <w:left w:val="none" w:sz="0" w:space="0" w:color="auto"/>
        <w:bottom w:val="none" w:sz="0" w:space="0" w:color="auto"/>
        <w:right w:val="none" w:sz="0" w:space="0" w:color="auto"/>
      </w:divBdr>
    </w:div>
    <w:div w:id="1605261996">
      <w:marLeft w:val="0"/>
      <w:marRight w:val="0"/>
      <w:marTop w:val="120"/>
      <w:marBottom w:val="0"/>
      <w:divBdr>
        <w:top w:val="none" w:sz="0" w:space="0" w:color="auto"/>
        <w:left w:val="none" w:sz="0" w:space="0" w:color="auto"/>
        <w:bottom w:val="none" w:sz="0" w:space="0" w:color="auto"/>
        <w:right w:val="none" w:sz="0" w:space="0" w:color="auto"/>
      </w:divBdr>
    </w:div>
    <w:div w:id="1606032742">
      <w:marLeft w:val="0"/>
      <w:marRight w:val="0"/>
      <w:marTop w:val="120"/>
      <w:marBottom w:val="0"/>
      <w:divBdr>
        <w:top w:val="none" w:sz="0" w:space="0" w:color="auto"/>
        <w:left w:val="none" w:sz="0" w:space="0" w:color="auto"/>
        <w:bottom w:val="none" w:sz="0" w:space="0" w:color="auto"/>
        <w:right w:val="none" w:sz="0" w:space="0" w:color="auto"/>
      </w:divBdr>
    </w:div>
    <w:div w:id="1607157968">
      <w:marLeft w:val="0"/>
      <w:marRight w:val="0"/>
      <w:marTop w:val="120"/>
      <w:marBottom w:val="0"/>
      <w:divBdr>
        <w:top w:val="none" w:sz="0" w:space="0" w:color="auto"/>
        <w:left w:val="none" w:sz="0" w:space="0" w:color="auto"/>
        <w:bottom w:val="none" w:sz="0" w:space="0" w:color="auto"/>
        <w:right w:val="none" w:sz="0" w:space="0" w:color="auto"/>
      </w:divBdr>
    </w:div>
    <w:div w:id="1607276504">
      <w:marLeft w:val="0"/>
      <w:marRight w:val="0"/>
      <w:marTop w:val="240"/>
      <w:marBottom w:val="120"/>
      <w:divBdr>
        <w:top w:val="none" w:sz="0" w:space="0" w:color="auto"/>
        <w:left w:val="none" w:sz="0" w:space="0" w:color="auto"/>
        <w:bottom w:val="none" w:sz="0" w:space="0" w:color="auto"/>
        <w:right w:val="none" w:sz="0" w:space="0" w:color="auto"/>
      </w:divBdr>
    </w:div>
    <w:div w:id="1612667983">
      <w:marLeft w:val="0"/>
      <w:marRight w:val="0"/>
      <w:marTop w:val="120"/>
      <w:marBottom w:val="0"/>
      <w:divBdr>
        <w:top w:val="none" w:sz="0" w:space="0" w:color="auto"/>
        <w:left w:val="none" w:sz="0" w:space="0" w:color="auto"/>
        <w:bottom w:val="none" w:sz="0" w:space="0" w:color="auto"/>
        <w:right w:val="none" w:sz="0" w:space="0" w:color="auto"/>
      </w:divBdr>
    </w:div>
    <w:div w:id="1617981940">
      <w:marLeft w:val="0"/>
      <w:marRight w:val="0"/>
      <w:marTop w:val="120"/>
      <w:marBottom w:val="0"/>
      <w:divBdr>
        <w:top w:val="none" w:sz="0" w:space="0" w:color="auto"/>
        <w:left w:val="none" w:sz="0" w:space="0" w:color="auto"/>
        <w:bottom w:val="none" w:sz="0" w:space="0" w:color="auto"/>
        <w:right w:val="none" w:sz="0" w:space="0" w:color="auto"/>
      </w:divBdr>
    </w:div>
    <w:div w:id="1618439939">
      <w:marLeft w:val="0"/>
      <w:marRight w:val="0"/>
      <w:marTop w:val="120"/>
      <w:marBottom w:val="0"/>
      <w:divBdr>
        <w:top w:val="none" w:sz="0" w:space="0" w:color="auto"/>
        <w:left w:val="none" w:sz="0" w:space="0" w:color="auto"/>
        <w:bottom w:val="none" w:sz="0" w:space="0" w:color="auto"/>
        <w:right w:val="none" w:sz="0" w:space="0" w:color="auto"/>
      </w:divBdr>
    </w:div>
    <w:div w:id="1620185320">
      <w:marLeft w:val="0"/>
      <w:marRight w:val="0"/>
      <w:marTop w:val="0"/>
      <w:marBottom w:val="0"/>
      <w:divBdr>
        <w:top w:val="none" w:sz="0" w:space="0" w:color="auto"/>
        <w:left w:val="none" w:sz="0" w:space="0" w:color="auto"/>
        <w:bottom w:val="none" w:sz="0" w:space="0" w:color="auto"/>
        <w:right w:val="none" w:sz="0" w:space="0" w:color="auto"/>
      </w:divBdr>
    </w:div>
    <w:div w:id="1624768595">
      <w:marLeft w:val="0"/>
      <w:marRight w:val="0"/>
      <w:marTop w:val="120"/>
      <w:marBottom w:val="0"/>
      <w:divBdr>
        <w:top w:val="none" w:sz="0" w:space="0" w:color="auto"/>
        <w:left w:val="none" w:sz="0" w:space="0" w:color="auto"/>
        <w:bottom w:val="none" w:sz="0" w:space="0" w:color="auto"/>
        <w:right w:val="none" w:sz="0" w:space="0" w:color="auto"/>
      </w:divBdr>
    </w:div>
    <w:div w:id="1625649139">
      <w:marLeft w:val="0"/>
      <w:marRight w:val="0"/>
      <w:marTop w:val="120"/>
      <w:marBottom w:val="120"/>
      <w:divBdr>
        <w:top w:val="none" w:sz="0" w:space="0" w:color="auto"/>
        <w:left w:val="none" w:sz="0" w:space="0" w:color="auto"/>
        <w:bottom w:val="none" w:sz="0" w:space="0" w:color="auto"/>
        <w:right w:val="none" w:sz="0" w:space="0" w:color="auto"/>
      </w:divBdr>
    </w:div>
    <w:div w:id="1626547032">
      <w:marLeft w:val="0"/>
      <w:marRight w:val="0"/>
      <w:marTop w:val="120"/>
      <w:marBottom w:val="0"/>
      <w:divBdr>
        <w:top w:val="none" w:sz="0" w:space="0" w:color="auto"/>
        <w:left w:val="none" w:sz="0" w:space="0" w:color="auto"/>
        <w:bottom w:val="none" w:sz="0" w:space="0" w:color="auto"/>
        <w:right w:val="none" w:sz="0" w:space="0" w:color="auto"/>
      </w:divBdr>
    </w:div>
    <w:div w:id="1628928474">
      <w:marLeft w:val="0"/>
      <w:marRight w:val="0"/>
      <w:marTop w:val="120"/>
      <w:marBottom w:val="0"/>
      <w:divBdr>
        <w:top w:val="none" w:sz="0" w:space="0" w:color="auto"/>
        <w:left w:val="none" w:sz="0" w:space="0" w:color="auto"/>
        <w:bottom w:val="none" w:sz="0" w:space="0" w:color="auto"/>
        <w:right w:val="none" w:sz="0" w:space="0" w:color="auto"/>
      </w:divBdr>
    </w:div>
    <w:div w:id="1632706737">
      <w:marLeft w:val="0"/>
      <w:marRight w:val="0"/>
      <w:marTop w:val="120"/>
      <w:marBottom w:val="0"/>
      <w:divBdr>
        <w:top w:val="none" w:sz="0" w:space="0" w:color="auto"/>
        <w:left w:val="none" w:sz="0" w:space="0" w:color="auto"/>
        <w:bottom w:val="none" w:sz="0" w:space="0" w:color="auto"/>
        <w:right w:val="none" w:sz="0" w:space="0" w:color="auto"/>
      </w:divBdr>
    </w:div>
    <w:div w:id="1633712337">
      <w:marLeft w:val="0"/>
      <w:marRight w:val="0"/>
      <w:marTop w:val="0"/>
      <w:marBottom w:val="0"/>
      <w:divBdr>
        <w:top w:val="none" w:sz="0" w:space="0" w:color="auto"/>
        <w:left w:val="none" w:sz="0" w:space="0" w:color="auto"/>
        <w:bottom w:val="none" w:sz="0" w:space="0" w:color="auto"/>
        <w:right w:val="none" w:sz="0" w:space="0" w:color="auto"/>
      </w:divBdr>
    </w:div>
    <w:div w:id="1634171150">
      <w:marLeft w:val="0"/>
      <w:marRight w:val="0"/>
      <w:marTop w:val="120"/>
      <w:marBottom w:val="0"/>
      <w:divBdr>
        <w:top w:val="none" w:sz="0" w:space="0" w:color="auto"/>
        <w:left w:val="none" w:sz="0" w:space="0" w:color="auto"/>
        <w:bottom w:val="none" w:sz="0" w:space="0" w:color="auto"/>
        <w:right w:val="none" w:sz="0" w:space="0" w:color="auto"/>
      </w:divBdr>
    </w:div>
    <w:div w:id="1637486674">
      <w:marLeft w:val="0"/>
      <w:marRight w:val="0"/>
      <w:marTop w:val="0"/>
      <w:marBottom w:val="0"/>
      <w:divBdr>
        <w:top w:val="none" w:sz="0" w:space="0" w:color="auto"/>
        <w:left w:val="none" w:sz="0" w:space="0" w:color="auto"/>
        <w:bottom w:val="none" w:sz="0" w:space="0" w:color="auto"/>
        <w:right w:val="none" w:sz="0" w:space="0" w:color="auto"/>
      </w:divBdr>
      <w:divsChild>
        <w:div w:id="333382765">
          <w:marLeft w:val="0"/>
          <w:marRight w:val="0"/>
          <w:marTop w:val="0"/>
          <w:marBottom w:val="0"/>
          <w:divBdr>
            <w:top w:val="none" w:sz="0" w:space="0" w:color="auto"/>
            <w:left w:val="none" w:sz="0" w:space="0" w:color="auto"/>
            <w:bottom w:val="none" w:sz="0" w:space="0" w:color="auto"/>
            <w:right w:val="none" w:sz="0" w:space="0" w:color="auto"/>
          </w:divBdr>
        </w:div>
      </w:divsChild>
    </w:div>
    <w:div w:id="1640384282">
      <w:marLeft w:val="0"/>
      <w:marRight w:val="0"/>
      <w:marTop w:val="0"/>
      <w:marBottom w:val="0"/>
      <w:divBdr>
        <w:top w:val="none" w:sz="0" w:space="0" w:color="auto"/>
        <w:left w:val="none" w:sz="0" w:space="0" w:color="auto"/>
        <w:bottom w:val="none" w:sz="0" w:space="0" w:color="auto"/>
        <w:right w:val="none" w:sz="0" w:space="0" w:color="auto"/>
      </w:divBdr>
    </w:div>
    <w:div w:id="1641113193">
      <w:marLeft w:val="0"/>
      <w:marRight w:val="0"/>
      <w:marTop w:val="240"/>
      <w:marBottom w:val="120"/>
      <w:divBdr>
        <w:top w:val="none" w:sz="0" w:space="0" w:color="auto"/>
        <w:left w:val="none" w:sz="0" w:space="0" w:color="auto"/>
        <w:bottom w:val="none" w:sz="0" w:space="0" w:color="auto"/>
        <w:right w:val="none" w:sz="0" w:space="0" w:color="auto"/>
      </w:divBdr>
    </w:div>
    <w:div w:id="1643583534">
      <w:marLeft w:val="0"/>
      <w:marRight w:val="0"/>
      <w:marTop w:val="120"/>
      <w:marBottom w:val="0"/>
      <w:divBdr>
        <w:top w:val="none" w:sz="0" w:space="0" w:color="auto"/>
        <w:left w:val="none" w:sz="0" w:space="0" w:color="auto"/>
        <w:bottom w:val="none" w:sz="0" w:space="0" w:color="auto"/>
        <w:right w:val="none" w:sz="0" w:space="0" w:color="auto"/>
      </w:divBdr>
    </w:div>
    <w:div w:id="1645431078">
      <w:marLeft w:val="0"/>
      <w:marRight w:val="0"/>
      <w:marTop w:val="0"/>
      <w:marBottom w:val="0"/>
      <w:divBdr>
        <w:top w:val="none" w:sz="0" w:space="0" w:color="auto"/>
        <w:left w:val="none" w:sz="0" w:space="0" w:color="auto"/>
        <w:bottom w:val="none" w:sz="0" w:space="0" w:color="auto"/>
        <w:right w:val="none" w:sz="0" w:space="0" w:color="auto"/>
      </w:divBdr>
    </w:div>
    <w:div w:id="1646469409">
      <w:marLeft w:val="0"/>
      <w:marRight w:val="0"/>
      <w:marTop w:val="120"/>
      <w:marBottom w:val="0"/>
      <w:divBdr>
        <w:top w:val="none" w:sz="0" w:space="0" w:color="auto"/>
        <w:left w:val="none" w:sz="0" w:space="0" w:color="auto"/>
        <w:bottom w:val="none" w:sz="0" w:space="0" w:color="auto"/>
        <w:right w:val="none" w:sz="0" w:space="0" w:color="auto"/>
      </w:divBdr>
    </w:div>
    <w:div w:id="1650937173">
      <w:marLeft w:val="0"/>
      <w:marRight w:val="0"/>
      <w:marTop w:val="0"/>
      <w:marBottom w:val="120"/>
      <w:divBdr>
        <w:top w:val="none" w:sz="0" w:space="0" w:color="auto"/>
        <w:left w:val="none" w:sz="0" w:space="0" w:color="auto"/>
        <w:bottom w:val="none" w:sz="0" w:space="0" w:color="auto"/>
        <w:right w:val="none" w:sz="0" w:space="0" w:color="auto"/>
      </w:divBdr>
    </w:div>
    <w:div w:id="1651254384">
      <w:marLeft w:val="0"/>
      <w:marRight w:val="0"/>
      <w:marTop w:val="0"/>
      <w:marBottom w:val="0"/>
      <w:divBdr>
        <w:top w:val="none" w:sz="0" w:space="0" w:color="auto"/>
        <w:left w:val="none" w:sz="0" w:space="0" w:color="auto"/>
        <w:bottom w:val="none" w:sz="0" w:space="0" w:color="auto"/>
        <w:right w:val="none" w:sz="0" w:space="0" w:color="auto"/>
      </w:divBdr>
      <w:divsChild>
        <w:div w:id="802965508">
          <w:marLeft w:val="0"/>
          <w:marRight w:val="0"/>
          <w:marTop w:val="0"/>
          <w:marBottom w:val="0"/>
          <w:divBdr>
            <w:top w:val="none" w:sz="0" w:space="0" w:color="auto"/>
            <w:left w:val="none" w:sz="0" w:space="0" w:color="auto"/>
            <w:bottom w:val="none" w:sz="0" w:space="0" w:color="auto"/>
            <w:right w:val="none" w:sz="0" w:space="0" w:color="auto"/>
          </w:divBdr>
        </w:div>
      </w:divsChild>
    </w:div>
    <w:div w:id="1654750817">
      <w:marLeft w:val="0"/>
      <w:marRight w:val="0"/>
      <w:marTop w:val="120"/>
      <w:marBottom w:val="120"/>
      <w:divBdr>
        <w:top w:val="none" w:sz="0" w:space="0" w:color="auto"/>
        <w:left w:val="none" w:sz="0" w:space="0" w:color="auto"/>
        <w:bottom w:val="none" w:sz="0" w:space="0" w:color="auto"/>
        <w:right w:val="none" w:sz="0" w:space="0" w:color="auto"/>
      </w:divBdr>
    </w:div>
    <w:div w:id="1661999352">
      <w:marLeft w:val="0"/>
      <w:marRight w:val="0"/>
      <w:marTop w:val="120"/>
      <w:marBottom w:val="240"/>
      <w:divBdr>
        <w:top w:val="none" w:sz="0" w:space="0" w:color="auto"/>
        <w:left w:val="none" w:sz="0" w:space="0" w:color="auto"/>
        <w:bottom w:val="none" w:sz="0" w:space="0" w:color="auto"/>
        <w:right w:val="none" w:sz="0" w:space="0" w:color="auto"/>
      </w:divBdr>
    </w:div>
    <w:div w:id="1666398235">
      <w:marLeft w:val="0"/>
      <w:marRight w:val="0"/>
      <w:marTop w:val="120"/>
      <w:marBottom w:val="0"/>
      <w:divBdr>
        <w:top w:val="none" w:sz="0" w:space="0" w:color="auto"/>
        <w:left w:val="none" w:sz="0" w:space="0" w:color="auto"/>
        <w:bottom w:val="none" w:sz="0" w:space="0" w:color="auto"/>
        <w:right w:val="none" w:sz="0" w:space="0" w:color="auto"/>
      </w:divBdr>
    </w:div>
    <w:div w:id="1673295687">
      <w:marLeft w:val="0"/>
      <w:marRight w:val="0"/>
      <w:marTop w:val="0"/>
      <w:marBottom w:val="0"/>
      <w:divBdr>
        <w:top w:val="none" w:sz="0" w:space="0" w:color="auto"/>
        <w:left w:val="none" w:sz="0" w:space="0" w:color="auto"/>
        <w:bottom w:val="none" w:sz="0" w:space="0" w:color="auto"/>
        <w:right w:val="none" w:sz="0" w:space="0" w:color="auto"/>
      </w:divBdr>
      <w:divsChild>
        <w:div w:id="1593778755">
          <w:marLeft w:val="0"/>
          <w:marRight w:val="0"/>
          <w:marTop w:val="0"/>
          <w:marBottom w:val="0"/>
          <w:divBdr>
            <w:top w:val="none" w:sz="0" w:space="0" w:color="auto"/>
            <w:left w:val="none" w:sz="0" w:space="0" w:color="auto"/>
            <w:bottom w:val="none" w:sz="0" w:space="0" w:color="auto"/>
            <w:right w:val="none" w:sz="0" w:space="0" w:color="auto"/>
          </w:divBdr>
        </w:div>
      </w:divsChild>
    </w:div>
    <w:div w:id="1680303488">
      <w:marLeft w:val="0"/>
      <w:marRight w:val="0"/>
      <w:marTop w:val="120"/>
      <w:marBottom w:val="0"/>
      <w:divBdr>
        <w:top w:val="none" w:sz="0" w:space="0" w:color="auto"/>
        <w:left w:val="none" w:sz="0" w:space="0" w:color="auto"/>
        <w:bottom w:val="none" w:sz="0" w:space="0" w:color="auto"/>
        <w:right w:val="none" w:sz="0" w:space="0" w:color="auto"/>
      </w:divBdr>
    </w:div>
    <w:div w:id="1681198091">
      <w:marLeft w:val="0"/>
      <w:marRight w:val="0"/>
      <w:marTop w:val="120"/>
      <w:marBottom w:val="0"/>
      <w:divBdr>
        <w:top w:val="none" w:sz="0" w:space="0" w:color="auto"/>
        <w:left w:val="none" w:sz="0" w:space="0" w:color="auto"/>
        <w:bottom w:val="none" w:sz="0" w:space="0" w:color="auto"/>
        <w:right w:val="none" w:sz="0" w:space="0" w:color="auto"/>
      </w:divBdr>
    </w:div>
    <w:div w:id="1683437346">
      <w:marLeft w:val="0"/>
      <w:marRight w:val="0"/>
      <w:marTop w:val="120"/>
      <w:marBottom w:val="0"/>
      <w:divBdr>
        <w:top w:val="none" w:sz="0" w:space="0" w:color="auto"/>
        <w:left w:val="none" w:sz="0" w:space="0" w:color="auto"/>
        <w:bottom w:val="none" w:sz="0" w:space="0" w:color="auto"/>
        <w:right w:val="none" w:sz="0" w:space="0" w:color="auto"/>
      </w:divBdr>
    </w:div>
    <w:div w:id="1683582960">
      <w:marLeft w:val="0"/>
      <w:marRight w:val="0"/>
      <w:marTop w:val="120"/>
      <w:marBottom w:val="0"/>
      <w:divBdr>
        <w:top w:val="none" w:sz="0" w:space="0" w:color="auto"/>
        <w:left w:val="none" w:sz="0" w:space="0" w:color="auto"/>
        <w:bottom w:val="none" w:sz="0" w:space="0" w:color="auto"/>
        <w:right w:val="none" w:sz="0" w:space="0" w:color="auto"/>
      </w:divBdr>
    </w:div>
    <w:div w:id="1694070184">
      <w:marLeft w:val="0"/>
      <w:marRight w:val="0"/>
      <w:marTop w:val="120"/>
      <w:marBottom w:val="0"/>
      <w:divBdr>
        <w:top w:val="none" w:sz="0" w:space="0" w:color="auto"/>
        <w:left w:val="none" w:sz="0" w:space="0" w:color="auto"/>
        <w:bottom w:val="none" w:sz="0" w:space="0" w:color="auto"/>
        <w:right w:val="none" w:sz="0" w:space="0" w:color="auto"/>
      </w:divBdr>
    </w:div>
    <w:div w:id="1700428886">
      <w:marLeft w:val="0"/>
      <w:marRight w:val="0"/>
      <w:marTop w:val="0"/>
      <w:marBottom w:val="0"/>
      <w:divBdr>
        <w:top w:val="none" w:sz="0" w:space="0" w:color="auto"/>
        <w:left w:val="none" w:sz="0" w:space="0" w:color="auto"/>
        <w:bottom w:val="none" w:sz="0" w:space="0" w:color="auto"/>
        <w:right w:val="none" w:sz="0" w:space="0" w:color="auto"/>
      </w:divBdr>
      <w:divsChild>
        <w:div w:id="1452474621">
          <w:marLeft w:val="0"/>
          <w:marRight w:val="0"/>
          <w:marTop w:val="0"/>
          <w:marBottom w:val="0"/>
          <w:divBdr>
            <w:top w:val="none" w:sz="0" w:space="0" w:color="auto"/>
            <w:left w:val="none" w:sz="0" w:space="0" w:color="auto"/>
            <w:bottom w:val="none" w:sz="0" w:space="0" w:color="auto"/>
            <w:right w:val="none" w:sz="0" w:space="0" w:color="auto"/>
          </w:divBdr>
        </w:div>
      </w:divsChild>
    </w:div>
    <w:div w:id="1705213281">
      <w:marLeft w:val="0"/>
      <w:marRight w:val="0"/>
      <w:marTop w:val="120"/>
      <w:marBottom w:val="120"/>
      <w:divBdr>
        <w:top w:val="none" w:sz="0" w:space="0" w:color="auto"/>
        <w:left w:val="none" w:sz="0" w:space="0" w:color="auto"/>
        <w:bottom w:val="none" w:sz="0" w:space="0" w:color="auto"/>
        <w:right w:val="none" w:sz="0" w:space="0" w:color="auto"/>
      </w:divBdr>
    </w:div>
    <w:div w:id="1705785273">
      <w:marLeft w:val="0"/>
      <w:marRight w:val="0"/>
      <w:marTop w:val="0"/>
      <w:marBottom w:val="0"/>
      <w:divBdr>
        <w:top w:val="none" w:sz="0" w:space="0" w:color="auto"/>
        <w:left w:val="none" w:sz="0" w:space="0" w:color="auto"/>
        <w:bottom w:val="none" w:sz="0" w:space="0" w:color="auto"/>
        <w:right w:val="none" w:sz="0" w:space="0" w:color="auto"/>
      </w:divBdr>
    </w:div>
    <w:div w:id="1707560498">
      <w:marLeft w:val="0"/>
      <w:marRight w:val="0"/>
      <w:marTop w:val="120"/>
      <w:marBottom w:val="0"/>
      <w:divBdr>
        <w:top w:val="none" w:sz="0" w:space="0" w:color="auto"/>
        <w:left w:val="none" w:sz="0" w:space="0" w:color="auto"/>
        <w:bottom w:val="none" w:sz="0" w:space="0" w:color="auto"/>
        <w:right w:val="none" w:sz="0" w:space="0" w:color="auto"/>
      </w:divBdr>
    </w:div>
    <w:div w:id="1707831761">
      <w:marLeft w:val="0"/>
      <w:marRight w:val="0"/>
      <w:marTop w:val="0"/>
      <w:marBottom w:val="0"/>
      <w:divBdr>
        <w:top w:val="none" w:sz="0" w:space="0" w:color="auto"/>
        <w:left w:val="none" w:sz="0" w:space="0" w:color="auto"/>
        <w:bottom w:val="none" w:sz="0" w:space="0" w:color="auto"/>
        <w:right w:val="none" w:sz="0" w:space="0" w:color="auto"/>
      </w:divBdr>
      <w:divsChild>
        <w:div w:id="793452138">
          <w:marLeft w:val="0"/>
          <w:marRight w:val="0"/>
          <w:marTop w:val="0"/>
          <w:marBottom w:val="0"/>
          <w:divBdr>
            <w:top w:val="none" w:sz="0" w:space="0" w:color="auto"/>
            <w:left w:val="none" w:sz="0" w:space="0" w:color="auto"/>
            <w:bottom w:val="none" w:sz="0" w:space="0" w:color="auto"/>
            <w:right w:val="none" w:sz="0" w:space="0" w:color="auto"/>
          </w:divBdr>
        </w:div>
      </w:divsChild>
    </w:div>
    <w:div w:id="1708065154">
      <w:marLeft w:val="0"/>
      <w:marRight w:val="0"/>
      <w:marTop w:val="120"/>
      <w:marBottom w:val="0"/>
      <w:divBdr>
        <w:top w:val="none" w:sz="0" w:space="0" w:color="auto"/>
        <w:left w:val="none" w:sz="0" w:space="0" w:color="auto"/>
        <w:bottom w:val="none" w:sz="0" w:space="0" w:color="auto"/>
        <w:right w:val="none" w:sz="0" w:space="0" w:color="auto"/>
      </w:divBdr>
    </w:div>
    <w:div w:id="1708799163">
      <w:marLeft w:val="0"/>
      <w:marRight w:val="0"/>
      <w:marTop w:val="120"/>
      <w:marBottom w:val="0"/>
      <w:divBdr>
        <w:top w:val="none" w:sz="0" w:space="0" w:color="auto"/>
        <w:left w:val="none" w:sz="0" w:space="0" w:color="auto"/>
        <w:bottom w:val="none" w:sz="0" w:space="0" w:color="auto"/>
        <w:right w:val="none" w:sz="0" w:space="0" w:color="auto"/>
      </w:divBdr>
    </w:div>
    <w:div w:id="1715228489">
      <w:marLeft w:val="0"/>
      <w:marRight w:val="0"/>
      <w:marTop w:val="120"/>
      <w:marBottom w:val="0"/>
      <w:divBdr>
        <w:top w:val="none" w:sz="0" w:space="0" w:color="auto"/>
        <w:left w:val="none" w:sz="0" w:space="0" w:color="auto"/>
        <w:bottom w:val="none" w:sz="0" w:space="0" w:color="auto"/>
        <w:right w:val="none" w:sz="0" w:space="0" w:color="auto"/>
      </w:divBdr>
    </w:div>
    <w:div w:id="1715696255">
      <w:marLeft w:val="0"/>
      <w:marRight w:val="0"/>
      <w:marTop w:val="120"/>
      <w:marBottom w:val="0"/>
      <w:divBdr>
        <w:top w:val="none" w:sz="0" w:space="0" w:color="auto"/>
        <w:left w:val="none" w:sz="0" w:space="0" w:color="auto"/>
        <w:bottom w:val="none" w:sz="0" w:space="0" w:color="auto"/>
        <w:right w:val="none" w:sz="0" w:space="0" w:color="auto"/>
      </w:divBdr>
    </w:div>
    <w:div w:id="1718894061">
      <w:marLeft w:val="0"/>
      <w:marRight w:val="0"/>
      <w:marTop w:val="120"/>
      <w:marBottom w:val="0"/>
      <w:divBdr>
        <w:top w:val="none" w:sz="0" w:space="0" w:color="auto"/>
        <w:left w:val="none" w:sz="0" w:space="0" w:color="auto"/>
        <w:bottom w:val="none" w:sz="0" w:space="0" w:color="auto"/>
        <w:right w:val="none" w:sz="0" w:space="0" w:color="auto"/>
      </w:divBdr>
    </w:div>
    <w:div w:id="1719208591">
      <w:marLeft w:val="0"/>
      <w:marRight w:val="0"/>
      <w:marTop w:val="120"/>
      <w:marBottom w:val="0"/>
      <w:divBdr>
        <w:top w:val="none" w:sz="0" w:space="0" w:color="auto"/>
        <w:left w:val="none" w:sz="0" w:space="0" w:color="auto"/>
        <w:bottom w:val="none" w:sz="0" w:space="0" w:color="auto"/>
        <w:right w:val="none" w:sz="0" w:space="0" w:color="auto"/>
      </w:divBdr>
    </w:div>
    <w:div w:id="1721637646">
      <w:marLeft w:val="0"/>
      <w:marRight w:val="0"/>
      <w:marTop w:val="0"/>
      <w:marBottom w:val="0"/>
      <w:divBdr>
        <w:top w:val="none" w:sz="0" w:space="0" w:color="auto"/>
        <w:left w:val="none" w:sz="0" w:space="0" w:color="auto"/>
        <w:bottom w:val="none" w:sz="0" w:space="0" w:color="auto"/>
        <w:right w:val="none" w:sz="0" w:space="0" w:color="auto"/>
      </w:divBdr>
    </w:div>
    <w:div w:id="1722632648">
      <w:marLeft w:val="0"/>
      <w:marRight w:val="0"/>
      <w:marTop w:val="120"/>
      <w:marBottom w:val="120"/>
      <w:divBdr>
        <w:top w:val="none" w:sz="0" w:space="0" w:color="auto"/>
        <w:left w:val="none" w:sz="0" w:space="0" w:color="auto"/>
        <w:bottom w:val="none" w:sz="0" w:space="0" w:color="auto"/>
        <w:right w:val="none" w:sz="0" w:space="0" w:color="auto"/>
      </w:divBdr>
      <w:divsChild>
        <w:div w:id="1037586154">
          <w:marLeft w:val="0"/>
          <w:marRight w:val="0"/>
          <w:marTop w:val="120"/>
          <w:marBottom w:val="0"/>
          <w:divBdr>
            <w:top w:val="none" w:sz="0" w:space="0" w:color="auto"/>
            <w:left w:val="none" w:sz="0" w:space="0" w:color="auto"/>
            <w:bottom w:val="none" w:sz="0" w:space="0" w:color="auto"/>
            <w:right w:val="none" w:sz="0" w:space="0" w:color="auto"/>
          </w:divBdr>
        </w:div>
      </w:divsChild>
    </w:div>
    <w:div w:id="1723216440">
      <w:marLeft w:val="0"/>
      <w:marRight w:val="0"/>
      <w:marTop w:val="120"/>
      <w:marBottom w:val="120"/>
      <w:divBdr>
        <w:top w:val="none" w:sz="0" w:space="0" w:color="auto"/>
        <w:left w:val="none" w:sz="0" w:space="0" w:color="auto"/>
        <w:bottom w:val="none" w:sz="0" w:space="0" w:color="auto"/>
        <w:right w:val="none" w:sz="0" w:space="0" w:color="auto"/>
      </w:divBdr>
    </w:div>
    <w:div w:id="1731341443">
      <w:marLeft w:val="0"/>
      <w:marRight w:val="0"/>
      <w:marTop w:val="120"/>
      <w:marBottom w:val="0"/>
      <w:divBdr>
        <w:top w:val="none" w:sz="0" w:space="0" w:color="auto"/>
        <w:left w:val="none" w:sz="0" w:space="0" w:color="auto"/>
        <w:bottom w:val="none" w:sz="0" w:space="0" w:color="auto"/>
        <w:right w:val="none" w:sz="0" w:space="0" w:color="auto"/>
      </w:divBdr>
    </w:div>
    <w:div w:id="1731924132">
      <w:marLeft w:val="0"/>
      <w:marRight w:val="0"/>
      <w:marTop w:val="120"/>
      <w:marBottom w:val="0"/>
      <w:divBdr>
        <w:top w:val="none" w:sz="0" w:space="0" w:color="auto"/>
        <w:left w:val="none" w:sz="0" w:space="0" w:color="auto"/>
        <w:bottom w:val="none" w:sz="0" w:space="0" w:color="auto"/>
        <w:right w:val="none" w:sz="0" w:space="0" w:color="auto"/>
      </w:divBdr>
    </w:div>
    <w:div w:id="1736315713">
      <w:marLeft w:val="0"/>
      <w:marRight w:val="0"/>
      <w:marTop w:val="0"/>
      <w:marBottom w:val="0"/>
      <w:divBdr>
        <w:top w:val="none" w:sz="0" w:space="0" w:color="auto"/>
        <w:left w:val="none" w:sz="0" w:space="0" w:color="auto"/>
        <w:bottom w:val="none" w:sz="0" w:space="0" w:color="auto"/>
        <w:right w:val="none" w:sz="0" w:space="0" w:color="auto"/>
      </w:divBdr>
      <w:divsChild>
        <w:div w:id="963534684">
          <w:marLeft w:val="0"/>
          <w:marRight w:val="0"/>
          <w:marTop w:val="0"/>
          <w:marBottom w:val="0"/>
          <w:divBdr>
            <w:top w:val="none" w:sz="0" w:space="0" w:color="auto"/>
            <w:left w:val="none" w:sz="0" w:space="0" w:color="auto"/>
            <w:bottom w:val="none" w:sz="0" w:space="0" w:color="auto"/>
            <w:right w:val="none" w:sz="0" w:space="0" w:color="auto"/>
          </w:divBdr>
        </w:div>
      </w:divsChild>
    </w:div>
    <w:div w:id="1741293512">
      <w:marLeft w:val="0"/>
      <w:marRight w:val="0"/>
      <w:marTop w:val="120"/>
      <w:marBottom w:val="0"/>
      <w:divBdr>
        <w:top w:val="none" w:sz="0" w:space="0" w:color="auto"/>
        <w:left w:val="none" w:sz="0" w:space="0" w:color="auto"/>
        <w:bottom w:val="none" w:sz="0" w:space="0" w:color="auto"/>
        <w:right w:val="none" w:sz="0" w:space="0" w:color="auto"/>
      </w:divBdr>
    </w:div>
    <w:div w:id="1745948810">
      <w:marLeft w:val="0"/>
      <w:marRight w:val="0"/>
      <w:marTop w:val="0"/>
      <w:marBottom w:val="0"/>
      <w:divBdr>
        <w:top w:val="none" w:sz="0" w:space="0" w:color="auto"/>
        <w:left w:val="none" w:sz="0" w:space="0" w:color="auto"/>
        <w:bottom w:val="none" w:sz="0" w:space="0" w:color="auto"/>
        <w:right w:val="none" w:sz="0" w:space="0" w:color="auto"/>
      </w:divBdr>
    </w:div>
    <w:div w:id="1748528105">
      <w:marLeft w:val="0"/>
      <w:marRight w:val="0"/>
      <w:marTop w:val="120"/>
      <w:marBottom w:val="120"/>
      <w:divBdr>
        <w:top w:val="none" w:sz="0" w:space="0" w:color="auto"/>
        <w:left w:val="none" w:sz="0" w:space="0" w:color="auto"/>
        <w:bottom w:val="none" w:sz="0" w:space="0" w:color="auto"/>
        <w:right w:val="none" w:sz="0" w:space="0" w:color="auto"/>
      </w:divBdr>
    </w:div>
    <w:div w:id="1750694181">
      <w:marLeft w:val="0"/>
      <w:marRight w:val="0"/>
      <w:marTop w:val="0"/>
      <w:marBottom w:val="0"/>
      <w:divBdr>
        <w:top w:val="none" w:sz="0" w:space="0" w:color="auto"/>
        <w:left w:val="none" w:sz="0" w:space="0" w:color="auto"/>
        <w:bottom w:val="none" w:sz="0" w:space="0" w:color="auto"/>
        <w:right w:val="none" w:sz="0" w:space="0" w:color="auto"/>
      </w:divBdr>
    </w:div>
    <w:div w:id="1751079328">
      <w:marLeft w:val="0"/>
      <w:marRight w:val="0"/>
      <w:marTop w:val="120"/>
      <w:marBottom w:val="0"/>
      <w:divBdr>
        <w:top w:val="none" w:sz="0" w:space="0" w:color="auto"/>
        <w:left w:val="none" w:sz="0" w:space="0" w:color="auto"/>
        <w:bottom w:val="none" w:sz="0" w:space="0" w:color="auto"/>
        <w:right w:val="none" w:sz="0" w:space="0" w:color="auto"/>
      </w:divBdr>
    </w:div>
    <w:div w:id="1751807243">
      <w:marLeft w:val="0"/>
      <w:marRight w:val="0"/>
      <w:marTop w:val="120"/>
      <w:marBottom w:val="0"/>
      <w:divBdr>
        <w:top w:val="none" w:sz="0" w:space="0" w:color="auto"/>
        <w:left w:val="none" w:sz="0" w:space="0" w:color="auto"/>
        <w:bottom w:val="none" w:sz="0" w:space="0" w:color="auto"/>
        <w:right w:val="none" w:sz="0" w:space="0" w:color="auto"/>
      </w:divBdr>
    </w:div>
    <w:div w:id="1753505861">
      <w:marLeft w:val="0"/>
      <w:marRight w:val="0"/>
      <w:marTop w:val="240"/>
      <w:marBottom w:val="0"/>
      <w:divBdr>
        <w:top w:val="none" w:sz="0" w:space="0" w:color="auto"/>
        <w:left w:val="none" w:sz="0" w:space="0" w:color="auto"/>
        <w:bottom w:val="none" w:sz="0" w:space="0" w:color="auto"/>
        <w:right w:val="none" w:sz="0" w:space="0" w:color="auto"/>
      </w:divBdr>
    </w:div>
    <w:div w:id="1758164997">
      <w:marLeft w:val="0"/>
      <w:marRight w:val="0"/>
      <w:marTop w:val="180"/>
      <w:marBottom w:val="0"/>
      <w:divBdr>
        <w:top w:val="none" w:sz="0" w:space="0" w:color="auto"/>
        <w:left w:val="none" w:sz="0" w:space="0" w:color="auto"/>
        <w:bottom w:val="none" w:sz="0" w:space="0" w:color="auto"/>
        <w:right w:val="none" w:sz="0" w:space="0" w:color="auto"/>
      </w:divBdr>
    </w:div>
    <w:div w:id="1764837411">
      <w:marLeft w:val="0"/>
      <w:marRight w:val="0"/>
      <w:marTop w:val="0"/>
      <w:marBottom w:val="120"/>
      <w:divBdr>
        <w:top w:val="none" w:sz="0" w:space="0" w:color="auto"/>
        <w:left w:val="none" w:sz="0" w:space="0" w:color="auto"/>
        <w:bottom w:val="none" w:sz="0" w:space="0" w:color="auto"/>
        <w:right w:val="none" w:sz="0" w:space="0" w:color="auto"/>
      </w:divBdr>
    </w:div>
    <w:div w:id="1766533417">
      <w:marLeft w:val="0"/>
      <w:marRight w:val="0"/>
      <w:marTop w:val="120"/>
      <w:marBottom w:val="0"/>
      <w:divBdr>
        <w:top w:val="none" w:sz="0" w:space="0" w:color="auto"/>
        <w:left w:val="none" w:sz="0" w:space="0" w:color="auto"/>
        <w:bottom w:val="none" w:sz="0" w:space="0" w:color="auto"/>
        <w:right w:val="none" w:sz="0" w:space="0" w:color="auto"/>
      </w:divBdr>
    </w:div>
    <w:div w:id="1766612439">
      <w:marLeft w:val="0"/>
      <w:marRight w:val="0"/>
      <w:marTop w:val="0"/>
      <w:marBottom w:val="120"/>
      <w:divBdr>
        <w:top w:val="none" w:sz="0" w:space="0" w:color="auto"/>
        <w:left w:val="none" w:sz="0" w:space="0" w:color="auto"/>
        <w:bottom w:val="none" w:sz="0" w:space="0" w:color="auto"/>
        <w:right w:val="none" w:sz="0" w:space="0" w:color="auto"/>
      </w:divBdr>
    </w:div>
    <w:div w:id="1770151419">
      <w:marLeft w:val="0"/>
      <w:marRight w:val="0"/>
      <w:marTop w:val="120"/>
      <w:marBottom w:val="0"/>
      <w:divBdr>
        <w:top w:val="none" w:sz="0" w:space="0" w:color="auto"/>
        <w:left w:val="none" w:sz="0" w:space="0" w:color="auto"/>
        <w:bottom w:val="none" w:sz="0" w:space="0" w:color="auto"/>
        <w:right w:val="none" w:sz="0" w:space="0" w:color="auto"/>
      </w:divBdr>
    </w:div>
    <w:div w:id="1771968839">
      <w:marLeft w:val="0"/>
      <w:marRight w:val="0"/>
      <w:marTop w:val="60"/>
      <w:marBottom w:val="0"/>
      <w:divBdr>
        <w:top w:val="none" w:sz="0" w:space="0" w:color="auto"/>
        <w:left w:val="none" w:sz="0" w:space="0" w:color="auto"/>
        <w:bottom w:val="none" w:sz="0" w:space="0" w:color="auto"/>
        <w:right w:val="none" w:sz="0" w:space="0" w:color="auto"/>
      </w:divBdr>
    </w:div>
    <w:div w:id="1777556430">
      <w:marLeft w:val="0"/>
      <w:marRight w:val="0"/>
      <w:marTop w:val="240"/>
      <w:marBottom w:val="120"/>
      <w:divBdr>
        <w:top w:val="none" w:sz="0" w:space="0" w:color="auto"/>
        <w:left w:val="none" w:sz="0" w:space="0" w:color="auto"/>
        <w:bottom w:val="none" w:sz="0" w:space="0" w:color="auto"/>
        <w:right w:val="none" w:sz="0" w:space="0" w:color="auto"/>
      </w:divBdr>
    </w:div>
    <w:div w:id="1785417412">
      <w:marLeft w:val="0"/>
      <w:marRight w:val="0"/>
      <w:marTop w:val="120"/>
      <w:marBottom w:val="0"/>
      <w:divBdr>
        <w:top w:val="none" w:sz="0" w:space="0" w:color="auto"/>
        <w:left w:val="none" w:sz="0" w:space="0" w:color="auto"/>
        <w:bottom w:val="none" w:sz="0" w:space="0" w:color="auto"/>
        <w:right w:val="none" w:sz="0" w:space="0" w:color="auto"/>
      </w:divBdr>
    </w:div>
    <w:div w:id="1787194003">
      <w:marLeft w:val="0"/>
      <w:marRight w:val="0"/>
      <w:marTop w:val="120"/>
      <w:marBottom w:val="0"/>
      <w:divBdr>
        <w:top w:val="none" w:sz="0" w:space="0" w:color="auto"/>
        <w:left w:val="none" w:sz="0" w:space="0" w:color="auto"/>
        <w:bottom w:val="none" w:sz="0" w:space="0" w:color="auto"/>
        <w:right w:val="none" w:sz="0" w:space="0" w:color="auto"/>
      </w:divBdr>
    </w:div>
    <w:div w:id="1787503495">
      <w:marLeft w:val="0"/>
      <w:marRight w:val="0"/>
      <w:marTop w:val="0"/>
      <w:marBottom w:val="0"/>
      <w:divBdr>
        <w:top w:val="none" w:sz="0" w:space="0" w:color="auto"/>
        <w:left w:val="none" w:sz="0" w:space="0" w:color="auto"/>
        <w:bottom w:val="none" w:sz="0" w:space="0" w:color="auto"/>
        <w:right w:val="none" w:sz="0" w:space="0" w:color="auto"/>
      </w:divBdr>
      <w:divsChild>
        <w:div w:id="77143408">
          <w:marLeft w:val="0"/>
          <w:marRight w:val="0"/>
          <w:marTop w:val="0"/>
          <w:marBottom w:val="0"/>
          <w:divBdr>
            <w:top w:val="none" w:sz="0" w:space="0" w:color="auto"/>
            <w:left w:val="none" w:sz="0" w:space="0" w:color="auto"/>
            <w:bottom w:val="none" w:sz="0" w:space="0" w:color="auto"/>
            <w:right w:val="none" w:sz="0" w:space="0" w:color="auto"/>
          </w:divBdr>
        </w:div>
      </w:divsChild>
    </w:div>
    <w:div w:id="1788700613">
      <w:marLeft w:val="0"/>
      <w:marRight w:val="0"/>
      <w:marTop w:val="0"/>
      <w:marBottom w:val="0"/>
      <w:divBdr>
        <w:top w:val="none" w:sz="0" w:space="0" w:color="auto"/>
        <w:left w:val="none" w:sz="0" w:space="0" w:color="auto"/>
        <w:bottom w:val="none" w:sz="0" w:space="0" w:color="auto"/>
        <w:right w:val="none" w:sz="0" w:space="0" w:color="auto"/>
      </w:divBdr>
      <w:divsChild>
        <w:div w:id="1775438901">
          <w:marLeft w:val="0"/>
          <w:marRight w:val="0"/>
          <w:marTop w:val="0"/>
          <w:marBottom w:val="0"/>
          <w:divBdr>
            <w:top w:val="none" w:sz="0" w:space="0" w:color="auto"/>
            <w:left w:val="none" w:sz="0" w:space="0" w:color="auto"/>
            <w:bottom w:val="none" w:sz="0" w:space="0" w:color="auto"/>
            <w:right w:val="none" w:sz="0" w:space="0" w:color="auto"/>
          </w:divBdr>
        </w:div>
      </w:divsChild>
    </w:div>
    <w:div w:id="1795169466">
      <w:marLeft w:val="0"/>
      <w:marRight w:val="0"/>
      <w:marTop w:val="120"/>
      <w:marBottom w:val="120"/>
      <w:divBdr>
        <w:top w:val="none" w:sz="0" w:space="0" w:color="auto"/>
        <w:left w:val="none" w:sz="0" w:space="0" w:color="auto"/>
        <w:bottom w:val="none" w:sz="0" w:space="0" w:color="auto"/>
        <w:right w:val="none" w:sz="0" w:space="0" w:color="auto"/>
      </w:divBdr>
    </w:div>
    <w:div w:id="1800419861">
      <w:marLeft w:val="0"/>
      <w:marRight w:val="0"/>
      <w:marTop w:val="240"/>
      <w:marBottom w:val="0"/>
      <w:divBdr>
        <w:top w:val="none" w:sz="0" w:space="0" w:color="auto"/>
        <w:left w:val="none" w:sz="0" w:space="0" w:color="auto"/>
        <w:bottom w:val="none" w:sz="0" w:space="0" w:color="auto"/>
        <w:right w:val="none" w:sz="0" w:space="0" w:color="auto"/>
      </w:divBdr>
    </w:div>
    <w:div w:id="1801261107">
      <w:marLeft w:val="0"/>
      <w:marRight w:val="0"/>
      <w:marTop w:val="0"/>
      <w:marBottom w:val="0"/>
      <w:divBdr>
        <w:top w:val="none" w:sz="0" w:space="0" w:color="auto"/>
        <w:left w:val="none" w:sz="0" w:space="0" w:color="auto"/>
        <w:bottom w:val="none" w:sz="0" w:space="0" w:color="auto"/>
        <w:right w:val="none" w:sz="0" w:space="0" w:color="auto"/>
      </w:divBdr>
    </w:div>
    <w:div w:id="1801992100">
      <w:marLeft w:val="0"/>
      <w:marRight w:val="0"/>
      <w:marTop w:val="120"/>
      <w:marBottom w:val="0"/>
      <w:divBdr>
        <w:top w:val="none" w:sz="0" w:space="0" w:color="auto"/>
        <w:left w:val="none" w:sz="0" w:space="0" w:color="auto"/>
        <w:bottom w:val="none" w:sz="0" w:space="0" w:color="auto"/>
        <w:right w:val="none" w:sz="0" w:space="0" w:color="auto"/>
      </w:divBdr>
    </w:div>
    <w:div w:id="1802189830">
      <w:marLeft w:val="0"/>
      <w:marRight w:val="0"/>
      <w:marTop w:val="60"/>
      <w:marBottom w:val="0"/>
      <w:divBdr>
        <w:top w:val="none" w:sz="0" w:space="0" w:color="auto"/>
        <w:left w:val="none" w:sz="0" w:space="0" w:color="auto"/>
        <w:bottom w:val="none" w:sz="0" w:space="0" w:color="auto"/>
        <w:right w:val="none" w:sz="0" w:space="0" w:color="auto"/>
      </w:divBdr>
    </w:div>
    <w:div w:id="1802653142">
      <w:marLeft w:val="0"/>
      <w:marRight w:val="0"/>
      <w:marTop w:val="0"/>
      <w:marBottom w:val="0"/>
      <w:divBdr>
        <w:top w:val="none" w:sz="0" w:space="0" w:color="auto"/>
        <w:left w:val="none" w:sz="0" w:space="0" w:color="auto"/>
        <w:bottom w:val="none" w:sz="0" w:space="0" w:color="auto"/>
        <w:right w:val="none" w:sz="0" w:space="0" w:color="auto"/>
      </w:divBdr>
      <w:divsChild>
        <w:div w:id="1945379144">
          <w:marLeft w:val="0"/>
          <w:marRight w:val="0"/>
          <w:marTop w:val="0"/>
          <w:marBottom w:val="0"/>
          <w:divBdr>
            <w:top w:val="none" w:sz="0" w:space="0" w:color="auto"/>
            <w:left w:val="none" w:sz="0" w:space="0" w:color="auto"/>
            <w:bottom w:val="none" w:sz="0" w:space="0" w:color="auto"/>
            <w:right w:val="none" w:sz="0" w:space="0" w:color="auto"/>
          </w:divBdr>
        </w:div>
      </w:divsChild>
    </w:div>
    <w:div w:id="1803304542">
      <w:marLeft w:val="0"/>
      <w:marRight w:val="0"/>
      <w:marTop w:val="0"/>
      <w:marBottom w:val="120"/>
      <w:divBdr>
        <w:top w:val="none" w:sz="0" w:space="0" w:color="auto"/>
        <w:left w:val="none" w:sz="0" w:space="0" w:color="auto"/>
        <w:bottom w:val="none" w:sz="0" w:space="0" w:color="auto"/>
        <w:right w:val="none" w:sz="0" w:space="0" w:color="auto"/>
      </w:divBdr>
    </w:div>
    <w:div w:id="1803425155">
      <w:marLeft w:val="0"/>
      <w:marRight w:val="0"/>
      <w:marTop w:val="0"/>
      <w:marBottom w:val="0"/>
      <w:divBdr>
        <w:top w:val="none" w:sz="0" w:space="0" w:color="auto"/>
        <w:left w:val="none" w:sz="0" w:space="0" w:color="auto"/>
        <w:bottom w:val="none" w:sz="0" w:space="0" w:color="auto"/>
        <w:right w:val="none" w:sz="0" w:space="0" w:color="auto"/>
      </w:divBdr>
      <w:divsChild>
        <w:div w:id="807480566">
          <w:marLeft w:val="0"/>
          <w:marRight w:val="0"/>
          <w:marTop w:val="0"/>
          <w:marBottom w:val="0"/>
          <w:divBdr>
            <w:top w:val="none" w:sz="0" w:space="0" w:color="auto"/>
            <w:left w:val="none" w:sz="0" w:space="0" w:color="auto"/>
            <w:bottom w:val="none" w:sz="0" w:space="0" w:color="auto"/>
            <w:right w:val="none" w:sz="0" w:space="0" w:color="auto"/>
          </w:divBdr>
        </w:div>
      </w:divsChild>
    </w:div>
    <w:div w:id="1808353151">
      <w:marLeft w:val="0"/>
      <w:marRight w:val="0"/>
      <w:marTop w:val="120"/>
      <w:marBottom w:val="0"/>
      <w:divBdr>
        <w:top w:val="none" w:sz="0" w:space="0" w:color="auto"/>
        <w:left w:val="none" w:sz="0" w:space="0" w:color="auto"/>
        <w:bottom w:val="none" w:sz="0" w:space="0" w:color="auto"/>
        <w:right w:val="none" w:sz="0" w:space="0" w:color="auto"/>
      </w:divBdr>
    </w:div>
    <w:div w:id="1814445033">
      <w:marLeft w:val="0"/>
      <w:marRight w:val="0"/>
      <w:marTop w:val="120"/>
      <w:marBottom w:val="0"/>
      <w:divBdr>
        <w:top w:val="none" w:sz="0" w:space="0" w:color="auto"/>
        <w:left w:val="none" w:sz="0" w:space="0" w:color="auto"/>
        <w:bottom w:val="none" w:sz="0" w:space="0" w:color="auto"/>
        <w:right w:val="none" w:sz="0" w:space="0" w:color="auto"/>
      </w:divBdr>
    </w:div>
    <w:div w:id="1818495097">
      <w:marLeft w:val="0"/>
      <w:marRight w:val="0"/>
      <w:marTop w:val="120"/>
      <w:marBottom w:val="0"/>
      <w:divBdr>
        <w:top w:val="none" w:sz="0" w:space="0" w:color="auto"/>
        <w:left w:val="none" w:sz="0" w:space="0" w:color="auto"/>
        <w:bottom w:val="none" w:sz="0" w:space="0" w:color="auto"/>
        <w:right w:val="none" w:sz="0" w:space="0" w:color="auto"/>
      </w:divBdr>
    </w:div>
    <w:div w:id="1819759525">
      <w:marLeft w:val="0"/>
      <w:marRight w:val="0"/>
      <w:marTop w:val="120"/>
      <w:marBottom w:val="0"/>
      <w:divBdr>
        <w:top w:val="none" w:sz="0" w:space="0" w:color="auto"/>
        <w:left w:val="none" w:sz="0" w:space="0" w:color="auto"/>
        <w:bottom w:val="none" w:sz="0" w:space="0" w:color="auto"/>
        <w:right w:val="none" w:sz="0" w:space="0" w:color="auto"/>
      </w:divBdr>
    </w:div>
    <w:div w:id="1822187537">
      <w:marLeft w:val="0"/>
      <w:marRight w:val="0"/>
      <w:marTop w:val="0"/>
      <w:marBottom w:val="0"/>
      <w:divBdr>
        <w:top w:val="none" w:sz="0" w:space="0" w:color="auto"/>
        <w:left w:val="none" w:sz="0" w:space="0" w:color="auto"/>
        <w:bottom w:val="none" w:sz="0" w:space="0" w:color="auto"/>
        <w:right w:val="none" w:sz="0" w:space="0" w:color="auto"/>
      </w:divBdr>
    </w:div>
    <w:div w:id="1824466014">
      <w:marLeft w:val="0"/>
      <w:marRight w:val="0"/>
      <w:marTop w:val="240"/>
      <w:marBottom w:val="0"/>
      <w:divBdr>
        <w:top w:val="none" w:sz="0" w:space="0" w:color="auto"/>
        <w:left w:val="none" w:sz="0" w:space="0" w:color="auto"/>
        <w:bottom w:val="none" w:sz="0" w:space="0" w:color="auto"/>
        <w:right w:val="none" w:sz="0" w:space="0" w:color="auto"/>
      </w:divBdr>
    </w:div>
    <w:div w:id="1827628811">
      <w:marLeft w:val="0"/>
      <w:marRight w:val="0"/>
      <w:marTop w:val="120"/>
      <w:marBottom w:val="0"/>
      <w:divBdr>
        <w:top w:val="none" w:sz="0" w:space="0" w:color="auto"/>
        <w:left w:val="none" w:sz="0" w:space="0" w:color="auto"/>
        <w:bottom w:val="none" w:sz="0" w:space="0" w:color="auto"/>
        <w:right w:val="none" w:sz="0" w:space="0" w:color="auto"/>
      </w:divBdr>
    </w:div>
    <w:div w:id="1827741016">
      <w:marLeft w:val="0"/>
      <w:marRight w:val="0"/>
      <w:marTop w:val="120"/>
      <w:marBottom w:val="120"/>
      <w:divBdr>
        <w:top w:val="none" w:sz="0" w:space="0" w:color="auto"/>
        <w:left w:val="none" w:sz="0" w:space="0" w:color="auto"/>
        <w:bottom w:val="none" w:sz="0" w:space="0" w:color="auto"/>
        <w:right w:val="none" w:sz="0" w:space="0" w:color="auto"/>
      </w:divBdr>
    </w:div>
    <w:div w:id="1844123588">
      <w:marLeft w:val="0"/>
      <w:marRight w:val="0"/>
      <w:marTop w:val="0"/>
      <w:marBottom w:val="0"/>
      <w:divBdr>
        <w:top w:val="none" w:sz="0" w:space="0" w:color="auto"/>
        <w:left w:val="none" w:sz="0" w:space="0" w:color="auto"/>
        <w:bottom w:val="none" w:sz="0" w:space="0" w:color="auto"/>
        <w:right w:val="none" w:sz="0" w:space="0" w:color="auto"/>
      </w:divBdr>
    </w:div>
    <w:div w:id="1851523078">
      <w:marLeft w:val="0"/>
      <w:marRight w:val="0"/>
      <w:marTop w:val="120"/>
      <w:marBottom w:val="0"/>
      <w:divBdr>
        <w:top w:val="none" w:sz="0" w:space="0" w:color="auto"/>
        <w:left w:val="none" w:sz="0" w:space="0" w:color="auto"/>
        <w:bottom w:val="none" w:sz="0" w:space="0" w:color="auto"/>
        <w:right w:val="none" w:sz="0" w:space="0" w:color="auto"/>
      </w:divBdr>
    </w:div>
    <w:div w:id="1852139585">
      <w:marLeft w:val="0"/>
      <w:marRight w:val="0"/>
      <w:marTop w:val="0"/>
      <w:marBottom w:val="0"/>
      <w:divBdr>
        <w:top w:val="none" w:sz="0" w:space="0" w:color="auto"/>
        <w:left w:val="none" w:sz="0" w:space="0" w:color="auto"/>
        <w:bottom w:val="none" w:sz="0" w:space="0" w:color="auto"/>
        <w:right w:val="none" w:sz="0" w:space="0" w:color="auto"/>
      </w:divBdr>
    </w:div>
    <w:div w:id="1852336314">
      <w:marLeft w:val="0"/>
      <w:marRight w:val="0"/>
      <w:marTop w:val="120"/>
      <w:marBottom w:val="0"/>
      <w:divBdr>
        <w:top w:val="none" w:sz="0" w:space="0" w:color="auto"/>
        <w:left w:val="none" w:sz="0" w:space="0" w:color="auto"/>
        <w:bottom w:val="none" w:sz="0" w:space="0" w:color="auto"/>
        <w:right w:val="none" w:sz="0" w:space="0" w:color="auto"/>
      </w:divBdr>
    </w:div>
    <w:div w:id="1853102118">
      <w:marLeft w:val="0"/>
      <w:marRight w:val="0"/>
      <w:marTop w:val="120"/>
      <w:marBottom w:val="120"/>
      <w:divBdr>
        <w:top w:val="none" w:sz="0" w:space="0" w:color="auto"/>
        <w:left w:val="none" w:sz="0" w:space="0" w:color="auto"/>
        <w:bottom w:val="none" w:sz="0" w:space="0" w:color="auto"/>
        <w:right w:val="none" w:sz="0" w:space="0" w:color="auto"/>
      </w:divBdr>
      <w:divsChild>
        <w:div w:id="1588273402">
          <w:marLeft w:val="0"/>
          <w:marRight w:val="0"/>
          <w:marTop w:val="0"/>
          <w:marBottom w:val="0"/>
          <w:divBdr>
            <w:top w:val="none" w:sz="0" w:space="0" w:color="auto"/>
            <w:left w:val="none" w:sz="0" w:space="0" w:color="auto"/>
            <w:bottom w:val="none" w:sz="0" w:space="0" w:color="auto"/>
            <w:right w:val="none" w:sz="0" w:space="0" w:color="auto"/>
          </w:divBdr>
        </w:div>
      </w:divsChild>
    </w:div>
    <w:div w:id="1853493151">
      <w:marLeft w:val="0"/>
      <w:marRight w:val="0"/>
      <w:marTop w:val="120"/>
      <w:marBottom w:val="0"/>
      <w:divBdr>
        <w:top w:val="none" w:sz="0" w:space="0" w:color="auto"/>
        <w:left w:val="none" w:sz="0" w:space="0" w:color="auto"/>
        <w:bottom w:val="none" w:sz="0" w:space="0" w:color="auto"/>
        <w:right w:val="none" w:sz="0" w:space="0" w:color="auto"/>
      </w:divBdr>
    </w:div>
    <w:div w:id="1861623807">
      <w:marLeft w:val="0"/>
      <w:marRight w:val="0"/>
      <w:marTop w:val="120"/>
      <w:marBottom w:val="0"/>
      <w:divBdr>
        <w:top w:val="none" w:sz="0" w:space="0" w:color="auto"/>
        <w:left w:val="none" w:sz="0" w:space="0" w:color="auto"/>
        <w:bottom w:val="none" w:sz="0" w:space="0" w:color="auto"/>
        <w:right w:val="none" w:sz="0" w:space="0" w:color="auto"/>
      </w:divBdr>
    </w:div>
    <w:div w:id="1862620901">
      <w:marLeft w:val="0"/>
      <w:marRight w:val="0"/>
      <w:marTop w:val="120"/>
      <w:marBottom w:val="0"/>
      <w:divBdr>
        <w:top w:val="none" w:sz="0" w:space="0" w:color="auto"/>
        <w:left w:val="none" w:sz="0" w:space="0" w:color="auto"/>
        <w:bottom w:val="none" w:sz="0" w:space="0" w:color="auto"/>
        <w:right w:val="none" w:sz="0" w:space="0" w:color="auto"/>
      </w:divBdr>
    </w:div>
    <w:div w:id="1875537151">
      <w:marLeft w:val="0"/>
      <w:marRight w:val="0"/>
      <w:marTop w:val="0"/>
      <w:marBottom w:val="0"/>
      <w:divBdr>
        <w:top w:val="none" w:sz="0" w:space="0" w:color="auto"/>
        <w:left w:val="none" w:sz="0" w:space="0" w:color="auto"/>
        <w:bottom w:val="none" w:sz="0" w:space="0" w:color="auto"/>
        <w:right w:val="none" w:sz="0" w:space="0" w:color="auto"/>
      </w:divBdr>
      <w:divsChild>
        <w:div w:id="1537041675">
          <w:marLeft w:val="0"/>
          <w:marRight w:val="0"/>
          <w:marTop w:val="0"/>
          <w:marBottom w:val="0"/>
          <w:divBdr>
            <w:top w:val="none" w:sz="0" w:space="0" w:color="auto"/>
            <w:left w:val="none" w:sz="0" w:space="0" w:color="auto"/>
            <w:bottom w:val="none" w:sz="0" w:space="0" w:color="auto"/>
            <w:right w:val="none" w:sz="0" w:space="0" w:color="auto"/>
          </w:divBdr>
        </w:div>
      </w:divsChild>
    </w:div>
    <w:div w:id="1877114273">
      <w:marLeft w:val="0"/>
      <w:marRight w:val="0"/>
      <w:marTop w:val="120"/>
      <w:marBottom w:val="0"/>
      <w:divBdr>
        <w:top w:val="none" w:sz="0" w:space="0" w:color="auto"/>
        <w:left w:val="none" w:sz="0" w:space="0" w:color="auto"/>
        <w:bottom w:val="none" w:sz="0" w:space="0" w:color="auto"/>
        <w:right w:val="none" w:sz="0" w:space="0" w:color="auto"/>
      </w:divBdr>
    </w:div>
    <w:div w:id="1885629289">
      <w:marLeft w:val="0"/>
      <w:marRight w:val="0"/>
      <w:marTop w:val="120"/>
      <w:marBottom w:val="0"/>
      <w:divBdr>
        <w:top w:val="none" w:sz="0" w:space="0" w:color="auto"/>
        <w:left w:val="none" w:sz="0" w:space="0" w:color="auto"/>
        <w:bottom w:val="none" w:sz="0" w:space="0" w:color="auto"/>
        <w:right w:val="none" w:sz="0" w:space="0" w:color="auto"/>
      </w:divBdr>
    </w:div>
    <w:div w:id="1893426297">
      <w:marLeft w:val="0"/>
      <w:marRight w:val="0"/>
      <w:marTop w:val="0"/>
      <w:marBottom w:val="0"/>
      <w:divBdr>
        <w:top w:val="none" w:sz="0" w:space="0" w:color="auto"/>
        <w:left w:val="none" w:sz="0" w:space="0" w:color="auto"/>
        <w:bottom w:val="none" w:sz="0" w:space="0" w:color="auto"/>
        <w:right w:val="none" w:sz="0" w:space="0" w:color="auto"/>
      </w:divBdr>
    </w:div>
    <w:div w:id="1901551111">
      <w:marLeft w:val="0"/>
      <w:marRight w:val="0"/>
      <w:marTop w:val="0"/>
      <w:marBottom w:val="0"/>
      <w:divBdr>
        <w:top w:val="none" w:sz="0" w:space="0" w:color="auto"/>
        <w:left w:val="none" w:sz="0" w:space="0" w:color="auto"/>
        <w:bottom w:val="none" w:sz="0" w:space="0" w:color="auto"/>
        <w:right w:val="none" w:sz="0" w:space="0" w:color="auto"/>
      </w:divBdr>
    </w:div>
    <w:div w:id="1902866658">
      <w:marLeft w:val="0"/>
      <w:marRight w:val="0"/>
      <w:marTop w:val="0"/>
      <w:marBottom w:val="0"/>
      <w:divBdr>
        <w:top w:val="none" w:sz="0" w:space="0" w:color="auto"/>
        <w:left w:val="none" w:sz="0" w:space="0" w:color="auto"/>
        <w:bottom w:val="none" w:sz="0" w:space="0" w:color="auto"/>
        <w:right w:val="none" w:sz="0" w:space="0" w:color="auto"/>
      </w:divBdr>
      <w:divsChild>
        <w:div w:id="1522478313">
          <w:marLeft w:val="0"/>
          <w:marRight w:val="0"/>
          <w:marTop w:val="0"/>
          <w:marBottom w:val="0"/>
          <w:divBdr>
            <w:top w:val="none" w:sz="0" w:space="0" w:color="auto"/>
            <w:left w:val="none" w:sz="0" w:space="0" w:color="auto"/>
            <w:bottom w:val="none" w:sz="0" w:space="0" w:color="auto"/>
            <w:right w:val="none" w:sz="0" w:space="0" w:color="auto"/>
          </w:divBdr>
        </w:div>
      </w:divsChild>
    </w:div>
    <w:div w:id="1903249971">
      <w:marLeft w:val="0"/>
      <w:marRight w:val="0"/>
      <w:marTop w:val="120"/>
      <w:marBottom w:val="0"/>
      <w:divBdr>
        <w:top w:val="none" w:sz="0" w:space="0" w:color="auto"/>
        <w:left w:val="none" w:sz="0" w:space="0" w:color="auto"/>
        <w:bottom w:val="none" w:sz="0" w:space="0" w:color="auto"/>
        <w:right w:val="none" w:sz="0" w:space="0" w:color="auto"/>
      </w:divBdr>
    </w:div>
    <w:div w:id="1903297101">
      <w:marLeft w:val="0"/>
      <w:marRight w:val="0"/>
      <w:marTop w:val="120"/>
      <w:marBottom w:val="0"/>
      <w:divBdr>
        <w:top w:val="none" w:sz="0" w:space="0" w:color="auto"/>
        <w:left w:val="none" w:sz="0" w:space="0" w:color="auto"/>
        <w:bottom w:val="none" w:sz="0" w:space="0" w:color="auto"/>
        <w:right w:val="none" w:sz="0" w:space="0" w:color="auto"/>
      </w:divBdr>
    </w:div>
    <w:div w:id="1904214116">
      <w:marLeft w:val="0"/>
      <w:marRight w:val="0"/>
      <w:marTop w:val="120"/>
      <w:marBottom w:val="0"/>
      <w:divBdr>
        <w:top w:val="none" w:sz="0" w:space="0" w:color="auto"/>
        <w:left w:val="none" w:sz="0" w:space="0" w:color="auto"/>
        <w:bottom w:val="none" w:sz="0" w:space="0" w:color="auto"/>
        <w:right w:val="none" w:sz="0" w:space="0" w:color="auto"/>
      </w:divBdr>
    </w:div>
    <w:div w:id="1906452148">
      <w:marLeft w:val="0"/>
      <w:marRight w:val="0"/>
      <w:marTop w:val="0"/>
      <w:marBottom w:val="120"/>
      <w:divBdr>
        <w:top w:val="none" w:sz="0" w:space="0" w:color="auto"/>
        <w:left w:val="none" w:sz="0" w:space="0" w:color="auto"/>
        <w:bottom w:val="none" w:sz="0" w:space="0" w:color="auto"/>
        <w:right w:val="none" w:sz="0" w:space="0" w:color="auto"/>
      </w:divBdr>
    </w:div>
    <w:div w:id="1911499170">
      <w:marLeft w:val="0"/>
      <w:marRight w:val="0"/>
      <w:marTop w:val="0"/>
      <w:marBottom w:val="0"/>
      <w:divBdr>
        <w:top w:val="none" w:sz="0" w:space="0" w:color="auto"/>
        <w:left w:val="none" w:sz="0" w:space="0" w:color="auto"/>
        <w:bottom w:val="none" w:sz="0" w:space="0" w:color="auto"/>
        <w:right w:val="none" w:sz="0" w:space="0" w:color="auto"/>
      </w:divBdr>
    </w:div>
    <w:div w:id="1915241532">
      <w:marLeft w:val="0"/>
      <w:marRight w:val="0"/>
      <w:marTop w:val="240"/>
      <w:marBottom w:val="0"/>
      <w:divBdr>
        <w:top w:val="none" w:sz="0" w:space="0" w:color="auto"/>
        <w:left w:val="none" w:sz="0" w:space="0" w:color="auto"/>
        <w:bottom w:val="none" w:sz="0" w:space="0" w:color="auto"/>
        <w:right w:val="none" w:sz="0" w:space="0" w:color="auto"/>
      </w:divBdr>
    </w:div>
    <w:div w:id="1915621950">
      <w:marLeft w:val="0"/>
      <w:marRight w:val="0"/>
      <w:marTop w:val="0"/>
      <w:marBottom w:val="0"/>
      <w:divBdr>
        <w:top w:val="none" w:sz="0" w:space="0" w:color="auto"/>
        <w:left w:val="none" w:sz="0" w:space="0" w:color="auto"/>
        <w:bottom w:val="none" w:sz="0" w:space="0" w:color="auto"/>
        <w:right w:val="none" w:sz="0" w:space="0" w:color="auto"/>
      </w:divBdr>
      <w:divsChild>
        <w:div w:id="1654338256">
          <w:marLeft w:val="0"/>
          <w:marRight w:val="0"/>
          <w:marTop w:val="0"/>
          <w:marBottom w:val="0"/>
          <w:divBdr>
            <w:top w:val="none" w:sz="0" w:space="0" w:color="auto"/>
            <w:left w:val="none" w:sz="0" w:space="0" w:color="auto"/>
            <w:bottom w:val="none" w:sz="0" w:space="0" w:color="auto"/>
            <w:right w:val="none" w:sz="0" w:space="0" w:color="auto"/>
          </w:divBdr>
        </w:div>
      </w:divsChild>
    </w:div>
    <w:div w:id="1918055354">
      <w:marLeft w:val="0"/>
      <w:marRight w:val="0"/>
      <w:marTop w:val="240"/>
      <w:marBottom w:val="120"/>
      <w:divBdr>
        <w:top w:val="none" w:sz="0" w:space="0" w:color="auto"/>
        <w:left w:val="none" w:sz="0" w:space="0" w:color="auto"/>
        <w:bottom w:val="none" w:sz="0" w:space="0" w:color="auto"/>
        <w:right w:val="none" w:sz="0" w:space="0" w:color="auto"/>
      </w:divBdr>
    </w:div>
    <w:div w:id="1919173005">
      <w:marLeft w:val="0"/>
      <w:marRight w:val="0"/>
      <w:marTop w:val="0"/>
      <w:marBottom w:val="0"/>
      <w:divBdr>
        <w:top w:val="none" w:sz="0" w:space="0" w:color="auto"/>
        <w:left w:val="none" w:sz="0" w:space="0" w:color="auto"/>
        <w:bottom w:val="none" w:sz="0" w:space="0" w:color="auto"/>
        <w:right w:val="none" w:sz="0" w:space="0" w:color="auto"/>
      </w:divBdr>
    </w:div>
    <w:div w:id="1919443430">
      <w:marLeft w:val="0"/>
      <w:marRight w:val="0"/>
      <w:marTop w:val="120"/>
      <w:marBottom w:val="120"/>
      <w:divBdr>
        <w:top w:val="none" w:sz="0" w:space="0" w:color="auto"/>
        <w:left w:val="none" w:sz="0" w:space="0" w:color="auto"/>
        <w:bottom w:val="none" w:sz="0" w:space="0" w:color="auto"/>
        <w:right w:val="none" w:sz="0" w:space="0" w:color="auto"/>
      </w:divBdr>
    </w:div>
    <w:div w:id="1919753506">
      <w:marLeft w:val="0"/>
      <w:marRight w:val="0"/>
      <w:marTop w:val="0"/>
      <w:marBottom w:val="0"/>
      <w:divBdr>
        <w:top w:val="none" w:sz="0" w:space="0" w:color="auto"/>
        <w:left w:val="none" w:sz="0" w:space="0" w:color="auto"/>
        <w:bottom w:val="none" w:sz="0" w:space="0" w:color="auto"/>
        <w:right w:val="none" w:sz="0" w:space="0" w:color="auto"/>
      </w:divBdr>
    </w:div>
    <w:div w:id="1925070565">
      <w:marLeft w:val="0"/>
      <w:marRight w:val="0"/>
      <w:marTop w:val="0"/>
      <w:marBottom w:val="0"/>
      <w:divBdr>
        <w:top w:val="none" w:sz="0" w:space="0" w:color="auto"/>
        <w:left w:val="none" w:sz="0" w:space="0" w:color="auto"/>
        <w:bottom w:val="none" w:sz="0" w:space="0" w:color="auto"/>
        <w:right w:val="none" w:sz="0" w:space="0" w:color="auto"/>
      </w:divBdr>
      <w:divsChild>
        <w:div w:id="1872455180">
          <w:marLeft w:val="0"/>
          <w:marRight w:val="0"/>
          <w:marTop w:val="0"/>
          <w:marBottom w:val="0"/>
          <w:divBdr>
            <w:top w:val="none" w:sz="0" w:space="0" w:color="auto"/>
            <w:left w:val="none" w:sz="0" w:space="0" w:color="auto"/>
            <w:bottom w:val="none" w:sz="0" w:space="0" w:color="auto"/>
            <w:right w:val="none" w:sz="0" w:space="0" w:color="auto"/>
          </w:divBdr>
        </w:div>
      </w:divsChild>
    </w:div>
    <w:div w:id="1932154880">
      <w:marLeft w:val="0"/>
      <w:marRight w:val="0"/>
      <w:marTop w:val="120"/>
      <w:marBottom w:val="120"/>
      <w:divBdr>
        <w:top w:val="none" w:sz="0" w:space="0" w:color="auto"/>
        <w:left w:val="none" w:sz="0" w:space="0" w:color="auto"/>
        <w:bottom w:val="none" w:sz="0" w:space="0" w:color="auto"/>
        <w:right w:val="none" w:sz="0" w:space="0" w:color="auto"/>
      </w:divBdr>
    </w:div>
    <w:div w:id="1938437909">
      <w:marLeft w:val="0"/>
      <w:marRight w:val="0"/>
      <w:marTop w:val="0"/>
      <w:marBottom w:val="0"/>
      <w:divBdr>
        <w:top w:val="none" w:sz="0" w:space="0" w:color="auto"/>
        <w:left w:val="none" w:sz="0" w:space="0" w:color="auto"/>
        <w:bottom w:val="none" w:sz="0" w:space="0" w:color="auto"/>
        <w:right w:val="none" w:sz="0" w:space="0" w:color="auto"/>
      </w:divBdr>
    </w:div>
    <w:div w:id="1938557617">
      <w:marLeft w:val="0"/>
      <w:marRight w:val="0"/>
      <w:marTop w:val="120"/>
      <w:marBottom w:val="0"/>
      <w:divBdr>
        <w:top w:val="none" w:sz="0" w:space="0" w:color="auto"/>
        <w:left w:val="none" w:sz="0" w:space="0" w:color="auto"/>
        <w:bottom w:val="none" w:sz="0" w:space="0" w:color="auto"/>
        <w:right w:val="none" w:sz="0" w:space="0" w:color="auto"/>
      </w:divBdr>
    </w:div>
    <w:div w:id="1941251468">
      <w:marLeft w:val="0"/>
      <w:marRight w:val="0"/>
      <w:marTop w:val="0"/>
      <w:marBottom w:val="0"/>
      <w:divBdr>
        <w:top w:val="none" w:sz="0" w:space="0" w:color="auto"/>
        <w:left w:val="none" w:sz="0" w:space="0" w:color="auto"/>
        <w:bottom w:val="none" w:sz="0" w:space="0" w:color="auto"/>
        <w:right w:val="none" w:sz="0" w:space="0" w:color="auto"/>
      </w:divBdr>
    </w:div>
    <w:div w:id="1941713738">
      <w:marLeft w:val="0"/>
      <w:marRight w:val="0"/>
      <w:marTop w:val="120"/>
      <w:marBottom w:val="240"/>
      <w:divBdr>
        <w:top w:val="none" w:sz="0" w:space="0" w:color="auto"/>
        <w:left w:val="none" w:sz="0" w:space="0" w:color="auto"/>
        <w:bottom w:val="none" w:sz="0" w:space="0" w:color="auto"/>
        <w:right w:val="none" w:sz="0" w:space="0" w:color="auto"/>
      </w:divBdr>
    </w:div>
    <w:div w:id="1942493357">
      <w:marLeft w:val="0"/>
      <w:marRight w:val="0"/>
      <w:marTop w:val="120"/>
      <w:marBottom w:val="120"/>
      <w:divBdr>
        <w:top w:val="none" w:sz="0" w:space="0" w:color="auto"/>
        <w:left w:val="none" w:sz="0" w:space="0" w:color="auto"/>
        <w:bottom w:val="none" w:sz="0" w:space="0" w:color="auto"/>
        <w:right w:val="none" w:sz="0" w:space="0" w:color="auto"/>
      </w:divBdr>
    </w:div>
    <w:div w:id="1943607869">
      <w:marLeft w:val="0"/>
      <w:marRight w:val="0"/>
      <w:marTop w:val="120"/>
      <w:marBottom w:val="0"/>
      <w:divBdr>
        <w:top w:val="none" w:sz="0" w:space="0" w:color="auto"/>
        <w:left w:val="none" w:sz="0" w:space="0" w:color="auto"/>
        <w:bottom w:val="none" w:sz="0" w:space="0" w:color="auto"/>
        <w:right w:val="none" w:sz="0" w:space="0" w:color="auto"/>
      </w:divBdr>
    </w:div>
    <w:div w:id="1947156678">
      <w:marLeft w:val="0"/>
      <w:marRight w:val="0"/>
      <w:marTop w:val="0"/>
      <w:marBottom w:val="0"/>
      <w:divBdr>
        <w:top w:val="none" w:sz="0" w:space="0" w:color="auto"/>
        <w:left w:val="none" w:sz="0" w:space="0" w:color="auto"/>
        <w:bottom w:val="none" w:sz="0" w:space="0" w:color="auto"/>
        <w:right w:val="none" w:sz="0" w:space="0" w:color="auto"/>
      </w:divBdr>
    </w:div>
    <w:div w:id="1951087428">
      <w:marLeft w:val="0"/>
      <w:marRight w:val="0"/>
      <w:marTop w:val="0"/>
      <w:marBottom w:val="0"/>
      <w:divBdr>
        <w:top w:val="none" w:sz="0" w:space="0" w:color="auto"/>
        <w:left w:val="none" w:sz="0" w:space="0" w:color="auto"/>
        <w:bottom w:val="none" w:sz="0" w:space="0" w:color="auto"/>
        <w:right w:val="none" w:sz="0" w:space="0" w:color="auto"/>
      </w:divBdr>
      <w:divsChild>
        <w:div w:id="1101804310">
          <w:marLeft w:val="0"/>
          <w:marRight w:val="0"/>
          <w:marTop w:val="0"/>
          <w:marBottom w:val="0"/>
          <w:divBdr>
            <w:top w:val="none" w:sz="0" w:space="0" w:color="auto"/>
            <w:left w:val="none" w:sz="0" w:space="0" w:color="auto"/>
            <w:bottom w:val="none" w:sz="0" w:space="0" w:color="auto"/>
            <w:right w:val="none" w:sz="0" w:space="0" w:color="auto"/>
          </w:divBdr>
        </w:div>
      </w:divsChild>
    </w:div>
    <w:div w:id="1951547531">
      <w:marLeft w:val="0"/>
      <w:marRight w:val="0"/>
      <w:marTop w:val="0"/>
      <w:marBottom w:val="0"/>
      <w:divBdr>
        <w:top w:val="none" w:sz="0" w:space="0" w:color="auto"/>
        <w:left w:val="none" w:sz="0" w:space="0" w:color="auto"/>
        <w:bottom w:val="none" w:sz="0" w:space="0" w:color="auto"/>
        <w:right w:val="none" w:sz="0" w:space="0" w:color="auto"/>
      </w:divBdr>
      <w:divsChild>
        <w:div w:id="2122608344">
          <w:marLeft w:val="0"/>
          <w:marRight w:val="0"/>
          <w:marTop w:val="0"/>
          <w:marBottom w:val="0"/>
          <w:divBdr>
            <w:top w:val="none" w:sz="0" w:space="0" w:color="auto"/>
            <w:left w:val="none" w:sz="0" w:space="0" w:color="auto"/>
            <w:bottom w:val="none" w:sz="0" w:space="0" w:color="auto"/>
            <w:right w:val="none" w:sz="0" w:space="0" w:color="auto"/>
          </w:divBdr>
        </w:div>
      </w:divsChild>
    </w:div>
    <w:div w:id="1955207095">
      <w:marLeft w:val="0"/>
      <w:marRight w:val="0"/>
      <w:marTop w:val="120"/>
      <w:marBottom w:val="0"/>
      <w:divBdr>
        <w:top w:val="none" w:sz="0" w:space="0" w:color="auto"/>
        <w:left w:val="none" w:sz="0" w:space="0" w:color="auto"/>
        <w:bottom w:val="none" w:sz="0" w:space="0" w:color="auto"/>
        <w:right w:val="none" w:sz="0" w:space="0" w:color="auto"/>
      </w:divBdr>
    </w:div>
    <w:div w:id="1959339230">
      <w:marLeft w:val="0"/>
      <w:marRight w:val="0"/>
      <w:marTop w:val="120"/>
      <w:marBottom w:val="120"/>
      <w:divBdr>
        <w:top w:val="none" w:sz="0" w:space="0" w:color="auto"/>
        <w:left w:val="none" w:sz="0" w:space="0" w:color="auto"/>
        <w:bottom w:val="none" w:sz="0" w:space="0" w:color="auto"/>
        <w:right w:val="none" w:sz="0" w:space="0" w:color="auto"/>
      </w:divBdr>
    </w:div>
    <w:div w:id="1961566098">
      <w:marLeft w:val="0"/>
      <w:marRight w:val="0"/>
      <w:marTop w:val="120"/>
      <w:marBottom w:val="0"/>
      <w:divBdr>
        <w:top w:val="none" w:sz="0" w:space="0" w:color="auto"/>
        <w:left w:val="none" w:sz="0" w:space="0" w:color="auto"/>
        <w:bottom w:val="none" w:sz="0" w:space="0" w:color="auto"/>
        <w:right w:val="none" w:sz="0" w:space="0" w:color="auto"/>
      </w:divBdr>
    </w:div>
    <w:div w:id="1962027086">
      <w:marLeft w:val="0"/>
      <w:marRight w:val="0"/>
      <w:marTop w:val="0"/>
      <w:marBottom w:val="0"/>
      <w:divBdr>
        <w:top w:val="none" w:sz="0" w:space="0" w:color="auto"/>
        <w:left w:val="none" w:sz="0" w:space="0" w:color="auto"/>
        <w:bottom w:val="none" w:sz="0" w:space="0" w:color="auto"/>
        <w:right w:val="none" w:sz="0" w:space="0" w:color="auto"/>
      </w:divBdr>
    </w:div>
    <w:div w:id="1964460224">
      <w:marLeft w:val="0"/>
      <w:marRight w:val="0"/>
      <w:marTop w:val="120"/>
      <w:marBottom w:val="120"/>
      <w:divBdr>
        <w:top w:val="none" w:sz="0" w:space="0" w:color="auto"/>
        <w:left w:val="none" w:sz="0" w:space="0" w:color="auto"/>
        <w:bottom w:val="none" w:sz="0" w:space="0" w:color="auto"/>
        <w:right w:val="none" w:sz="0" w:space="0" w:color="auto"/>
      </w:divBdr>
    </w:div>
    <w:div w:id="1966306056">
      <w:marLeft w:val="0"/>
      <w:marRight w:val="0"/>
      <w:marTop w:val="120"/>
      <w:marBottom w:val="0"/>
      <w:divBdr>
        <w:top w:val="none" w:sz="0" w:space="0" w:color="auto"/>
        <w:left w:val="none" w:sz="0" w:space="0" w:color="auto"/>
        <w:bottom w:val="none" w:sz="0" w:space="0" w:color="auto"/>
        <w:right w:val="none" w:sz="0" w:space="0" w:color="auto"/>
      </w:divBdr>
    </w:div>
    <w:div w:id="1971595731">
      <w:marLeft w:val="0"/>
      <w:marRight w:val="0"/>
      <w:marTop w:val="0"/>
      <w:marBottom w:val="0"/>
      <w:divBdr>
        <w:top w:val="none" w:sz="0" w:space="0" w:color="auto"/>
        <w:left w:val="none" w:sz="0" w:space="0" w:color="auto"/>
        <w:bottom w:val="none" w:sz="0" w:space="0" w:color="auto"/>
        <w:right w:val="none" w:sz="0" w:space="0" w:color="auto"/>
      </w:divBdr>
      <w:divsChild>
        <w:div w:id="2027049426">
          <w:marLeft w:val="0"/>
          <w:marRight w:val="0"/>
          <w:marTop w:val="0"/>
          <w:marBottom w:val="0"/>
          <w:divBdr>
            <w:top w:val="none" w:sz="0" w:space="0" w:color="auto"/>
            <w:left w:val="none" w:sz="0" w:space="0" w:color="auto"/>
            <w:bottom w:val="none" w:sz="0" w:space="0" w:color="auto"/>
            <w:right w:val="none" w:sz="0" w:space="0" w:color="auto"/>
          </w:divBdr>
        </w:div>
      </w:divsChild>
    </w:div>
    <w:div w:id="1976177389">
      <w:marLeft w:val="0"/>
      <w:marRight w:val="0"/>
      <w:marTop w:val="0"/>
      <w:marBottom w:val="0"/>
      <w:divBdr>
        <w:top w:val="none" w:sz="0" w:space="0" w:color="auto"/>
        <w:left w:val="none" w:sz="0" w:space="0" w:color="auto"/>
        <w:bottom w:val="none" w:sz="0" w:space="0" w:color="auto"/>
        <w:right w:val="none" w:sz="0" w:space="0" w:color="auto"/>
      </w:divBdr>
    </w:div>
    <w:div w:id="1981181462">
      <w:marLeft w:val="0"/>
      <w:marRight w:val="0"/>
      <w:marTop w:val="0"/>
      <w:marBottom w:val="0"/>
      <w:divBdr>
        <w:top w:val="none" w:sz="0" w:space="0" w:color="auto"/>
        <w:left w:val="none" w:sz="0" w:space="0" w:color="auto"/>
        <w:bottom w:val="none" w:sz="0" w:space="0" w:color="auto"/>
        <w:right w:val="none" w:sz="0" w:space="0" w:color="auto"/>
      </w:divBdr>
      <w:divsChild>
        <w:div w:id="1125268377">
          <w:marLeft w:val="0"/>
          <w:marRight w:val="0"/>
          <w:marTop w:val="0"/>
          <w:marBottom w:val="0"/>
          <w:divBdr>
            <w:top w:val="none" w:sz="0" w:space="0" w:color="auto"/>
            <w:left w:val="none" w:sz="0" w:space="0" w:color="auto"/>
            <w:bottom w:val="none" w:sz="0" w:space="0" w:color="auto"/>
            <w:right w:val="none" w:sz="0" w:space="0" w:color="auto"/>
          </w:divBdr>
        </w:div>
      </w:divsChild>
    </w:div>
    <w:div w:id="1987975865">
      <w:marLeft w:val="0"/>
      <w:marRight w:val="0"/>
      <w:marTop w:val="0"/>
      <w:marBottom w:val="120"/>
      <w:divBdr>
        <w:top w:val="none" w:sz="0" w:space="0" w:color="auto"/>
        <w:left w:val="none" w:sz="0" w:space="0" w:color="auto"/>
        <w:bottom w:val="none" w:sz="0" w:space="0" w:color="auto"/>
        <w:right w:val="none" w:sz="0" w:space="0" w:color="auto"/>
      </w:divBdr>
    </w:div>
    <w:div w:id="1989939103">
      <w:marLeft w:val="0"/>
      <w:marRight w:val="0"/>
      <w:marTop w:val="120"/>
      <w:marBottom w:val="0"/>
      <w:divBdr>
        <w:top w:val="none" w:sz="0" w:space="0" w:color="auto"/>
        <w:left w:val="none" w:sz="0" w:space="0" w:color="auto"/>
        <w:bottom w:val="none" w:sz="0" w:space="0" w:color="auto"/>
        <w:right w:val="none" w:sz="0" w:space="0" w:color="auto"/>
      </w:divBdr>
    </w:div>
    <w:div w:id="1991665643">
      <w:marLeft w:val="0"/>
      <w:marRight w:val="0"/>
      <w:marTop w:val="120"/>
      <w:marBottom w:val="120"/>
      <w:divBdr>
        <w:top w:val="none" w:sz="0" w:space="0" w:color="auto"/>
        <w:left w:val="none" w:sz="0" w:space="0" w:color="auto"/>
        <w:bottom w:val="none" w:sz="0" w:space="0" w:color="auto"/>
        <w:right w:val="none" w:sz="0" w:space="0" w:color="auto"/>
      </w:divBdr>
    </w:div>
    <w:div w:id="1994796770">
      <w:marLeft w:val="0"/>
      <w:marRight w:val="0"/>
      <w:marTop w:val="0"/>
      <w:marBottom w:val="0"/>
      <w:divBdr>
        <w:top w:val="none" w:sz="0" w:space="0" w:color="auto"/>
        <w:left w:val="none" w:sz="0" w:space="0" w:color="auto"/>
        <w:bottom w:val="none" w:sz="0" w:space="0" w:color="auto"/>
        <w:right w:val="none" w:sz="0" w:space="0" w:color="auto"/>
      </w:divBdr>
    </w:div>
    <w:div w:id="2006932324">
      <w:marLeft w:val="0"/>
      <w:marRight w:val="0"/>
      <w:marTop w:val="0"/>
      <w:marBottom w:val="0"/>
      <w:divBdr>
        <w:top w:val="none" w:sz="0" w:space="0" w:color="auto"/>
        <w:left w:val="none" w:sz="0" w:space="0" w:color="auto"/>
        <w:bottom w:val="none" w:sz="0" w:space="0" w:color="auto"/>
        <w:right w:val="none" w:sz="0" w:space="0" w:color="auto"/>
      </w:divBdr>
    </w:div>
    <w:div w:id="2008365147">
      <w:marLeft w:val="0"/>
      <w:marRight w:val="0"/>
      <w:marTop w:val="0"/>
      <w:marBottom w:val="0"/>
      <w:divBdr>
        <w:top w:val="none" w:sz="0" w:space="0" w:color="auto"/>
        <w:left w:val="none" w:sz="0" w:space="0" w:color="auto"/>
        <w:bottom w:val="none" w:sz="0" w:space="0" w:color="auto"/>
        <w:right w:val="none" w:sz="0" w:space="0" w:color="auto"/>
      </w:divBdr>
      <w:divsChild>
        <w:div w:id="2108230536">
          <w:marLeft w:val="0"/>
          <w:marRight w:val="0"/>
          <w:marTop w:val="0"/>
          <w:marBottom w:val="0"/>
          <w:divBdr>
            <w:top w:val="none" w:sz="0" w:space="0" w:color="auto"/>
            <w:left w:val="none" w:sz="0" w:space="0" w:color="auto"/>
            <w:bottom w:val="none" w:sz="0" w:space="0" w:color="auto"/>
            <w:right w:val="none" w:sz="0" w:space="0" w:color="auto"/>
          </w:divBdr>
        </w:div>
      </w:divsChild>
    </w:div>
    <w:div w:id="2008828788">
      <w:marLeft w:val="0"/>
      <w:marRight w:val="0"/>
      <w:marTop w:val="0"/>
      <w:marBottom w:val="0"/>
      <w:divBdr>
        <w:top w:val="none" w:sz="0" w:space="0" w:color="auto"/>
        <w:left w:val="none" w:sz="0" w:space="0" w:color="auto"/>
        <w:bottom w:val="none" w:sz="0" w:space="0" w:color="auto"/>
        <w:right w:val="none" w:sz="0" w:space="0" w:color="auto"/>
      </w:divBdr>
    </w:div>
    <w:div w:id="2008943116">
      <w:marLeft w:val="0"/>
      <w:marRight w:val="0"/>
      <w:marTop w:val="120"/>
      <w:marBottom w:val="0"/>
      <w:divBdr>
        <w:top w:val="none" w:sz="0" w:space="0" w:color="auto"/>
        <w:left w:val="none" w:sz="0" w:space="0" w:color="auto"/>
        <w:bottom w:val="none" w:sz="0" w:space="0" w:color="auto"/>
        <w:right w:val="none" w:sz="0" w:space="0" w:color="auto"/>
      </w:divBdr>
    </w:div>
    <w:div w:id="2015257373">
      <w:marLeft w:val="0"/>
      <w:marRight w:val="0"/>
      <w:marTop w:val="120"/>
      <w:marBottom w:val="120"/>
      <w:divBdr>
        <w:top w:val="none" w:sz="0" w:space="0" w:color="auto"/>
        <w:left w:val="none" w:sz="0" w:space="0" w:color="auto"/>
        <w:bottom w:val="none" w:sz="0" w:space="0" w:color="auto"/>
        <w:right w:val="none" w:sz="0" w:space="0" w:color="auto"/>
      </w:divBdr>
    </w:div>
    <w:div w:id="2016103884">
      <w:marLeft w:val="0"/>
      <w:marRight w:val="0"/>
      <w:marTop w:val="120"/>
      <w:marBottom w:val="0"/>
      <w:divBdr>
        <w:top w:val="none" w:sz="0" w:space="0" w:color="auto"/>
        <w:left w:val="none" w:sz="0" w:space="0" w:color="auto"/>
        <w:bottom w:val="none" w:sz="0" w:space="0" w:color="auto"/>
        <w:right w:val="none" w:sz="0" w:space="0" w:color="auto"/>
      </w:divBdr>
    </w:div>
    <w:div w:id="2017153627">
      <w:marLeft w:val="0"/>
      <w:marRight w:val="0"/>
      <w:marTop w:val="120"/>
      <w:marBottom w:val="0"/>
      <w:divBdr>
        <w:top w:val="none" w:sz="0" w:space="0" w:color="auto"/>
        <w:left w:val="none" w:sz="0" w:space="0" w:color="auto"/>
        <w:bottom w:val="none" w:sz="0" w:space="0" w:color="auto"/>
        <w:right w:val="none" w:sz="0" w:space="0" w:color="auto"/>
      </w:divBdr>
    </w:div>
    <w:div w:id="2017876214">
      <w:marLeft w:val="0"/>
      <w:marRight w:val="0"/>
      <w:marTop w:val="0"/>
      <w:marBottom w:val="0"/>
      <w:divBdr>
        <w:top w:val="none" w:sz="0" w:space="0" w:color="auto"/>
        <w:left w:val="none" w:sz="0" w:space="0" w:color="auto"/>
        <w:bottom w:val="none" w:sz="0" w:space="0" w:color="auto"/>
        <w:right w:val="none" w:sz="0" w:space="0" w:color="auto"/>
      </w:divBdr>
      <w:divsChild>
        <w:div w:id="710804320">
          <w:marLeft w:val="0"/>
          <w:marRight w:val="0"/>
          <w:marTop w:val="0"/>
          <w:marBottom w:val="0"/>
          <w:divBdr>
            <w:top w:val="none" w:sz="0" w:space="0" w:color="auto"/>
            <w:left w:val="none" w:sz="0" w:space="0" w:color="auto"/>
            <w:bottom w:val="none" w:sz="0" w:space="0" w:color="auto"/>
            <w:right w:val="none" w:sz="0" w:space="0" w:color="auto"/>
          </w:divBdr>
          <w:divsChild>
            <w:div w:id="14902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5503">
      <w:marLeft w:val="0"/>
      <w:marRight w:val="0"/>
      <w:marTop w:val="120"/>
      <w:marBottom w:val="0"/>
      <w:divBdr>
        <w:top w:val="none" w:sz="0" w:space="0" w:color="auto"/>
        <w:left w:val="none" w:sz="0" w:space="0" w:color="auto"/>
        <w:bottom w:val="none" w:sz="0" w:space="0" w:color="auto"/>
        <w:right w:val="none" w:sz="0" w:space="0" w:color="auto"/>
      </w:divBdr>
    </w:div>
    <w:div w:id="2029863972">
      <w:marLeft w:val="0"/>
      <w:marRight w:val="0"/>
      <w:marTop w:val="120"/>
      <w:marBottom w:val="0"/>
      <w:divBdr>
        <w:top w:val="none" w:sz="0" w:space="0" w:color="auto"/>
        <w:left w:val="none" w:sz="0" w:space="0" w:color="auto"/>
        <w:bottom w:val="none" w:sz="0" w:space="0" w:color="auto"/>
        <w:right w:val="none" w:sz="0" w:space="0" w:color="auto"/>
      </w:divBdr>
    </w:div>
    <w:div w:id="2035619614">
      <w:marLeft w:val="0"/>
      <w:marRight w:val="0"/>
      <w:marTop w:val="0"/>
      <w:marBottom w:val="0"/>
      <w:divBdr>
        <w:top w:val="none" w:sz="0" w:space="0" w:color="auto"/>
        <w:left w:val="none" w:sz="0" w:space="0" w:color="auto"/>
        <w:bottom w:val="none" w:sz="0" w:space="0" w:color="auto"/>
        <w:right w:val="none" w:sz="0" w:space="0" w:color="auto"/>
      </w:divBdr>
    </w:div>
    <w:div w:id="2035837442">
      <w:marLeft w:val="0"/>
      <w:marRight w:val="0"/>
      <w:marTop w:val="0"/>
      <w:marBottom w:val="0"/>
      <w:divBdr>
        <w:top w:val="none" w:sz="0" w:space="0" w:color="auto"/>
        <w:left w:val="none" w:sz="0" w:space="0" w:color="auto"/>
        <w:bottom w:val="none" w:sz="0" w:space="0" w:color="auto"/>
        <w:right w:val="none" w:sz="0" w:space="0" w:color="auto"/>
      </w:divBdr>
      <w:divsChild>
        <w:div w:id="1769236387">
          <w:marLeft w:val="0"/>
          <w:marRight w:val="0"/>
          <w:marTop w:val="0"/>
          <w:marBottom w:val="0"/>
          <w:divBdr>
            <w:top w:val="none" w:sz="0" w:space="0" w:color="auto"/>
            <w:left w:val="none" w:sz="0" w:space="0" w:color="auto"/>
            <w:bottom w:val="none" w:sz="0" w:space="0" w:color="auto"/>
            <w:right w:val="none" w:sz="0" w:space="0" w:color="auto"/>
          </w:divBdr>
        </w:div>
      </w:divsChild>
    </w:div>
    <w:div w:id="2036541033">
      <w:marLeft w:val="0"/>
      <w:marRight w:val="0"/>
      <w:marTop w:val="120"/>
      <w:marBottom w:val="0"/>
      <w:divBdr>
        <w:top w:val="none" w:sz="0" w:space="0" w:color="auto"/>
        <w:left w:val="none" w:sz="0" w:space="0" w:color="auto"/>
        <w:bottom w:val="none" w:sz="0" w:space="0" w:color="auto"/>
        <w:right w:val="none" w:sz="0" w:space="0" w:color="auto"/>
      </w:divBdr>
    </w:div>
    <w:div w:id="2038699946">
      <w:marLeft w:val="0"/>
      <w:marRight w:val="0"/>
      <w:marTop w:val="120"/>
      <w:marBottom w:val="0"/>
      <w:divBdr>
        <w:top w:val="none" w:sz="0" w:space="0" w:color="auto"/>
        <w:left w:val="none" w:sz="0" w:space="0" w:color="auto"/>
        <w:bottom w:val="none" w:sz="0" w:space="0" w:color="auto"/>
        <w:right w:val="none" w:sz="0" w:space="0" w:color="auto"/>
      </w:divBdr>
    </w:div>
    <w:div w:id="2039617252">
      <w:marLeft w:val="0"/>
      <w:marRight w:val="0"/>
      <w:marTop w:val="0"/>
      <w:marBottom w:val="0"/>
      <w:divBdr>
        <w:top w:val="none" w:sz="0" w:space="0" w:color="auto"/>
        <w:left w:val="none" w:sz="0" w:space="0" w:color="auto"/>
        <w:bottom w:val="none" w:sz="0" w:space="0" w:color="auto"/>
        <w:right w:val="none" w:sz="0" w:space="0" w:color="auto"/>
      </w:divBdr>
      <w:divsChild>
        <w:div w:id="1041176654">
          <w:marLeft w:val="0"/>
          <w:marRight w:val="0"/>
          <w:marTop w:val="0"/>
          <w:marBottom w:val="0"/>
          <w:divBdr>
            <w:top w:val="none" w:sz="0" w:space="0" w:color="auto"/>
            <w:left w:val="none" w:sz="0" w:space="0" w:color="auto"/>
            <w:bottom w:val="none" w:sz="0" w:space="0" w:color="auto"/>
            <w:right w:val="none" w:sz="0" w:space="0" w:color="auto"/>
          </w:divBdr>
        </w:div>
      </w:divsChild>
    </w:div>
    <w:div w:id="2042627282">
      <w:marLeft w:val="0"/>
      <w:marRight w:val="0"/>
      <w:marTop w:val="120"/>
      <w:marBottom w:val="0"/>
      <w:divBdr>
        <w:top w:val="none" w:sz="0" w:space="0" w:color="auto"/>
        <w:left w:val="none" w:sz="0" w:space="0" w:color="auto"/>
        <w:bottom w:val="none" w:sz="0" w:space="0" w:color="auto"/>
        <w:right w:val="none" w:sz="0" w:space="0" w:color="auto"/>
      </w:divBdr>
    </w:div>
    <w:div w:id="2042850828">
      <w:marLeft w:val="0"/>
      <w:marRight w:val="0"/>
      <w:marTop w:val="0"/>
      <w:marBottom w:val="0"/>
      <w:divBdr>
        <w:top w:val="none" w:sz="0" w:space="0" w:color="auto"/>
        <w:left w:val="none" w:sz="0" w:space="0" w:color="auto"/>
        <w:bottom w:val="none" w:sz="0" w:space="0" w:color="auto"/>
        <w:right w:val="none" w:sz="0" w:space="0" w:color="auto"/>
      </w:divBdr>
    </w:div>
    <w:div w:id="2043508651">
      <w:marLeft w:val="0"/>
      <w:marRight w:val="0"/>
      <w:marTop w:val="120"/>
      <w:marBottom w:val="0"/>
      <w:divBdr>
        <w:top w:val="none" w:sz="0" w:space="0" w:color="auto"/>
        <w:left w:val="none" w:sz="0" w:space="0" w:color="auto"/>
        <w:bottom w:val="none" w:sz="0" w:space="0" w:color="auto"/>
        <w:right w:val="none" w:sz="0" w:space="0" w:color="auto"/>
      </w:divBdr>
    </w:div>
    <w:div w:id="2043703118">
      <w:marLeft w:val="0"/>
      <w:marRight w:val="0"/>
      <w:marTop w:val="120"/>
      <w:marBottom w:val="0"/>
      <w:divBdr>
        <w:top w:val="none" w:sz="0" w:space="0" w:color="auto"/>
        <w:left w:val="none" w:sz="0" w:space="0" w:color="auto"/>
        <w:bottom w:val="none" w:sz="0" w:space="0" w:color="auto"/>
        <w:right w:val="none" w:sz="0" w:space="0" w:color="auto"/>
      </w:divBdr>
    </w:div>
    <w:div w:id="2044134832">
      <w:marLeft w:val="0"/>
      <w:marRight w:val="0"/>
      <w:marTop w:val="0"/>
      <w:marBottom w:val="0"/>
      <w:divBdr>
        <w:top w:val="none" w:sz="0" w:space="0" w:color="auto"/>
        <w:left w:val="none" w:sz="0" w:space="0" w:color="auto"/>
        <w:bottom w:val="none" w:sz="0" w:space="0" w:color="auto"/>
        <w:right w:val="none" w:sz="0" w:space="0" w:color="auto"/>
      </w:divBdr>
      <w:divsChild>
        <w:div w:id="1279996157">
          <w:marLeft w:val="0"/>
          <w:marRight w:val="0"/>
          <w:marTop w:val="0"/>
          <w:marBottom w:val="0"/>
          <w:divBdr>
            <w:top w:val="none" w:sz="0" w:space="0" w:color="auto"/>
            <w:left w:val="none" w:sz="0" w:space="0" w:color="auto"/>
            <w:bottom w:val="none" w:sz="0" w:space="0" w:color="auto"/>
            <w:right w:val="none" w:sz="0" w:space="0" w:color="auto"/>
          </w:divBdr>
        </w:div>
      </w:divsChild>
    </w:div>
    <w:div w:id="2047832925">
      <w:marLeft w:val="0"/>
      <w:marRight w:val="0"/>
      <w:marTop w:val="0"/>
      <w:marBottom w:val="120"/>
      <w:divBdr>
        <w:top w:val="none" w:sz="0" w:space="0" w:color="auto"/>
        <w:left w:val="none" w:sz="0" w:space="0" w:color="auto"/>
        <w:bottom w:val="none" w:sz="0" w:space="0" w:color="auto"/>
        <w:right w:val="none" w:sz="0" w:space="0" w:color="auto"/>
      </w:divBdr>
      <w:divsChild>
        <w:div w:id="738016937">
          <w:marLeft w:val="0"/>
          <w:marRight w:val="0"/>
          <w:marTop w:val="120"/>
          <w:marBottom w:val="0"/>
          <w:divBdr>
            <w:top w:val="none" w:sz="0" w:space="0" w:color="auto"/>
            <w:left w:val="none" w:sz="0" w:space="0" w:color="auto"/>
            <w:bottom w:val="none" w:sz="0" w:space="0" w:color="auto"/>
            <w:right w:val="none" w:sz="0" w:space="0" w:color="auto"/>
          </w:divBdr>
        </w:div>
      </w:divsChild>
    </w:div>
    <w:div w:id="2049329773">
      <w:marLeft w:val="0"/>
      <w:marRight w:val="0"/>
      <w:marTop w:val="120"/>
      <w:marBottom w:val="120"/>
      <w:divBdr>
        <w:top w:val="none" w:sz="0" w:space="0" w:color="auto"/>
        <w:left w:val="none" w:sz="0" w:space="0" w:color="auto"/>
        <w:bottom w:val="none" w:sz="0" w:space="0" w:color="auto"/>
        <w:right w:val="none" w:sz="0" w:space="0" w:color="auto"/>
      </w:divBdr>
    </w:div>
    <w:div w:id="2049989410">
      <w:marLeft w:val="0"/>
      <w:marRight w:val="0"/>
      <w:marTop w:val="120"/>
      <w:marBottom w:val="0"/>
      <w:divBdr>
        <w:top w:val="none" w:sz="0" w:space="0" w:color="auto"/>
        <w:left w:val="none" w:sz="0" w:space="0" w:color="auto"/>
        <w:bottom w:val="none" w:sz="0" w:space="0" w:color="auto"/>
        <w:right w:val="none" w:sz="0" w:space="0" w:color="auto"/>
      </w:divBdr>
    </w:div>
    <w:div w:id="2050255284">
      <w:marLeft w:val="0"/>
      <w:marRight w:val="0"/>
      <w:marTop w:val="120"/>
      <w:marBottom w:val="120"/>
      <w:divBdr>
        <w:top w:val="none" w:sz="0" w:space="0" w:color="auto"/>
        <w:left w:val="none" w:sz="0" w:space="0" w:color="auto"/>
        <w:bottom w:val="none" w:sz="0" w:space="0" w:color="auto"/>
        <w:right w:val="none" w:sz="0" w:space="0" w:color="auto"/>
      </w:divBdr>
    </w:div>
    <w:div w:id="2050716520">
      <w:marLeft w:val="0"/>
      <w:marRight w:val="0"/>
      <w:marTop w:val="120"/>
      <w:marBottom w:val="0"/>
      <w:divBdr>
        <w:top w:val="none" w:sz="0" w:space="0" w:color="auto"/>
        <w:left w:val="none" w:sz="0" w:space="0" w:color="auto"/>
        <w:bottom w:val="none" w:sz="0" w:space="0" w:color="auto"/>
        <w:right w:val="none" w:sz="0" w:space="0" w:color="auto"/>
      </w:divBdr>
    </w:div>
    <w:div w:id="2052266569">
      <w:marLeft w:val="0"/>
      <w:marRight w:val="0"/>
      <w:marTop w:val="120"/>
      <w:marBottom w:val="0"/>
      <w:divBdr>
        <w:top w:val="none" w:sz="0" w:space="0" w:color="auto"/>
        <w:left w:val="none" w:sz="0" w:space="0" w:color="auto"/>
        <w:bottom w:val="none" w:sz="0" w:space="0" w:color="auto"/>
        <w:right w:val="none" w:sz="0" w:space="0" w:color="auto"/>
      </w:divBdr>
    </w:div>
    <w:div w:id="2053000437">
      <w:marLeft w:val="0"/>
      <w:marRight w:val="0"/>
      <w:marTop w:val="0"/>
      <w:marBottom w:val="0"/>
      <w:divBdr>
        <w:top w:val="none" w:sz="0" w:space="0" w:color="auto"/>
        <w:left w:val="none" w:sz="0" w:space="0" w:color="auto"/>
        <w:bottom w:val="none" w:sz="0" w:space="0" w:color="auto"/>
        <w:right w:val="none" w:sz="0" w:space="0" w:color="auto"/>
      </w:divBdr>
    </w:div>
    <w:div w:id="2056662715">
      <w:marLeft w:val="0"/>
      <w:marRight w:val="0"/>
      <w:marTop w:val="120"/>
      <w:marBottom w:val="0"/>
      <w:divBdr>
        <w:top w:val="none" w:sz="0" w:space="0" w:color="auto"/>
        <w:left w:val="none" w:sz="0" w:space="0" w:color="auto"/>
        <w:bottom w:val="none" w:sz="0" w:space="0" w:color="auto"/>
        <w:right w:val="none" w:sz="0" w:space="0" w:color="auto"/>
      </w:divBdr>
    </w:div>
    <w:div w:id="2061980019">
      <w:marLeft w:val="0"/>
      <w:marRight w:val="0"/>
      <w:marTop w:val="0"/>
      <w:marBottom w:val="0"/>
      <w:divBdr>
        <w:top w:val="none" w:sz="0" w:space="0" w:color="auto"/>
        <w:left w:val="none" w:sz="0" w:space="0" w:color="auto"/>
        <w:bottom w:val="none" w:sz="0" w:space="0" w:color="auto"/>
        <w:right w:val="none" w:sz="0" w:space="0" w:color="auto"/>
      </w:divBdr>
      <w:divsChild>
        <w:div w:id="129831500">
          <w:marLeft w:val="0"/>
          <w:marRight w:val="0"/>
          <w:marTop w:val="0"/>
          <w:marBottom w:val="0"/>
          <w:divBdr>
            <w:top w:val="none" w:sz="0" w:space="0" w:color="auto"/>
            <w:left w:val="none" w:sz="0" w:space="0" w:color="auto"/>
            <w:bottom w:val="none" w:sz="0" w:space="0" w:color="auto"/>
            <w:right w:val="none" w:sz="0" w:space="0" w:color="auto"/>
          </w:divBdr>
        </w:div>
      </w:divsChild>
    </w:div>
    <w:div w:id="2063097939">
      <w:marLeft w:val="0"/>
      <w:marRight w:val="0"/>
      <w:marTop w:val="120"/>
      <w:marBottom w:val="0"/>
      <w:divBdr>
        <w:top w:val="none" w:sz="0" w:space="0" w:color="auto"/>
        <w:left w:val="none" w:sz="0" w:space="0" w:color="auto"/>
        <w:bottom w:val="none" w:sz="0" w:space="0" w:color="auto"/>
        <w:right w:val="none" w:sz="0" w:space="0" w:color="auto"/>
      </w:divBdr>
    </w:div>
    <w:div w:id="2064672685">
      <w:marLeft w:val="0"/>
      <w:marRight w:val="0"/>
      <w:marTop w:val="0"/>
      <w:marBottom w:val="0"/>
      <w:divBdr>
        <w:top w:val="none" w:sz="0" w:space="0" w:color="auto"/>
        <w:left w:val="none" w:sz="0" w:space="0" w:color="auto"/>
        <w:bottom w:val="none" w:sz="0" w:space="0" w:color="auto"/>
        <w:right w:val="none" w:sz="0" w:space="0" w:color="auto"/>
      </w:divBdr>
      <w:divsChild>
        <w:div w:id="1734043385">
          <w:marLeft w:val="0"/>
          <w:marRight w:val="0"/>
          <w:marTop w:val="0"/>
          <w:marBottom w:val="0"/>
          <w:divBdr>
            <w:top w:val="none" w:sz="0" w:space="0" w:color="auto"/>
            <w:left w:val="none" w:sz="0" w:space="0" w:color="auto"/>
            <w:bottom w:val="none" w:sz="0" w:space="0" w:color="auto"/>
            <w:right w:val="none" w:sz="0" w:space="0" w:color="auto"/>
          </w:divBdr>
        </w:div>
      </w:divsChild>
    </w:div>
    <w:div w:id="2065447903">
      <w:marLeft w:val="0"/>
      <w:marRight w:val="0"/>
      <w:marTop w:val="0"/>
      <w:marBottom w:val="0"/>
      <w:divBdr>
        <w:top w:val="none" w:sz="0" w:space="0" w:color="auto"/>
        <w:left w:val="none" w:sz="0" w:space="0" w:color="auto"/>
        <w:bottom w:val="none" w:sz="0" w:space="0" w:color="auto"/>
        <w:right w:val="none" w:sz="0" w:space="0" w:color="auto"/>
      </w:divBdr>
    </w:div>
    <w:div w:id="2065837397">
      <w:marLeft w:val="0"/>
      <w:marRight w:val="0"/>
      <w:marTop w:val="120"/>
      <w:marBottom w:val="0"/>
      <w:divBdr>
        <w:top w:val="none" w:sz="0" w:space="0" w:color="auto"/>
        <w:left w:val="none" w:sz="0" w:space="0" w:color="auto"/>
        <w:bottom w:val="none" w:sz="0" w:space="0" w:color="auto"/>
        <w:right w:val="none" w:sz="0" w:space="0" w:color="auto"/>
      </w:divBdr>
    </w:div>
    <w:div w:id="2066490452">
      <w:marLeft w:val="0"/>
      <w:marRight w:val="0"/>
      <w:marTop w:val="0"/>
      <w:marBottom w:val="0"/>
      <w:divBdr>
        <w:top w:val="none" w:sz="0" w:space="0" w:color="auto"/>
        <w:left w:val="none" w:sz="0" w:space="0" w:color="auto"/>
        <w:bottom w:val="none" w:sz="0" w:space="0" w:color="auto"/>
        <w:right w:val="none" w:sz="0" w:space="0" w:color="auto"/>
      </w:divBdr>
    </w:div>
    <w:div w:id="2070492183">
      <w:marLeft w:val="0"/>
      <w:marRight w:val="0"/>
      <w:marTop w:val="0"/>
      <w:marBottom w:val="0"/>
      <w:divBdr>
        <w:top w:val="none" w:sz="0" w:space="0" w:color="auto"/>
        <w:left w:val="none" w:sz="0" w:space="0" w:color="auto"/>
        <w:bottom w:val="none" w:sz="0" w:space="0" w:color="auto"/>
        <w:right w:val="none" w:sz="0" w:space="0" w:color="auto"/>
      </w:divBdr>
      <w:divsChild>
        <w:div w:id="706832511">
          <w:marLeft w:val="0"/>
          <w:marRight w:val="0"/>
          <w:marTop w:val="0"/>
          <w:marBottom w:val="0"/>
          <w:divBdr>
            <w:top w:val="none" w:sz="0" w:space="0" w:color="auto"/>
            <w:left w:val="none" w:sz="0" w:space="0" w:color="auto"/>
            <w:bottom w:val="none" w:sz="0" w:space="0" w:color="auto"/>
            <w:right w:val="none" w:sz="0" w:space="0" w:color="auto"/>
          </w:divBdr>
        </w:div>
      </w:divsChild>
    </w:div>
    <w:div w:id="2071079343">
      <w:marLeft w:val="0"/>
      <w:marRight w:val="0"/>
      <w:marTop w:val="120"/>
      <w:marBottom w:val="120"/>
      <w:divBdr>
        <w:top w:val="none" w:sz="0" w:space="0" w:color="auto"/>
        <w:left w:val="none" w:sz="0" w:space="0" w:color="auto"/>
        <w:bottom w:val="none" w:sz="0" w:space="0" w:color="auto"/>
        <w:right w:val="none" w:sz="0" w:space="0" w:color="auto"/>
      </w:divBdr>
    </w:div>
    <w:div w:id="2071341022">
      <w:marLeft w:val="0"/>
      <w:marRight w:val="0"/>
      <w:marTop w:val="120"/>
      <w:marBottom w:val="120"/>
      <w:divBdr>
        <w:top w:val="none" w:sz="0" w:space="0" w:color="auto"/>
        <w:left w:val="none" w:sz="0" w:space="0" w:color="auto"/>
        <w:bottom w:val="none" w:sz="0" w:space="0" w:color="auto"/>
        <w:right w:val="none" w:sz="0" w:space="0" w:color="auto"/>
      </w:divBdr>
    </w:div>
    <w:div w:id="2073040075">
      <w:marLeft w:val="0"/>
      <w:marRight w:val="0"/>
      <w:marTop w:val="0"/>
      <w:marBottom w:val="0"/>
      <w:divBdr>
        <w:top w:val="none" w:sz="0" w:space="0" w:color="auto"/>
        <w:left w:val="none" w:sz="0" w:space="0" w:color="auto"/>
        <w:bottom w:val="none" w:sz="0" w:space="0" w:color="auto"/>
        <w:right w:val="none" w:sz="0" w:space="0" w:color="auto"/>
      </w:divBdr>
    </w:div>
    <w:div w:id="2073307485">
      <w:marLeft w:val="0"/>
      <w:marRight w:val="0"/>
      <w:marTop w:val="120"/>
      <w:marBottom w:val="0"/>
      <w:divBdr>
        <w:top w:val="none" w:sz="0" w:space="0" w:color="auto"/>
        <w:left w:val="none" w:sz="0" w:space="0" w:color="auto"/>
        <w:bottom w:val="none" w:sz="0" w:space="0" w:color="auto"/>
        <w:right w:val="none" w:sz="0" w:space="0" w:color="auto"/>
      </w:divBdr>
    </w:div>
    <w:div w:id="2076470499">
      <w:marLeft w:val="0"/>
      <w:marRight w:val="0"/>
      <w:marTop w:val="0"/>
      <w:marBottom w:val="0"/>
      <w:divBdr>
        <w:top w:val="none" w:sz="0" w:space="0" w:color="auto"/>
        <w:left w:val="none" w:sz="0" w:space="0" w:color="auto"/>
        <w:bottom w:val="none" w:sz="0" w:space="0" w:color="auto"/>
        <w:right w:val="none" w:sz="0" w:space="0" w:color="auto"/>
      </w:divBdr>
    </w:div>
    <w:div w:id="2085949754">
      <w:marLeft w:val="0"/>
      <w:marRight w:val="0"/>
      <w:marTop w:val="120"/>
      <w:marBottom w:val="0"/>
      <w:divBdr>
        <w:top w:val="none" w:sz="0" w:space="0" w:color="auto"/>
        <w:left w:val="none" w:sz="0" w:space="0" w:color="auto"/>
        <w:bottom w:val="none" w:sz="0" w:space="0" w:color="auto"/>
        <w:right w:val="none" w:sz="0" w:space="0" w:color="auto"/>
      </w:divBdr>
    </w:div>
    <w:div w:id="2086800310">
      <w:marLeft w:val="0"/>
      <w:marRight w:val="0"/>
      <w:marTop w:val="120"/>
      <w:marBottom w:val="0"/>
      <w:divBdr>
        <w:top w:val="none" w:sz="0" w:space="0" w:color="auto"/>
        <w:left w:val="none" w:sz="0" w:space="0" w:color="auto"/>
        <w:bottom w:val="none" w:sz="0" w:space="0" w:color="auto"/>
        <w:right w:val="none" w:sz="0" w:space="0" w:color="auto"/>
      </w:divBdr>
    </w:div>
    <w:div w:id="2088843724">
      <w:marLeft w:val="0"/>
      <w:marRight w:val="0"/>
      <w:marTop w:val="0"/>
      <w:marBottom w:val="0"/>
      <w:divBdr>
        <w:top w:val="none" w:sz="0" w:space="0" w:color="auto"/>
        <w:left w:val="none" w:sz="0" w:space="0" w:color="auto"/>
        <w:bottom w:val="none" w:sz="0" w:space="0" w:color="auto"/>
        <w:right w:val="none" w:sz="0" w:space="0" w:color="auto"/>
      </w:divBdr>
    </w:div>
    <w:div w:id="2105297529">
      <w:marLeft w:val="0"/>
      <w:marRight w:val="0"/>
      <w:marTop w:val="120"/>
      <w:marBottom w:val="120"/>
      <w:divBdr>
        <w:top w:val="none" w:sz="0" w:space="0" w:color="auto"/>
        <w:left w:val="none" w:sz="0" w:space="0" w:color="auto"/>
        <w:bottom w:val="none" w:sz="0" w:space="0" w:color="auto"/>
        <w:right w:val="none" w:sz="0" w:space="0" w:color="auto"/>
      </w:divBdr>
    </w:div>
    <w:div w:id="2141458354">
      <w:marLeft w:val="0"/>
      <w:marRight w:val="0"/>
      <w:marTop w:val="120"/>
      <w:marBottom w:val="120"/>
      <w:divBdr>
        <w:top w:val="none" w:sz="0" w:space="0" w:color="auto"/>
        <w:left w:val="none" w:sz="0" w:space="0" w:color="auto"/>
        <w:bottom w:val="none" w:sz="0" w:space="0" w:color="auto"/>
        <w:right w:val="none" w:sz="0" w:space="0" w:color="auto"/>
      </w:divBdr>
    </w:div>
    <w:div w:id="2143037753">
      <w:marLeft w:val="0"/>
      <w:marRight w:val="0"/>
      <w:marTop w:val="120"/>
      <w:marBottom w:val="0"/>
      <w:divBdr>
        <w:top w:val="none" w:sz="0" w:space="0" w:color="auto"/>
        <w:left w:val="none" w:sz="0" w:space="0" w:color="auto"/>
        <w:bottom w:val="none" w:sz="0" w:space="0" w:color="auto"/>
        <w:right w:val="none" w:sz="0" w:space="0" w:color="auto"/>
      </w:divBdr>
    </w:div>
    <w:div w:id="2143233941">
      <w:marLeft w:val="0"/>
      <w:marRight w:val="0"/>
      <w:marTop w:val="0"/>
      <w:marBottom w:val="0"/>
      <w:divBdr>
        <w:top w:val="none" w:sz="0" w:space="0" w:color="auto"/>
        <w:left w:val="none" w:sz="0" w:space="0" w:color="auto"/>
        <w:bottom w:val="none" w:sz="0" w:space="0" w:color="auto"/>
        <w:right w:val="none" w:sz="0" w:space="0" w:color="auto"/>
      </w:divBdr>
    </w:div>
    <w:div w:id="2146311379">
      <w:marLeft w:val="0"/>
      <w:marRight w:val="0"/>
      <w:marTop w:val="0"/>
      <w:marBottom w:val="0"/>
      <w:divBdr>
        <w:top w:val="none" w:sz="0" w:space="0" w:color="auto"/>
        <w:left w:val="none" w:sz="0" w:space="0" w:color="auto"/>
        <w:bottom w:val="none" w:sz="0" w:space="0" w:color="auto"/>
        <w:right w:val="none" w:sz="0" w:space="0" w:color="auto"/>
      </w:divBdr>
      <w:divsChild>
        <w:div w:id="506867931">
          <w:marLeft w:val="0"/>
          <w:marRight w:val="0"/>
          <w:marTop w:val="0"/>
          <w:marBottom w:val="0"/>
          <w:divBdr>
            <w:top w:val="none" w:sz="0" w:space="0" w:color="auto"/>
            <w:left w:val="none" w:sz="0" w:space="0" w:color="auto"/>
            <w:bottom w:val="none" w:sz="0" w:space="0" w:color="auto"/>
            <w:right w:val="none" w:sz="0" w:space="0" w:color="auto"/>
          </w:divBdr>
        </w:div>
      </w:divsChild>
    </w:div>
    <w:div w:id="214651080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804328/000119312517189502/d383851dex42.htm" TargetMode="External"/><Relationship Id="rId18" Type="http://schemas.openxmlformats.org/officeDocument/2006/relationships/hyperlink" Target="http://www.sec.gov/Archives/edgar/data/804328/000119312517189502/d383851dex411.htm" TargetMode="External"/><Relationship Id="rId26" Type="http://schemas.openxmlformats.org/officeDocument/2006/relationships/hyperlink" Target="http://www.sec.gov/Archives/edgar/data/804328/000110465920096322/tm2027698d1_ex4-6.htm" TargetMode="External"/><Relationship Id="rId39" Type="http://schemas.openxmlformats.org/officeDocument/2006/relationships/theme" Target="theme/theme1.xml"/><Relationship Id="rId21" Type="http://schemas.openxmlformats.org/officeDocument/2006/relationships/hyperlink" Target="http://www.sec.gov/Archives/edgar/data/804328/000110465920058923/tm2015417d4_ex4-4.htm" TargetMode="External"/><Relationship Id="rId34" Type="http://schemas.openxmlformats.org/officeDocument/2006/relationships/hyperlink" Target="qcom032821ex311.htm" TargetMode="External"/><Relationship Id="rId7" Type="http://schemas.openxmlformats.org/officeDocument/2006/relationships/hyperlink" Target="http://www.sec.gov/Archives/edgar/data/804328/000119312515195451/d931327dex41.htm" TargetMode="External"/><Relationship Id="rId12" Type="http://schemas.openxmlformats.org/officeDocument/2006/relationships/hyperlink" Target="http://www.sec.gov/Archives/edgar/data/804328/000119312515195451/d931327dex410.htm" TargetMode="External"/><Relationship Id="rId17" Type="http://schemas.openxmlformats.org/officeDocument/2006/relationships/hyperlink" Target="http://www.sec.gov/Archives/edgar/data/804328/000119312517189502/d383851dex410.htm" TargetMode="External"/><Relationship Id="rId25" Type="http://schemas.openxmlformats.org/officeDocument/2006/relationships/hyperlink" Target="http://www.sec.gov/Archives/edgar/data/804328/000110465920096322/tm2027698d1_ex4-5.htm" TargetMode="External"/><Relationship Id="rId33" Type="http://schemas.openxmlformats.org/officeDocument/2006/relationships/hyperlink" Target="qcom032821ex1023.ht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ec.gov/Archives/edgar/data/804328/000119312517189502/d383851dex49.htm" TargetMode="External"/><Relationship Id="rId20" Type="http://schemas.openxmlformats.org/officeDocument/2006/relationships/hyperlink" Target="http://www.sec.gov/Archives/edgar/data/804328/000110465920058923/tm2015417d4_ex4-3.htm" TargetMode="External"/><Relationship Id="rId29" Type="http://schemas.openxmlformats.org/officeDocument/2006/relationships/hyperlink" Target="http://www.sec.gov/Archives/edgar/data/0000804328/000172894921000022/qcom122720ex424.htm" TargetMode="External"/><Relationship Id="rId1" Type="http://schemas.openxmlformats.org/officeDocument/2006/relationships/styles" Target="styles.xml"/><Relationship Id="rId6" Type="http://schemas.openxmlformats.org/officeDocument/2006/relationships/hyperlink" Target="http://www.sec.gov/Archives/edgar/data/804328/000172894918000063/qcom07162018ex31.htm" TargetMode="External"/><Relationship Id="rId11" Type="http://schemas.openxmlformats.org/officeDocument/2006/relationships/hyperlink" Target="http://www.sec.gov/Archives/edgar/data/804328/000119312515195451/d931327dex49.htm" TargetMode="External"/><Relationship Id="rId24" Type="http://schemas.openxmlformats.org/officeDocument/2006/relationships/hyperlink" Target="http://www.sec.gov/Archives/edgar/data/804328/000110465920096322/tm2027698d1_ex4-4.htm" TargetMode="External"/><Relationship Id="rId32" Type="http://schemas.openxmlformats.org/officeDocument/2006/relationships/hyperlink" Target="qcom032821ex108.htm" TargetMode="External"/><Relationship Id="rId37" Type="http://schemas.openxmlformats.org/officeDocument/2006/relationships/hyperlink" Target="qcom032821ex322.htm" TargetMode="External"/><Relationship Id="rId5" Type="http://schemas.openxmlformats.org/officeDocument/2006/relationships/hyperlink" Target="http://www.sec.gov/Archives/edgar/data/804328/000172894918000029/qcom04182018ex31.htm" TargetMode="External"/><Relationship Id="rId15" Type="http://schemas.openxmlformats.org/officeDocument/2006/relationships/hyperlink" Target="http://www.sec.gov/Archives/edgar/data/804328/000119312517189502/d383851dex48.htm" TargetMode="External"/><Relationship Id="rId23" Type="http://schemas.openxmlformats.org/officeDocument/2006/relationships/hyperlink" Target="http://www.sec.gov/Archives/edgar/data/804328/000110465920096322/tm2027698d1_ex4-3.htm" TargetMode="External"/><Relationship Id="rId28" Type="http://schemas.openxmlformats.org/officeDocument/2006/relationships/hyperlink" Target="http://www.sec.gov/Archives/edgar/data/0000804328/000172894921000022/qcom122720ex423.htm" TargetMode="External"/><Relationship Id="rId36" Type="http://schemas.openxmlformats.org/officeDocument/2006/relationships/hyperlink" Target="qcom032821ex321.htm" TargetMode="External"/><Relationship Id="rId10" Type="http://schemas.openxmlformats.org/officeDocument/2006/relationships/hyperlink" Target="http://www.sec.gov/Archives/edgar/data/804328/000119312515195451/d931327dex48.htm" TargetMode="External"/><Relationship Id="rId19" Type="http://schemas.openxmlformats.org/officeDocument/2006/relationships/hyperlink" Target="http://www.sec.gov/Archives/edgar/data/804328/000110465920058923/tm2015417d4_ex4-2.htm" TargetMode="External"/><Relationship Id="rId31" Type="http://schemas.openxmlformats.org/officeDocument/2006/relationships/hyperlink" Target="qcom032821ex104.htm" TargetMode="External"/><Relationship Id="rId4" Type="http://schemas.openxmlformats.org/officeDocument/2006/relationships/hyperlink" Target="https://www.sec.gov/Archives/edgar/data/804328/000172894921000009/nile-mergeragreement.htm" TargetMode="External"/><Relationship Id="rId9" Type="http://schemas.openxmlformats.org/officeDocument/2006/relationships/hyperlink" Target="http://www.sec.gov/Archives/edgar/data/804328/000119312515195451/d931327dex47.htm" TargetMode="External"/><Relationship Id="rId14" Type="http://schemas.openxmlformats.org/officeDocument/2006/relationships/hyperlink" Target="http://www.sec.gov/Archives/edgar/data/804328/000119312517189502/d383851dex45.htm" TargetMode="External"/><Relationship Id="rId22" Type="http://schemas.openxmlformats.org/officeDocument/2006/relationships/hyperlink" Target="http://www.sec.gov/Archives/edgar/data/804328/000110465920096322/tm2027698d1_ex4-2.htm" TargetMode="External"/><Relationship Id="rId27" Type="http://schemas.openxmlformats.org/officeDocument/2006/relationships/hyperlink" Target="http://www.sec.gov/Archives/edgar/data/804328/000110465920096322/tm2027698d1_ex4-7.htm" TargetMode="External"/><Relationship Id="rId30" Type="http://schemas.openxmlformats.org/officeDocument/2006/relationships/hyperlink" Target="http://www.sec.gov/Archives/edgar/data/0000804328/000172894921000022/qcom122720ex425.htm" TargetMode="External"/><Relationship Id="rId35" Type="http://schemas.openxmlformats.org/officeDocument/2006/relationships/hyperlink" Target="qcom032821ex312.htm" TargetMode="External"/><Relationship Id="rId8" Type="http://schemas.openxmlformats.org/officeDocument/2006/relationships/hyperlink" Target="http://www.sec.gov/Archives/edgar/data/804328/000119312515195451/d931327dex42.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38414</Words>
  <Characters>218963</Characters>
  <Application>Microsoft Office Word</Application>
  <DocSecurity>0</DocSecurity>
  <Lines>1824</Lines>
  <Paragraphs>513</Paragraphs>
  <ScaleCrop>false</ScaleCrop>
  <Company/>
  <LinksUpToDate>false</LinksUpToDate>
  <CharactersWithSpaces>256864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qcom-20210328</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